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C4662">
      <w:pPr>
        <w:rPr>
          <w:rFonts w:hint="eastAsia" w:ascii="仿宋_GB2312" w:hAnsi="仿宋_GB2312" w:eastAsia="仿宋_GB2312" w:cs="仿宋_GB2312"/>
          <w:sz w:val="36"/>
          <w:szCs w:val="36"/>
        </w:rPr>
      </w:pPr>
    </w:p>
    <w:p w14:paraId="0AD96CBA">
      <w:pPr>
        <w:rPr>
          <w:rFonts w:ascii="仿宋_GB2312" w:hAnsi="仿宋_GB2312" w:eastAsia="仿宋_GB2312" w:cs="仿宋_GB2312"/>
          <w:sz w:val="36"/>
          <w:szCs w:val="36"/>
        </w:rPr>
      </w:pPr>
    </w:p>
    <w:p w14:paraId="02E5F7AC">
      <w:pPr>
        <w:rPr>
          <w:rFonts w:ascii="仿宋_GB2312" w:hAnsi="仿宋_GB2312" w:eastAsia="仿宋_GB2312" w:cs="仿宋_GB2312"/>
          <w:sz w:val="36"/>
          <w:szCs w:val="36"/>
        </w:rPr>
      </w:pPr>
    </w:p>
    <w:p w14:paraId="2945B99F">
      <w:pPr>
        <w:rPr>
          <w:rFonts w:ascii="仿宋_GB2312" w:hAnsi="仿宋_GB2312" w:eastAsia="仿宋_GB2312" w:cs="仿宋_GB2312"/>
          <w:sz w:val="36"/>
          <w:szCs w:val="36"/>
        </w:rPr>
      </w:pPr>
    </w:p>
    <w:p w14:paraId="545ED790">
      <w:pPr>
        <w:rPr>
          <w:rFonts w:hint="eastAsia" w:ascii="仿宋_GB2312" w:hAnsi="仿宋_GB2312" w:eastAsia="仿宋_GB2312" w:cs="仿宋_GB2312"/>
          <w:sz w:val="36"/>
          <w:szCs w:val="36"/>
        </w:rPr>
      </w:pPr>
    </w:p>
    <w:p w14:paraId="18AD6DFB">
      <w:pPr>
        <w:adjustRightInd w:val="0"/>
        <w:snapToGrid w:val="0"/>
        <w:jc w:val="center"/>
        <w:outlineLvl w:val="0"/>
        <w:rPr>
          <w:rFonts w:hint="eastAsia" w:ascii="方正小标宋_GBK" w:eastAsia="方正小标宋_GBK"/>
          <w:bCs/>
          <w:color w:val="000000"/>
          <w:sz w:val="72"/>
          <w:szCs w:val="72"/>
          <w:highlight w:val="none"/>
        </w:rPr>
      </w:pPr>
      <w:r>
        <w:rPr>
          <w:rFonts w:hint="eastAsia" w:ascii="方正小标宋_GBK" w:eastAsia="方正小标宋_GBK"/>
          <w:bCs/>
          <w:color w:val="000000"/>
          <w:sz w:val="72"/>
          <w:szCs w:val="72"/>
          <w:highlight w:val="none"/>
        </w:rPr>
        <w:t>建设项目环境影响报告表</w:t>
      </w:r>
    </w:p>
    <w:p w14:paraId="54A3DD3C">
      <w:pPr>
        <w:adjustRightInd w:val="0"/>
        <w:snapToGrid w:val="0"/>
        <w:spacing w:line="288" w:lineRule="auto"/>
        <w:jc w:val="center"/>
        <w:outlineLvl w:val="0"/>
        <w:rPr>
          <w:rFonts w:hint="eastAsia" w:ascii="华文仿宋" w:hAnsi="华文仿宋" w:eastAsia="华文仿宋" w:cs="华文仿宋"/>
          <w:color w:val="000000"/>
          <w:kern w:val="44"/>
          <w:sz w:val="44"/>
          <w:szCs w:val="44"/>
          <w:highlight w:val="none"/>
        </w:rPr>
      </w:pPr>
    </w:p>
    <w:p w14:paraId="53523730">
      <w:pPr>
        <w:adjustRightInd w:val="0"/>
        <w:snapToGrid w:val="0"/>
        <w:spacing w:line="288" w:lineRule="auto"/>
        <w:jc w:val="center"/>
        <w:outlineLvl w:val="0"/>
        <w:rPr>
          <w:rFonts w:ascii="华文仿宋" w:hAnsi="华文仿宋" w:eastAsia="华文仿宋" w:cs="华文仿宋"/>
          <w:color w:val="000000"/>
          <w:kern w:val="44"/>
          <w:sz w:val="44"/>
          <w:szCs w:val="44"/>
          <w:highlight w:val="none"/>
        </w:rPr>
      </w:pPr>
    </w:p>
    <w:p w14:paraId="075C31CA">
      <w:pPr>
        <w:jc w:val="center"/>
        <w:rPr>
          <w:rFonts w:eastAsia="仿宋"/>
          <w:color w:val="000000"/>
          <w:sz w:val="52"/>
          <w:szCs w:val="52"/>
          <w:highlight w:val="none"/>
        </w:rPr>
      </w:pPr>
    </w:p>
    <w:p w14:paraId="6BC14343">
      <w:pPr>
        <w:ind w:firstLine="1040"/>
        <w:rPr>
          <w:rFonts w:eastAsia="仿宋"/>
          <w:color w:val="000000"/>
          <w:sz w:val="44"/>
          <w:szCs w:val="44"/>
          <w:highlight w:val="none"/>
        </w:rPr>
      </w:pPr>
    </w:p>
    <w:p w14:paraId="2376ECD1">
      <w:pPr>
        <w:ind w:firstLine="1040"/>
        <w:rPr>
          <w:rFonts w:eastAsia="仿宋"/>
          <w:color w:val="000000"/>
          <w:sz w:val="44"/>
          <w:szCs w:val="44"/>
          <w:highlight w:val="none"/>
        </w:rPr>
      </w:pPr>
    </w:p>
    <w:p w14:paraId="7AFE356B">
      <w:pPr>
        <w:ind w:firstLine="1040"/>
        <w:rPr>
          <w:rFonts w:eastAsia="仿宋"/>
          <w:color w:val="000000"/>
          <w:sz w:val="44"/>
          <w:szCs w:val="44"/>
          <w:highlight w:val="none"/>
        </w:rPr>
      </w:pPr>
    </w:p>
    <w:p w14:paraId="5BAAB077">
      <w:pPr>
        <w:ind w:firstLine="1040"/>
        <w:rPr>
          <w:rFonts w:eastAsia="仿宋"/>
          <w:color w:val="000000"/>
          <w:sz w:val="44"/>
          <w:szCs w:val="44"/>
          <w:highlight w:val="none"/>
        </w:rPr>
      </w:pPr>
    </w:p>
    <w:p w14:paraId="4CD0E1A2">
      <w:pPr>
        <w:adjustRightInd w:val="0"/>
        <w:snapToGrid w:val="0"/>
        <w:spacing w:line="288" w:lineRule="auto"/>
        <w:ind w:left="2517" w:leftChars="513" w:hanging="1440" w:hangingChars="400"/>
        <w:jc w:val="left"/>
        <w:rPr>
          <w:rFonts w:hint="default" w:ascii="仿宋_GB2312" w:hAnsi="Times New Roman" w:eastAsia="仿宋_GB2312" w:cs="Times New Roman"/>
          <w:color w:val="000000"/>
          <w:sz w:val="36"/>
          <w:szCs w:val="36"/>
          <w:highlight w:val="none"/>
          <w:u w:val="single"/>
          <w:lang w:val="en-US" w:eastAsia="zh-CN"/>
        </w:rPr>
      </w:pPr>
      <w:r>
        <w:rPr>
          <w:rFonts w:hint="eastAsia" w:ascii="仿宋_GB2312" w:eastAsia="仿宋_GB2312"/>
          <w:color w:val="000000"/>
          <w:sz w:val="36"/>
          <w:szCs w:val="36"/>
          <w:highlight w:val="none"/>
        </w:rPr>
        <w:t>项目名称：</w:t>
      </w:r>
      <w:bookmarkStart w:id="5" w:name="_GoBack"/>
      <w:r>
        <w:rPr>
          <w:rFonts w:hint="eastAsia" w:ascii="仿宋_GB2312" w:eastAsia="仿宋_GB2312" w:cs="Times New Roman"/>
          <w:color w:val="000000"/>
          <w:sz w:val="36"/>
          <w:szCs w:val="36"/>
          <w:highlight w:val="none"/>
          <w:u w:val="single"/>
          <w:lang w:eastAsia="zh-CN"/>
        </w:rPr>
        <w:t>碳陶刹车盘与碳陶刹车片项目</w:t>
      </w:r>
      <w:bookmarkEnd w:id="5"/>
      <w:r>
        <w:rPr>
          <w:rFonts w:hint="eastAsia" w:ascii="仿宋_GB2312" w:hAnsi="Times New Roman" w:eastAsia="仿宋_GB2312" w:cs="Times New Roman"/>
          <w:color w:val="000000"/>
          <w:sz w:val="36"/>
          <w:szCs w:val="36"/>
          <w:highlight w:val="none"/>
          <w:u w:val="single"/>
          <w:lang w:val="en-US" w:eastAsia="zh-CN"/>
        </w:rPr>
        <w:t xml:space="preserve">                       </w:t>
      </w:r>
    </w:p>
    <w:p w14:paraId="67D03275">
      <w:pPr>
        <w:adjustRightInd w:val="0"/>
        <w:snapToGrid w:val="0"/>
        <w:spacing w:line="288" w:lineRule="auto"/>
        <w:ind w:firstLine="1040"/>
        <w:rPr>
          <w:rFonts w:hint="default" w:ascii="仿宋_GB2312" w:hAnsi="Times New Roman" w:eastAsia="仿宋_GB2312" w:cs="Times New Roman"/>
          <w:color w:val="000000"/>
          <w:sz w:val="36"/>
          <w:szCs w:val="36"/>
          <w:highlight w:val="none"/>
          <w:u w:val="single"/>
          <w:lang w:val="en-US" w:eastAsia="zh-CN"/>
        </w:rPr>
      </w:pPr>
      <w:r>
        <w:rPr>
          <w:rFonts w:hint="eastAsia" w:ascii="仿宋_GB2312" w:eastAsia="仿宋_GB2312"/>
          <w:color w:val="000000"/>
          <w:sz w:val="36"/>
          <w:szCs w:val="36"/>
          <w:highlight w:val="none"/>
        </w:rPr>
        <w:t>建设单位（盖章）：</w:t>
      </w:r>
      <w:r>
        <w:rPr>
          <w:rFonts w:hint="eastAsia" w:ascii="仿宋_GB2312" w:eastAsia="仿宋_GB2312" w:cs="Times New Roman"/>
          <w:color w:val="000000"/>
          <w:sz w:val="36"/>
          <w:szCs w:val="36"/>
          <w:highlight w:val="none"/>
          <w:u w:val="single"/>
          <w:lang w:eastAsia="zh-CN"/>
        </w:rPr>
        <w:t>淮北市佰斯倍新材料科技有限公司</w:t>
      </w:r>
      <w:r>
        <w:rPr>
          <w:rFonts w:hint="eastAsia" w:ascii="仿宋_GB2312" w:hAnsi="Times New Roman" w:eastAsia="仿宋_GB2312" w:cs="Times New Roman"/>
          <w:color w:val="000000"/>
          <w:sz w:val="36"/>
          <w:szCs w:val="36"/>
          <w:highlight w:val="none"/>
          <w:u w:val="single"/>
          <w:lang w:val="en-US" w:eastAsia="zh-CN"/>
        </w:rPr>
        <w:t xml:space="preserve">  </w:t>
      </w:r>
    </w:p>
    <w:p w14:paraId="6C13708B">
      <w:pPr>
        <w:adjustRightInd w:val="0"/>
        <w:snapToGrid w:val="0"/>
        <w:spacing w:line="288" w:lineRule="auto"/>
        <w:ind w:firstLine="1040"/>
        <w:rPr>
          <w:rFonts w:hint="default" w:ascii="仿宋_GB2312" w:eastAsia="仿宋_GB2312"/>
          <w:color w:val="000000"/>
          <w:sz w:val="36"/>
          <w:szCs w:val="36"/>
          <w:highlight w:val="none"/>
          <w:u w:val="single"/>
          <w:lang w:val="en-US" w:eastAsia="zh-CN"/>
        </w:rPr>
      </w:pPr>
      <w:r>
        <w:rPr>
          <w:rFonts w:hint="eastAsia" w:ascii="仿宋_GB2312" w:eastAsia="仿宋_GB2312"/>
          <w:color w:val="000000"/>
          <w:sz w:val="36"/>
          <w:szCs w:val="36"/>
          <w:highlight w:val="none"/>
        </w:rPr>
        <w:t>编制日期：</w:t>
      </w:r>
      <w:r>
        <w:rPr>
          <w:rFonts w:hint="eastAsia" w:ascii="仿宋_GB2312" w:eastAsia="仿宋_GB2312"/>
          <w:color w:val="000000"/>
          <w:sz w:val="36"/>
          <w:szCs w:val="36"/>
          <w:highlight w:val="none"/>
          <w:u w:val="single"/>
        </w:rPr>
        <w:t xml:space="preserve"> </w:t>
      </w:r>
      <w:r>
        <w:rPr>
          <w:rFonts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rPr>
        <w:t xml:space="preserve">      二○二</w:t>
      </w:r>
      <w:r>
        <w:rPr>
          <w:rFonts w:hint="eastAsia" w:ascii="仿宋_GB2312" w:eastAsia="仿宋_GB2312"/>
          <w:color w:val="000000"/>
          <w:sz w:val="36"/>
          <w:szCs w:val="36"/>
          <w:highlight w:val="none"/>
          <w:u w:val="single"/>
          <w:lang w:val="en-US" w:eastAsia="zh-CN"/>
        </w:rPr>
        <w:t>五</w:t>
      </w:r>
      <w:r>
        <w:rPr>
          <w:rFonts w:hint="eastAsia" w:ascii="仿宋_GB2312" w:eastAsia="仿宋_GB2312"/>
          <w:color w:val="000000"/>
          <w:sz w:val="36"/>
          <w:szCs w:val="36"/>
          <w:highlight w:val="none"/>
          <w:u w:val="single"/>
        </w:rPr>
        <w:t>年</w:t>
      </w:r>
      <w:r>
        <w:rPr>
          <w:rFonts w:hint="eastAsia" w:ascii="仿宋_GB2312" w:eastAsia="仿宋_GB2312"/>
          <w:color w:val="000000"/>
          <w:sz w:val="36"/>
          <w:szCs w:val="36"/>
          <w:highlight w:val="none"/>
          <w:u w:val="single"/>
          <w:lang w:val="en-US" w:eastAsia="zh-CN"/>
        </w:rPr>
        <w:t>十二</w:t>
      </w:r>
      <w:r>
        <w:rPr>
          <w:rFonts w:hint="eastAsia" w:ascii="仿宋_GB2312" w:eastAsia="仿宋_GB2312"/>
          <w:color w:val="000000"/>
          <w:sz w:val="36"/>
          <w:szCs w:val="36"/>
          <w:highlight w:val="none"/>
          <w:u w:val="single"/>
        </w:rPr>
        <w:t xml:space="preserve">月  </w:t>
      </w:r>
      <w:r>
        <w:rPr>
          <w:rFonts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lang w:val="en-US" w:eastAsia="zh-CN"/>
        </w:rPr>
        <w:t xml:space="preserve">  </w:t>
      </w:r>
    </w:p>
    <w:p w14:paraId="71104D06">
      <w:pPr>
        <w:adjustRightInd w:val="0"/>
        <w:snapToGrid w:val="0"/>
        <w:spacing w:line="288" w:lineRule="auto"/>
        <w:ind w:firstLine="1040"/>
        <w:rPr>
          <w:rFonts w:ascii="仿宋_GB2312" w:eastAsia="仿宋_GB2312"/>
          <w:color w:val="000000"/>
          <w:sz w:val="36"/>
          <w:szCs w:val="36"/>
          <w:highlight w:val="none"/>
          <w:u w:val="single"/>
        </w:rPr>
      </w:pPr>
      <w:bookmarkStart w:id="0" w:name="_Hlk57884087"/>
    </w:p>
    <w:p w14:paraId="064C04F1">
      <w:pPr>
        <w:adjustRightInd w:val="0"/>
        <w:snapToGrid w:val="0"/>
        <w:spacing w:line="288" w:lineRule="auto"/>
        <w:ind w:firstLine="1040"/>
        <w:rPr>
          <w:rFonts w:ascii="仿宋_GB2312" w:eastAsia="仿宋_GB2312"/>
          <w:color w:val="000000"/>
          <w:sz w:val="36"/>
          <w:szCs w:val="36"/>
          <w:highlight w:val="none"/>
        </w:rPr>
      </w:pPr>
    </w:p>
    <w:p w14:paraId="307240AC">
      <w:pPr>
        <w:adjustRightInd w:val="0"/>
        <w:snapToGrid w:val="0"/>
        <w:spacing w:line="288" w:lineRule="auto"/>
        <w:ind w:firstLine="1040"/>
        <w:rPr>
          <w:rFonts w:ascii="仿宋_GB2312" w:eastAsia="仿宋_GB2312"/>
          <w:color w:val="000000"/>
          <w:sz w:val="36"/>
          <w:szCs w:val="36"/>
          <w:highlight w:val="none"/>
        </w:rPr>
      </w:pPr>
    </w:p>
    <w:p w14:paraId="357E696C">
      <w:pPr>
        <w:adjustRightInd w:val="0"/>
        <w:snapToGrid w:val="0"/>
        <w:spacing w:line="288" w:lineRule="auto"/>
        <w:ind w:firstLine="1040"/>
        <w:rPr>
          <w:rFonts w:hint="eastAsia" w:ascii="仿宋_GB2312" w:eastAsia="仿宋_GB2312"/>
          <w:color w:val="000000"/>
          <w:sz w:val="36"/>
          <w:szCs w:val="36"/>
          <w:highlight w:val="none"/>
        </w:rPr>
      </w:pPr>
    </w:p>
    <w:p w14:paraId="43459CE6">
      <w:pPr>
        <w:adjustRightInd w:val="0"/>
        <w:snapToGrid w:val="0"/>
        <w:spacing w:line="288" w:lineRule="auto"/>
        <w:ind w:firstLine="1040"/>
        <w:rPr>
          <w:rFonts w:hint="eastAsia" w:ascii="仿宋_GB2312" w:eastAsia="仿宋_GB2312"/>
          <w:color w:val="000000"/>
          <w:sz w:val="36"/>
          <w:szCs w:val="36"/>
          <w:highlight w:val="none"/>
        </w:rPr>
      </w:pPr>
    </w:p>
    <w:bookmarkEnd w:id="0"/>
    <w:p w14:paraId="0236BC6B">
      <w:pPr>
        <w:adjustRightInd w:val="0"/>
        <w:snapToGrid w:val="0"/>
        <w:spacing w:line="288" w:lineRule="auto"/>
        <w:jc w:val="center"/>
        <w:rPr>
          <w:rFonts w:hint="eastAsia" w:ascii="楷体_GB2312" w:eastAsia="楷体_GB2312"/>
          <w:color w:val="000000"/>
          <w:sz w:val="36"/>
          <w:szCs w:val="36"/>
          <w:highlight w:val="none"/>
        </w:rPr>
      </w:pPr>
      <w:r>
        <w:rPr>
          <w:rFonts w:hint="eastAsia" w:ascii="楷体_GB2312" w:eastAsia="楷体_GB2312"/>
          <w:color w:val="000000"/>
          <w:sz w:val="36"/>
          <w:szCs w:val="36"/>
          <w:highlight w:val="none"/>
        </w:rPr>
        <w:t>中华人民共和国生态环境部制</w:t>
      </w:r>
    </w:p>
    <w:p w14:paraId="23FCD22C">
      <w:pPr>
        <w:adjustRightInd w:val="0"/>
        <w:snapToGrid w:val="0"/>
        <w:spacing w:line="288" w:lineRule="auto"/>
        <w:ind w:firstLine="1040"/>
        <w:rPr>
          <w:rFonts w:ascii="仿宋_GB2312" w:eastAsia="仿宋_GB2312"/>
          <w:color w:val="000000"/>
          <w:sz w:val="36"/>
          <w:szCs w:val="36"/>
          <w:highlight w:val="none"/>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496F7F7">
      <w:pPr>
        <w:pStyle w:val="19"/>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5"/>
        <w:gridCol w:w="797"/>
        <w:gridCol w:w="2455"/>
        <w:gridCol w:w="2309"/>
        <w:gridCol w:w="3193"/>
      </w:tblGrid>
      <w:tr w14:paraId="11CE7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596FAEAB">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eastAsia="宋体" w:cs="宋体"/>
                <w:sz w:val="24"/>
                <w:lang w:eastAsia="zh-CN"/>
              </w:rPr>
            </w:pPr>
            <w:r>
              <w:rPr>
                <w:rFonts w:hint="eastAsia" w:ascii="宋体" w:hAnsi="宋体" w:cs="宋体"/>
                <w:sz w:val="24"/>
              </w:rPr>
              <w:t>建设项目名称</w:t>
            </w:r>
          </w:p>
        </w:tc>
        <w:tc>
          <w:tcPr>
            <w:tcW w:w="7334" w:type="dxa"/>
            <w:gridSpan w:val="3"/>
            <w:noWrap w:val="0"/>
            <w:vAlign w:val="center"/>
          </w:tcPr>
          <w:p w14:paraId="6B33FF75">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eastAsia="宋体" w:cs="宋体"/>
                <w:sz w:val="24"/>
                <w:lang w:eastAsia="zh-CN"/>
              </w:rPr>
            </w:pPr>
            <w:r>
              <w:rPr>
                <w:rFonts w:hint="eastAsia" w:ascii="宋体" w:hAnsi="宋体" w:cs="宋体"/>
                <w:sz w:val="24"/>
                <w:lang w:eastAsia="zh-CN"/>
              </w:rPr>
              <w:t>碳陶刹车盘与碳陶刹车片项目</w:t>
            </w:r>
          </w:p>
        </w:tc>
      </w:tr>
      <w:tr w14:paraId="7961C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8" w:type="dxa"/>
            <w:gridSpan w:val="2"/>
            <w:noWrap w:val="0"/>
            <w:vAlign w:val="center"/>
          </w:tcPr>
          <w:p w14:paraId="491A91AB">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eastAsia="宋体" w:cs="宋体"/>
                <w:sz w:val="24"/>
                <w:lang w:eastAsia="zh-CN"/>
              </w:rPr>
            </w:pPr>
            <w:r>
              <w:rPr>
                <w:rFonts w:hint="eastAsia" w:ascii="宋体" w:hAnsi="宋体" w:cs="宋体"/>
                <w:sz w:val="24"/>
              </w:rPr>
              <w:t>项目代码</w:t>
            </w:r>
          </w:p>
        </w:tc>
        <w:tc>
          <w:tcPr>
            <w:tcW w:w="7334" w:type="dxa"/>
            <w:gridSpan w:val="3"/>
            <w:noWrap w:val="0"/>
            <w:vAlign w:val="center"/>
          </w:tcPr>
          <w:p w14:paraId="18D175F2">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snapToGrid w:val="0"/>
                <w:spacing w:val="-8"/>
                <w:kern w:val="0"/>
                <w:sz w:val="24"/>
                <w:highlight w:val="none"/>
                <w:lang w:val="en-US" w:eastAsia="zh-CN"/>
              </w:rPr>
            </w:pPr>
            <w:r>
              <w:rPr>
                <w:rFonts w:hint="eastAsia" w:ascii="Times New Roman" w:hAnsi="Times New Roman" w:eastAsia="宋体" w:cs="Times New Roman"/>
                <w:snapToGrid w:val="0"/>
                <w:spacing w:val="-8"/>
                <w:kern w:val="0"/>
                <w:sz w:val="24"/>
                <w:highlight w:val="none"/>
                <w:lang w:val="en-US" w:eastAsia="zh-CN"/>
              </w:rPr>
              <w:t>2509-340665-04-01-139795</w:t>
            </w:r>
          </w:p>
        </w:tc>
      </w:tr>
      <w:tr w14:paraId="6CA39D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4153B459">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eastAsia="宋体" w:cs="宋体"/>
                <w:sz w:val="24"/>
                <w:lang w:val="en-US" w:eastAsia="zh-CN"/>
              </w:rPr>
            </w:pPr>
            <w:r>
              <w:rPr>
                <w:rFonts w:hint="eastAsia" w:ascii="宋体" w:hAnsi="宋体" w:cs="宋体"/>
                <w:sz w:val="24"/>
              </w:rPr>
              <w:t>建设单位联系人</w:t>
            </w:r>
          </w:p>
        </w:tc>
        <w:tc>
          <w:tcPr>
            <w:tcW w:w="2373" w:type="dxa"/>
            <w:noWrap w:val="0"/>
            <w:vAlign w:val="center"/>
          </w:tcPr>
          <w:p w14:paraId="279B6E7F">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color w:val="FF0000"/>
                <w:sz w:val="24"/>
                <w:lang w:val="en-US" w:eastAsia="zh-CN"/>
              </w:rPr>
            </w:pPr>
            <w:r>
              <w:rPr>
                <w:rFonts w:hint="default" w:ascii="Times New Roman" w:hAnsi="Times New Roman" w:cs="Times New Roman"/>
                <w:color w:val="auto"/>
                <w:sz w:val="24"/>
                <w:lang w:val="en-US" w:eastAsia="zh-CN"/>
              </w:rPr>
              <w:t>朱志平</w:t>
            </w:r>
          </w:p>
        </w:tc>
        <w:tc>
          <w:tcPr>
            <w:tcW w:w="2262" w:type="dxa"/>
            <w:noWrap w:val="0"/>
            <w:vAlign w:val="center"/>
          </w:tcPr>
          <w:p w14:paraId="480711C8">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联系方式</w:t>
            </w:r>
          </w:p>
        </w:tc>
        <w:tc>
          <w:tcPr>
            <w:tcW w:w="2699" w:type="dxa"/>
            <w:noWrap w:val="0"/>
            <w:vAlign w:val="center"/>
          </w:tcPr>
          <w:p w14:paraId="08A8AD84">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15973155835</w:t>
            </w:r>
          </w:p>
        </w:tc>
      </w:tr>
      <w:tr w14:paraId="48BF0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54429EFF">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lang w:val="en-US"/>
              </w:rPr>
            </w:pPr>
            <w:r>
              <w:rPr>
                <w:rFonts w:hint="eastAsia" w:ascii="宋体" w:hAnsi="宋体" w:cs="宋体"/>
                <w:sz w:val="24"/>
              </w:rPr>
              <w:t>建设地点</w:t>
            </w:r>
          </w:p>
        </w:tc>
        <w:tc>
          <w:tcPr>
            <w:tcW w:w="7334" w:type="dxa"/>
            <w:gridSpan w:val="3"/>
            <w:noWrap w:val="0"/>
            <w:vAlign w:val="center"/>
          </w:tcPr>
          <w:p w14:paraId="6D33D663">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 xml:space="preserve"> </w:t>
            </w:r>
            <w:r>
              <w:rPr>
                <w:rFonts w:hint="eastAsia" w:cs="Times New Roman"/>
                <w:sz w:val="24"/>
                <w:lang w:val="en-US" w:eastAsia="zh-CN"/>
              </w:rPr>
              <w:t>安徽省淮北市杜集区杜集经济开发产业园二期标准化厂房4号厂房、2号厂房</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 xml:space="preserve">                                                                                                                                                                                                                                                                                                                                                                                                                                                                                                                                                                                                                                                                                    </w:t>
            </w:r>
          </w:p>
        </w:tc>
      </w:tr>
      <w:tr w14:paraId="6D4E8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0CF52BC8">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地理坐标</w:t>
            </w:r>
          </w:p>
        </w:tc>
        <w:tc>
          <w:tcPr>
            <w:tcW w:w="7334" w:type="dxa"/>
            <w:gridSpan w:val="3"/>
            <w:noWrap w:val="0"/>
            <w:vAlign w:val="center"/>
          </w:tcPr>
          <w:p w14:paraId="5BDECB64">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东经116°49'30.698"</w:t>
            </w:r>
            <w:r>
              <w:rPr>
                <w:rFonts w:hint="default" w:ascii="Times New Roman" w:hAnsi="Times New Roman" w:cs="Times New Roman"/>
                <w:sz w:val="24"/>
              </w:rPr>
              <w:t>，北纬</w:t>
            </w:r>
            <w:r>
              <w:rPr>
                <w:rFonts w:hint="default" w:ascii="Times New Roman" w:hAnsi="Times New Roman" w:eastAsia="宋体" w:cs="Times New Roman"/>
                <w:sz w:val="24"/>
              </w:rPr>
              <w:t>34°3'26.319"</w:t>
            </w:r>
          </w:p>
        </w:tc>
      </w:tr>
      <w:tr w14:paraId="684B5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3455E8D9">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国民经济</w:t>
            </w:r>
          </w:p>
          <w:p w14:paraId="1F078E47">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行业类别</w:t>
            </w:r>
          </w:p>
        </w:tc>
        <w:tc>
          <w:tcPr>
            <w:tcW w:w="2373" w:type="dxa"/>
            <w:noWrap w:val="0"/>
            <w:vAlign w:val="center"/>
          </w:tcPr>
          <w:p w14:paraId="3A33A0C0">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eastAsia="宋体" w:cs="宋体"/>
                <w:sz w:val="24"/>
                <w:lang w:eastAsia="zh-CN"/>
              </w:rPr>
            </w:pPr>
            <w:bookmarkStart w:id="1" w:name="_Hlk49843745"/>
            <w:r>
              <w:rPr>
                <w:rFonts w:hint="eastAsia" w:ascii="宋体" w:hAnsi="宋体" w:cs="宋体"/>
                <w:sz w:val="24"/>
                <w:lang w:eastAsia="zh-CN"/>
              </w:rPr>
              <w:t>C3670汽车零部件及配件制造</w:t>
            </w:r>
          </w:p>
        </w:tc>
        <w:tc>
          <w:tcPr>
            <w:tcW w:w="2262" w:type="dxa"/>
            <w:noWrap w:val="0"/>
            <w:vAlign w:val="center"/>
          </w:tcPr>
          <w:p w14:paraId="418A08DA">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建设项目</w:t>
            </w:r>
          </w:p>
          <w:p w14:paraId="6BB24E54">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行业类别</w:t>
            </w:r>
            <w:bookmarkEnd w:id="1"/>
          </w:p>
        </w:tc>
        <w:tc>
          <w:tcPr>
            <w:tcW w:w="2699" w:type="dxa"/>
            <w:noWrap w:val="0"/>
            <w:vAlign w:val="center"/>
          </w:tcPr>
          <w:p w14:paraId="17516191">
            <w:pPr>
              <w:keepNext w:val="0"/>
              <w:keepLines w:val="0"/>
              <w:suppressLineNumbers w:val="0"/>
              <w:adjustRightInd w:val="0"/>
              <w:snapToGrid w:val="0"/>
              <w:spacing w:before="0" w:beforeAutospacing="0" w:after="0" w:afterAutospacing="0" w:line="460" w:lineRule="exact"/>
              <w:ind w:left="240" w:right="0" w:hanging="240" w:hangingChars="100"/>
              <w:rPr>
                <w:rFonts w:hint="default" w:ascii="宋体" w:hAnsi="宋体" w:eastAsia="宋体" w:cs="宋体"/>
                <w:sz w:val="24"/>
                <w:lang w:val="en-US" w:eastAsia="zh-CN"/>
              </w:rPr>
            </w:pPr>
            <w:r>
              <w:rPr>
                <w:rFonts w:hint="eastAsia" w:ascii="宋体" w:hAnsi="宋体" w:cs="宋体"/>
                <w:b w:val="0"/>
                <w:bCs w:val="0"/>
                <w:sz w:val="24"/>
                <w:lang w:val="en-US" w:eastAsia="zh-CN"/>
              </w:rPr>
              <w:t>三十三、汽车制造业 36  71.汽车零部件及配件制造 367</w:t>
            </w:r>
          </w:p>
        </w:tc>
      </w:tr>
      <w:tr w14:paraId="0CCE6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7203AB9A">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建设性质</w:t>
            </w:r>
          </w:p>
        </w:tc>
        <w:tc>
          <w:tcPr>
            <w:tcW w:w="2373" w:type="dxa"/>
            <w:noWrap w:val="0"/>
            <w:vAlign w:val="center"/>
          </w:tcPr>
          <w:p w14:paraId="53C22B1C">
            <w:pPr>
              <w:keepNext w:val="0"/>
              <w:keepLines w:val="0"/>
              <w:suppressLineNumbers w:val="0"/>
              <w:spacing w:before="0" w:beforeAutospacing="0" w:after="0" w:afterAutospacing="0" w:line="460" w:lineRule="exact"/>
              <w:ind w:left="0" w:right="0"/>
              <w:jc w:val="left"/>
              <w:rPr>
                <w:rFonts w:hint="default" w:ascii="宋体" w:hAnsi="宋体" w:cs="宋体"/>
                <w:sz w:val="24"/>
              </w:rPr>
            </w:pPr>
            <w:r>
              <w:rPr>
                <w:rFonts w:hint="eastAsia" w:ascii="宋体" w:hAnsi="宋体" w:cs="宋体"/>
                <w:sz w:val="24"/>
                <w:lang w:eastAsia="zh-CN"/>
              </w:rPr>
              <w:t>☑</w:t>
            </w:r>
            <w:r>
              <w:rPr>
                <w:rFonts w:hint="eastAsia" w:ascii="宋体" w:hAnsi="宋体" w:cs="宋体"/>
                <w:sz w:val="24"/>
              </w:rPr>
              <w:t>新建（迁建）</w:t>
            </w:r>
          </w:p>
          <w:p w14:paraId="5647BB4A">
            <w:pPr>
              <w:keepNext w:val="0"/>
              <w:keepLines w:val="0"/>
              <w:suppressLineNumbers w:val="0"/>
              <w:spacing w:before="0" w:beforeAutospacing="0" w:after="0" w:afterAutospacing="0" w:line="460" w:lineRule="exact"/>
              <w:ind w:left="0" w:right="0"/>
              <w:jc w:val="left"/>
              <w:rPr>
                <w:rFonts w:hint="eastAsia" w:ascii="宋体" w:hAnsi="宋体" w:cs="宋体"/>
                <w:sz w:val="24"/>
              </w:rPr>
            </w:pPr>
            <w:r>
              <w:rPr>
                <w:rFonts w:hint="eastAsia" w:ascii="宋体" w:hAnsi="宋体" w:cs="宋体"/>
                <w:sz w:val="24"/>
              </w:rPr>
              <w:t>□改建</w:t>
            </w:r>
          </w:p>
          <w:p w14:paraId="05C155A4">
            <w:pPr>
              <w:keepNext w:val="0"/>
              <w:keepLines w:val="0"/>
              <w:suppressLineNumbers w:val="0"/>
              <w:spacing w:before="0" w:beforeAutospacing="0" w:after="0" w:afterAutospacing="0" w:line="460" w:lineRule="exact"/>
              <w:ind w:left="0" w:right="0"/>
              <w:jc w:val="left"/>
              <w:rPr>
                <w:rFonts w:hint="eastAsia" w:ascii="宋体" w:hAnsi="宋体" w:cs="宋体"/>
                <w:sz w:val="24"/>
              </w:rPr>
            </w:pPr>
            <w:r>
              <w:rPr>
                <w:rFonts w:hint="eastAsia" w:ascii="宋体" w:hAnsi="宋体" w:cs="宋体"/>
                <w:sz w:val="24"/>
              </w:rPr>
              <w:t>□扩建</w:t>
            </w:r>
          </w:p>
          <w:p w14:paraId="6C92D368">
            <w:pPr>
              <w:keepNext w:val="0"/>
              <w:keepLines w:val="0"/>
              <w:suppressLineNumbers w:val="0"/>
              <w:spacing w:before="0" w:beforeAutospacing="0" w:after="0" w:afterAutospacing="0" w:line="460" w:lineRule="exact"/>
              <w:ind w:left="0" w:right="0"/>
              <w:jc w:val="left"/>
              <w:rPr>
                <w:rFonts w:hint="eastAsia" w:ascii="宋体" w:hAnsi="宋体" w:cs="宋体"/>
                <w:sz w:val="24"/>
              </w:rPr>
            </w:pPr>
            <w:r>
              <w:rPr>
                <w:rFonts w:hint="eastAsia" w:ascii="宋体" w:hAnsi="宋体" w:cs="宋体"/>
                <w:sz w:val="24"/>
                <w:lang w:eastAsia="zh-CN"/>
              </w:rPr>
              <w:t>□</w:t>
            </w:r>
            <w:r>
              <w:rPr>
                <w:rFonts w:hint="eastAsia" w:ascii="宋体" w:hAnsi="宋体" w:cs="宋体"/>
                <w:sz w:val="24"/>
              </w:rPr>
              <w:t>技术改造</w:t>
            </w:r>
          </w:p>
        </w:tc>
        <w:tc>
          <w:tcPr>
            <w:tcW w:w="2262" w:type="dxa"/>
            <w:noWrap w:val="0"/>
            <w:vAlign w:val="center"/>
          </w:tcPr>
          <w:p w14:paraId="2420B278">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建设项目</w:t>
            </w:r>
          </w:p>
          <w:p w14:paraId="5A63C8A5">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申报情形</w:t>
            </w:r>
          </w:p>
        </w:tc>
        <w:tc>
          <w:tcPr>
            <w:tcW w:w="2699" w:type="dxa"/>
            <w:noWrap w:val="0"/>
            <w:vAlign w:val="center"/>
          </w:tcPr>
          <w:p w14:paraId="2DAF5CD1">
            <w:pPr>
              <w:keepNext w:val="0"/>
              <w:keepLines w:val="0"/>
              <w:suppressLineNumbers w:val="0"/>
              <w:spacing w:before="0" w:beforeAutospacing="0" w:after="0" w:afterAutospacing="0" w:line="460" w:lineRule="exact"/>
              <w:ind w:left="0" w:right="0"/>
              <w:jc w:val="left"/>
              <w:rPr>
                <w:rFonts w:hint="default" w:ascii="宋体" w:hAnsi="宋体" w:cs="宋体"/>
                <w:sz w:val="24"/>
              </w:rPr>
            </w:pPr>
            <w:r>
              <w:rPr>
                <w:rFonts w:hint="eastAsia" w:ascii="宋体" w:hAnsi="宋体" w:cs="宋体"/>
                <w:sz w:val="24"/>
                <w:lang w:eastAsia="zh-CN"/>
              </w:rPr>
              <w:t>☑</w:t>
            </w:r>
            <w:r>
              <w:rPr>
                <w:rFonts w:hint="eastAsia" w:ascii="宋体" w:hAnsi="宋体" w:cs="宋体"/>
                <w:sz w:val="24"/>
              </w:rPr>
              <w:t>首次申报项目</w:t>
            </w:r>
          </w:p>
          <w:p w14:paraId="422E7089">
            <w:pPr>
              <w:keepNext w:val="0"/>
              <w:keepLines w:val="0"/>
              <w:suppressLineNumbers w:val="0"/>
              <w:spacing w:before="0" w:beforeAutospacing="0" w:after="0" w:afterAutospacing="0" w:line="460" w:lineRule="exact"/>
              <w:ind w:left="0" w:right="0"/>
              <w:jc w:val="left"/>
              <w:rPr>
                <w:rFonts w:hint="default" w:ascii="宋体" w:hAnsi="宋体" w:cs="宋体"/>
                <w:sz w:val="24"/>
              </w:rPr>
            </w:pPr>
            <w:r>
              <w:rPr>
                <w:rFonts w:hint="eastAsia" w:ascii="宋体" w:hAnsi="宋体" w:cs="宋体"/>
                <w:sz w:val="24"/>
                <w:lang w:eastAsia="zh-CN"/>
              </w:rPr>
              <w:t>□</w:t>
            </w:r>
            <w:r>
              <w:rPr>
                <w:rFonts w:hint="eastAsia" w:ascii="宋体" w:hAnsi="宋体" w:cs="宋体"/>
                <w:sz w:val="24"/>
              </w:rPr>
              <w:t>不予批准后再次申报项目</w:t>
            </w:r>
          </w:p>
          <w:p w14:paraId="2870149D">
            <w:pPr>
              <w:keepNext w:val="0"/>
              <w:keepLines w:val="0"/>
              <w:suppressLineNumbers w:val="0"/>
              <w:spacing w:before="0" w:beforeAutospacing="0" w:after="0" w:afterAutospacing="0" w:line="460" w:lineRule="exact"/>
              <w:ind w:left="0" w:right="0"/>
              <w:jc w:val="left"/>
              <w:rPr>
                <w:rFonts w:hint="default" w:ascii="宋体" w:hAnsi="宋体" w:cs="宋体"/>
                <w:sz w:val="24"/>
              </w:rPr>
            </w:pPr>
            <w:r>
              <w:rPr>
                <w:rFonts w:hint="eastAsia" w:ascii="宋体" w:hAnsi="宋体" w:cs="宋体"/>
                <w:sz w:val="24"/>
                <w:lang w:eastAsia="zh-CN"/>
              </w:rPr>
              <w:t>□</w:t>
            </w:r>
            <w:r>
              <w:rPr>
                <w:rFonts w:hint="eastAsia" w:ascii="宋体" w:hAnsi="宋体" w:cs="宋体"/>
                <w:sz w:val="24"/>
              </w:rPr>
              <w:t>超五年重新审核项目</w:t>
            </w:r>
          </w:p>
          <w:p w14:paraId="513DA13F">
            <w:pPr>
              <w:keepNext w:val="0"/>
              <w:keepLines w:val="0"/>
              <w:suppressLineNumbers w:val="0"/>
              <w:spacing w:before="0" w:beforeAutospacing="0" w:after="0" w:afterAutospacing="0" w:line="460" w:lineRule="exact"/>
              <w:ind w:left="0" w:right="0"/>
              <w:jc w:val="left"/>
              <w:rPr>
                <w:rFonts w:hint="default" w:ascii="宋体" w:hAnsi="宋体" w:cs="宋体"/>
                <w:sz w:val="24"/>
              </w:rPr>
            </w:pPr>
            <w:r>
              <w:rPr>
                <w:rFonts w:hint="eastAsia" w:ascii="宋体" w:hAnsi="宋体" w:cs="宋体"/>
                <w:sz w:val="24"/>
                <w:lang w:eastAsia="zh-CN"/>
              </w:rPr>
              <w:t>□</w:t>
            </w:r>
            <w:r>
              <w:rPr>
                <w:rFonts w:hint="eastAsia" w:ascii="宋体" w:hAnsi="宋体" w:cs="宋体"/>
                <w:sz w:val="24"/>
              </w:rPr>
              <w:t>重大变动重新报批项目</w:t>
            </w:r>
          </w:p>
        </w:tc>
      </w:tr>
      <w:tr w14:paraId="6DDE7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0E19789A">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项目审批（核准</w:t>
            </w:r>
            <w:r>
              <w:rPr>
                <w:rFonts w:hint="default" w:ascii="宋体" w:hAnsi="宋体" w:cs="宋体"/>
                <w:sz w:val="24"/>
              </w:rPr>
              <w:t>/</w:t>
            </w:r>
          </w:p>
          <w:p w14:paraId="334A8A76">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备案）部门</w:t>
            </w:r>
          </w:p>
        </w:tc>
        <w:tc>
          <w:tcPr>
            <w:tcW w:w="2373" w:type="dxa"/>
            <w:noWrap w:val="0"/>
            <w:vAlign w:val="center"/>
          </w:tcPr>
          <w:p w14:paraId="499B98C2">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lang w:eastAsia="zh-CN"/>
              </w:rPr>
            </w:pPr>
            <w:r>
              <w:rPr>
                <w:rFonts w:hint="eastAsia" w:ascii="宋体" w:hAnsi="宋体" w:cs="宋体"/>
                <w:sz w:val="24"/>
                <w:lang w:val="en-US" w:eastAsia="zh-CN"/>
              </w:rPr>
              <w:t>安徽</w:t>
            </w:r>
            <w:r>
              <w:rPr>
                <w:rFonts w:hint="eastAsia" w:ascii="宋体" w:hAnsi="宋体" w:cs="宋体"/>
                <w:sz w:val="24"/>
                <w:lang w:eastAsia="zh-CN"/>
              </w:rPr>
              <w:t>淮北杜集经济开发区</w:t>
            </w:r>
            <w:r>
              <w:rPr>
                <w:rFonts w:hint="eastAsia" w:ascii="宋体" w:hAnsi="宋体" w:cs="宋体"/>
                <w:sz w:val="24"/>
                <w:lang w:val="en-US" w:eastAsia="zh-CN"/>
              </w:rPr>
              <w:t>管理</w:t>
            </w:r>
            <w:r>
              <w:rPr>
                <w:rFonts w:hint="eastAsia" w:ascii="宋体" w:hAnsi="宋体" w:cs="宋体"/>
                <w:sz w:val="24"/>
                <w:lang w:eastAsia="zh-CN"/>
              </w:rPr>
              <w:t>委员会</w:t>
            </w:r>
          </w:p>
        </w:tc>
        <w:tc>
          <w:tcPr>
            <w:tcW w:w="2262" w:type="dxa"/>
            <w:noWrap w:val="0"/>
            <w:vAlign w:val="center"/>
          </w:tcPr>
          <w:p w14:paraId="2E10B3F9">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项目审批（核准</w:t>
            </w:r>
            <w:r>
              <w:rPr>
                <w:rFonts w:hint="default" w:ascii="宋体" w:hAnsi="宋体" w:cs="宋体"/>
                <w:sz w:val="24"/>
              </w:rPr>
              <w:t>/</w:t>
            </w:r>
          </w:p>
          <w:p w14:paraId="5DC6467E">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sz w:val="24"/>
              </w:rPr>
            </w:pPr>
            <w:r>
              <w:rPr>
                <w:rFonts w:hint="eastAsia" w:ascii="宋体" w:hAnsi="宋体" w:cs="宋体"/>
                <w:sz w:val="24"/>
              </w:rPr>
              <w:t>备案）文号</w:t>
            </w:r>
          </w:p>
        </w:tc>
        <w:tc>
          <w:tcPr>
            <w:tcW w:w="2699" w:type="dxa"/>
            <w:noWrap w:val="0"/>
            <w:vAlign w:val="center"/>
          </w:tcPr>
          <w:p w14:paraId="200E1803">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eastAsia="宋体" w:cs="宋体"/>
                <w:sz w:val="24"/>
                <w:lang w:eastAsia="zh-CN"/>
              </w:rPr>
            </w:pPr>
            <w:r>
              <w:rPr>
                <w:rFonts w:hint="eastAsia" w:cs="Times New Roman"/>
                <w:snapToGrid w:val="0"/>
                <w:spacing w:val="-8"/>
                <w:kern w:val="0"/>
                <w:sz w:val="24"/>
                <w:highlight w:val="none"/>
                <w:lang w:val="en-US" w:eastAsia="zh-CN"/>
              </w:rPr>
              <w:t>杜经开备[2025]16号</w:t>
            </w:r>
          </w:p>
        </w:tc>
      </w:tr>
      <w:tr w14:paraId="7755C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210CDB4B">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eastAsia="宋体" w:cs="宋体"/>
                <w:sz w:val="24"/>
                <w:lang w:val="en-US" w:eastAsia="zh-CN"/>
              </w:rPr>
            </w:pPr>
            <w:r>
              <w:rPr>
                <w:rFonts w:hint="eastAsia" w:ascii="宋体" w:hAnsi="宋体" w:cs="宋体"/>
                <w:sz w:val="24"/>
              </w:rPr>
              <w:t>总投资（万元）</w:t>
            </w:r>
          </w:p>
        </w:tc>
        <w:tc>
          <w:tcPr>
            <w:tcW w:w="2373" w:type="dxa"/>
            <w:noWrap w:val="0"/>
            <w:vAlign w:val="center"/>
          </w:tcPr>
          <w:p w14:paraId="583282AD">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9000</w:t>
            </w:r>
          </w:p>
        </w:tc>
        <w:tc>
          <w:tcPr>
            <w:tcW w:w="2262" w:type="dxa"/>
            <w:noWrap w:val="0"/>
            <w:tcMar>
              <w:top w:w="16" w:type="dxa"/>
              <w:left w:w="16" w:type="dxa"/>
              <w:right w:w="16" w:type="dxa"/>
            </w:tcMar>
            <w:vAlign w:val="center"/>
          </w:tcPr>
          <w:p w14:paraId="633727E9">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2699" w:type="dxa"/>
            <w:noWrap w:val="0"/>
            <w:vAlign w:val="center"/>
          </w:tcPr>
          <w:p w14:paraId="55F46B91">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155</w:t>
            </w:r>
          </w:p>
        </w:tc>
      </w:tr>
      <w:tr w14:paraId="069D5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24BAB9FD">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eastAsia="宋体" w:cs="宋体"/>
                <w:sz w:val="24"/>
                <w:lang w:val="en-US" w:eastAsia="zh-CN"/>
              </w:rPr>
            </w:pPr>
            <w:r>
              <w:rPr>
                <w:rFonts w:hint="eastAsia" w:ascii="宋体" w:hAnsi="宋体" w:cs="宋体"/>
                <w:sz w:val="24"/>
              </w:rPr>
              <w:t>环保投资占比（</w:t>
            </w:r>
            <w:r>
              <w:rPr>
                <w:rFonts w:hint="default" w:ascii="宋体" w:hAnsi="宋体" w:cs="宋体"/>
                <w:sz w:val="24"/>
              </w:rPr>
              <w:t>%</w:t>
            </w:r>
            <w:r>
              <w:rPr>
                <w:rFonts w:hint="eastAsia" w:ascii="宋体" w:hAnsi="宋体" w:cs="宋体"/>
                <w:sz w:val="24"/>
              </w:rPr>
              <w:t>）</w:t>
            </w:r>
          </w:p>
        </w:tc>
        <w:tc>
          <w:tcPr>
            <w:tcW w:w="2373" w:type="dxa"/>
            <w:noWrap w:val="0"/>
            <w:vAlign w:val="center"/>
          </w:tcPr>
          <w:p w14:paraId="5FE1C475">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1.72</w:t>
            </w:r>
          </w:p>
        </w:tc>
        <w:tc>
          <w:tcPr>
            <w:tcW w:w="2262" w:type="dxa"/>
            <w:noWrap w:val="0"/>
            <w:tcMar>
              <w:top w:w="16" w:type="dxa"/>
              <w:left w:w="16" w:type="dxa"/>
              <w:right w:w="16" w:type="dxa"/>
            </w:tcMar>
            <w:vAlign w:val="center"/>
          </w:tcPr>
          <w:p w14:paraId="77D40B6E">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699" w:type="dxa"/>
            <w:noWrap w:val="0"/>
            <w:vAlign w:val="center"/>
          </w:tcPr>
          <w:p w14:paraId="753AF37E">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w:t>
            </w:r>
          </w:p>
        </w:tc>
      </w:tr>
      <w:tr w14:paraId="1C8DA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38" w:type="dxa"/>
            <w:gridSpan w:val="2"/>
            <w:noWrap w:val="0"/>
            <w:vAlign w:val="center"/>
          </w:tcPr>
          <w:p w14:paraId="43770675">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是否开工建设</w:t>
            </w:r>
          </w:p>
        </w:tc>
        <w:tc>
          <w:tcPr>
            <w:tcW w:w="2373" w:type="dxa"/>
            <w:noWrap w:val="0"/>
            <w:vAlign w:val="center"/>
          </w:tcPr>
          <w:p w14:paraId="47030975">
            <w:pPr>
              <w:keepNext w:val="0"/>
              <w:keepLines w:val="0"/>
              <w:suppressLineNumbers w:val="0"/>
              <w:adjustRightInd w:val="0"/>
              <w:snapToGrid w:val="0"/>
              <w:spacing w:before="0" w:beforeAutospacing="0" w:after="0" w:afterAutospacing="0" w:line="460" w:lineRule="exact"/>
              <w:ind w:left="0" w:right="0"/>
              <w:rPr>
                <w:rFonts w:hint="default" w:ascii="宋体" w:hAnsi="宋体" w:cs="宋体"/>
                <w:color w:val="auto"/>
                <w:sz w:val="24"/>
              </w:rPr>
            </w:pPr>
            <w:r>
              <w:rPr>
                <w:rFonts w:hint="eastAsia" w:ascii="宋体" w:hAnsi="宋体" w:cs="宋体"/>
                <w:color w:val="auto"/>
                <w:sz w:val="24"/>
              </w:rPr>
              <w:t>√否</w:t>
            </w:r>
          </w:p>
          <w:p w14:paraId="715A1CC6">
            <w:pPr>
              <w:keepNext w:val="0"/>
              <w:keepLines w:val="0"/>
              <w:suppressLineNumbers w:val="0"/>
              <w:adjustRightInd w:val="0"/>
              <w:snapToGrid w:val="0"/>
              <w:spacing w:before="0" w:beforeAutospacing="0" w:after="0" w:afterAutospacing="0" w:line="460" w:lineRule="exact"/>
              <w:ind w:left="0" w:right="0"/>
              <w:rPr>
                <w:rFonts w:hint="eastAsia"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是：</w:t>
            </w:r>
            <w:r>
              <w:rPr>
                <w:rFonts w:hint="eastAsia" w:ascii="宋体" w:hAnsi="宋体" w:cs="宋体"/>
                <w:color w:val="auto"/>
                <w:sz w:val="24"/>
                <w:u w:val="single"/>
              </w:rPr>
              <w:t xml:space="preserve">             </w:t>
            </w:r>
          </w:p>
        </w:tc>
        <w:tc>
          <w:tcPr>
            <w:tcW w:w="2262" w:type="dxa"/>
            <w:noWrap w:val="0"/>
            <w:tcMar>
              <w:top w:w="16" w:type="dxa"/>
              <w:left w:w="16" w:type="dxa"/>
              <w:right w:w="16" w:type="dxa"/>
            </w:tcMar>
            <w:vAlign w:val="center"/>
          </w:tcPr>
          <w:p w14:paraId="63A8D85B">
            <w:pPr>
              <w:keepNext w:val="0"/>
              <w:keepLines w:val="0"/>
              <w:suppressLineNumbers w:val="0"/>
              <w:adjustRightInd w:val="0"/>
              <w:snapToGrid w:val="0"/>
              <w:spacing w:before="0" w:beforeAutospacing="0" w:after="0" w:afterAutospacing="0" w:line="460" w:lineRule="exact"/>
              <w:ind w:left="0" w:right="0"/>
              <w:jc w:val="center"/>
              <w:rPr>
                <w:rFonts w:hint="eastAsia" w:ascii="宋体" w:hAnsi="宋体" w:cs="宋体"/>
                <w:color w:val="auto"/>
                <w:sz w:val="24"/>
              </w:rPr>
            </w:pPr>
            <w:r>
              <w:rPr>
                <w:rFonts w:hint="eastAsia" w:ascii="宋体" w:hAnsi="宋体" w:cs="宋体"/>
                <w:color w:val="auto"/>
                <w:spacing w:val="-6"/>
                <w:sz w:val="24"/>
              </w:rPr>
              <w:t>用地面积（</w:t>
            </w:r>
            <w:r>
              <w:rPr>
                <w:rFonts w:hint="default" w:ascii="宋体" w:hAnsi="宋体" w:cs="宋体"/>
                <w:color w:val="auto"/>
                <w:spacing w:val="-6"/>
                <w:sz w:val="24"/>
              </w:rPr>
              <w:t>m</w:t>
            </w:r>
            <w:r>
              <w:rPr>
                <w:rFonts w:hint="default" w:ascii="宋体" w:hAnsi="宋体" w:cs="宋体"/>
                <w:color w:val="auto"/>
                <w:spacing w:val="-6"/>
                <w:sz w:val="24"/>
                <w:vertAlign w:val="superscript"/>
              </w:rPr>
              <w:t>2</w:t>
            </w:r>
            <w:r>
              <w:rPr>
                <w:rFonts w:hint="eastAsia" w:ascii="宋体" w:hAnsi="宋体" w:cs="宋体"/>
                <w:color w:val="auto"/>
                <w:spacing w:val="-6"/>
                <w:sz w:val="24"/>
              </w:rPr>
              <w:t>）</w:t>
            </w:r>
          </w:p>
        </w:tc>
        <w:tc>
          <w:tcPr>
            <w:tcW w:w="2699" w:type="dxa"/>
            <w:noWrap w:val="0"/>
            <w:vAlign w:val="center"/>
          </w:tcPr>
          <w:p w14:paraId="7B32D579">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eastAsia="宋体" w:cs="宋体"/>
                <w:color w:val="auto"/>
                <w:sz w:val="24"/>
                <w:lang w:val="en-US" w:eastAsia="zh-CN"/>
              </w:rPr>
            </w:pPr>
            <w:r>
              <w:rPr>
                <w:rFonts w:hint="eastAsia" w:cs="Times New Roman"/>
                <w:color w:val="auto"/>
                <w:sz w:val="24"/>
                <w:lang w:val="en-US" w:eastAsia="zh-CN"/>
              </w:rPr>
              <w:t>8500</w:t>
            </w:r>
          </w:p>
        </w:tc>
      </w:tr>
      <w:tr w14:paraId="74203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gridSpan w:val="2"/>
            <w:noWrap w:val="0"/>
            <w:vAlign w:val="center"/>
          </w:tcPr>
          <w:p w14:paraId="30870B9A">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default" w:ascii="宋体" w:hAnsi="宋体" w:cs="宋体"/>
                <w:kern w:val="0"/>
                <w:sz w:val="24"/>
              </w:rPr>
            </w:pPr>
            <w:r>
              <w:rPr>
                <w:rFonts w:hint="eastAsia" w:ascii="宋体" w:hAnsi="宋体" w:cs="宋体"/>
                <w:kern w:val="0"/>
                <w:sz w:val="24"/>
              </w:rPr>
              <w:t>专项评价设置情况</w:t>
            </w:r>
          </w:p>
        </w:tc>
        <w:tc>
          <w:tcPr>
            <w:tcW w:w="7334" w:type="dxa"/>
            <w:gridSpan w:val="3"/>
            <w:noWrap w:val="0"/>
            <w:vAlign w:val="center"/>
          </w:tcPr>
          <w:p w14:paraId="04FF66D1">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default" w:ascii="宋体" w:hAnsi="宋体" w:cs="宋体"/>
                <w:kern w:val="0"/>
                <w:sz w:val="24"/>
              </w:rPr>
            </w:pPr>
            <w:r>
              <w:rPr>
                <w:rFonts w:hint="default" w:ascii="宋体" w:hAnsi="宋体" w:cs="宋体"/>
                <w:kern w:val="0"/>
                <w:sz w:val="24"/>
              </w:rPr>
              <w:t>无</w:t>
            </w:r>
          </w:p>
        </w:tc>
      </w:tr>
      <w:tr w14:paraId="01515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gridSpan w:val="2"/>
            <w:noWrap w:val="0"/>
            <w:vAlign w:val="center"/>
          </w:tcPr>
          <w:p w14:paraId="1C4EDD90">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default" w:ascii="宋体" w:hAnsi="宋体" w:cs="宋体"/>
                <w:kern w:val="0"/>
                <w:sz w:val="24"/>
              </w:rPr>
            </w:pPr>
            <w:r>
              <w:rPr>
                <w:rFonts w:hint="eastAsia" w:ascii="宋体" w:hAnsi="宋体" w:cs="宋体"/>
                <w:sz w:val="24"/>
              </w:rPr>
              <w:t>规划情况</w:t>
            </w:r>
          </w:p>
        </w:tc>
        <w:tc>
          <w:tcPr>
            <w:tcW w:w="7334" w:type="dxa"/>
            <w:gridSpan w:val="3"/>
            <w:noWrap w:val="0"/>
            <w:vAlign w:val="center"/>
          </w:tcPr>
          <w:p w14:paraId="28761F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规划名称：《安徽淮北杜集经济</w:t>
            </w:r>
            <w:r>
              <w:rPr>
                <w:rFonts w:hint="eastAsia" w:ascii="Times New Roman" w:hAnsi="Times New Roman" w:eastAsia="宋体" w:cs="Times New Roman"/>
                <w:b w:val="0"/>
                <w:bCs w:val="0"/>
                <w:color w:val="auto"/>
                <w:sz w:val="24"/>
                <w:szCs w:val="24"/>
                <w:lang w:val="en-US" w:eastAsia="zh-CN"/>
              </w:rPr>
              <w:t>开发区总体发展规划（2023-2035年）</w:t>
            </w:r>
            <w:r>
              <w:rPr>
                <w:rFonts w:hint="default" w:ascii="Times New Roman" w:hAnsi="Times New Roman" w:eastAsia="宋体" w:cs="Times New Roman"/>
                <w:b w:val="0"/>
                <w:bCs w:val="0"/>
                <w:color w:val="auto"/>
                <w:sz w:val="24"/>
                <w:szCs w:val="24"/>
                <w:lang w:val="en-US" w:eastAsia="zh-CN"/>
              </w:rPr>
              <w:t>》</w:t>
            </w:r>
          </w:p>
          <w:p w14:paraId="21517F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审批机关：安徽省人民政府</w:t>
            </w:r>
          </w:p>
          <w:p w14:paraId="041BD2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cs="宋体"/>
                <w:kern w:val="0"/>
                <w:sz w:val="24"/>
              </w:rPr>
            </w:pPr>
            <w:r>
              <w:rPr>
                <w:rFonts w:hint="eastAsia" w:ascii="Times New Roman" w:hAnsi="Times New Roman" w:eastAsia="宋体" w:cs="Times New Roman"/>
                <w:b w:val="0"/>
                <w:bCs w:val="0"/>
                <w:color w:val="auto"/>
                <w:sz w:val="24"/>
                <w:szCs w:val="24"/>
                <w:lang w:val="en-US" w:eastAsia="zh-CN"/>
              </w:rPr>
              <w:t>审批文件名称及文号：《安徽省人民政府关于同意筹建安徽淮北杜集经济开发区的批复》（皖政秘【2006】164号）</w:t>
            </w:r>
          </w:p>
        </w:tc>
      </w:tr>
      <w:tr w14:paraId="64D69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gridSpan w:val="2"/>
            <w:noWrap w:val="0"/>
            <w:vAlign w:val="center"/>
          </w:tcPr>
          <w:p w14:paraId="31953E7B">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sz w:val="24"/>
              </w:rPr>
            </w:pPr>
            <w:r>
              <w:rPr>
                <w:rFonts w:hint="eastAsia" w:ascii="宋体" w:hAnsi="宋体" w:cs="宋体"/>
                <w:sz w:val="24"/>
              </w:rPr>
              <w:t>规划环境影响</w:t>
            </w:r>
          </w:p>
          <w:p w14:paraId="1094D9A8">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kern w:val="0"/>
                <w:sz w:val="24"/>
              </w:rPr>
            </w:pPr>
            <w:r>
              <w:rPr>
                <w:rFonts w:hint="eastAsia" w:ascii="宋体" w:hAnsi="宋体" w:cs="宋体"/>
                <w:sz w:val="24"/>
              </w:rPr>
              <w:t>评价情况</w:t>
            </w:r>
          </w:p>
        </w:tc>
        <w:tc>
          <w:tcPr>
            <w:tcW w:w="7334" w:type="dxa"/>
            <w:gridSpan w:val="3"/>
            <w:noWrap w:val="0"/>
            <w:vAlign w:val="center"/>
          </w:tcPr>
          <w:p w14:paraId="243A7B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规划环评名称：《安徽淮北杜集经济</w:t>
            </w:r>
            <w:r>
              <w:rPr>
                <w:rFonts w:hint="eastAsia" w:ascii="Times New Roman" w:hAnsi="Times New Roman" w:eastAsia="宋体" w:cs="Times New Roman"/>
                <w:b w:val="0"/>
                <w:bCs w:val="0"/>
                <w:color w:val="auto"/>
                <w:sz w:val="24"/>
                <w:szCs w:val="24"/>
                <w:lang w:val="en-US" w:eastAsia="zh-CN"/>
              </w:rPr>
              <w:t>开发区总体发展规划（2023-2035年）</w:t>
            </w:r>
            <w:r>
              <w:rPr>
                <w:rFonts w:hint="default" w:ascii="Times New Roman" w:hAnsi="Times New Roman" w:eastAsia="宋体" w:cs="Times New Roman"/>
                <w:b w:val="0"/>
                <w:bCs w:val="0"/>
                <w:color w:val="auto"/>
                <w:sz w:val="24"/>
                <w:szCs w:val="24"/>
                <w:lang w:val="en-US" w:eastAsia="zh-CN"/>
              </w:rPr>
              <w:t>环境影响报告书》</w:t>
            </w:r>
          </w:p>
          <w:p w14:paraId="61A864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规划环评审查机关：</w:t>
            </w:r>
            <w:r>
              <w:rPr>
                <w:rFonts w:hint="eastAsia" w:ascii="Times New Roman" w:hAnsi="Times New Roman" w:eastAsia="宋体" w:cs="Times New Roman"/>
                <w:b w:val="0"/>
                <w:bCs w:val="0"/>
                <w:color w:val="auto"/>
                <w:sz w:val="24"/>
                <w:szCs w:val="24"/>
                <w:lang w:val="en-US" w:eastAsia="zh-CN"/>
              </w:rPr>
              <w:t>淮北市生态环境局</w:t>
            </w:r>
          </w:p>
          <w:p w14:paraId="042F802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审查文件名称及文号：《关于</w:t>
            </w:r>
            <w:r>
              <w:rPr>
                <w:rFonts w:hint="eastAsia" w:ascii="Times New Roman" w:hAnsi="Times New Roman" w:eastAsia="宋体" w:cs="Times New Roman"/>
                <w:b w:val="0"/>
                <w:bCs w:val="0"/>
                <w:color w:val="auto"/>
                <w:sz w:val="24"/>
                <w:szCs w:val="24"/>
                <w:lang w:val="en-US" w:eastAsia="zh-CN"/>
              </w:rPr>
              <w:t>印送&lt;</w:t>
            </w:r>
            <w:r>
              <w:rPr>
                <w:rFonts w:hint="default" w:ascii="Times New Roman" w:hAnsi="Times New Roman" w:eastAsia="宋体" w:cs="Times New Roman"/>
                <w:b w:val="0"/>
                <w:bCs w:val="0"/>
                <w:color w:val="auto"/>
                <w:sz w:val="24"/>
                <w:szCs w:val="24"/>
                <w:lang w:val="en-US" w:eastAsia="zh-CN"/>
              </w:rPr>
              <w:t>安徽淮北杜集经济</w:t>
            </w:r>
            <w:r>
              <w:rPr>
                <w:rFonts w:hint="eastAsia" w:ascii="Times New Roman" w:hAnsi="Times New Roman" w:eastAsia="宋体" w:cs="Times New Roman"/>
                <w:b w:val="0"/>
                <w:bCs w:val="0"/>
                <w:color w:val="auto"/>
                <w:sz w:val="24"/>
                <w:szCs w:val="24"/>
                <w:lang w:val="en-US" w:eastAsia="zh-CN"/>
              </w:rPr>
              <w:t>开发区总体发展规划（2023-2035年）</w:t>
            </w:r>
            <w:r>
              <w:rPr>
                <w:rFonts w:hint="default" w:ascii="Times New Roman" w:hAnsi="Times New Roman" w:eastAsia="宋体" w:cs="Times New Roman"/>
                <w:b w:val="0"/>
                <w:bCs w:val="0"/>
                <w:color w:val="auto"/>
                <w:sz w:val="24"/>
                <w:szCs w:val="24"/>
                <w:lang w:val="en-US" w:eastAsia="zh-CN"/>
              </w:rPr>
              <w:t>环境影响报告书</w:t>
            </w:r>
            <w:r>
              <w:rPr>
                <w:rFonts w:hint="eastAsia" w:ascii="Times New Roman" w:hAnsi="Times New Roman" w:eastAsia="宋体" w:cs="Times New Roman"/>
                <w:b w:val="0"/>
                <w:bCs w:val="0"/>
                <w:color w:val="auto"/>
                <w:sz w:val="24"/>
                <w:szCs w:val="24"/>
                <w:lang w:val="en-US" w:eastAsia="zh-CN"/>
              </w:rPr>
              <w:t>审查意见&gt;的函</w:t>
            </w:r>
            <w:r>
              <w:rPr>
                <w:rFonts w:hint="default" w:ascii="Times New Roman" w:hAnsi="Times New Roman" w:eastAsia="宋体" w:cs="Times New Roman"/>
                <w:b w:val="0"/>
                <w:bCs w:val="0"/>
                <w:color w:val="auto"/>
                <w:sz w:val="24"/>
                <w:szCs w:val="24"/>
                <w:lang w:val="en-US" w:eastAsia="zh-CN"/>
              </w:rPr>
              <w:t>》</w:t>
            </w:r>
          </w:p>
          <w:p w14:paraId="46A903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cs="宋体"/>
                <w:kern w:val="0"/>
                <w:sz w:val="24"/>
              </w:rPr>
            </w:pPr>
            <w:r>
              <w:rPr>
                <w:rFonts w:hint="default" w:ascii="Times New Roman" w:hAnsi="Times New Roman" w:eastAsia="宋体" w:cs="Times New Roman"/>
                <w:b w:val="0"/>
                <w:bCs w:val="0"/>
                <w:color w:val="auto"/>
                <w:sz w:val="24"/>
                <w:szCs w:val="24"/>
                <w:lang w:val="en-US" w:eastAsia="zh-CN"/>
              </w:rPr>
              <w:t>审查文号：</w:t>
            </w:r>
            <w:r>
              <w:rPr>
                <w:rFonts w:hint="eastAsia" w:ascii="Times New Roman" w:hAnsi="Times New Roman" w:eastAsia="宋体" w:cs="Times New Roman"/>
                <w:b w:val="0"/>
                <w:bCs w:val="0"/>
                <w:color w:val="auto"/>
                <w:sz w:val="24"/>
                <w:szCs w:val="24"/>
                <w:lang w:val="en-US" w:eastAsia="zh-CN"/>
              </w:rPr>
              <w:t>淮环</w:t>
            </w:r>
            <w:r>
              <w:rPr>
                <w:rFonts w:hint="default" w:ascii="Times New Roman" w:hAnsi="Times New Roman" w:eastAsia="宋体" w:cs="Times New Roman"/>
                <w:b w:val="0"/>
                <w:bCs w:val="0"/>
                <w:color w:val="auto"/>
                <w:sz w:val="24"/>
                <w:szCs w:val="24"/>
                <w:lang w:val="en-US" w:eastAsia="zh-CN"/>
              </w:rPr>
              <w:t>函</w:t>
            </w:r>
            <w:r>
              <w:rPr>
                <w:rFonts w:hint="eastAsia" w:ascii="Times New Roman" w:hAnsi="Times New Roman" w:eastAsia="宋体" w:cs="Times New Roman"/>
                <w:b w:val="0"/>
                <w:bCs w:val="0"/>
                <w:color w:val="auto"/>
                <w:sz w:val="24"/>
                <w:szCs w:val="24"/>
                <w:lang w:val="en-US" w:eastAsia="zh-CN"/>
              </w:rPr>
              <w:t>【2024】68</w:t>
            </w:r>
            <w:r>
              <w:rPr>
                <w:rFonts w:hint="default" w:ascii="Times New Roman" w:hAnsi="Times New Roman" w:eastAsia="宋体" w:cs="Times New Roman"/>
                <w:b w:val="0"/>
                <w:bCs w:val="0"/>
                <w:color w:val="auto"/>
                <w:sz w:val="24"/>
                <w:szCs w:val="24"/>
                <w:lang w:val="en-US" w:eastAsia="zh-CN"/>
              </w:rPr>
              <w:t>号</w:t>
            </w:r>
          </w:p>
        </w:tc>
      </w:tr>
      <w:tr w14:paraId="7624D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1" w:type="dxa"/>
            <w:noWrap w:val="0"/>
            <w:vAlign w:val="center"/>
          </w:tcPr>
          <w:p w14:paraId="5E9855AF">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r>
              <w:rPr>
                <w:rFonts w:hint="eastAsia" w:ascii="宋体" w:hAnsi="宋体" w:cs="宋体"/>
                <w:kern w:val="0"/>
                <w:sz w:val="24"/>
              </w:rPr>
              <w:t>规划及规划环境影响评价符合性分析</w:t>
            </w:r>
          </w:p>
        </w:tc>
        <w:tc>
          <w:tcPr>
            <w:tcW w:w="8291" w:type="dxa"/>
            <w:gridSpan w:val="4"/>
            <w:noWrap w:val="0"/>
            <w:vAlign w:val="center"/>
          </w:tcPr>
          <w:p w14:paraId="132A3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规划符合性分析</w:t>
            </w:r>
          </w:p>
          <w:p w14:paraId="0D98A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（1）规划期限</w:t>
            </w:r>
          </w:p>
          <w:p w14:paraId="26707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eastAsiaTheme="minorEastAsia"/>
                <w:color w:val="auto"/>
                <w:spacing w:val="1"/>
                <w:sz w:val="24"/>
                <w:szCs w:val="24"/>
              </w:rPr>
              <w:t>规划期限为：2023～2035年，其中近期：2023～2025年，远期：2025～2035年</w:t>
            </w:r>
            <w:r>
              <w:rPr>
                <w:rFonts w:hint="default" w:ascii="Times New Roman" w:hAnsi="Times New Roman" w:cs="Times New Roman"/>
                <w:b w:val="0"/>
                <w:bCs w:val="0"/>
                <w:color w:val="auto"/>
                <w:sz w:val="24"/>
                <w:szCs w:val="24"/>
                <w:lang w:val="en-US" w:eastAsia="zh-CN"/>
              </w:rPr>
              <w:t>。</w:t>
            </w:r>
          </w:p>
          <w:p w14:paraId="153BB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（2）规划范围</w:t>
            </w:r>
          </w:p>
          <w:p w14:paraId="096C5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开发区规划总面积为805.19公顷，包含2个区块，其中区</w:t>
            </w:r>
            <w:r>
              <w:rPr>
                <w:rFonts w:hint="default" w:ascii="Times New Roman" w:hAnsi="Times New Roman" w:cs="Times New Roman" w:eastAsiaTheme="minorEastAsia"/>
                <w:color w:val="auto"/>
                <w:sz w:val="24"/>
                <w:szCs w:val="24"/>
                <w:lang w:val="zh-CN"/>
              </w:rPr>
              <w:t>块一面</w:t>
            </w:r>
            <w:r>
              <w:rPr>
                <w:rFonts w:hint="default" w:ascii="Times New Roman" w:hAnsi="Times New Roman" w:cs="Times New Roman" w:eastAsiaTheme="minorEastAsia"/>
                <w:color w:val="auto"/>
                <w:sz w:val="24"/>
                <w:szCs w:val="24"/>
              </w:rPr>
              <w:t>积为634.17公顷，四至范围为：东至岱河，南至青年路，西至尖山山脚，北至山河大道；区块二面积为171.03公顷，四至范围为：东至萧淮公路，南至岱河与萧淮公路交界处，西至岱河，北至开创路。</w:t>
            </w:r>
          </w:p>
          <w:p w14:paraId="54A9B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（3）</w:t>
            </w:r>
            <w:r>
              <w:rPr>
                <w:rFonts w:hint="default"/>
                <w:color w:val="auto"/>
                <w:sz w:val="24"/>
                <w:szCs w:val="24"/>
              </w:rPr>
              <w:t>产业空间布局规划</w:t>
            </w:r>
          </w:p>
          <w:p w14:paraId="09FA45EC">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①总体布局</w:t>
            </w:r>
          </w:p>
          <w:p w14:paraId="61592C2D">
            <w:pPr>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auto"/>
                <w:kern w:val="0"/>
                <w:sz w:val="24"/>
                <w:szCs w:val="24"/>
              </w:rPr>
            </w:pPr>
            <w:r>
              <w:rPr>
                <w:rFonts w:hint="default" w:ascii="Times New Roman" w:hAnsi="Times New Roman" w:eastAsia="宋体" w:cs="Times New Roman"/>
                <w:color w:val="auto"/>
                <w:kern w:val="0"/>
                <w:sz w:val="24"/>
                <w:szCs w:val="24"/>
              </w:rPr>
              <w:t>以集约发展、有序联系、充分发挥地块优势为主要思路，合理布局研发、设计、生产、服务和场景，面向大中型企业提供生产制造基地、企业独立园区等，面向成长型中小企业提供研发基地，面向创业团队提供创客空间、孵化空间、双创空间；在横向上，根据不同类型企业的需求提供基于价值链的延展式产业服务，提供多样化的办公、生产、研发、物流转运空间；在研发环节，搭建产业研究平台、公共测试平台、技术交流平台，提供个性化研发、试验空间、样品测试空间等；在生产和服务环节，提供规模化的场地、个性化厂房或办公基地；支持杜集经济开发区优势产业、龙</w:t>
            </w:r>
            <w:r>
              <w:rPr>
                <w:rFonts w:hint="eastAsia" w:ascii="宋体" w:hAnsi="宋体" w:eastAsia="宋体" w:cs="宋体"/>
                <w:color w:val="auto"/>
                <w:kern w:val="0"/>
                <w:sz w:val="24"/>
                <w:szCs w:val="24"/>
              </w:rPr>
              <w:t>头企业提供智能车间、智能工厂、未来工厂等进行智能化、数字化升级示范，最终形成创新创业活力迸发、产业生态良好，集群集聚发展效应显著的产业集聚区，形成“一核、一轴、四基地”的产业发展总体空间布局形态。</w:t>
            </w:r>
          </w:p>
          <w:p w14:paraId="35009217">
            <w:pPr>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“一核”：在紫昱路北侧、富强路东侧、山河大道以南，以研发、孵化、培育创新型中小企业为主要功能，建设创客空间、智能车间，形成集研发、设计、孵化于一体的综合性创新孵化核心区。</w:t>
            </w:r>
          </w:p>
          <w:p w14:paraId="71F14ABA">
            <w:pPr>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“一轴”：沿杜集经济开发区南北向串联各制造基地的虚拟轴带。轴带上分布着杜集经济开发区的所有重要产业功能区。</w:t>
            </w:r>
          </w:p>
          <w:p w14:paraId="50CCC19F">
            <w:pPr>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“四基地”：</w:t>
            </w:r>
          </w:p>
          <w:p w14:paraId="5A2CDAEF">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装备制造产业基地——发挥矿机装备优势，分别在青春路以南和开创路以南区域建设两大装备制造产业基地。一方面通过招商引进或本地扩大规模的矿机产业，积极引进智能矿机、智能机床与机器人、航空航天装备、智能电网配电设备及零配件等；另一方面重点依托现有装备制造产业，促进产业升级，打造高端装备制造转型升级先行区。</w:t>
            </w:r>
          </w:p>
          <w:p w14:paraId="05D7EB6E">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非金属新材料产业基地——分别在腾飞路以西和青春路以北区域建设非金属新材料产业基地。围绕硅基新材料、绿色建材等方向，重点发展新型玻璃、新型建材以及多晶硅产业链等新材料产业基地。</w:t>
            </w:r>
          </w:p>
          <w:p w14:paraId="476F7DF4">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电气机械产业基地——在岱河以东、202省道以西区域建设电气机械产业基地。积极引入新能源电池、汽车零部件、电气信号设备、绿色照明与智能家居等制造领域相关企业。</w:t>
            </w:r>
          </w:p>
          <w:p w14:paraId="1B3FCCD0">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智能化系统与信息服务基地——沿岱河在山河大道以南区域打造智能化系统与信息服务基地，重点依托现有装备制造、非金属新材料等优势产业数字化升级需求，引入工业软件开发企业、工业互联网企业，发展数控嵌入式软件、自动化控制系统、互联网数据服务和新型信息技术服务等方向。</w:t>
            </w:r>
          </w:p>
          <w:p w14:paraId="79A112DD">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②功能分区</w:t>
            </w:r>
          </w:p>
          <w:p w14:paraId="335D972E">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开发区主要以工业用地为主，现状紫昱路以南的工业用地基本已经建设完成，未来拓展空间主要集中在腾飞路东侧和山河大道以北的区域。考虑园区生产与生活的完整性，除工业用地外，安排一定数量的研发功能、仓储功能、居住功能、公用设施及商业服务业设施功能等，加强开发区与城区的联系，实现产城融合发展，同时解决拆迁安置和保障房建设的需要，结合周边城区功能配套相关基础设施和公共服务设施用地。</w:t>
            </w:r>
          </w:p>
          <w:p w14:paraId="287D92F5">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装备制造产业基地：片区已经进驻了安徽矿机、中芬选矿等一批龙头企业，初步具备了装备制造集群优势。规划可利用空间约960亩，主要集中在开创路以南、开明路以西的区域，以生产制造功能为主建设标准化厂房，同时在北外环路南侧布局物流仓储功能，并预留一定的产业发展用地，重点布局智能制造产业园、智能矿机装备、智能机床与机器人等生产制造项目。</w:t>
            </w:r>
          </w:p>
          <w:p w14:paraId="747B9346">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非金属新材料产业基地：片区目前引进了众城水泥、北华玻璃等一批企业。规划可利用空间约52亩，主要集中在腾飞路以西和青春路以北的区域，以生产制造功能为主，并预留一定的产业发展用地用以引驻高成长性项目，片区重点布局硅基新材料、新型材等类别的生产制造项目。</w:t>
            </w:r>
          </w:p>
          <w:p w14:paraId="43CDCF34">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电气机械产业基地：片区目前建设了创新产业园一期，正推进淮海都市产业园一期建设。规划可利用空间约490亩，主要集中在山河大道北侧区域，布局生产制造功能，加快电气机械产业培育，片区重点布局新能源电池、汽车零部件、电子元器件、智能家居、智慧照明等类别生产制造项目。</w:t>
            </w:r>
          </w:p>
          <w:p w14:paraId="4992D196">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智能化系统与信息服务产业基地：规划可利用空间约460亩，主要分布在岱河两岸以及202省道北侧，布局新型产业用地</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M0</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功能，容积率控制在2.0</w:t>
            </w:r>
            <w:r>
              <w:rPr>
                <w:rFonts w:hint="default" w:ascii="Times New Roman" w:hAnsi="Times New Roman" w:cs="Times New Roman" w:eastAsiaTheme="minorEastAsia"/>
                <w:color w:val="auto"/>
                <w:spacing w:val="1"/>
                <w:sz w:val="24"/>
                <w:szCs w:val="24"/>
              </w:rPr>
              <w:t>～</w:t>
            </w:r>
            <w:r>
              <w:rPr>
                <w:rFonts w:hint="default" w:ascii="Times New Roman" w:hAnsi="Times New Roman" w:eastAsia="宋体" w:cs="Times New Roman"/>
                <w:color w:val="auto"/>
                <w:kern w:val="0"/>
                <w:sz w:val="24"/>
                <w:szCs w:val="24"/>
              </w:rPr>
              <w:t>2.5之间，加快智能化系统与信息服务产业集聚，片区重点布局互联网与云计算、大数据类项目，以及生产智能化信息服务类项目。</w:t>
            </w:r>
          </w:p>
          <w:p w14:paraId="207F3D36">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创新孵化核心区：片区目前建设有杜集经开区管委会、电商产业园，引驻了安上装备、中清环保等企业。规划可利用空间约500亩，主要分布在富强路西侧，布局研发孵化功能，容积率控制在2.0</w:t>
            </w:r>
            <w:r>
              <w:rPr>
                <w:rFonts w:hint="default" w:ascii="Times New Roman" w:hAnsi="Times New Roman" w:cs="Times New Roman" w:eastAsiaTheme="minorEastAsia"/>
                <w:color w:val="auto"/>
                <w:spacing w:val="1"/>
                <w:sz w:val="24"/>
                <w:szCs w:val="24"/>
              </w:rPr>
              <w:t>～</w:t>
            </w:r>
            <w:r>
              <w:rPr>
                <w:rFonts w:hint="default" w:ascii="Times New Roman" w:hAnsi="Times New Roman" w:eastAsia="宋体" w:cs="Times New Roman"/>
                <w:color w:val="auto"/>
                <w:kern w:val="0"/>
                <w:sz w:val="24"/>
                <w:szCs w:val="24"/>
              </w:rPr>
              <w:t>2.5之间，建成杜集经济开发区的创新极核，片区重点布局科创孵化基地、科技成果转化服务、柔性人才社区以及围绕装备制造、非金属新材料、电气机械等产业的创新服务项目。</w:t>
            </w:r>
          </w:p>
          <w:p w14:paraId="4C5C12AA">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东部居住区：片区目前以居住功能为主，是区域内村庄搬迁安置的集中区。规划可利用空间约750亩，容积率控制在2.0</w:t>
            </w:r>
            <w:r>
              <w:rPr>
                <w:rFonts w:hint="default" w:ascii="Times New Roman" w:hAnsi="Times New Roman" w:cs="Times New Roman" w:eastAsiaTheme="minorEastAsia"/>
                <w:color w:val="auto"/>
                <w:spacing w:val="1"/>
                <w:sz w:val="24"/>
                <w:szCs w:val="24"/>
              </w:rPr>
              <w:t>～</w:t>
            </w:r>
            <w:r>
              <w:rPr>
                <w:rFonts w:hint="default" w:ascii="Times New Roman" w:hAnsi="Times New Roman" w:eastAsia="宋体" w:cs="Times New Roman"/>
                <w:color w:val="auto"/>
                <w:kern w:val="0"/>
                <w:sz w:val="24"/>
                <w:szCs w:val="24"/>
              </w:rPr>
              <w:t>2.5之间，以产城融合为发展目标，在片区内布局居住功能、商业服务功能和公共服务功能，改善人居环境，完善教育、医疗、文化、交通、商业等配套设施。</w:t>
            </w:r>
          </w:p>
          <w:p w14:paraId="79F4B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（4）规划主导产业</w:t>
            </w:r>
          </w:p>
          <w:p w14:paraId="54817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eastAsiaTheme="minorEastAsia"/>
                <w:color w:val="auto"/>
                <w:sz w:val="24"/>
                <w:szCs w:val="24"/>
              </w:rPr>
            </w:pPr>
            <w:r>
              <w:rPr>
                <w:rFonts w:hint="default" w:eastAsiaTheme="minorEastAsia"/>
                <w:color w:val="auto"/>
                <w:sz w:val="24"/>
                <w:szCs w:val="24"/>
              </w:rPr>
              <w:t>规划主导产业为装备制造业、非金属新材料和电气机械制造。</w:t>
            </w:r>
          </w:p>
          <w:p w14:paraId="67E69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本项目属于</w:t>
            </w:r>
            <w:r>
              <w:rPr>
                <w:rFonts w:hint="eastAsia" w:cs="Times New Roman"/>
                <w:color w:val="auto"/>
                <w:sz w:val="24"/>
                <w:szCs w:val="24"/>
                <w:lang w:eastAsia="zh-CN"/>
              </w:rPr>
              <w:t>C3670汽车零部件及配件制造</w:t>
            </w:r>
            <w:r>
              <w:rPr>
                <w:rFonts w:hint="eastAsia" w:ascii="Times New Roman" w:hAnsi="Times New Roman" w:cs="Times New Roman"/>
                <w:color w:val="auto"/>
                <w:sz w:val="24"/>
                <w:szCs w:val="24"/>
              </w:rPr>
              <w:t>，产品为</w:t>
            </w:r>
            <w:r>
              <w:rPr>
                <w:rFonts w:hint="eastAsia" w:cs="Times New Roman"/>
                <w:color w:val="auto"/>
                <w:sz w:val="24"/>
                <w:szCs w:val="24"/>
                <w:lang w:val="en-US" w:eastAsia="zh-CN"/>
              </w:rPr>
              <w:t>碳陶刹车盘</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rPr>
              <w:t>不属于</w:t>
            </w:r>
            <w:r>
              <w:rPr>
                <w:rFonts w:hint="default" w:ascii="Times New Roman" w:hAnsi="Times New Roman" w:cs="Times New Roman"/>
                <w:b w:val="0"/>
                <w:bCs w:val="0"/>
                <w:color w:val="auto"/>
                <w:sz w:val="24"/>
                <w:szCs w:val="24"/>
                <w:lang w:val="en-US" w:eastAsia="zh-CN"/>
              </w:rPr>
              <w:t>《安徽淮北杜集经济</w:t>
            </w:r>
            <w:r>
              <w:rPr>
                <w:rFonts w:hint="eastAsia" w:ascii="Times New Roman" w:hAnsi="Times New Roman" w:cs="Times New Roman"/>
                <w:b w:val="0"/>
                <w:bCs w:val="0"/>
                <w:color w:val="auto"/>
                <w:sz w:val="24"/>
                <w:szCs w:val="24"/>
                <w:lang w:val="en-US" w:eastAsia="zh-CN"/>
              </w:rPr>
              <w:t>开发区总体发展规划（2023-2035年）</w:t>
            </w:r>
            <w:r>
              <w:rPr>
                <w:rFonts w:hint="default" w:ascii="Times New Roman" w:hAnsi="Times New Roman" w:cs="Times New Roman"/>
                <w:b w:val="0"/>
                <w:bCs w:val="0"/>
                <w:color w:val="auto"/>
                <w:sz w:val="24"/>
                <w:szCs w:val="24"/>
                <w:lang w:val="en-US" w:eastAsia="zh-CN"/>
              </w:rPr>
              <w:t>》</w:t>
            </w:r>
            <w:r>
              <w:rPr>
                <w:rFonts w:hint="eastAsia" w:ascii="Times New Roman" w:hAnsi="Times New Roman" w:eastAsia="宋体" w:cs="Times New Roman"/>
                <w:color w:val="auto"/>
                <w:sz w:val="24"/>
                <w:szCs w:val="24"/>
              </w:rPr>
              <w:t>主导产业，</w:t>
            </w:r>
            <w:r>
              <w:rPr>
                <w:rFonts w:hint="eastAsia" w:cs="Times New Roman"/>
                <w:color w:val="auto"/>
                <w:sz w:val="24"/>
                <w:szCs w:val="24"/>
                <w:lang w:val="en-US" w:eastAsia="zh-CN"/>
              </w:rPr>
              <w:t>也</w:t>
            </w:r>
            <w:r>
              <w:rPr>
                <w:rFonts w:hint="eastAsia" w:ascii="Times New Roman" w:hAnsi="Times New Roman" w:eastAsia="宋体" w:cs="Times New Roman"/>
                <w:color w:val="auto"/>
                <w:sz w:val="24"/>
                <w:szCs w:val="24"/>
              </w:rPr>
              <w:t>不在</w:t>
            </w:r>
            <w:r>
              <w:rPr>
                <w:rFonts w:hint="default" w:ascii="Times New Roman" w:hAnsi="Times New Roman" w:eastAsia="宋体" w:cs="Times New Roman"/>
                <w:color w:val="auto"/>
                <w:sz w:val="24"/>
                <w:szCs w:val="24"/>
                <w:lang w:val="en-US" w:eastAsia="zh-CN"/>
              </w:rPr>
              <w:t>安徽淮北杜集经济开发区</w:t>
            </w:r>
            <w:r>
              <w:rPr>
                <w:rFonts w:hint="eastAsia" w:ascii="Times New Roman" w:hAnsi="Times New Roman" w:eastAsia="宋体" w:cs="Times New Roman"/>
                <w:color w:val="auto"/>
                <w:sz w:val="24"/>
                <w:szCs w:val="24"/>
              </w:rPr>
              <w:t>生态环境</w:t>
            </w:r>
            <w:r>
              <w:rPr>
                <w:rFonts w:hint="eastAsia" w:ascii="Times New Roman" w:hAnsi="Times New Roman" w:eastAsia="宋体" w:cs="Times New Roman"/>
                <w:color w:val="auto"/>
                <w:sz w:val="24"/>
                <w:szCs w:val="24"/>
                <w:lang w:eastAsia="zh-CN"/>
              </w:rPr>
              <w:t>准入</w:t>
            </w:r>
            <w:r>
              <w:rPr>
                <w:rFonts w:hint="eastAsia" w:ascii="Times New Roman" w:hAnsi="Times New Roman" w:eastAsia="宋体" w:cs="Times New Roman"/>
                <w:color w:val="auto"/>
                <w:sz w:val="24"/>
                <w:szCs w:val="24"/>
              </w:rPr>
              <w:t>清单</w:t>
            </w:r>
            <w:r>
              <w:rPr>
                <w:rFonts w:hint="eastAsia" w:ascii="Times New Roman" w:hAnsi="Times New Roman" w:eastAsia="宋体" w:cs="Times New Roman"/>
                <w:color w:val="auto"/>
                <w:sz w:val="24"/>
                <w:szCs w:val="24"/>
                <w:lang w:eastAsia="zh-CN"/>
              </w:rPr>
              <w:t>（限制类和禁止类）</w:t>
            </w:r>
            <w:r>
              <w:rPr>
                <w:rFonts w:hint="eastAsia" w:ascii="Times New Roman" w:hAnsi="Times New Roman" w:eastAsia="宋体" w:cs="Times New Roman"/>
                <w:color w:val="auto"/>
                <w:sz w:val="24"/>
                <w:szCs w:val="24"/>
              </w:rPr>
              <w:t>范围内，与</w:t>
            </w:r>
            <w:r>
              <w:rPr>
                <w:rFonts w:hint="default" w:ascii="Times New Roman" w:hAnsi="Times New Roman" w:eastAsia="宋体" w:cs="Times New Roman"/>
                <w:color w:val="auto"/>
                <w:sz w:val="24"/>
                <w:szCs w:val="24"/>
                <w:lang w:val="en-US" w:eastAsia="zh-CN"/>
              </w:rPr>
              <w:t>安徽淮北杜集经济开发区</w:t>
            </w:r>
            <w:r>
              <w:rPr>
                <w:rFonts w:hint="eastAsia" w:ascii="Times New Roman" w:hAnsi="Times New Roman" w:eastAsia="宋体" w:cs="Times New Roman"/>
                <w:color w:val="auto"/>
                <w:sz w:val="24"/>
                <w:szCs w:val="24"/>
                <w:lang w:val="en-US" w:eastAsia="zh-CN"/>
              </w:rPr>
              <w:t>总体发展规划</w:t>
            </w:r>
            <w:r>
              <w:rPr>
                <w:rFonts w:hint="eastAsia" w:ascii="Times New Roman" w:hAnsi="Times New Roman" w:eastAsia="宋体" w:cs="Times New Roman"/>
                <w:color w:val="auto"/>
                <w:sz w:val="24"/>
                <w:szCs w:val="24"/>
              </w:rPr>
              <w:t>不冲突</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符合</w:t>
            </w:r>
            <w:r>
              <w:rPr>
                <w:rFonts w:hint="default" w:ascii="Times New Roman" w:hAnsi="Times New Roman" w:cs="Times New Roman"/>
                <w:b w:val="0"/>
                <w:bCs w:val="0"/>
                <w:color w:val="auto"/>
                <w:sz w:val="24"/>
                <w:szCs w:val="24"/>
                <w:lang w:val="en-US" w:eastAsia="zh-CN"/>
              </w:rPr>
              <w:t>《安徽淮北杜集经济</w:t>
            </w:r>
            <w:r>
              <w:rPr>
                <w:rFonts w:hint="eastAsia" w:ascii="Times New Roman" w:hAnsi="Times New Roman" w:cs="Times New Roman"/>
                <w:b w:val="0"/>
                <w:bCs w:val="0"/>
                <w:color w:val="auto"/>
                <w:sz w:val="24"/>
                <w:szCs w:val="24"/>
                <w:lang w:val="en-US" w:eastAsia="zh-CN"/>
              </w:rPr>
              <w:t>开发区总体发展规划（2023-2035年）</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color w:val="auto"/>
                <w:sz w:val="24"/>
                <w:szCs w:val="24"/>
                <w:lang w:val="en-US" w:eastAsia="zh-CN"/>
              </w:rPr>
              <w:t>。</w:t>
            </w:r>
          </w:p>
          <w:p w14:paraId="00C97D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2、与</w:t>
            </w:r>
            <w:r>
              <w:rPr>
                <w:rFonts w:hint="default" w:ascii="Times New Roman" w:hAnsi="Times New Roman" w:eastAsia="宋体" w:cs="Times New Roman"/>
                <w:b/>
                <w:bCs/>
                <w:color w:val="auto"/>
                <w:sz w:val="24"/>
                <w:szCs w:val="24"/>
                <w:lang w:val="en-US" w:eastAsia="zh-CN"/>
              </w:rPr>
              <w:t>《关于</w:t>
            </w:r>
            <w:r>
              <w:rPr>
                <w:rFonts w:hint="eastAsia" w:ascii="Times New Roman" w:hAnsi="Times New Roman" w:eastAsia="宋体" w:cs="Times New Roman"/>
                <w:b/>
                <w:bCs/>
                <w:color w:val="auto"/>
                <w:sz w:val="24"/>
                <w:szCs w:val="24"/>
                <w:lang w:val="en-US" w:eastAsia="zh-CN"/>
              </w:rPr>
              <w:t>印送&lt;</w:t>
            </w:r>
            <w:r>
              <w:rPr>
                <w:rFonts w:hint="default" w:ascii="Times New Roman" w:hAnsi="Times New Roman" w:cs="Times New Roman"/>
                <w:b/>
                <w:bCs/>
                <w:color w:val="auto"/>
                <w:sz w:val="24"/>
                <w:szCs w:val="24"/>
                <w:lang w:val="en-US" w:eastAsia="zh-CN"/>
              </w:rPr>
              <w:t>安徽淮北杜集经济</w:t>
            </w:r>
            <w:r>
              <w:rPr>
                <w:rFonts w:hint="eastAsia" w:ascii="Times New Roman" w:hAnsi="Times New Roman" w:cs="Times New Roman"/>
                <w:b/>
                <w:bCs/>
                <w:color w:val="auto"/>
                <w:sz w:val="24"/>
                <w:szCs w:val="24"/>
                <w:lang w:val="en-US" w:eastAsia="zh-CN"/>
              </w:rPr>
              <w:t>开发区总体发展规划（2023-2035年）</w:t>
            </w:r>
            <w:r>
              <w:rPr>
                <w:rFonts w:hint="default" w:ascii="Times New Roman" w:hAnsi="Times New Roman" w:eastAsia="宋体" w:cs="Times New Roman"/>
                <w:b/>
                <w:bCs/>
                <w:color w:val="auto"/>
                <w:sz w:val="24"/>
                <w:szCs w:val="24"/>
                <w:lang w:val="en-US" w:eastAsia="zh-CN"/>
              </w:rPr>
              <w:t>环境影响报告书</w:t>
            </w:r>
            <w:r>
              <w:rPr>
                <w:rFonts w:hint="eastAsia" w:ascii="Times New Roman" w:hAnsi="Times New Roman" w:eastAsia="宋体" w:cs="Times New Roman"/>
                <w:b/>
                <w:bCs/>
                <w:color w:val="auto"/>
                <w:sz w:val="24"/>
                <w:szCs w:val="24"/>
                <w:lang w:val="en-US" w:eastAsia="zh-CN"/>
              </w:rPr>
              <w:t>审查意见&gt;的函</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（淮环</w:t>
            </w:r>
            <w:r>
              <w:rPr>
                <w:rFonts w:hint="default" w:ascii="Times New Roman" w:hAnsi="Times New Roman" w:eastAsia="宋体" w:cs="Times New Roman"/>
                <w:b/>
                <w:bCs/>
                <w:color w:val="auto"/>
                <w:sz w:val="24"/>
                <w:szCs w:val="24"/>
                <w:lang w:val="en-US" w:eastAsia="zh-CN"/>
              </w:rPr>
              <w:t>函</w:t>
            </w:r>
            <w:r>
              <w:rPr>
                <w:rFonts w:hint="eastAsia" w:ascii="Times New Roman" w:hAnsi="Times New Roman" w:eastAsia="宋体" w:cs="Times New Roman"/>
                <w:b/>
                <w:bCs/>
                <w:color w:val="auto"/>
                <w:sz w:val="24"/>
                <w:szCs w:val="24"/>
                <w:lang w:val="en-US" w:eastAsia="zh-CN"/>
              </w:rPr>
              <w:t>【2024】68</w:t>
            </w:r>
            <w:r>
              <w:rPr>
                <w:rFonts w:hint="default" w:ascii="Times New Roman" w:hAnsi="Times New Roman" w:eastAsia="宋体" w:cs="Times New Roman"/>
                <w:b/>
                <w:bCs/>
                <w:color w:val="auto"/>
                <w:sz w:val="24"/>
                <w:szCs w:val="24"/>
                <w:lang w:val="en-US" w:eastAsia="zh-CN"/>
              </w:rPr>
              <w:t>号</w:t>
            </w:r>
            <w:r>
              <w:rPr>
                <w:rFonts w:hint="eastAsia"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的相符性分析</w:t>
            </w:r>
          </w:p>
          <w:p w14:paraId="7901C45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w:t>
            </w:r>
            <w:r>
              <w:rPr>
                <w:rFonts w:hint="default" w:ascii="Times New Roman" w:hAnsi="Times New Roman" w:eastAsia="宋体" w:cs="Times New Roman"/>
                <w:color w:val="auto"/>
                <w:sz w:val="24"/>
                <w:szCs w:val="24"/>
                <w:lang w:val="en-US" w:eastAsia="zh-CN"/>
              </w:rPr>
              <w:t>《关于</w:t>
            </w:r>
            <w:r>
              <w:rPr>
                <w:rFonts w:hint="eastAsia" w:ascii="Times New Roman" w:hAnsi="Times New Roman" w:eastAsia="宋体" w:cs="Times New Roman"/>
                <w:color w:val="auto"/>
                <w:sz w:val="24"/>
                <w:szCs w:val="24"/>
                <w:lang w:val="en-US" w:eastAsia="zh-CN"/>
              </w:rPr>
              <w:t>印送&lt;</w:t>
            </w:r>
            <w:r>
              <w:rPr>
                <w:rFonts w:hint="default" w:ascii="Times New Roman" w:hAnsi="Times New Roman" w:cs="Times New Roman"/>
                <w:b w:val="0"/>
                <w:bCs w:val="0"/>
                <w:color w:val="auto"/>
                <w:sz w:val="24"/>
                <w:szCs w:val="24"/>
                <w:lang w:val="en-US" w:eastAsia="zh-CN"/>
              </w:rPr>
              <w:t>安徽淮北杜集经济</w:t>
            </w:r>
            <w:r>
              <w:rPr>
                <w:rFonts w:hint="eastAsia" w:ascii="Times New Roman" w:hAnsi="Times New Roman" w:cs="Times New Roman"/>
                <w:b w:val="0"/>
                <w:bCs w:val="0"/>
                <w:color w:val="auto"/>
                <w:sz w:val="24"/>
                <w:szCs w:val="24"/>
                <w:lang w:val="en-US" w:eastAsia="zh-CN"/>
              </w:rPr>
              <w:t>开发区总体发展规划（2023-2035年）</w:t>
            </w:r>
            <w:r>
              <w:rPr>
                <w:rFonts w:hint="default" w:ascii="Times New Roman" w:hAnsi="Times New Roman" w:eastAsia="宋体" w:cs="Times New Roman"/>
                <w:color w:val="auto"/>
                <w:sz w:val="24"/>
                <w:szCs w:val="24"/>
                <w:lang w:val="en-US" w:eastAsia="zh-CN"/>
              </w:rPr>
              <w:t>环境影响报告书</w:t>
            </w:r>
            <w:r>
              <w:rPr>
                <w:rFonts w:hint="eastAsia" w:ascii="Times New Roman" w:hAnsi="Times New Roman" w:eastAsia="宋体" w:cs="Times New Roman"/>
                <w:color w:val="auto"/>
                <w:sz w:val="24"/>
                <w:szCs w:val="24"/>
                <w:lang w:val="en-US" w:eastAsia="zh-CN"/>
              </w:rPr>
              <w:t>审查意见&gt;的函</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（淮环</w:t>
            </w:r>
            <w:r>
              <w:rPr>
                <w:rFonts w:hint="default" w:ascii="Times New Roman" w:hAnsi="Times New Roman" w:eastAsia="宋体" w:cs="Times New Roman"/>
                <w:color w:val="auto"/>
                <w:sz w:val="24"/>
                <w:szCs w:val="24"/>
                <w:lang w:val="en-US" w:eastAsia="zh-CN"/>
              </w:rPr>
              <w:t>函</w:t>
            </w:r>
            <w:r>
              <w:rPr>
                <w:rFonts w:hint="eastAsia" w:ascii="Times New Roman" w:hAnsi="Times New Roman" w:eastAsia="宋体" w:cs="Times New Roman"/>
                <w:color w:val="auto"/>
                <w:sz w:val="24"/>
                <w:szCs w:val="24"/>
                <w:lang w:val="en-US" w:eastAsia="zh-CN"/>
              </w:rPr>
              <w:t>【2024】68</w:t>
            </w:r>
            <w:r>
              <w:rPr>
                <w:rFonts w:hint="default" w:ascii="Times New Roman" w:hAnsi="Times New Roman" w:eastAsia="宋体"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相符性分析见下表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所示。</w:t>
            </w:r>
          </w:p>
          <w:p w14:paraId="49890B1B">
            <w:pPr>
              <w:pStyle w:val="6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2与</w:t>
            </w:r>
            <w:r>
              <w:rPr>
                <w:rFonts w:hint="default" w:ascii="Times New Roman" w:hAnsi="Times New Roman" w:eastAsia="宋体" w:cs="Times New Roman"/>
                <w:b/>
                <w:bCs/>
                <w:color w:val="auto"/>
                <w:sz w:val="21"/>
                <w:szCs w:val="21"/>
                <w:lang w:val="en-US" w:eastAsia="zh-CN"/>
              </w:rPr>
              <w:t>《关于</w:t>
            </w:r>
            <w:r>
              <w:rPr>
                <w:rFonts w:hint="eastAsia" w:ascii="Times New Roman" w:hAnsi="Times New Roman" w:eastAsia="宋体" w:cs="Times New Roman"/>
                <w:b/>
                <w:bCs/>
                <w:color w:val="auto"/>
                <w:sz w:val="21"/>
                <w:szCs w:val="21"/>
                <w:lang w:val="en-US" w:eastAsia="zh-CN"/>
              </w:rPr>
              <w:t>印送&lt;</w:t>
            </w:r>
            <w:r>
              <w:rPr>
                <w:rFonts w:hint="default" w:ascii="Times New Roman" w:hAnsi="Times New Roman" w:cs="Times New Roman"/>
                <w:b/>
                <w:bCs/>
                <w:color w:val="auto"/>
                <w:sz w:val="21"/>
                <w:szCs w:val="21"/>
                <w:lang w:val="en-US" w:eastAsia="zh-CN"/>
              </w:rPr>
              <w:t>安徽淮北杜集经济</w:t>
            </w:r>
            <w:r>
              <w:rPr>
                <w:rFonts w:hint="eastAsia" w:ascii="Times New Roman" w:hAnsi="Times New Roman" w:cs="Times New Roman"/>
                <w:b/>
                <w:bCs/>
                <w:color w:val="auto"/>
                <w:sz w:val="21"/>
                <w:szCs w:val="21"/>
                <w:lang w:val="en-US" w:eastAsia="zh-CN"/>
              </w:rPr>
              <w:t>开发区总体发展规划（2023-2035年）</w:t>
            </w:r>
            <w:r>
              <w:rPr>
                <w:rFonts w:hint="default" w:ascii="Times New Roman" w:hAnsi="Times New Roman" w:eastAsia="宋体" w:cs="Times New Roman"/>
                <w:b/>
                <w:bCs/>
                <w:color w:val="auto"/>
                <w:sz w:val="21"/>
                <w:szCs w:val="21"/>
                <w:lang w:val="en-US" w:eastAsia="zh-CN"/>
              </w:rPr>
              <w:t>环境影响报告书</w:t>
            </w:r>
            <w:r>
              <w:rPr>
                <w:rFonts w:hint="eastAsia" w:ascii="Times New Roman" w:hAnsi="Times New Roman" w:eastAsia="宋体" w:cs="Times New Roman"/>
                <w:b/>
                <w:bCs/>
                <w:color w:val="auto"/>
                <w:sz w:val="21"/>
                <w:szCs w:val="21"/>
                <w:lang w:val="en-US" w:eastAsia="zh-CN"/>
              </w:rPr>
              <w:t>审查意见&gt;的函</w:t>
            </w:r>
            <w:r>
              <w:rPr>
                <w:rFonts w:hint="default" w:ascii="Times New Roman" w:hAnsi="Times New Roman" w:eastAsia="宋体" w:cs="Times New Roman"/>
                <w:b/>
                <w:bCs/>
                <w:color w:val="auto"/>
                <w:sz w:val="21"/>
                <w:szCs w:val="21"/>
                <w:lang w:val="en-US" w:eastAsia="zh-CN"/>
              </w:rPr>
              <w:t>》</w:t>
            </w:r>
            <w:r>
              <w:rPr>
                <w:rFonts w:hint="default" w:ascii="Times New Roman" w:hAnsi="Times New Roman" w:cs="Times New Roman"/>
                <w:b/>
                <w:bCs/>
                <w:color w:val="auto"/>
                <w:sz w:val="21"/>
                <w:szCs w:val="21"/>
              </w:rPr>
              <w:t>相符性分析</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4209"/>
              <w:gridCol w:w="3189"/>
              <w:gridCol w:w="652"/>
            </w:tblGrid>
            <w:tr w14:paraId="7487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79" w:type="pct"/>
                  <w:noWrap w:val="0"/>
                  <w:vAlign w:val="center"/>
                </w:tcPr>
                <w:p w14:paraId="63E802C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序号</w:t>
                  </w:r>
                </w:p>
              </w:tc>
              <w:tc>
                <w:tcPr>
                  <w:tcW w:w="2467" w:type="pct"/>
                  <w:noWrap w:val="0"/>
                  <w:vAlign w:val="center"/>
                </w:tcPr>
                <w:p w14:paraId="515AA79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园区规划</w:t>
                  </w:r>
                  <w:r>
                    <w:rPr>
                      <w:rFonts w:hint="eastAsia" w:ascii="Times New Roman" w:hAnsi="Times New Roman" w:eastAsia="宋体" w:cs="Times New Roman"/>
                      <w:b w:val="0"/>
                      <w:bCs/>
                      <w:color w:val="auto"/>
                      <w:sz w:val="21"/>
                      <w:szCs w:val="21"/>
                      <w:highlight w:val="none"/>
                      <w:lang w:val="en-US" w:eastAsia="zh-CN"/>
                    </w:rPr>
                    <w:t>审查意见要求</w:t>
                  </w:r>
                </w:p>
              </w:tc>
              <w:tc>
                <w:tcPr>
                  <w:tcW w:w="1869" w:type="pct"/>
                  <w:noWrap w:val="0"/>
                  <w:vAlign w:val="center"/>
                </w:tcPr>
                <w:p w14:paraId="7F087F1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本项目与规划的符合性情况</w:t>
                  </w:r>
                </w:p>
              </w:tc>
              <w:tc>
                <w:tcPr>
                  <w:tcW w:w="382" w:type="pct"/>
                  <w:noWrap w:val="0"/>
                  <w:vAlign w:val="center"/>
                </w:tcPr>
                <w:p w14:paraId="457B202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是否符合</w:t>
                  </w:r>
                </w:p>
              </w:tc>
            </w:tr>
            <w:tr w14:paraId="7332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34D38EBC">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2467" w:type="pct"/>
                  <w:noWrap w:val="0"/>
                  <w:vAlign w:val="center"/>
                </w:tcPr>
                <w:p w14:paraId="3DD828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highlight w:val="none"/>
                    </w:rPr>
                  </w:pPr>
                  <w:r>
                    <w:rPr>
                      <w:rFonts w:hint="eastAsia" w:ascii="宋体" w:hAnsi="宋体" w:eastAsia="宋体" w:cs="宋体"/>
                      <w:b w:val="0"/>
                      <w:bCs/>
                      <w:color w:val="auto"/>
                      <w:sz w:val="21"/>
                      <w:szCs w:val="21"/>
                      <w:highlight w:val="none"/>
                    </w:rPr>
                    <w:t>(一)</w:t>
                  </w:r>
                  <w:r>
                    <w:rPr>
                      <w:rFonts w:hint="default" w:ascii="Times New Roman" w:hAnsi="Times New Roman" w:eastAsia="宋体" w:cs="Times New Roman"/>
                      <w:b w:val="0"/>
                      <w:bCs/>
                      <w:color w:val="auto"/>
                      <w:sz w:val="21"/>
                      <w:szCs w:val="21"/>
                      <w:highlight w:val="none"/>
                    </w:rPr>
                    <w:t>加强《规划》引领，坚持绿色协调发展</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《规划》应全面贯彻落实习近平生态文明思想，加强《规划》 与《长江三角洲区域一体化发展</w:t>
                  </w:r>
                  <w:r>
                    <w:rPr>
                      <w:rFonts w:hint="eastAsia" w:ascii="宋体" w:hAnsi="宋体" w:eastAsia="宋体" w:cs="宋体"/>
                      <w:b w:val="0"/>
                      <w:bCs/>
                      <w:color w:val="auto"/>
                      <w:sz w:val="21"/>
                      <w:szCs w:val="21"/>
                      <w:highlight w:val="none"/>
                    </w:rPr>
                    <w:t>规划纲要》、深入打好污染防治攻坚战等相关要求、区域生态环境分区管控要求、“三区三线”等的协调衔接，未纳入城镇开发边界的区域，建议按照自然资源部门管理要求进一步优化。统筹推</w:t>
                  </w:r>
                  <w:r>
                    <w:rPr>
                      <w:rFonts w:hint="default" w:ascii="Times New Roman" w:hAnsi="Times New Roman" w:eastAsia="宋体" w:cs="Times New Roman"/>
                      <w:b w:val="0"/>
                      <w:bCs/>
                      <w:color w:val="auto"/>
                      <w:sz w:val="21"/>
                      <w:szCs w:val="21"/>
                      <w:highlight w:val="none"/>
                    </w:rPr>
                    <w:t>进开发区整体发展和生态保护，基于区域资源、生态、环境等制约因素合理控制开发利用强度和开发区建设时序，进一步提高土地利用效率，协调好产业发展与 区域环境保护的关系。</w:t>
                  </w:r>
                </w:p>
              </w:tc>
              <w:tc>
                <w:tcPr>
                  <w:tcW w:w="1869" w:type="pct"/>
                  <w:noWrap w:val="0"/>
                  <w:vAlign w:val="center"/>
                </w:tcPr>
                <w:p w14:paraId="5C4D3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本项目位于开发区范围内，全部位于城镇开发边界内，项目属于</w:t>
                  </w:r>
                  <w:r>
                    <w:rPr>
                      <w:rFonts w:hint="eastAsia" w:cs="Times New Roman"/>
                      <w:color w:val="auto"/>
                      <w:sz w:val="21"/>
                      <w:szCs w:val="21"/>
                      <w:lang w:eastAsia="zh-CN"/>
                    </w:rPr>
                    <w:t>C3670汽车零部件及配件制造</w:t>
                  </w:r>
                  <w:r>
                    <w:rPr>
                      <w:rFonts w:hint="default" w:ascii="Times New Roman" w:hAnsi="Times New Roman" w:eastAsia="宋体" w:cs="Times New Roman"/>
                      <w:color w:val="auto"/>
                      <w:sz w:val="21"/>
                      <w:szCs w:val="21"/>
                      <w:lang w:eastAsia="zh-CN"/>
                    </w:rPr>
                    <w:t>，产品为</w:t>
                  </w:r>
                  <w:r>
                    <w:rPr>
                      <w:rFonts w:hint="eastAsia" w:cs="Times New Roman"/>
                      <w:color w:val="auto"/>
                      <w:sz w:val="21"/>
                      <w:szCs w:val="21"/>
                      <w:lang w:eastAsia="zh-CN"/>
                    </w:rPr>
                    <w:t>碳陶刹车盘</w:t>
                  </w:r>
                  <w:r>
                    <w:rPr>
                      <w:rFonts w:hint="eastAsia" w:ascii="Times New Roman" w:hAnsi="Times New Roman" w:eastAsia="宋体" w:cs="Times New Roman"/>
                      <w:b w:val="0"/>
                      <w:bCs/>
                      <w:color w:val="auto"/>
                      <w:sz w:val="21"/>
                      <w:szCs w:val="21"/>
                      <w:highlight w:val="none"/>
                      <w:lang w:val="en-US" w:eastAsia="zh-CN"/>
                    </w:rPr>
                    <w:t>，不涉及开发区限制及禁止类产业</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选址符合园区布局要求。</w:t>
                  </w:r>
                </w:p>
              </w:tc>
              <w:tc>
                <w:tcPr>
                  <w:tcW w:w="382" w:type="pct"/>
                  <w:noWrap w:val="0"/>
                  <w:vAlign w:val="center"/>
                </w:tcPr>
                <w:p w14:paraId="49C31ED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2EE4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0BFAB9D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2467" w:type="pct"/>
                  <w:noWrap w:val="0"/>
                  <w:vAlign w:val="center"/>
                </w:tcPr>
                <w:p w14:paraId="7E776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二</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严守环境质量底线，保护区域生态环境质量</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根据国家和安徽省大气、水、土壤、环境风险防范和固体废物污染防治相关要求，妥善解决区域现存生态环境问题，确保开发区建设项目污染物长期稳定达标排放，区域生态环境质量持续改善。 开发区应根据受纳水体水环境质量现状及特征因子现状情况，审慎考虑并严格控制涉氟产业发展规模及水污染物排放强度，重金属污染物排放量和水污染物排放强度不得突破现有控制要求。</w:t>
                  </w:r>
                </w:p>
              </w:tc>
              <w:tc>
                <w:tcPr>
                  <w:tcW w:w="1869" w:type="pct"/>
                  <w:noWrap w:val="0"/>
                  <w:vAlign w:val="center"/>
                </w:tcPr>
                <w:p w14:paraId="0101C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本项目污染物经处理后达标排放，固废按要求合理处理，本项目外排废水不含重金属污染物，本项目物料不涉氟。</w:t>
                  </w:r>
                </w:p>
              </w:tc>
              <w:tc>
                <w:tcPr>
                  <w:tcW w:w="382" w:type="pct"/>
                  <w:noWrap w:val="0"/>
                  <w:vAlign w:val="center"/>
                </w:tcPr>
                <w:p w14:paraId="08129D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66B3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75F3E7C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w:t>
                  </w:r>
                </w:p>
              </w:tc>
              <w:tc>
                <w:tcPr>
                  <w:tcW w:w="2467" w:type="pct"/>
                  <w:noWrap w:val="0"/>
                  <w:vAlign w:val="center"/>
                </w:tcPr>
                <w:p w14:paraId="5C737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三</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优化产业布局，加强生态环境分区管控</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落实生态环境分区管控要求，结合国家和省长江经济带发展 负面清单管控要求、区域资源优势和环境制约因素、开发区产业定位等，进一步完善产业发展规划，优化主导产业发展方向、功能分区和重大项目布局，严禁引入安徽省长江经济带发展负面清单中的项目。合理规划不同功能区的环境保护空间，严禁不符合管控要求的各类开发建设活动，规划实施不得损害周边地表水、地下水、环境空气和声环境等敏感目标环境质量和生态功能。做好开发区与周边生态敏感区、地表水、居住区之间的有效隔离和管控，敏感区周边严禁布设生态环境影响较大的建设项目，保障 居住区和各类自然保护地的生态环境质量，实现产业发展与区域生态环境保护相协调。</w:t>
                  </w:r>
                </w:p>
              </w:tc>
              <w:tc>
                <w:tcPr>
                  <w:tcW w:w="1869" w:type="pct"/>
                  <w:noWrap w:val="0"/>
                  <w:vAlign w:val="center"/>
                </w:tcPr>
                <w:p w14:paraId="14D40953">
                  <w:pPr>
                    <w:pStyle w:val="69"/>
                    <w:keepNext w:val="0"/>
                    <w:keepLines w:val="0"/>
                    <w:suppressLineNumbers w:val="0"/>
                    <w:spacing w:before="0" w:beforeAutospacing="0" w:after="0" w:afterAutospacing="0" w:line="240" w:lineRule="auto"/>
                    <w:ind w:left="0" w:right="0" w:firstLine="480"/>
                    <w:rPr>
                      <w:rFonts w:hint="eastAsia"/>
                      <w:color w:val="auto"/>
                      <w:sz w:val="21"/>
                      <w:szCs w:val="21"/>
                    </w:rPr>
                  </w:pPr>
                  <w:r>
                    <w:rPr>
                      <w:rFonts w:hint="default"/>
                      <w:color w:val="auto"/>
                      <w:sz w:val="21"/>
                      <w:szCs w:val="21"/>
                    </w:rPr>
                    <w:t>对照</w:t>
                  </w:r>
                  <w:r>
                    <w:rPr>
                      <w:rFonts w:hint="default" w:ascii="Times New Roman" w:hAnsi="Times New Roman" w:cs="Times New Roman"/>
                      <w:color w:val="auto"/>
                      <w:sz w:val="21"/>
                      <w:szCs w:val="21"/>
                    </w:rPr>
                    <w:t>《产业结构调整指导目录》（20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val="en-US" w:eastAsia="zh-CN"/>
                    </w:rPr>
                    <w:t>年本</w:t>
                  </w:r>
                  <w:r>
                    <w:rPr>
                      <w:rFonts w:hint="default" w:ascii="Times New Roman" w:hAnsi="Times New Roman" w:cs="Times New Roman"/>
                      <w:color w:val="auto"/>
                      <w:sz w:val="21"/>
                      <w:szCs w:val="21"/>
                    </w:rPr>
                    <w:t>）</w:t>
                  </w:r>
                  <w:r>
                    <w:rPr>
                      <w:rFonts w:hint="default"/>
                      <w:color w:val="auto"/>
                      <w:sz w:val="21"/>
                      <w:szCs w:val="21"/>
                    </w:rPr>
                    <w:t>，本项目不属</w:t>
                  </w:r>
                  <w:r>
                    <w:rPr>
                      <w:rFonts w:hint="eastAsia"/>
                      <w:color w:val="auto"/>
                      <w:sz w:val="21"/>
                      <w:szCs w:val="21"/>
                    </w:rPr>
                    <w:t>于“鼓励类”、“限制类”和“淘汰类”，属于“允许类”项目。</w:t>
                  </w:r>
                </w:p>
                <w:p w14:paraId="55FD4824">
                  <w:pPr>
                    <w:pStyle w:val="69"/>
                    <w:keepNext w:val="0"/>
                    <w:keepLines w:val="0"/>
                    <w:suppressLineNumbers w:val="0"/>
                    <w:spacing w:before="0" w:beforeAutospacing="0" w:after="0" w:afterAutospacing="0" w:line="240" w:lineRule="auto"/>
                    <w:ind w:left="0" w:right="0" w:firstLine="480"/>
                    <w:rPr>
                      <w:rFonts w:hint="eastAsia"/>
                      <w:color w:val="auto"/>
                      <w:sz w:val="21"/>
                      <w:szCs w:val="21"/>
                    </w:rPr>
                  </w:pPr>
                  <w:r>
                    <w:rPr>
                      <w:rFonts w:hint="default"/>
                      <w:color w:val="auto"/>
                      <w:sz w:val="21"/>
                      <w:szCs w:val="21"/>
                    </w:rPr>
                    <w:t>对照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安徽省工业产业结构调整指导目录</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07</w:t>
                  </w:r>
                  <w:r>
                    <w:rPr>
                      <w:rFonts w:hint="default" w:ascii="Times New Roman" w:hAnsi="Times New Roman" w:cs="Times New Roman"/>
                      <w:color w:val="auto"/>
                      <w:sz w:val="21"/>
                      <w:szCs w:val="21"/>
                      <w:lang w:val="en-US" w:eastAsia="zh-CN"/>
                    </w:rPr>
                    <w:t>年本</w:t>
                  </w:r>
                  <w:r>
                    <w:rPr>
                      <w:rFonts w:hint="default" w:ascii="Times New Roman" w:hAnsi="Times New Roman" w:cs="Times New Roman"/>
                      <w:color w:val="auto"/>
                      <w:sz w:val="21"/>
                      <w:szCs w:val="21"/>
                    </w:rPr>
                    <w:t>）</w:t>
                  </w:r>
                  <w:r>
                    <w:rPr>
                      <w:rFonts w:hint="default"/>
                      <w:color w:val="auto"/>
                      <w:sz w:val="21"/>
                      <w:szCs w:val="21"/>
                    </w:rPr>
                    <w:t>，本项目不属</w:t>
                  </w:r>
                  <w:r>
                    <w:rPr>
                      <w:rFonts w:hint="eastAsia"/>
                      <w:color w:val="auto"/>
                      <w:sz w:val="21"/>
                      <w:szCs w:val="21"/>
                    </w:rPr>
                    <w:t>于“鼓励类”、“限制类”和“淘汰类”，属于“允许类”项目。</w:t>
                  </w:r>
                </w:p>
                <w:p w14:paraId="16E3D4F9">
                  <w:pPr>
                    <w:pStyle w:val="69"/>
                    <w:keepNext w:val="0"/>
                    <w:keepLines w:val="0"/>
                    <w:suppressLineNumbers w:val="0"/>
                    <w:spacing w:before="0" w:beforeAutospacing="0" w:after="0" w:afterAutospacing="0" w:line="240" w:lineRule="auto"/>
                    <w:ind w:left="0" w:right="0" w:firstLine="480"/>
                    <w:rPr>
                      <w:rFonts w:hint="eastAsia" w:ascii="Times New Roman" w:hAnsi="Times New Roman" w:eastAsia="宋体" w:cs="Times New Roman"/>
                      <w:b w:val="0"/>
                      <w:bCs/>
                      <w:color w:val="auto"/>
                      <w:sz w:val="21"/>
                      <w:szCs w:val="21"/>
                      <w:highlight w:val="none"/>
                      <w:lang w:val="en-US" w:eastAsia="zh-CN"/>
                    </w:rPr>
                  </w:pPr>
                  <w:r>
                    <w:rPr>
                      <w:rFonts w:hint="default"/>
                      <w:color w:val="auto"/>
                      <w:sz w:val="21"/>
                      <w:szCs w:val="21"/>
                      <w:lang w:eastAsia="zh-CN"/>
                    </w:rPr>
                    <w:t>项目已</w:t>
                  </w:r>
                  <w:r>
                    <w:rPr>
                      <w:rFonts w:hint="default" w:ascii="Times New Roman" w:hAnsi="Times New Roman" w:cs="Times New Roman"/>
                      <w:color w:val="auto"/>
                      <w:sz w:val="21"/>
                      <w:szCs w:val="21"/>
                      <w:lang w:eastAsia="zh-CN"/>
                    </w:rPr>
                    <w:t>于</w:t>
                  </w:r>
                  <w:r>
                    <w:rPr>
                      <w:rFonts w:hint="eastAsia" w:ascii="Times New Roman" w:hAnsi="Times New Roman" w:cs="Times New Roman"/>
                      <w:color w:val="auto"/>
                      <w:sz w:val="21"/>
                      <w:szCs w:val="21"/>
                      <w:lang w:eastAsia="zh-CN"/>
                    </w:rPr>
                    <w:t>2025年9月27日</w:t>
                  </w:r>
                  <w:r>
                    <w:rPr>
                      <w:rFonts w:hint="default" w:ascii="Times New Roman" w:hAnsi="Times New Roman" w:cs="Times New Roman"/>
                      <w:color w:val="auto"/>
                      <w:sz w:val="21"/>
                      <w:szCs w:val="21"/>
                      <w:lang w:eastAsia="zh-CN"/>
                    </w:rPr>
                    <w:t>取得了</w:t>
                  </w:r>
                  <w:r>
                    <w:rPr>
                      <w:rFonts w:hint="eastAsia" w:ascii="Times New Roman" w:hAnsi="Times New Roman" w:cs="Times New Roman"/>
                      <w:color w:val="auto"/>
                      <w:sz w:val="21"/>
                      <w:szCs w:val="21"/>
                      <w:lang w:val="en-US" w:eastAsia="zh-CN"/>
                    </w:rPr>
                    <w:t>安徽淮北杜集经济开发区管理</w:t>
                  </w:r>
                  <w:r>
                    <w:rPr>
                      <w:rFonts w:hint="eastAsia" w:ascii="Times New Roman" w:hAnsi="Times New Roman" w:cs="Times New Roman"/>
                      <w:color w:val="auto"/>
                      <w:sz w:val="21"/>
                      <w:szCs w:val="21"/>
                      <w:lang w:eastAsia="zh-CN"/>
                    </w:rPr>
                    <w:t>委员会</w:t>
                  </w:r>
                  <w:r>
                    <w:rPr>
                      <w:rFonts w:hint="eastAsia" w:ascii="Times New Roman" w:hAnsi="Times New Roman" w:cs="Times New Roman"/>
                      <w:color w:val="auto"/>
                      <w:sz w:val="21"/>
                      <w:szCs w:val="21"/>
                      <w:lang w:val="en-US" w:eastAsia="zh-CN"/>
                    </w:rPr>
                    <w:t>的备案文件</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杜经开备[2025]16号</w:t>
                  </w:r>
                  <w:r>
                    <w:rPr>
                      <w:rFonts w:hint="default" w:ascii="Times New Roman" w:hAnsi="Times New Roman" w:cs="Times New Roman"/>
                      <w:color w:val="auto"/>
                      <w:sz w:val="21"/>
                      <w:szCs w:val="21"/>
                      <w:lang w:eastAsia="zh-CN"/>
                    </w:rPr>
                    <w:t>）</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且项目不属于</w:t>
                  </w:r>
                  <w:r>
                    <w:rPr>
                      <w:rFonts w:hint="default" w:ascii="Times New Roman" w:hAnsi="Times New Roman" w:eastAsia="宋体" w:cs="Times New Roman"/>
                      <w:b w:val="0"/>
                      <w:bCs/>
                      <w:color w:val="auto"/>
                      <w:sz w:val="21"/>
                      <w:szCs w:val="21"/>
                      <w:highlight w:val="none"/>
                    </w:rPr>
                    <w:t>安徽省长江经济带发展负面清单中的项目</w:t>
                  </w:r>
                  <w:r>
                    <w:rPr>
                      <w:rFonts w:hint="eastAsia" w:ascii="Times New Roman" w:hAnsi="Times New Roman" w:eastAsia="宋体" w:cs="Times New Roman"/>
                      <w:b w:val="0"/>
                      <w:bCs/>
                      <w:color w:val="auto"/>
                      <w:sz w:val="21"/>
                      <w:szCs w:val="21"/>
                      <w:highlight w:val="none"/>
                      <w:lang w:eastAsia="zh-CN"/>
                    </w:rPr>
                    <w:t>。</w:t>
                  </w:r>
                </w:p>
              </w:tc>
              <w:tc>
                <w:tcPr>
                  <w:tcW w:w="382" w:type="pct"/>
                  <w:noWrap w:val="0"/>
                  <w:vAlign w:val="center"/>
                </w:tcPr>
                <w:p w14:paraId="79D4A2C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1103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36E226C1">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w:t>
                  </w:r>
                </w:p>
              </w:tc>
              <w:tc>
                <w:tcPr>
                  <w:tcW w:w="2467" w:type="pct"/>
                  <w:noWrap w:val="0"/>
                  <w:vAlign w:val="center"/>
                </w:tcPr>
                <w:p w14:paraId="698B8C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四</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完善环保基础设施建设，强化环境污染防控</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根据开发时序和开发强度要求，进一步优化区域供水、排水、 中水回用等规划。按照科学规划、适度超前的原则，结合区域地表水环境质量现状、已批光伏产业、电池行业开发强度等，加快推进开发区含氟废水预处理设施工程，细化园区污染防治基础设施建设、排放和运行管理要求，强化开发区中水回用。落实开发区雨污分流、清污分流，做好初期雨水截污、收集、处理，保障开发区周边受纳水体的水环境功能、下游水环境保护目标及相关考核断面水质稳定达标。</w:t>
                  </w:r>
                </w:p>
              </w:tc>
              <w:tc>
                <w:tcPr>
                  <w:tcW w:w="1869" w:type="pct"/>
                  <w:noWrap w:val="0"/>
                  <w:vAlign w:val="center"/>
                </w:tcPr>
                <w:p w14:paraId="6E1FBCE8">
                  <w:pPr>
                    <w:pStyle w:val="70"/>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rPr>
                    <w:t>项目排水实行雨污分流制，雨水经厂区雨水管网收集后排入</w:t>
                  </w:r>
                  <w:r>
                    <w:rPr>
                      <w:rFonts w:hint="eastAsia" w:ascii="Times New Roman" w:hAnsi="Times New Roman" w:cs="Times New Roman"/>
                      <w:color w:val="auto"/>
                      <w:sz w:val="21"/>
                      <w:szCs w:val="21"/>
                      <w:lang w:eastAsia="zh-CN"/>
                    </w:rPr>
                    <w:t>安徽淮北杜集经济开发区</w:t>
                  </w:r>
                  <w:r>
                    <w:rPr>
                      <w:rFonts w:hint="default" w:ascii="Times New Roman" w:hAnsi="Times New Roman" w:cs="Times New Roman"/>
                      <w:color w:val="auto"/>
                      <w:sz w:val="21"/>
                      <w:szCs w:val="21"/>
                    </w:rPr>
                    <w:t>市政雨水管网。</w:t>
                  </w: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w:t>
                  </w:r>
                  <w:r>
                    <w:rPr>
                      <w:rFonts w:hint="default" w:ascii="Times New Roman" w:hAnsi="Times New Roman" w:cs="Times New Roman"/>
                      <w:color w:val="auto"/>
                      <w:sz w:val="21"/>
                      <w:szCs w:val="21"/>
                    </w:rPr>
                    <w:t>生活污水</w:t>
                  </w:r>
                  <w:r>
                    <w:rPr>
                      <w:rFonts w:hint="eastAsia" w:ascii="Times New Roman" w:hAnsi="Times New Roman" w:cs="Times New Roman"/>
                      <w:color w:val="auto"/>
                      <w:sz w:val="21"/>
                      <w:szCs w:val="21"/>
                      <w:lang w:val="en-US" w:eastAsia="zh-CN"/>
                    </w:rPr>
                    <w:t>依托</w:t>
                  </w:r>
                  <w:r>
                    <w:rPr>
                      <w:rFonts w:hint="eastAsia" w:cs="Times New Roman"/>
                      <w:color w:val="auto"/>
                      <w:sz w:val="21"/>
                      <w:szCs w:val="21"/>
                      <w:lang w:eastAsia="zh-CN"/>
                    </w:rPr>
                    <w:t>产业园现有的化粪池</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w:t>
                  </w:r>
                  <w:r>
                    <w:rPr>
                      <w:rFonts w:hint="eastAsia" w:ascii="Times New Roman" w:hAnsi="Times New Roman" w:cs="Times New Roman"/>
                      <w:color w:val="auto"/>
                      <w:sz w:val="21"/>
                      <w:szCs w:val="21"/>
                      <w:lang w:val="en-US" w:eastAsia="zh-CN"/>
                    </w:rPr>
                    <w:t>到</w:t>
                  </w:r>
                  <w:r>
                    <w:rPr>
                      <w:rFonts w:hint="default" w:ascii="Times New Roman" w:hAnsi="Times New Roman" w:cs="Times New Roman"/>
                      <w:color w:val="auto"/>
                      <w:sz w:val="21"/>
                      <w:szCs w:val="21"/>
                    </w:rPr>
                    <w:t>《污水综合排放标准》（GB8978-1996）表4中三级标准及</w:t>
                  </w:r>
                  <w:r>
                    <w:rPr>
                      <w:rFonts w:hint="eastAsia" w:ascii="Times New Roman" w:hAnsi="Times New Roman" w:cs="Times New Roman"/>
                      <w:color w:val="auto"/>
                      <w:sz w:val="21"/>
                      <w:szCs w:val="21"/>
                      <w:lang w:eastAsia="zh-CN"/>
                    </w:rPr>
                    <w:t>龙湖污水处理厂</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Times New Roman" w:hAnsi="Times New Roman" w:cs="Times New Roman"/>
                      <w:color w:val="auto"/>
                      <w:sz w:val="21"/>
                      <w:szCs w:val="21"/>
                      <w:lang w:eastAsia="zh-CN"/>
                    </w:rPr>
                    <w:t>龙湖</w:t>
                  </w:r>
                  <w:r>
                    <w:rPr>
                      <w:rFonts w:hint="default" w:ascii="Times New Roman" w:hAnsi="Times New Roman" w:cs="Times New Roman"/>
                      <w:color w:val="auto"/>
                      <w:sz w:val="21"/>
                      <w:szCs w:val="21"/>
                    </w:rPr>
                    <w:t>污水处理厂处理达《城镇污水处理厂污染物排放标准》（GB18918-2002）表1中一级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龙河</w:t>
                  </w:r>
                  <w:r>
                    <w:rPr>
                      <w:rFonts w:hint="default" w:ascii="Times New Roman" w:hAnsi="Times New Roman" w:cs="Times New Roman"/>
                      <w:color w:val="auto"/>
                      <w:sz w:val="21"/>
                      <w:szCs w:val="21"/>
                    </w:rPr>
                    <w:t>。</w:t>
                  </w:r>
                </w:p>
              </w:tc>
              <w:tc>
                <w:tcPr>
                  <w:tcW w:w="382" w:type="pct"/>
                  <w:noWrap w:val="0"/>
                  <w:vAlign w:val="center"/>
                </w:tcPr>
                <w:p w14:paraId="635082E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4887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10C9E27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w:t>
                  </w:r>
                </w:p>
              </w:tc>
              <w:tc>
                <w:tcPr>
                  <w:tcW w:w="2467" w:type="pct"/>
                  <w:noWrap w:val="0"/>
                  <w:vAlign w:val="center"/>
                </w:tcPr>
                <w:p w14:paraId="401F2B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五</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细化生态环境准入清单，推动高质量发展</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根</w:t>
                  </w:r>
                  <w:r>
                    <w:rPr>
                      <w:rFonts w:hint="eastAsia" w:ascii="宋体" w:hAnsi="宋体" w:eastAsia="宋体" w:cs="宋体"/>
                      <w:b w:val="0"/>
                      <w:bCs/>
                      <w:color w:val="auto"/>
                      <w:sz w:val="21"/>
                      <w:szCs w:val="21"/>
                      <w:highlight w:val="none"/>
                    </w:rPr>
                    <w:t>据国家和区域发展战略，结合区域生态环境质量现状、生 态环境分区管控要求、“三区三线”成果等，严格落实《报告书》 生态环境准入要求。严格执行国家产业政策，坚决遏制高耗能、 高排放项目盲目发展，限制与规划主导产业不</w:t>
                  </w:r>
                  <w:r>
                    <w:rPr>
                      <w:rFonts w:hint="default" w:ascii="Times New Roman" w:hAnsi="Times New Roman" w:eastAsia="宋体" w:cs="Times New Roman"/>
                      <w:b w:val="0"/>
                      <w:bCs/>
                      <w:color w:val="auto"/>
                      <w:sz w:val="21"/>
                      <w:szCs w:val="21"/>
                      <w:highlight w:val="none"/>
                    </w:rPr>
                    <w:t>相关且污染物排放量大的项目，严禁引入安徽省长江经济带发展负面清单中的项目。引进项目的生产工艺、设备、自动化水平，以及单位产品能耗、污染物排放、碳排放等不应低于国内同行业先进水平。</w:t>
                  </w:r>
                </w:p>
              </w:tc>
              <w:tc>
                <w:tcPr>
                  <w:tcW w:w="1869" w:type="pct"/>
                  <w:noWrap w:val="0"/>
                  <w:vAlign w:val="center"/>
                </w:tcPr>
                <w:p w14:paraId="0D24B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本</w:t>
                  </w:r>
                  <w:r>
                    <w:rPr>
                      <w:rFonts w:hint="default" w:ascii="Times New Roman" w:hAnsi="Times New Roman" w:eastAsia="宋体" w:cs="Times New Roman"/>
                      <w:b w:val="0"/>
                      <w:bCs/>
                      <w:color w:val="auto"/>
                      <w:sz w:val="21"/>
                      <w:szCs w:val="21"/>
                      <w:highlight w:val="none"/>
                    </w:rPr>
                    <w:t>项目</w:t>
                  </w:r>
                  <w:r>
                    <w:rPr>
                      <w:rFonts w:hint="eastAsia" w:ascii="Times New Roman" w:hAnsi="Times New Roman" w:eastAsia="宋体" w:cs="Times New Roman"/>
                      <w:b w:val="0"/>
                      <w:bCs/>
                      <w:color w:val="auto"/>
                      <w:sz w:val="21"/>
                      <w:szCs w:val="21"/>
                      <w:highlight w:val="none"/>
                      <w:lang w:val="en-US" w:eastAsia="zh-CN"/>
                    </w:rPr>
                    <w:t>不属于</w:t>
                  </w:r>
                  <w:r>
                    <w:rPr>
                      <w:rFonts w:hint="default" w:ascii="Times New Roman" w:hAnsi="Times New Roman" w:eastAsia="宋体" w:cs="Times New Roman"/>
                      <w:b w:val="0"/>
                      <w:bCs/>
                      <w:color w:val="auto"/>
                      <w:sz w:val="21"/>
                      <w:szCs w:val="21"/>
                      <w:highlight w:val="none"/>
                    </w:rPr>
                    <w:t>高耗能、高排放项目</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不属于</w:t>
                  </w:r>
                  <w:r>
                    <w:rPr>
                      <w:rFonts w:hint="default" w:ascii="Times New Roman" w:hAnsi="Times New Roman" w:eastAsia="宋体" w:cs="Times New Roman"/>
                      <w:b w:val="0"/>
                      <w:bCs/>
                      <w:color w:val="auto"/>
                      <w:sz w:val="21"/>
                      <w:szCs w:val="21"/>
                      <w:highlight w:val="none"/>
                    </w:rPr>
                    <w:t>安徽省长江经济带发展负面清单中的项目</w:t>
                  </w:r>
                  <w:r>
                    <w:rPr>
                      <w:rFonts w:hint="eastAsia" w:ascii="Times New Roman" w:hAnsi="Times New Roman" w:eastAsia="宋体" w:cs="Times New Roman"/>
                      <w:b w:val="0"/>
                      <w:bCs/>
                      <w:color w:val="auto"/>
                      <w:sz w:val="21"/>
                      <w:szCs w:val="21"/>
                      <w:highlight w:val="none"/>
                      <w:lang w:eastAsia="zh-CN"/>
                    </w:rPr>
                    <w:t>。</w:t>
                  </w:r>
                </w:p>
              </w:tc>
              <w:tc>
                <w:tcPr>
                  <w:tcW w:w="382" w:type="pct"/>
                  <w:noWrap w:val="0"/>
                  <w:vAlign w:val="center"/>
                </w:tcPr>
                <w:p w14:paraId="504D041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3DB0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9" w:type="pct"/>
                  <w:noWrap w:val="0"/>
                  <w:vAlign w:val="center"/>
                </w:tcPr>
                <w:p w14:paraId="13A9645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w:t>
                  </w:r>
                </w:p>
              </w:tc>
              <w:tc>
                <w:tcPr>
                  <w:tcW w:w="2467" w:type="pct"/>
                  <w:noWrap w:val="0"/>
                  <w:vAlign w:val="center"/>
                </w:tcPr>
                <w:p w14:paraId="15B76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六</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提升环境管理水平，加强生态环境风险防控</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着力提升开发区环境管理水平，统筹考虑区域内污染物排 放、大气环境保护、水环境保护、环境风险防范、环境管理等要求，健全区域风险防范体系</w:t>
                  </w:r>
                  <w:r>
                    <w:rPr>
                      <w:rFonts w:hint="eastAsia" w:ascii="宋体" w:hAnsi="宋体" w:eastAsia="宋体" w:cs="宋体"/>
                      <w:b w:val="0"/>
                      <w:bCs/>
                      <w:color w:val="auto"/>
                      <w:sz w:val="21"/>
                      <w:szCs w:val="21"/>
                      <w:highlight w:val="none"/>
                    </w:rPr>
                    <w:t>和生态安全保障体系，完善环境风险防范应急措施，落实应急处理处置方案要求，完善开发区环境风险“三级防控”体系建设要求。加强日常环境监管与</w:t>
                  </w:r>
                  <w:r>
                    <w:rPr>
                      <w:rFonts w:hint="default" w:ascii="Times New Roman" w:hAnsi="Times New Roman" w:eastAsia="宋体" w:cs="Times New Roman"/>
                      <w:b w:val="0"/>
                      <w:bCs/>
                      <w:color w:val="auto"/>
                      <w:sz w:val="21"/>
                      <w:szCs w:val="21"/>
                      <w:highlight w:val="none"/>
                    </w:rPr>
                    <w:t>监测，落实区域环境管理要求。做好开发区重大环境风险源的识别与管控，确保事故废水与外环境有效隔离、及时处置。</w:t>
                  </w:r>
                </w:p>
              </w:tc>
              <w:tc>
                <w:tcPr>
                  <w:tcW w:w="1869" w:type="pct"/>
                  <w:noWrap w:val="0"/>
                  <w:vAlign w:val="center"/>
                </w:tcPr>
                <w:p w14:paraId="18C21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本项目按要求制定突发环境事件应急预案，落实环境风险防范措施等</w:t>
                  </w:r>
                  <w:r>
                    <w:rPr>
                      <w:rFonts w:hint="eastAsia" w:ascii="Times New Roman" w:hAnsi="Times New Roman" w:eastAsia="宋体" w:cs="Times New Roman"/>
                      <w:b w:val="0"/>
                      <w:bCs/>
                      <w:color w:val="auto"/>
                      <w:sz w:val="21"/>
                      <w:szCs w:val="21"/>
                      <w:highlight w:val="none"/>
                      <w:lang w:eastAsia="zh-CN"/>
                    </w:rPr>
                    <w:t>。</w:t>
                  </w:r>
                </w:p>
              </w:tc>
              <w:tc>
                <w:tcPr>
                  <w:tcW w:w="382" w:type="pct"/>
                  <w:noWrap w:val="0"/>
                  <w:vAlign w:val="center"/>
                </w:tcPr>
                <w:p w14:paraId="50DD06B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bl>
          <w:p w14:paraId="639CF71E">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default" w:ascii="宋体" w:hAnsi="宋体" w:cs="宋体"/>
                <w:kern w:val="0"/>
                <w:sz w:val="24"/>
              </w:rPr>
            </w:pPr>
          </w:p>
        </w:tc>
      </w:tr>
      <w:tr w14:paraId="002C1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noWrap w:val="0"/>
            <w:vAlign w:val="center"/>
          </w:tcPr>
          <w:p w14:paraId="2B31A01C">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p>
          <w:p w14:paraId="02F3AF72">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p>
          <w:p w14:paraId="174E19AD">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p>
          <w:p w14:paraId="4110DD10">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p>
          <w:p w14:paraId="382016B3">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eastAsia" w:ascii="宋体" w:hAnsi="宋体" w:cs="宋体"/>
                <w:kern w:val="0"/>
                <w:sz w:val="24"/>
              </w:rPr>
            </w:pPr>
            <w:r>
              <w:rPr>
                <w:rFonts w:hint="eastAsia" w:ascii="宋体" w:hAnsi="宋体" w:cs="宋体"/>
                <w:kern w:val="0"/>
                <w:sz w:val="24"/>
              </w:rPr>
              <w:t>其他符合性分析</w:t>
            </w:r>
          </w:p>
        </w:tc>
        <w:tc>
          <w:tcPr>
            <w:tcW w:w="8291" w:type="dxa"/>
            <w:gridSpan w:val="4"/>
            <w:noWrap w:val="0"/>
            <w:vAlign w:val="center"/>
          </w:tcPr>
          <w:p w14:paraId="2ED6F7E1">
            <w:pPr>
              <w:keepNext w:val="0"/>
              <w:keepLines w:val="0"/>
              <w:numPr>
                <w:ilvl w:val="0"/>
                <w:numId w:val="1"/>
              </w:numPr>
              <w:suppressLineNumbers w:val="0"/>
              <w:autoSpaceDE w:val="0"/>
              <w:autoSpaceDN w:val="0"/>
              <w:adjustRightInd w:val="0"/>
              <w:snapToGrid w:val="0"/>
              <w:spacing w:before="0" w:beforeAutospacing="0" w:after="0" w:afterAutospacing="0" w:line="460" w:lineRule="exact"/>
              <w:ind w:left="0" w:right="0"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产业政策符合性分析</w:t>
            </w:r>
          </w:p>
          <w:p w14:paraId="25F24F7F">
            <w:pPr>
              <w:keepNext w:val="0"/>
              <w:keepLines w:val="0"/>
              <w:suppressLineNumbers w:val="0"/>
              <w:autoSpaceDE w:val="0"/>
              <w:autoSpaceDN w:val="0"/>
              <w:adjustRightInd w:val="0"/>
              <w:snapToGrid w:val="0"/>
              <w:spacing w:before="0" w:beforeAutospacing="0" w:after="0" w:afterAutospacing="0" w:line="460" w:lineRule="exact"/>
              <w:ind w:left="0" w:right="0"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建设项目为</w:t>
            </w:r>
            <w:r>
              <w:rPr>
                <w:rFonts w:hint="eastAsia" w:cs="Times New Roman"/>
                <w:kern w:val="0"/>
                <w:sz w:val="24"/>
                <w:lang w:eastAsia="zh-CN"/>
              </w:rPr>
              <w:t>C3670汽车零部件及配件制造</w:t>
            </w:r>
            <w:r>
              <w:rPr>
                <w:rFonts w:hint="default" w:ascii="Times New Roman" w:hAnsi="Times New Roman" w:eastAsia="宋体" w:cs="Times New Roman"/>
                <w:kern w:val="0"/>
                <w:sz w:val="24"/>
              </w:rPr>
              <w:t>，不属于《产业结构调整指导目录（</w:t>
            </w:r>
            <w:r>
              <w:rPr>
                <w:rFonts w:hint="default" w:ascii="Times New Roman" w:hAnsi="Times New Roman" w:eastAsia="宋体" w:cs="Times New Roman"/>
                <w:kern w:val="0"/>
                <w:sz w:val="24"/>
                <w:lang w:val="en-US" w:eastAsia="zh-CN"/>
              </w:rPr>
              <w:t>2024</w:t>
            </w:r>
            <w:r>
              <w:rPr>
                <w:rFonts w:hint="default" w:ascii="Times New Roman" w:hAnsi="Times New Roman" w:eastAsia="宋体" w:cs="Times New Roman"/>
                <w:kern w:val="0"/>
                <w:sz w:val="24"/>
              </w:rPr>
              <w:t>年本）》和《安徽省工业产业结构调整指导目录（2007年本）》的淘汰类或限制类，亦不属于其他法律法规要求淘汰和限制的产业</w:t>
            </w:r>
            <w:r>
              <w:rPr>
                <w:rFonts w:hint="default" w:ascii="Times New Roman" w:hAnsi="Times New Roman" w:eastAsia="宋体" w:cs="Times New Roman"/>
                <w:kern w:val="0"/>
                <w:sz w:val="24"/>
                <w:lang w:eastAsia="zh-CN"/>
              </w:rPr>
              <w:t>，</w:t>
            </w:r>
            <w:r>
              <w:rPr>
                <w:rFonts w:hint="default" w:ascii="Times New Roman" w:hAnsi="Times New Roman" w:eastAsia="宋体" w:cs="Times New Roman"/>
                <w:color w:val="auto"/>
                <w:kern w:val="0"/>
                <w:sz w:val="24"/>
                <w:lang w:val="en-US" w:eastAsia="zh-CN"/>
              </w:rPr>
              <w:t>可视为</w:t>
            </w:r>
            <w:r>
              <w:rPr>
                <w:rFonts w:hint="default" w:ascii="Times New Roman" w:hAnsi="Times New Roman" w:cs="Times New Roman"/>
                <w:color w:val="auto"/>
                <w:kern w:val="0"/>
                <w:sz w:val="24"/>
              </w:rPr>
              <w:t>允许建设项目。</w:t>
            </w:r>
            <w:r>
              <w:rPr>
                <w:rFonts w:hint="default" w:ascii="Times New Roman" w:hAnsi="Times New Roman" w:eastAsia="宋体" w:cs="Times New Roman"/>
                <w:kern w:val="0"/>
                <w:sz w:val="24"/>
              </w:rPr>
              <w:t>本项目已于</w:t>
            </w:r>
            <w:r>
              <w:rPr>
                <w:rFonts w:hint="eastAsia" w:cs="Times New Roman"/>
                <w:kern w:val="0"/>
                <w:sz w:val="24"/>
                <w:lang w:eastAsia="zh-CN"/>
              </w:rPr>
              <w:t>2025年9月27日</w:t>
            </w:r>
            <w:r>
              <w:rPr>
                <w:rFonts w:hint="default" w:ascii="Times New Roman" w:hAnsi="Times New Roman" w:eastAsia="宋体" w:cs="Times New Roman"/>
                <w:kern w:val="0"/>
                <w:sz w:val="24"/>
              </w:rPr>
              <w:t>取得了安徽淮北杜集经济开发区管理委员会</w:t>
            </w:r>
            <w:r>
              <w:rPr>
                <w:rFonts w:hint="eastAsia" w:cs="Times New Roman"/>
                <w:kern w:val="0"/>
                <w:sz w:val="24"/>
                <w:lang w:eastAsia="zh-CN"/>
              </w:rPr>
              <w:t>的备案文件</w:t>
            </w:r>
            <w:r>
              <w:rPr>
                <w:rFonts w:hint="default" w:ascii="Times New Roman" w:hAnsi="Times New Roman" w:eastAsia="宋体" w:cs="Times New Roman"/>
                <w:kern w:val="0"/>
                <w:sz w:val="24"/>
              </w:rPr>
              <w:t>（</w:t>
            </w:r>
            <w:r>
              <w:rPr>
                <w:rFonts w:hint="eastAsia" w:cs="Times New Roman"/>
                <w:kern w:val="0"/>
                <w:sz w:val="24"/>
                <w:lang w:eastAsia="zh-CN"/>
              </w:rPr>
              <w:t>杜经开备[2025]16号</w:t>
            </w:r>
            <w:r>
              <w:rPr>
                <w:rFonts w:hint="default" w:ascii="Times New Roman" w:hAnsi="Times New Roman" w:eastAsia="宋体" w:cs="Times New Roman"/>
                <w:kern w:val="0"/>
                <w:sz w:val="24"/>
              </w:rPr>
              <w:t>），同意项目的建设。</w:t>
            </w:r>
          </w:p>
          <w:p w14:paraId="46E10EE3">
            <w:pPr>
              <w:keepNext w:val="0"/>
              <w:keepLines w:val="0"/>
              <w:suppressLineNumbers w:val="0"/>
              <w:autoSpaceDE w:val="0"/>
              <w:autoSpaceDN w:val="0"/>
              <w:adjustRightInd w:val="0"/>
              <w:snapToGrid w:val="0"/>
              <w:spacing w:before="0" w:beforeAutospacing="0" w:after="0" w:afterAutospacing="0" w:line="460" w:lineRule="exact"/>
              <w:ind w:left="0" w:right="0"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因此，本项目符合国家和安徽相关产业政策。</w:t>
            </w:r>
          </w:p>
          <w:p w14:paraId="4A1C45BE">
            <w:pPr>
              <w:keepNext w:val="0"/>
              <w:keepLines w:val="0"/>
              <w:numPr>
                <w:ilvl w:val="0"/>
                <w:numId w:val="0"/>
              </w:numPr>
              <w:suppressLineNumbers w:val="0"/>
              <w:autoSpaceDE w:val="0"/>
              <w:autoSpaceDN w:val="0"/>
              <w:adjustRightInd w:val="0"/>
              <w:snapToGrid w:val="0"/>
              <w:spacing w:before="0" w:beforeAutospacing="0" w:after="0" w:afterAutospacing="0" w:line="460" w:lineRule="exact"/>
              <w:ind w:left="0" w:right="0"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lang w:val="en-US" w:eastAsia="zh-CN"/>
              </w:rPr>
              <w:t>二、</w:t>
            </w:r>
            <w:r>
              <w:rPr>
                <w:rFonts w:hint="eastAsia" w:ascii="宋体" w:hAnsi="宋体" w:eastAsia="宋体" w:cs="宋体"/>
                <w:b/>
                <w:bCs/>
                <w:kern w:val="0"/>
                <w:sz w:val="24"/>
              </w:rPr>
              <w:t>项目选址符合性分析</w:t>
            </w:r>
          </w:p>
          <w:p w14:paraId="0C99C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（1）用地符合性</w:t>
            </w:r>
          </w:p>
          <w:p w14:paraId="0256AC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本项目位于</w:t>
            </w:r>
            <w:r>
              <w:rPr>
                <w:rFonts w:hint="eastAsia" w:cs="Times New Roman"/>
                <w:color w:val="auto"/>
                <w:kern w:val="0"/>
                <w:sz w:val="24"/>
                <w:lang w:val="en-US" w:eastAsia="zh-CN"/>
              </w:rPr>
              <w:t>安徽省淮北市杜集区杜集经济开发产业园二期标准化厂房4号厂房</w:t>
            </w:r>
            <w:r>
              <w:rPr>
                <w:rFonts w:hint="eastAsia" w:cs="Times New Roman"/>
                <w:sz w:val="24"/>
                <w:lang w:val="en-US" w:eastAsia="zh-CN"/>
              </w:rPr>
              <w:t>、2号厂房</w:t>
            </w:r>
            <w:r>
              <w:rPr>
                <w:rFonts w:hint="eastAsia" w:ascii="Times New Roman" w:hAnsi="Times New Roman" w:eastAsia="宋体" w:cs="Times New Roman"/>
                <w:color w:val="auto"/>
                <w:kern w:val="0"/>
                <w:sz w:val="24"/>
                <w:lang w:val="en-US" w:eastAsia="zh-CN"/>
              </w:rPr>
              <w:t>，对照《</w:t>
            </w:r>
            <w:r>
              <w:rPr>
                <w:rFonts w:hint="eastAsia" w:cs="Times New Roman"/>
                <w:color w:val="auto"/>
                <w:kern w:val="0"/>
                <w:sz w:val="24"/>
                <w:lang w:val="en-US" w:eastAsia="zh-CN"/>
              </w:rPr>
              <w:t>安徽淮北杜集经济开发区总体发展规划（2023-2035年）</w:t>
            </w:r>
            <w:r>
              <w:rPr>
                <w:rFonts w:hint="eastAsia" w:ascii="Times New Roman" w:hAnsi="Times New Roman" w:eastAsia="宋体" w:cs="Times New Roman"/>
                <w:color w:val="auto"/>
                <w:kern w:val="0"/>
                <w:sz w:val="24"/>
                <w:lang w:val="en-US" w:eastAsia="zh-CN"/>
              </w:rPr>
              <w:t>》中的内容，项目用地为</w:t>
            </w:r>
            <w:r>
              <w:rPr>
                <w:rFonts w:hint="eastAsia" w:cs="Times New Roman"/>
                <w:color w:val="auto"/>
                <w:kern w:val="0"/>
                <w:sz w:val="24"/>
                <w:lang w:val="en-US" w:eastAsia="zh-CN"/>
              </w:rPr>
              <w:t>工业</w:t>
            </w:r>
            <w:r>
              <w:rPr>
                <w:rFonts w:hint="eastAsia" w:ascii="Times New Roman" w:hAnsi="Times New Roman" w:eastAsia="宋体" w:cs="Times New Roman"/>
                <w:color w:val="auto"/>
                <w:kern w:val="0"/>
                <w:sz w:val="24"/>
                <w:lang w:val="en-US" w:eastAsia="zh-CN"/>
              </w:rPr>
              <w:t>用地，符合总体规划中的要求。厂区布局合理，交通方便，水电供应可靠，因此项目选址合理。</w:t>
            </w:r>
            <w:r>
              <w:rPr>
                <w:rFonts w:hint="eastAsia" w:cs="Times New Roman"/>
                <w:color w:val="auto"/>
                <w:kern w:val="0"/>
                <w:sz w:val="24"/>
                <w:lang w:val="en-US" w:eastAsia="zh-CN"/>
              </w:rPr>
              <w:t>淮北市佰斯倍新材料科技有限公司</w:t>
            </w:r>
            <w:r>
              <w:rPr>
                <w:rFonts w:hint="eastAsia" w:ascii="Times New Roman" w:hAnsi="Times New Roman" w:eastAsia="宋体" w:cs="Times New Roman"/>
                <w:color w:val="auto"/>
                <w:kern w:val="0"/>
                <w:sz w:val="24"/>
                <w:lang w:val="en-US" w:eastAsia="zh-CN"/>
              </w:rPr>
              <w:t>已取得该地块的使用权</w:t>
            </w:r>
            <w:r>
              <w:rPr>
                <w:rFonts w:hint="eastAsia" w:cs="Times New Roman"/>
                <w:color w:val="auto"/>
                <w:kern w:val="0"/>
                <w:sz w:val="24"/>
                <w:lang w:val="en-US" w:eastAsia="zh-CN"/>
              </w:rPr>
              <w:t>，证明</w:t>
            </w:r>
            <w:r>
              <w:rPr>
                <w:rFonts w:hint="eastAsia" w:ascii="Times New Roman" w:hAnsi="Times New Roman" w:eastAsia="宋体" w:cs="Times New Roman"/>
                <w:color w:val="auto"/>
                <w:kern w:val="0"/>
                <w:sz w:val="24"/>
                <w:lang w:val="en-US" w:eastAsia="zh-CN"/>
              </w:rPr>
              <w:t>见附件</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lang w:val="en-US" w:eastAsia="zh-CN"/>
              </w:rPr>
              <w:t>。且本项目未被列入国土资源部国家发展和改革委员会关于发布实施《限制用地项目目录（2012年本）》和《禁止用地项目目录（2012年本）》。</w:t>
            </w:r>
            <w:r>
              <w:rPr>
                <w:rFonts w:hint="default" w:ascii="Times New Roman" w:hAnsi="Times New Roman" w:eastAsia="宋体" w:cs="Times New Roman"/>
                <w:color w:val="auto"/>
                <w:kern w:val="0"/>
                <w:sz w:val="24"/>
                <w:lang w:val="en-US" w:eastAsia="zh-CN"/>
              </w:rPr>
              <w:t>本项目所在地有一定的环境容量和承载力，厂区布局合理，交通方便，水电供应可靠，因此项目选址合理。</w:t>
            </w:r>
          </w:p>
          <w:p w14:paraId="5FBDA7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rPr>
            </w:pPr>
            <w:r>
              <w:rPr>
                <w:rFonts w:hint="default" w:ascii="Times New Roman" w:hAnsi="Times New Roman" w:eastAsia="黑体" w:cs="Times New Roman"/>
                <w:color w:val="auto"/>
              </w:rPr>
              <mc:AlternateContent>
                <mc:Choice Requires="wps">
                  <w:drawing>
                    <wp:anchor distT="0" distB="0" distL="114300" distR="114300" simplePos="0" relativeHeight="251672576" behindDoc="0" locked="0" layoutInCell="1" allowOverlap="1">
                      <wp:simplePos x="0" y="0"/>
                      <wp:positionH relativeFrom="column">
                        <wp:posOffset>2349500</wp:posOffset>
                      </wp:positionH>
                      <wp:positionV relativeFrom="paragraph">
                        <wp:posOffset>3051810</wp:posOffset>
                      </wp:positionV>
                      <wp:extent cx="885825" cy="353695"/>
                      <wp:effectExtent l="77470" t="4445" r="8255" b="194310"/>
                      <wp:wrapNone/>
                      <wp:docPr id="77" name="圆角矩形标注 77"/>
                      <wp:cNvGraphicFramePr/>
                      <a:graphic xmlns:a="http://schemas.openxmlformats.org/drawingml/2006/main">
                        <a:graphicData uri="http://schemas.microsoft.com/office/word/2010/wordprocessingShape">
                          <wps:wsp>
                            <wps:cNvSpPr/>
                            <wps:spPr>
                              <a:xfrm flipH="1" flipV="1">
                                <a:off x="0" y="0"/>
                                <a:ext cx="885825" cy="353695"/>
                              </a:xfrm>
                              <a:prstGeom prst="wedgeRoundRectCallout">
                                <a:avLst>
                                  <a:gd name="adj1" fmla="val 55880"/>
                                  <a:gd name="adj2" fmla="val -97569"/>
                                  <a:gd name="adj3" fmla="val 16667"/>
                                </a:avLst>
                              </a:prstGeom>
                              <a:solidFill>
                                <a:srgbClr val="FFFFFF">
                                  <a:alpha val="42000"/>
                                </a:srgbClr>
                              </a:solidFill>
                              <a:ln w="9525" cap="flat" cmpd="sng">
                                <a:solidFill>
                                  <a:srgbClr val="000000"/>
                                </a:solidFill>
                                <a:prstDash val="solid"/>
                                <a:miter/>
                                <a:headEnd type="none" w="med" len="med"/>
                                <a:tailEnd type="none" w="med" len="med"/>
                              </a:ln>
                              <a:effectLst/>
                            </wps:spPr>
                            <wps:txbx>
                              <w:txbxContent>
                                <w:p w14:paraId="1C212A76">
                                  <w:pPr>
                                    <w:rPr>
                                      <w:b/>
                                      <w:bCs/>
                                      <w:sz w:val="24"/>
                                    </w:rPr>
                                  </w:pPr>
                                  <w:r>
                                    <w:rPr>
                                      <w:rFonts w:hint="eastAsia"/>
                                      <w:b/>
                                      <w:bCs/>
                                      <w:sz w:val="24"/>
                                    </w:rPr>
                                    <w:t>项目位置</w:t>
                                  </w:r>
                                </w:p>
                              </w:txbxContent>
                            </wps:txbx>
                            <wps:bodyPr upright="1"/>
                          </wps:wsp>
                        </a:graphicData>
                      </a:graphic>
                    </wp:anchor>
                  </w:drawing>
                </mc:Choice>
                <mc:Fallback>
                  <w:pict>
                    <v:shape id="_x0000_s1026" o:spid="_x0000_s1026" o:spt="62" type="#_x0000_t62" style="position:absolute;left:0pt;flip:x y;margin-left:185pt;margin-top:240.3pt;height:27.85pt;width:69.75pt;z-index:251672576;mso-width-relative:page;mso-height-relative:page;" fillcolor="#FFFFFF" filled="t" stroked="t" coordsize="21600,21600" o:gfxdata="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FmZizdAAAACwEAAA8AAAAAAAAAAQAgAAAA&#10;IgAAAGRycy9kb3ducmV2LnhtbFBLAQIUABQAAAAIAIdO4kAT5Vh4eAIAAAAFAAAOAAAAAAAAAAEA&#10;IAAAACwBAABkcnMvZTJvRG9jLnhtbFBLBQYAAAAABgAGAFkBAAAWBgAAAAA=&#10;" adj="22870,-10275,14400">
                      <v:fill on="t" opacity="27525f" focussize="0,0"/>
                      <v:stroke color="#000000" joinstyle="miter"/>
                      <v:imagedata o:title=""/>
                      <o:lock v:ext="edit" aspectratio="f"/>
                      <v:textbox>
                        <w:txbxContent>
                          <w:p w14:paraId="1C212A76">
                            <w:pPr>
                              <w:rPr>
                                <w:b/>
                                <w:bCs/>
                                <w:sz w:val="24"/>
                              </w:rPr>
                            </w:pPr>
                            <w:r>
                              <w:rPr>
                                <w:rFonts w:hint="eastAsia"/>
                                <w:b/>
                                <w:bCs/>
                                <w:sz w:val="24"/>
                              </w:rPr>
                              <w:t>项目位置</w:t>
                            </w:r>
                          </w:p>
                        </w:txbxContent>
                      </v:textbox>
                    </v:shape>
                  </w:pict>
                </mc:Fallback>
              </mc:AlternateContent>
            </w:r>
            <w:r>
              <w:rPr>
                <w:rFonts w:hint="default"/>
                <w:sz w:val="21"/>
              </w:rPr>
              <mc:AlternateContent>
                <mc:Choice Requires="wps">
                  <w:drawing>
                    <wp:anchor distT="0" distB="0" distL="114300" distR="114300" simplePos="0" relativeHeight="251671552" behindDoc="0" locked="0" layoutInCell="1" allowOverlap="1">
                      <wp:simplePos x="0" y="0"/>
                      <wp:positionH relativeFrom="column">
                        <wp:posOffset>2202815</wp:posOffset>
                      </wp:positionH>
                      <wp:positionV relativeFrom="paragraph">
                        <wp:posOffset>3561715</wp:posOffset>
                      </wp:positionV>
                      <wp:extent cx="75565" cy="75565"/>
                      <wp:effectExtent l="12700" t="12700" r="26035" b="26035"/>
                      <wp:wrapNone/>
                      <wp:docPr id="6" name="椭圆 6"/>
                      <wp:cNvGraphicFramePr/>
                      <a:graphic xmlns:a="http://schemas.openxmlformats.org/drawingml/2006/main">
                        <a:graphicData uri="http://schemas.microsoft.com/office/word/2010/wordprocessingShape">
                          <wps:wsp>
                            <wps:cNvSpPr/>
                            <wps:spPr>
                              <a:xfrm>
                                <a:off x="3490595" y="4672330"/>
                                <a:ext cx="7556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45pt;margin-top:280.45pt;height:5.95pt;width:5.95pt;z-index:251671552;v-text-anchor:middle;mso-width-relative:page;mso-height-relative:page;" fillcolor="#FF0000" filled="t" stroked="t" coordsize="21600,21600" o:gfxdata="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QOXN/YAAAACwEAAA8AAAAAAAAAAQAgAAAAIgAAAGRycy9kb3ducmV2Lnht&#10;bFBLAQIUABQAAAAIAIdO4kAyAZjBawIAAOkEAAAOAAAAAAAAAAEAIAAAACcBAABkcnMvZTJvRG9j&#10;LnhtbFBLBQYAAAAABgAGAFkBAAAEBgAAAAA=&#10;">
                      <v:fill on="t" focussize="0,0"/>
                      <v:stroke weight="2pt" color="#FF0000 [2404]" joinstyle="round"/>
                      <v:imagedata o:title=""/>
                      <o:lock v:ext="edit" aspectratio="f"/>
                    </v:shape>
                  </w:pict>
                </mc:Fallback>
              </mc:AlternateContent>
            </w:r>
            <w:r>
              <w:rPr>
                <w:rFonts w:hint="default" w:ascii="Times New Roman" w:hAnsi="Times New Roman" w:cs="Times New Roman"/>
              </w:rPr>
              <w:drawing>
                <wp:inline distT="0" distB="0" distL="114300" distR="114300">
                  <wp:extent cx="5273675" cy="7117715"/>
                  <wp:effectExtent l="0" t="0" r="317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73675" cy="7117715"/>
                          </a:xfrm>
                          <a:prstGeom prst="rect">
                            <a:avLst/>
                          </a:prstGeom>
                          <a:noFill/>
                          <a:ln>
                            <a:noFill/>
                          </a:ln>
                        </pic:spPr>
                      </pic:pic>
                    </a:graphicData>
                  </a:graphic>
                </wp:inline>
              </w:drawing>
            </w:r>
          </w:p>
          <w:p w14:paraId="3C6561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（2）环境承载能力</w:t>
            </w:r>
          </w:p>
          <w:p w14:paraId="32037F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项目所在地交通方便，水电供应可靠；本项目在做好废气治理和废水处理措施的前提下，对环境质量的影响较小，建成后不会造成环境质量下降。因此，项目在环境承载能力内。</w:t>
            </w:r>
          </w:p>
          <w:p w14:paraId="2280F4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（3）选址环境相容性</w:t>
            </w:r>
          </w:p>
          <w:p w14:paraId="79E07A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本项目位于</w:t>
            </w:r>
            <w:r>
              <w:rPr>
                <w:rFonts w:hint="eastAsia" w:cs="Times New Roman"/>
                <w:color w:val="auto"/>
                <w:kern w:val="0"/>
                <w:sz w:val="24"/>
                <w:lang w:val="en-US" w:eastAsia="zh-CN"/>
              </w:rPr>
              <w:t>安徽省淮北市杜集区杜集经济开发产业园二期标准化厂房4号厂房</w:t>
            </w:r>
            <w:r>
              <w:rPr>
                <w:rFonts w:hint="eastAsia" w:cs="Times New Roman"/>
                <w:sz w:val="24"/>
                <w:lang w:val="en-US" w:eastAsia="zh-CN"/>
              </w:rPr>
              <w:t>、2号厂房</w:t>
            </w:r>
            <w:r>
              <w:rPr>
                <w:rFonts w:hint="eastAsia" w:cs="Times New Roman"/>
                <w:color w:val="auto"/>
                <w:kern w:val="0"/>
                <w:sz w:val="24"/>
                <w:lang w:val="en-US" w:eastAsia="zh-CN"/>
              </w:rPr>
              <w:t>，</w:t>
            </w:r>
            <w:r>
              <w:rPr>
                <w:rFonts w:hint="eastAsia" w:ascii="Times New Roman" w:hAnsi="Times New Roman" w:eastAsia="宋体" w:cs="Times New Roman"/>
                <w:color w:val="auto"/>
                <w:sz w:val="24"/>
              </w:rPr>
              <w:t>厂区</w:t>
            </w:r>
            <w:r>
              <w:rPr>
                <w:rFonts w:hint="eastAsia" w:cs="Times New Roman"/>
                <w:color w:val="auto"/>
                <w:sz w:val="24"/>
                <w:lang w:eastAsia="zh-CN"/>
              </w:rPr>
              <w:t>东侧为杜集经济开发区5号厂房</w:t>
            </w:r>
            <w:r>
              <w:rPr>
                <w:rFonts w:hint="eastAsia" w:ascii="Times New Roman" w:hAnsi="Times New Roman" w:eastAsia="宋体" w:cs="Times New Roman"/>
                <w:color w:val="auto"/>
                <w:sz w:val="24"/>
              </w:rPr>
              <w:t>，南侧为</w:t>
            </w:r>
            <w:r>
              <w:rPr>
                <w:rFonts w:hint="eastAsia" w:cs="Times New Roman"/>
                <w:color w:val="auto"/>
                <w:sz w:val="24"/>
                <w:lang w:val="en-US" w:eastAsia="zh-CN"/>
              </w:rPr>
              <w:t>淮北北华玻璃制品有限公司</w:t>
            </w:r>
            <w:r>
              <w:rPr>
                <w:rFonts w:hint="eastAsia" w:ascii="Times New Roman" w:hAnsi="Times New Roman" w:eastAsia="宋体" w:cs="Times New Roman"/>
                <w:color w:val="auto"/>
                <w:sz w:val="24"/>
              </w:rPr>
              <w:t>，西侧为</w:t>
            </w:r>
            <w:r>
              <w:rPr>
                <w:rFonts w:hint="eastAsia" w:cs="Times New Roman"/>
                <w:color w:val="auto"/>
                <w:sz w:val="24"/>
                <w:lang w:eastAsia="zh-CN"/>
              </w:rPr>
              <w:t>淮北相山水泥有限责任公司</w:t>
            </w:r>
            <w:r>
              <w:rPr>
                <w:rFonts w:hint="eastAsia" w:ascii="Times New Roman" w:hAnsi="Times New Roman" w:eastAsia="宋体" w:cs="Times New Roman"/>
                <w:color w:val="auto"/>
                <w:sz w:val="24"/>
              </w:rPr>
              <w:t>，</w:t>
            </w:r>
            <w:r>
              <w:rPr>
                <w:rFonts w:hint="eastAsia" w:cs="Times New Roman"/>
                <w:color w:val="auto"/>
                <w:sz w:val="24"/>
                <w:lang w:eastAsia="zh-CN"/>
              </w:rPr>
              <w:t>北侧为杜集经济开发区厂房</w:t>
            </w:r>
            <w:r>
              <w:rPr>
                <w:rFonts w:hint="eastAsia" w:ascii="Times New Roman" w:hAnsi="Times New Roman" w:eastAsia="宋体" w:cs="Times New Roman"/>
                <w:color w:val="auto"/>
                <w:kern w:val="0"/>
                <w:sz w:val="24"/>
                <w:lang w:val="en-US" w:eastAsia="zh-CN"/>
              </w:rPr>
              <w:t>。项目所在地交通方便，水电供应可靠；本项目各项污染物在各项处理措施建设实施后，能够达标排放。因此，项目与周边环境相容。项目周边情况示意图见附图二。</w:t>
            </w:r>
          </w:p>
          <w:p w14:paraId="2F1CE8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综上所述，本项目的选址符合区域土地利用总体规划，项目各项污染物在各项处理措施建设实施后，能够达标排放，与周边环境相容；项目投入运行后对周围环境影响在可接受范围内，不会改变当地的环境功能。因此本项目选址是可行的。</w:t>
            </w:r>
          </w:p>
          <w:p w14:paraId="58913C66">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2" w:firstLineChars="200"/>
              <w:rPr>
                <w:rFonts w:hint="default" w:cs="宋体"/>
                <w:b/>
                <w:bCs/>
                <w:color w:val="auto"/>
                <w:szCs w:val="24"/>
              </w:rPr>
            </w:pPr>
            <w:r>
              <w:rPr>
                <w:rFonts w:hint="eastAsia" w:cs="宋体"/>
                <w:b/>
                <w:bCs/>
                <w:color w:val="auto"/>
                <w:szCs w:val="24"/>
                <w:lang w:val="en-US" w:eastAsia="zh-CN"/>
              </w:rPr>
              <w:t>三</w:t>
            </w:r>
            <w:r>
              <w:rPr>
                <w:rFonts w:hint="eastAsia" w:cs="宋体"/>
                <w:b/>
                <w:bCs/>
                <w:color w:val="auto"/>
                <w:szCs w:val="24"/>
              </w:rPr>
              <w:t>、</w:t>
            </w:r>
            <w:r>
              <w:rPr>
                <w:rFonts w:hint="default" w:cs="宋体"/>
                <w:b/>
                <w:bCs/>
                <w:color w:val="auto"/>
                <w:szCs w:val="24"/>
              </w:rPr>
              <w:t xml:space="preserve"> 与</w:t>
            </w:r>
            <w:r>
              <w:rPr>
                <w:rFonts w:hint="eastAsia" w:cs="宋体"/>
                <w:b/>
                <w:bCs/>
                <w:color w:val="auto"/>
                <w:szCs w:val="24"/>
              </w:rPr>
              <w:t>“</w:t>
            </w:r>
            <w:r>
              <w:rPr>
                <w:rFonts w:hint="default" w:cs="宋体"/>
                <w:b/>
                <w:bCs/>
                <w:color w:val="auto"/>
                <w:szCs w:val="24"/>
              </w:rPr>
              <w:t>三线一单</w:t>
            </w:r>
            <w:r>
              <w:rPr>
                <w:rFonts w:hint="eastAsia" w:cs="宋体"/>
                <w:b/>
                <w:bCs/>
                <w:color w:val="auto"/>
                <w:szCs w:val="24"/>
              </w:rPr>
              <w:t>”</w:t>
            </w:r>
            <w:r>
              <w:rPr>
                <w:rFonts w:hint="default" w:cs="宋体"/>
                <w:b/>
                <w:bCs/>
                <w:color w:val="auto"/>
                <w:szCs w:val="24"/>
              </w:rPr>
              <w:t>对照分析</w:t>
            </w:r>
          </w:p>
          <w:p w14:paraId="31CE4BE6">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cs="宋体"/>
                <w:color w:val="auto"/>
                <w:szCs w:val="24"/>
              </w:rPr>
            </w:pPr>
            <w:r>
              <w:rPr>
                <w:rFonts w:hint="default" w:ascii="Times New Roman" w:hAnsi="Times New Roman" w:cs="Times New Roman"/>
                <w:color w:val="auto"/>
                <w:szCs w:val="24"/>
              </w:rPr>
              <w:t>安徽省人民政府于2020年7月13日发布了《安徽省人民政府关于加快实施“三线一单”生态环境分区管控的通知》，安徽省生态环境厅皖环发〔2022〕5号发布了《安徽省生态环境厅关于印发安徽省“三线一单”生态环境分区管控管理办法（暂行）的通知》，明确为贯彻落实《中共中央国务院关于全面加强生态环境保护坚决打好污染防治攻坚战的意见》（中发[2018]17号），就落实生态保护红线、环境质量底线、资源利用上线和生态环境准入清单（统称“三线一单”），实施生态环境分区管控</w:t>
            </w:r>
            <w:r>
              <w:rPr>
                <w:rFonts w:hint="default" w:cs="宋体"/>
                <w:color w:val="auto"/>
                <w:szCs w:val="24"/>
              </w:rPr>
              <w:t>：</w:t>
            </w:r>
          </w:p>
          <w:p w14:paraId="2D81791C">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（1）与生态保护红线相符性</w:t>
            </w:r>
          </w:p>
          <w:p w14:paraId="54677405">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生态保护红线是指依法在重点生态功能区、生态环境敏感区和脆弱区等区域划定的严格管控边界，是国家和区域生态安全的底线，对于维护生态安全格局、保障生态服务功能、支撑经济社会可持续发展具有重要作用</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淮北</w:t>
            </w:r>
            <w:r>
              <w:rPr>
                <w:rFonts w:hint="default" w:ascii="Times New Roman" w:hAnsi="Times New Roman" w:cs="Times New Roman"/>
                <w:color w:val="auto"/>
                <w:szCs w:val="24"/>
              </w:rPr>
              <w:t>市生态保护红线面积为33.64平方公里，占市域面积的1.23%，主导生态功能为水土保持功能和生物多样性维护功能。生态保护红线内禁止进行大规模高强度的工业化和城镇化开发，禁止各种不利于生物多样性保护的活动和生产方式。根据《淮北市生态保护红线》对淮北市区的生态保护红线进行了划定，本项目位于淮北市</w:t>
            </w:r>
            <w:r>
              <w:rPr>
                <w:rFonts w:hint="eastAsia" w:ascii="Times New Roman" w:hAnsi="Times New Roman" w:cs="Times New Roman"/>
                <w:color w:val="auto"/>
                <w:szCs w:val="24"/>
                <w:lang w:eastAsia="zh-CN"/>
              </w:rPr>
              <w:t>安徽省淮北市杜集区杜集经济开发产业园二期标准化厂房4号厂房</w:t>
            </w:r>
            <w:r>
              <w:rPr>
                <w:rFonts w:hint="eastAsia" w:cs="Times New Roman"/>
                <w:sz w:val="24"/>
                <w:lang w:val="en-US" w:eastAsia="zh-CN"/>
              </w:rPr>
              <w:t>、2号厂房</w:t>
            </w:r>
            <w:r>
              <w:rPr>
                <w:rFonts w:hint="default" w:ascii="Times New Roman" w:hAnsi="Times New Roman" w:cs="Times New Roman"/>
                <w:color w:val="auto"/>
                <w:szCs w:val="24"/>
              </w:rPr>
              <w:t>，距离最近的生态保护红线</w:t>
            </w:r>
            <w:r>
              <w:rPr>
                <w:rFonts w:hint="eastAsia" w:ascii="Times New Roman" w:hAnsi="Times New Roman" w:cs="Times New Roman"/>
                <w:color w:val="auto"/>
                <w:szCs w:val="24"/>
                <w:lang w:val="en-US" w:eastAsia="zh-CN"/>
              </w:rPr>
              <w:t>安徽相山国家森林公园</w:t>
            </w:r>
            <w:r>
              <w:rPr>
                <w:rFonts w:hint="default" w:ascii="Times New Roman" w:hAnsi="Times New Roman" w:cs="Times New Roman"/>
                <w:color w:val="auto"/>
                <w:szCs w:val="24"/>
              </w:rPr>
              <w:t>约</w:t>
            </w:r>
            <w:r>
              <w:rPr>
                <w:rFonts w:hint="eastAsia" w:ascii="Times New Roman" w:hAnsi="Times New Roman" w:cs="Times New Roman"/>
                <w:color w:val="auto"/>
                <w:szCs w:val="24"/>
                <w:lang w:val="en-US" w:eastAsia="zh-CN"/>
              </w:rPr>
              <w:t>7.5</w:t>
            </w:r>
            <w:r>
              <w:rPr>
                <w:rFonts w:hint="default" w:ascii="Times New Roman" w:hAnsi="Times New Roman" w:cs="Times New Roman"/>
                <w:color w:val="auto"/>
                <w:szCs w:val="24"/>
              </w:rPr>
              <w:t>km，不在生态红线范围内。</w:t>
            </w:r>
          </w:p>
          <w:p w14:paraId="7930910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2835275</wp:posOffset>
                      </wp:positionH>
                      <wp:positionV relativeFrom="paragraph">
                        <wp:posOffset>1166495</wp:posOffset>
                      </wp:positionV>
                      <wp:extent cx="527050" cy="197485"/>
                      <wp:effectExtent l="135890" t="13970" r="22860" b="302895"/>
                      <wp:wrapNone/>
                      <wp:docPr id="4" name="矩形标注 5"/>
                      <wp:cNvGraphicFramePr/>
                      <a:graphic xmlns:a="http://schemas.openxmlformats.org/drawingml/2006/main">
                        <a:graphicData uri="http://schemas.microsoft.com/office/word/2010/wordprocessingShape">
                          <wps:wsp>
                            <wps:cNvSpPr/>
                            <wps:spPr>
                              <a:xfrm>
                                <a:off x="0" y="0"/>
                                <a:ext cx="527050" cy="197485"/>
                              </a:xfrm>
                              <a:prstGeom prst="wedgeRectCallout">
                                <a:avLst>
                                  <a:gd name="adj1" fmla="val -63333"/>
                                  <a:gd name="adj2" fmla="val 166523"/>
                                </a:avLst>
                              </a:prstGeom>
                              <a:noFill/>
                              <a:ln w="28575" cap="flat" cmpd="sng">
                                <a:solidFill>
                                  <a:srgbClr val="00B050"/>
                                </a:solidFill>
                                <a:prstDash val="solid"/>
                                <a:miter/>
                                <a:headEnd type="none" w="med" len="med"/>
                                <a:tailEnd type="none" w="med" len="med"/>
                              </a:ln>
                            </wps:spPr>
                            <wps:txbx>
                              <w:txbxContent>
                                <w:p w14:paraId="3D4C799C">
                                  <w:pPr>
                                    <w:ind w:firstLine="0" w:firstLineChars="0"/>
                                    <w:rPr>
                                      <w:rFonts w:hint="eastAsia" w:ascii="黑体" w:hAnsi="黑体" w:eastAsia="黑体" w:cs="黑体"/>
                                    </w:rPr>
                                  </w:pPr>
                                  <w:r>
                                    <w:rPr>
                                      <w:rFonts w:hint="eastAsia" w:ascii="黑体" w:hAnsi="黑体" w:eastAsia="黑体" w:cs="黑体"/>
                                      <w:sz w:val="18"/>
                                      <w:szCs w:val="18"/>
                                    </w:rPr>
                                    <w:t>项目所在地</w:t>
                                  </w:r>
                                </w:p>
                              </w:txbxContent>
                            </wps:txbx>
                            <wps:bodyPr vert="horz" wrap="square" lIns="0" tIns="0" rIns="0" bIns="0" anchor="t" anchorCtr="0" upright="1"/>
                          </wps:wsp>
                        </a:graphicData>
                      </a:graphic>
                    </wp:anchor>
                  </w:drawing>
                </mc:Choice>
                <mc:Fallback>
                  <w:pict>
                    <v:shape id="矩形标注 5" o:spid="_x0000_s1026" o:spt="61" type="#_x0000_t61" style="position:absolute;left:0pt;margin-left:223.25pt;margin-top:91.85pt;height:15.55pt;width:41.5pt;z-index:251664384;mso-width-relative:page;mso-height-relative:page;" filled="f" stroked="t" coordsize="21600,21600" o:gfxdata="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QRfltsAAAALAQAADwAAAAAAAAABACAAAAAiAAAAZHJzL2Rvd25yZXYueG1sUEsB&#10;AhQAFAAAAAgAh07iQLdYR+lkAgAAvAQAAA4AAAAAAAAAAQAgAAAAKgEAAGRycy9lMm9Eb2MueG1s&#10;UEsFBgAAAAAGAAYAWQEAAAAGAAAAAA==&#10;" adj="-2880,46769">
                      <v:fill on="f" focussize="0,0"/>
                      <v:stroke weight="2.25pt" color="#00B050" joinstyle="miter"/>
                      <v:imagedata o:title=""/>
                      <o:lock v:ext="edit" aspectratio="f"/>
                      <v:textbox inset="0mm,0mm,0mm,0mm">
                        <w:txbxContent>
                          <w:p w14:paraId="3D4C799C">
                            <w:pPr>
                              <w:ind w:firstLine="0" w:firstLineChars="0"/>
                              <w:rPr>
                                <w:rFonts w:hint="eastAsia" w:ascii="黑体" w:hAnsi="黑体" w:eastAsia="黑体" w:cs="黑体"/>
                              </w:rPr>
                            </w:pPr>
                            <w:r>
                              <w:rPr>
                                <w:rFonts w:hint="eastAsia" w:ascii="黑体" w:hAnsi="黑体" w:eastAsia="黑体" w:cs="黑体"/>
                                <w:sz w:val="18"/>
                                <w:szCs w:val="18"/>
                              </w:rPr>
                              <w:t>项目所在地</w:t>
                            </w:r>
                          </w:p>
                        </w:txbxContent>
                      </v:textbox>
                    </v:shape>
                  </w:pict>
                </mc:Fallback>
              </mc:AlternateContent>
            </w:r>
            <w:r>
              <w:rPr>
                <w:rFonts w:hint="default" w:ascii="Times New Roman" w:hAnsi="Times New Roman" w:eastAsia="黑体" w:cs="Times New Roman"/>
                <w:b w:val="0"/>
                <w:sz w:val="24"/>
                <w:szCs w:val="24"/>
              </w:rPr>
              <w:drawing>
                <wp:inline distT="0" distB="0" distL="114300" distR="114300">
                  <wp:extent cx="4173855" cy="5899150"/>
                  <wp:effectExtent l="0" t="0" r="17145" b="6350"/>
                  <wp:docPr id="37" name="图片 46" descr="C:\Users\lv\Desktop\淮北评审后成果\更新成果表与图\图件\05淮北市生态保护红线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descr="C:\Users\lv\Desktop\淮北评审后成果\更新成果表与图\图件\05淮北市生态保护红线分布图.jpg"/>
                          <pic:cNvPicPr>
                            <a:picLocks noChangeAspect="1"/>
                          </pic:cNvPicPr>
                        </pic:nvPicPr>
                        <pic:blipFill>
                          <a:blip r:embed="rId15"/>
                          <a:stretch>
                            <a:fillRect/>
                          </a:stretch>
                        </pic:blipFill>
                        <pic:spPr>
                          <a:xfrm>
                            <a:off x="0" y="0"/>
                            <a:ext cx="4173855" cy="5899150"/>
                          </a:xfrm>
                          <a:prstGeom prst="rect">
                            <a:avLst/>
                          </a:prstGeom>
                          <a:noFill/>
                          <a:ln>
                            <a:noFill/>
                          </a:ln>
                        </pic:spPr>
                      </pic:pic>
                    </a:graphicData>
                  </a:graphic>
                </wp:inline>
              </w:drawing>
            </w:r>
          </w:p>
          <w:p w14:paraId="34876AD2">
            <w:pPr>
              <w:keepNext w:val="0"/>
              <w:keepLines w:val="0"/>
              <w:suppressLineNumbers w:val="0"/>
              <w:tabs>
                <w:tab w:val="left" w:pos="1039"/>
              </w:tabs>
              <w:spacing w:before="74" w:beforeAutospacing="0" w:after="0" w:afterAutospacing="0"/>
              <w:ind w:left="0" w:right="0" w:firstLine="482"/>
              <w:jc w:val="center"/>
              <w:rPr>
                <w:rFonts w:hint="default" w:ascii="Times New Roman" w:hAnsi="Times New Roman" w:cs="Times New Roman"/>
                <w:b/>
                <w:bCs/>
                <w:color w:val="auto"/>
              </w:rPr>
            </w:pPr>
            <w:r>
              <w:rPr>
                <w:rFonts w:hint="default" w:ascii="Times New Roman" w:hAnsi="Times New Roman" w:cs="Times New Roman"/>
                <w:b/>
                <w:bCs/>
                <w:color w:val="auto"/>
              </w:rPr>
              <w:t>图1-</w:t>
            </w:r>
            <w:r>
              <w:rPr>
                <w:rFonts w:hint="eastAsia" w:ascii="Times New Roman" w:hAnsi="Times New Roman" w:cs="Times New Roman"/>
                <w:b/>
                <w:bCs/>
                <w:color w:val="auto"/>
              </w:rPr>
              <w:t>3</w:t>
            </w:r>
            <w:r>
              <w:rPr>
                <w:rFonts w:hint="default" w:ascii="Times New Roman" w:hAnsi="Times New Roman" w:cs="Times New Roman"/>
                <w:b/>
                <w:bCs/>
                <w:color w:val="auto"/>
              </w:rPr>
              <w:t>淮北市生态保护红线分布图</w:t>
            </w:r>
          </w:p>
          <w:p w14:paraId="65AEA740">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（2）与环境质量底线相符性分析</w:t>
            </w:r>
          </w:p>
          <w:p w14:paraId="25D1A7D4">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kern w:val="2"/>
                <w:szCs w:val="24"/>
                <w:lang w:bidi="ar"/>
              </w:rPr>
              <w:t>1）</w:t>
            </w:r>
            <w:r>
              <w:rPr>
                <w:rFonts w:hint="default" w:ascii="Times New Roman" w:hAnsi="Times New Roman" w:cs="Times New Roman"/>
                <w:color w:val="auto"/>
                <w:szCs w:val="24"/>
              </w:rPr>
              <w:t>根据《淮北市202</w:t>
            </w:r>
            <w:r>
              <w:rPr>
                <w:rFonts w:hint="eastAsia" w:ascii="Times New Roman" w:hAnsi="Times New Roman" w:cs="Times New Roman"/>
                <w:color w:val="auto"/>
                <w:szCs w:val="24"/>
                <w:lang w:val="en-US" w:eastAsia="zh-CN"/>
              </w:rPr>
              <w:t>4年</w:t>
            </w:r>
            <w:r>
              <w:rPr>
                <w:rFonts w:hint="default" w:ascii="Times New Roman" w:hAnsi="Times New Roman" w:cs="Times New Roman"/>
                <w:color w:val="auto"/>
                <w:szCs w:val="24"/>
              </w:rPr>
              <w:t>环境质量公报》及监测结果，分析如下：</w:t>
            </w:r>
          </w:p>
          <w:p w14:paraId="1A87F3A2">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①项目所在区域环境空气质量功能区属于二类区，区域内基本污染物中PM2.5不能满足《环境空气质量标准》及其修改单中的二级标准要求。</w:t>
            </w:r>
          </w:p>
          <w:p w14:paraId="363FAE79">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②项目所在区域地表水环境水质满足《地表水环境质量标准》（GB3838-2002）中的</w:t>
            </w:r>
            <w:r>
              <w:rPr>
                <w:rFonts w:hint="default" w:ascii="Times New Roman" w:hAnsi="Times New Roman" w:cs="Times New Roman"/>
                <w:color w:val="auto"/>
                <w:kern w:val="2"/>
                <w:sz w:val="21"/>
                <w:szCs w:val="21"/>
                <w:lang w:bidi="ar"/>
              </w:rPr>
              <w:t>IV</w:t>
            </w:r>
            <w:r>
              <w:rPr>
                <w:rFonts w:hint="default" w:ascii="Times New Roman" w:hAnsi="Times New Roman" w:cs="Times New Roman"/>
                <w:color w:val="auto"/>
                <w:szCs w:val="24"/>
              </w:rPr>
              <w:t>类标准。</w:t>
            </w:r>
          </w:p>
          <w:p w14:paraId="33176D6F">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③项目所在区域地下水环境各项指标均能满足《地下水质量标准》（GB/T14848-2017）III类标准要求。</w:t>
            </w:r>
          </w:p>
          <w:p w14:paraId="75D0DBF0">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2）淮北市“三线一单”成果符合性分析</w:t>
            </w:r>
          </w:p>
          <w:p w14:paraId="7F88247A">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①与水环境分区管控划定成果符合性分析</w:t>
            </w:r>
          </w:p>
          <w:p w14:paraId="77924A6D">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eastAsia" w:cs="宋体"/>
                <w:bCs/>
                <w:color w:val="auto"/>
              </w:rPr>
            </w:pPr>
            <w:r>
              <w:rPr>
                <w:rFonts w:hint="default" w:ascii="Times New Roman" w:hAnsi="Times New Roman" w:cs="Times New Roman"/>
                <w:color w:val="auto"/>
                <w:szCs w:val="24"/>
              </w:rPr>
              <w:t>根据淮北市水环境管控分区划定成果，共划分55个管控区，其中优先管控区7个，重点管控区32个，一般管控区16个，对照淮北市水环境分区管控图（见图1-</w:t>
            </w:r>
            <w:r>
              <w:rPr>
                <w:rFonts w:hint="eastAsia" w:ascii="Times New Roman" w:hAnsi="Times New Roman" w:cs="Times New Roman"/>
                <w:color w:val="auto"/>
                <w:szCs w:val="24"/>
              </w:rPr>
              <w:t>4</w:t>
            </w:r>
            <w:r>
              <w:rPr>
                <w:rFonts w:hint="default" w:ascii="Times New Roman" w:hAnsi="Times New Roman" w:cs="Times New Roman"/>
                <w:color w:val="auto"/>
                <w:szCs w:val="24"/>
              </w:rPr>
              <w:t>），本项目位于城镇生活污染重点管控区，</w:t>
            </w:r>
            <w:r>
              <w:rPr>
                <w:rFonts w:hint="eastAsia" w:cs="宋体"/>
                <w:color w:val="auto"/>
              </w:rPr>
              <w:t>重点管控区要求：</w:t>
            </w:r>
            <w:r>
              <w:rPr>
                <w:rFonts w:hint="eastAsia" w:cs="宋体"/>
                <w:bCs/>
                <w:color w:val="auto"/>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等要求，新建、改建和扩建项目水污染物实施“等量替代”。</w:t>
            </w:r>
          </w:p>
          <w:p w14:paraId="319A2DB7">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②与大气环境分区管控划定成果符合性分析</w:t>
            </w:r>
          </w:p>
          <w:p w14:paraId="10D0AE2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淮北市共划定48个大气管控区，其中优先保护区3个，面积15.14平方公里，占全市国土面积的0.55 %；重点管控区41个，面积752.41平方公里，占全市国土面积的27.45%；一般管控区4个，面积1973.56平方公里，占全市国土面积的72.00%。对照淮北市大气环境分区管控图（见图1-</w:t>
            </w:r>
            <w:r>
              <w:rPr>
                <w:rFonts w:hint="eastAsia" w:ascii="Times New Roman" w:hAnsi="Times New Roman" w:cs="Times New Roman"/>
                <w:color w:val="auto"/>
                <w:sz w:val="24"/>
              </w:rPr>
              <w:t>5</w:t>
            </w:r>
            <w:r>
              <w:rPr>
                <w:rFonts w:hint="default" w:ascii="Times New Roman" w:hAnsi="Times New Roman" w:cs="Times New Roman"/>
                <w:color w:val="auto"/>
                <w:sz w:val="24"/>
              </w:rPr>
              <w:t>），本项目位于</w:t>
            </w:r>
            <w:r>
              <w:rPr>
                <w:rFonts w:hint="eastAsia" w:ascii="Times New Roman" w:hAnsi="Times New Roman" w:cs="Times New Roman"/>
                <w:color w:val="auto"/>
                <w:sz w:val="24"/>
              </w:rPr>
              <w:t>重点</w:t>
            </w:r>
            <w:r>
              <w:rPr>
                <w:rFonts w:hint="default" w:ascii="Times New Roman" w:hAnsi="Times New Roman" w:cs="Times New Roman"/>
                <w:color w:val="auto"/>
                <w:sz w:val="24"/>
              </w:rPr>
              <w:t>管控区，其管控要求如下：</w:t>
            </w:r>
            <w:r>
              <w:rPr>
                <w:rFonts w:hint="eastAsia" w:ascii="仿宋" w:hAnsi="仿宋" w:cs="Times New Roman"/>
                <w:bCs/>
                <w:color w:val="auto"/>
                <w:sz w:val="24"/>
              </w:rPr>
              <w:t>落实《安徽省大气污染防治条例》、《“十四五”生态环境保护规划》、《重点行业挥发性有机物综合治理方案》等要求，严格目标实施计划，加强环境监管，促进生态环境质量好转。上年度</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eastAsia" w:ascii="仿宋" w:hAnsi="仿宋" w:cs="Times New Roman"/>
                <w:bCs/>
                <w:color w:val="auto"/>
                <w:sz w:val="24"/>
              </w:rPr>
              <w:t>不达标城市新建、改建和扩建项目大气污染物实施“倍量替代”，执行特别排放标准的行业实施提标升级改造。</w:t>
            </w:r>
          </w:p>
          <w:p w14:paraId="29834AEF">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③与土壤环境风险分区管控划定成果符合性分析</w:t>
            </w:r>
          </w:p>
          <w:p w14:paraId="22F16025">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根据淮北市土壤环境管控分区划定成果，共划分19个管控区，其中优先保护区4个，重点管控区11个，一般管控区4个。对照淮北市土壤环境风险分区管控图（见图1-</w:t>
            </w:r>
            <w:r>
              <w:rPr>
                <w:rFonts w:hint="eastAsia" w:ascii="Times New Roman" w:hAnsi="Times New Roman" w:cs="Times New Roman"/>
                <w:color w:val="auto"/>
                <w:szCs w:val="24"/>
              </w:rPr>
              <w:t>6</w:t>
            </w:r>
            <w:r>
              <w:rPr>
                <w:rFonts w:hint="default" w:ascii="Times New Roman" w:hAnsi="Times New Roman" w:cs="Times New Roman"/>
                <w:color w:val="auto"/>
                <w:szCs w:val="24"/>
              </w:rPr>
              <w:t>），本项目位于一般管控区，其管控要求如下：依据《中华人民共和国土壤污染防治法》《基本农田保护条例》《土壤污染防治行动计划》《安徽省土壤污染防治工作方案》等要求对一般管控区实施管控。</w:t>
            </w:r>
          </w:p>
          <w:p w14:paraId="7ACA7280">
            <w:pPr>
              <w:keepNext w:val="0"/>
              <w:keepLines w:val="0"/>
              <w:suppressLineNumbers w:val="0"/>
              <w:tabs>
                <w:tab w:val="left" w:pos="1039"/>
              </w:tabs>
              <w:spacing w:before="74" w:beforeAutospacing="0" w:after="0" w:afterAutospacing="0"/>
              <w:ind w:left="0" w:right="0"/>
              <w:rPr>
                <w:rFonts w:hint="default" w:ascii="Times New Roman" w:hAnsi="Times New Roman" w:cs="Times New Roman"/>
                <w:b/>
                <w:bCs/>
                <w:color w:val="auto"/>
              </w:rPr>
            </w:pPr>
            <w:r>
              <w:rPr>
                <w:rFonts w:hint="default"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2763520</wp:posOffset>
                      </wp:positionH>
                      <wp:positionV relativeFrom="paragraph">
                        <wp:posOffset>1684020</wp:posOffset>
                      </wp:positionV>
                      <wp:extent cx="637540" cy="197485"/>
                      <wp:effectExtent l="156845" t="13970" r="24765" b="302895"/>
                      <wp:wrapNone/>
                      <wp:docPr id="3" name="矩形标注 19"/>
                      <wp:cNvGraphicFramePr/>
                      <a:graphic xmlns:a="http://schemas.openxmlformats.org/drawingml/2006/main">
                        <a:graphicData uri="http://schemas.microsoft.com/office/word/2010/wordprocessingShape">
                          <wps:wsp>
                            <wps:cNvSpPr/>
                            <wps:spPr>
                              <a:xfrm>
                                <a:off x="0" y="0"/>
                                <a:ext cx="637540" cy="197485"/>
                              </a:xfrm>
                              <a:prstGeom prst="wedgeRectCallout">
                                <a:avLst>
                                  <a:gd name="adj1" fmla="val -63333"/>
                                  <a:gd name="adj2" fmla="val 166523"/>
                                </a:avLst>
                              </a:prstGeom>
                              <a:noFill/>
                              <a:ln w="28575" cap="flat" cmpd="sng">
                                <a:solidFill>
                                  <a:srgbClr val="00B050"/>
                                </a:solidFill>
                                <a:prstDash val="solid"/>
                                <a:miter/>
                                <a:headEnd type="none" w="med" len="med"/>
                                <a:tailEnd type="none" w="med" len="med"/>
                              </a:ln>
                            </wps:spPr>
                            <wps:txbx>
                              <w:txbxContent>
                                <w:p w14:paraId="72E70ED8">
                                  <w:pPr>
                                    <w:rPr>
                                      <w:rFonts w:hint="eastAsia" w:ascii="黑体" w:hAnsi="黑体" w:eastAsia="黑体" w:cs="黑体"/>
                                    </w:rPr>
                                  </w:pPr>
                                  <w:r>
                                    <w:rPr>
                                      <w:rFonts w:hint="eastAsia" w:ascii="黑体" w:hAnsi="黑体" w:eastAsia="黑体" w:cs="黑体"/>
                                      <w:sz w:val="18"/>
                                      <w:szCs w:val="18"/>
                                    </w:rPr>
                                    <w:t>项目所在地</w:t>
                                  </w:r>
                                </w:p>
                              </w:txbxContent>
                            </wps:txbx>
                            <wps:bodyPr vert="horz" wrap="square" lIns="0" tIns="0" rIns="0" bIns="0" anchor="t" anchorCtr="0" upright="1"/>
                          </wps:wsp>
                        </a:graphicData>
                      </a:graphic>
                    </wp:anchor>
                  </w:drawing>
                </mc:Choice>
                <mc:Fallback>
                  <w:pict>
                    <v:shape id="矩形标注 19" o:spid="_x0000_s1026" o:spt="61" type="#_x0000_t61" style="position:absolute;left:0pt;margin-left:217.6pt;margin-top:132.6pt;height:15.55pt;width:50.2pt;z-index:251661312;mso-width-relative:page;mso-height-relative:page;" filled="f" stroked="t" coordsize="21600,21600" o:gfxdata="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yZViB2gAAAAsBAAAPAAAAAAAAAAEAIAAAACIAAABkcnMvZG93bnJldi54bWxQ&#10;SwECFAAUAAAACACHTuJAEGhQ2WcCAAC9BAAADgAAAAAAAAABACAAAAApAQAAZHJzL2Uyb0RvYy54&#10;bWxQSwUGAAAAAAYABgBZAQAAAgYAAAAA&#10;" adj="-2880,46769">
                      <v:fill on="f" focussize="0,0"/>
                      <v:stroke weight="2.25pt" color="#00B050" joinstyle="miter"/>
                      <v:imagedata o:title=""/>
                      <o:lock v:ext="edit" aspectratio="f"/>
                      <v:textbox inset="0mm,0mm,0mm,0mm">
                        <w:txbxContent>
                          <w:p w14:paraId="72E70ED8">
                            <w:pPr>
                              <w:rPr>
                                <w:rFonts w:hint="eastAsia" w:ascii="黑体" w:hAnsi="黑体" w:eastAsia="黑体" w:cs="黑体"/>
                              </w:rPr>
                            </w:pPr>
                            <w:r>
                              <w:rPr>
                                <w:rFonts w:hint="eastAsia" w:ascii="黑体" w:hAnsi="黑体" w:eastAsia="黑体" w:cs="黑体"/>
                                <w:sz w:val="18"/>
                                <w:szCs w:val="18"/>
                              </w:rPr>
                              <w:t>项目所在地</w:t>
                            </w:r>
                          </w:p>
                        </w:txbxContent>
                      </v:textbox>
                    </v:shape>
                  </w:pict>
                </mc:Fallback>
              </mc:AlternateContent>
            </w:r>
            <w:r>
              <w:rPr>
                <w:rFonts w:hint="default" w:ascii="Times New Roman" w:hAnsi="Times New Roman" w:cs="Times New Roman"/>
              </w:rPr>
              <w:drawing>
                <wp:inline distT="0" distB="0" distL="114300" distR="114300">
                  <wp:extent cx="5274310" cy="7452995"/>
                  <wp:effectExtent l="0" t="0" r="2540" b="14605"/>
                  <wp:docPr id="38" name="图片 47" descr="C:\Users\lv\Desktop\淮北评审后成果\更新成果表与图\图件\17淮北市水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7" descr="C:\Users\lv\Desktop\淮北评审后成果\更新成果表与图\图件\17淮北市水环境分区管控图.jpg"/>
                          <pic:cNvPicPr>
                            <a:picLocks noChangeAspect="1"/>
                          </pic:cNvPicPr>
                        </pic:nvPicPr>
                        <pic:blipFill>
                          <a:blip r:embed="rId16"/>
                          <a:stretch>
                            <a:fillRect/>
                          </a:stretch>
                        </pic:blipFill>
                        <pic:spPr>
                          <a:xfrm>
                            <a:off x="0" y="0"/>
                            <a:ext cx="5274310" cy="7452995"/>
                          </a:xfrm>
                          <a:prstGeom prst="rect">
                            <a:avLst/>
                          </a:prstGeom>
                          <a:noFill/>
                          <a:ln>
                            <a:noFill/>
                          </a:ln>
                        </pic:spPr>
                      </pic:pic>
                    </a:graphicData>
                  </a:graphic>
                </wp:inline>
              </w:drawing>
            </w:r>
          </w:p>
          <w:p w14:paraId="45E294E9">
            <w:pPr>
              <w:keepNext w:val="0"/>
              <w:keepLines w:val="0"/>
              <w:suppressLineNumbers w:val="0"/>
              <w:tabs>
                <w:tab w:val="left" w:pos="1039"/>
              </w:tabs>
              <w:spacing w:before="74" w:beforeAutospacing="0" w:after="0" w:afterAutospacing="0"/>
              <w:ind w:left="0" w:right="0" w:firstLine="482"/>
              <w:jc w:val="center"/>
              <w:rPr>
                <w:rFonts w:hint="default" w:ascii="Times New Roman" w:hAnsi="Times New Roman" w:cs="Times New Roman"/>
                <w:color w:val="auto"/>
              </w:rPr>
            </w:pPr>
            <w:r>
              <w:rPr>
                <w:rFonts w:hint="default" w:ascii="Times New Roman" w:hAnsi="Times New Roman" w:cs="Times New Roman"/>
                <w:b/>
                <w:bCs/>
                <w:color w:val="auto"/>
              </w:rPr>
              <w:t>图</w:t>
            </w:r>
            <w:r>
              <w:rPr>
                <w:rFonts w:hint="default" w:ascii="Times New Roman" w:hAnsi="Times New Roman" w:cs="Times New Roman"/>
                <w:b/>
                <w:color w:val="auto"/>
                <w:szCs w:val="21"/>
              </w:rPr>
              <w:t>1-</w:t>
            </w:r>
            <w:r>
              <w:rPr>
                <w:rFonts w:hint="eastAsia" w:ascii="Times New Roman" w:hAnsi="Times New Roman" w:cs="Times New Roman"/>
                <w:b/>
                <w:color w:val="auto"/>
                <w:szCs w:val="21"/>
              </w:rPr>
              <w:t>4</w:t>
            </w:r>
            <w:r>
              <w:rPr>
                <w:rFonts w:hint="default" w:ascii="Times New Roman" w:hAnsi="Times New Roman" w:cs="Times New Roman"/>
                <w:b/>
                <w:bCs/>
                <w:color w:val="auto"/>
              </w:rPr>
              <w:t>淮北市水环境分区管控图</w:t>
            </w:r>
          </w:p>
          <w:p w14:paraId="3BC93C50">
            <w:pPr>
              <w:keepNext w:val="0"/>
              <w:keepLines w:val="0"/>
              <w:suppressLineNumbers w:val="0"/>
              <w:tabs>
                <w:tab w:val="left" w:pos="1039"/>
              </w:tabs>
              <w:spacing w:before="103"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2867660</wp:posOffset>
                      </wp:positionH>
                      <wp:positionV relativeFrom="paragraph">
                        <wp:posOffset>1678940</wp:posOffset>
                      </wp:positionV>
                      <wp:extent cx="637540" cy="197485"/>
                      <wp:effectExtent l="156845" t="13970" r="24765" b="302895"/>
                      <wp:wrapNone/>
                      <wp:docPr id="20" name="矩形标注 20"/>
                      <wp:cNvGraphicFramePr/>
                      <a:graphic xmlns:a="http://schemas.openxmlformats.org/drawingml/2006/main">
                        <a:graphicData uri="http://schemas.microsoft.com/office/word/2010/wordprocessingShape">
                          <wps:wsp>
                            <wps:cNvSpPr/>
                            <wps:spPr>
                              <a:xfrm>
                                <a:off x="0" y="0"/>
                                <a:ext cx="637540" cy="197485"/>
                              </a:xfrm>
                              <a:prstGeom prst="wedgeRectCallout">
                                <a:avLst>
                                  <a:gd name="adj1" fmla="val -63333"/>
                                  <a:gd name="adj2" fmla="val 166523"/>
                                </a:avLst>
                              </a:prstGeom>
                              <a:noFill/>
                              <a:ln w="28575" cap="flat" cmpd="sng">
                                <a:solidFill>
                                  <a:srgbClr val="FF0000"/>
                                </a:solidFill>
                                <a:prstDash val="solid"/>
                                <a:miter/>
                                <a:headEnd type="none" w="med" len="med"/>
                                <a:tailEnd type="none" w="med" len="med"/>
                              </a:ln>
                              <a:effectLst/>
                            </wps:spPr>
                            <wps:txbx>
                              <w:txbxContent>
                                <w:p w14:paraId="7DA0960F">
                                  <w:pPr>
                                    <w:rPr>
                                      <w:rFonts w:hint="eastAsia" w:ascii="黑体" w:hAnsi="黑体" w:eastAsia="黑体" w:cs="黑体"/>
                                    </w:rPr>
                                  </w:pPr>
                                  <w:r>
                                    <w:rPr>
                                      <w:rFonts w:hint="eastAsia" w:ascii="黑体" w:hAnsi="黑体" w:eastAsia="黑体" w:cs="黑体"/>
                                      <w:sz w:val="18"/>
                                      <w:szCs w:val="18"/>
                                    </w:rPr>
                                    <w:t>项目所在地</w:t>
                                  </w:r>
                                </w:p>
                              </w:txbxContent>
                            </wps:txbx>
                            <wps:bodyPr wrap="square" lIns="0" tIns="0" rIns="0" bIns="0" upright="1"/>
                          </wps:wsp>
                        </a:graphicData>
                      </a:graphic>
                    </wp:anchor>
                  </w:drawing>
                </mc:Choice>
                <mc:Fallback>
                  <w:pict>
                    <v:shape id="_x0000_s1026" o:spid="_x0000_s1026" o:spt="61" type="#_x0000_t61" style="position:absolute;left:0pt;margin-left:225.8pt;margin-top:132.2pt;height:15.55pt;width:50.2pt;z-index:251662336;mso-width-relative:page;mso-height-relative:page;" filled="f" stroked="t" coordsize="21600,21600" o:gfxdata="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VZDQ7c&#10;AAAACwEAAA8AAAAAAAAAAQAgAAAAIgAAAGRycy9kb3ducmV2LnhtbFBLAQIUABQAAAAIAIdO4kDB&#10;+/MaVQIAAKcEAAAOAAAAAAAAAAEAIAAAACsBAABkcnMvZTJvRG9jLnhtbFBLBQYAAAAABgAGAFkB&#10;AADyBQAAAAA=&#10;" adj="-2880,46769">
                      <v:fill on="f" focussize="0,0"/>
                      <v:stroke weight="2.25pt" color="#FF0000" joinstyle="miter"/>
                      <v:imagedata o:title=""/>
                      <o:lock v:ext="edit" aspectratio="f"/>
                      <v:textbox inset="0mm,0mm,0mm,0mm">
                        <w:txbxContent>
                          <w:p w14:paraId="7DA0960F">
                            <w:pPr>
                              <w:rPr>
                                <w:rFonts w:hint="eastAsia" w:ascii="黑体" w:hAnsi="黑体" w:eastAsia="黑体" w:cs="黑体"/>
                              </w:rPr>
                            </w:pPr>
                            <w:r>
                              <w:rPr>
                                <w:rFonts w:hint="eastAsia" w:ascii="黑体" w:hAnsi="黑体" w:eastAsia="黑体" w:cs="黑体"/>
                                <w:sz w:val="18"/>
                                <w:szCs w:val="18"/>
                              </w:rPr>
                              <w:t>项目所在地</w:t>
                            </w:r>
                          </w:p>
                        </w:txbxContent>
                      </v:textbox>
                    </v:shape>
                  </w:pict>
                </mc:Fallback>
              </mc:AlternateContent>
            </w:r>
            <w:r>
              <w:rPr>
                <w:rFonts w:hint="default" w:ascii="Times New Roman" w:hAnsi="Times New Roman" w:cs="Times New Roman"/>
              </w:rPr>
              <w:drawing>
                <wp:inline distT="0" distB="0" distL="114300" distR="114300">
                  <wp:extent cx="5274310" cy="7452995"/>
                  <wp:effectExtent l="0" t="0" r="2540" b="14605"/>
                  <wp:docPr id="39" name="图片 48" descr="C:\Users\lv\Desktop\淮北评审后成果\更新成果表与图\图件\31淮北市大气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8" descr="C:\Users\lv\Desktop\淮北评审后成果\更新成果表与图\图件\31淮北市大气环境分区管控图.jpg"/>
                          <pic:cNvPicPr>
                            <a:picLocks noChangeAspect="1"/>
                          </pic:cNvPicPr>
                        </pic:nvPicPr>
                        <pic:blipFill>
                          <a:blip r:embed="rId17"/>
                          <a:stretch>
                            <a:fillRect/>
                          </a:stretch>
                        </pic:blipFill>
                        <pic:spPr>
                          <a:xfrm>
                            <a:off x="0" y="0"/>
                            <a:ext cx="5274310" cy="7452995"/>
                          </a:xfrm>
                          <a:prstGeom prst="rect">
                            <a:avLst/>
                          </a:prstGeom>
                          <a:noFill/>
                          <a:ln>
                            <a:noFill/>
                          </a:ln>
                        </pic:spPr>
                      </pic:pic>
                    </a:graphicData>
                  </a:graphic>
                </wp:inline>
              </w:drawing>
            </w:r>
          </w:p>
          <w:p w14:paraId="3DAAA42C">
            <w:pPr>
              <w:keepNext w:val="0"/>
              <w:keepLines w:val="0"/>
              <w:suppressLineNumbers w:val="0"/>
              <w:tabs>
                <w:tab w:val="left" w:pos="1039"/>
              </w:tabs>
              <w:spacing w:before="103"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图</w:t>
            </w:r>
            <w:r>
              <w:rPr>
                <w:rFonts w:hint="default" w:ascii="Times New Roman" w:hAnsi="Times New Roman" w:cs="Times New Roman"/>
                <w:b/>
                <w:bCs/>
                <w:color w:val="auto"/>
                <w:spacing w:val="-62"/>
              </w:rPr>
              <w:t xml:space="preserve"> </w:t>
            </w:r>
            <w:r>
              <w:rPr>
                <w:rFonts w:hint="default" w:ascii="Times New Roman" w:hAnsi="Times New Roman" w:cs="Times New Roman"/>
                <w:b/>
                <w:color w:val="auto"/>
                <w:szCs w:val="21"/>
              </w:rPr>
              <w:t>1-</w:t>
            </w:r>
            <w:r>
              <w:rPr>
                <w:rFonts w:hint="eastAsia" w:ascii="Times New Roman" w:hAnsi="Times New Roman" w:cs="Times New Roman"/>
                <w:b/>
                <w:color w:val="auto"/>
                <w:szCs w:val="21"/>
              </w:rPr>
              <w:t>5</w:t>
            </w:r>
            <w:r>
              <w:rPr>
                <w:rFonts w:hint="default" w:ascii="Times New Roman" w:hAnsi="Times New Roman" w:cs="Times New Roman"/>
                <w:b/>
                <w:bCs/>
                <w:color w:val="auto"/>
              </w:rPr>
              <w:t>淮北市大气环境分区管控图</w:t>
            </w:r>
          </w:p>
          <w:p w14:paraId="1A8E71E4">
            <w:pPr>
              <w:keepNext w:val="0"/>
              <w:keepLines w:val="0"/>
              <w:suppressLineNumbers w:val="0"/>
              <w:tabs>
                <w:tab w:val="left" w:pos="1161"/>
              </w:tabs>
              <w:spacing w:before="77"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2861310</wp:posOffset>
                      </wp:positionH>
                      <wp:positionV relativeFrom="paragraph">
                        <wp:posOffset>1670685</wp:posOffset>
                      </wp:positionV>
                      <wp:extent cx="637540" cy="197485"/>
                      <wp:effectExtent l="156845" t="13970" r="24765" b="302895"/>
                      <wp:wrapNone/>
                      <wp:docPr id="21" name="矩形标注 21"/>
                      <wp:cNvGraphicFramePr/>
                      <a:graphic xmlns:a="http://schemas.openxmlformats.org/drawingml/2006/main">
                        <a:graphicData uri="http://schemas.microsoft.com/office/word/2010/wordprocessingShape">
                          <wps:wsp>
                            <wps:cNvSpPr/>
                            <wps:spPr>
                              <a:xfrm>
                                <a:off x="0" y="0"/>
                                <a:ext cx="637540" cy="197485"/>
                              </a:xfrm>
                              <a:prstGeom prst="wedgeRectCallout">
                                <a:avLst>
                                  <a:gd name="adj1" fmla="val -63333"/>
                                  <a:gd name="adj2" fmla="val 166523"/>
                                </a:avLst>
                              </a:prstGeom>
                              <a:noFill/>
                              <a:ln w="28575" cap="flat" cmpd="sng">
                                <a:solidFill>
                                  <a:srgbClr val="FF0000"/>
                                </a:solidFill>
                                <a:prstDash val="solid"/>
                                <a:miter/>
                                <a:headEnd type="none" w="med" len="med"/>
                                <a:tailEnd type="none" w="med" len="med"/>
                              </a:ln>
                              <a:effectLst/>
                            </wps:spPr>
                            <wps:txbx>
                              <w:txbxContent>
                                <w:p w14:paraId="4423BE0A">
                                  <w:pPr>
                                    <w:rPr>
                                      <w:rFonts w:hint="eastAsia" w:ascii="黑体" w:hAnsi="黑体" w:eastAsia="黑体" w:cs="黑体"/>
                                    </w:rPr>
                                  </w:pPr>
                                  <w:r>
                                    <w:rPr>
                                      <w:rFonts w:hint="eastAsia" w:ascii="黑体" w:hAnsi="黑体" w:eastAsia="黑体" w:cs="黑体"/>
                                      <w:sz w:val="18"/>
                                      <w:szCs w:val="18"/>
                                    </w:rPr>
                                    <w:t>项目所在地</w:t>
                                  </w:r>
                                </w:p>
                              </w:txbxContent>
                            </wps:txbx>
                            <wps:bodyPr wrap="square" lIns="0" tIns="0" rIns="0" bIns="0" upright="1"/>
                          </wps:wsp>
                        </a:graphicData>
                      </a:graphic>
                    </wp:anchor>
                  </w:drawing>
                </mc:Choice>
                <mc:Fallback>
                  <w:pict>
                    <v:shape id="_x0000_s1026" o:spid="_x0000_s1026" o:spt="61" type="#_x0000_t61" style="position:absolute;left:0pt;margin-left:225.3pt;margin-top:131.55pt;height:15.55pt;width:50.2pt;z-index:251663360;mso-width-relative:page;mso-height-relative:page;" filled="f" stroked="t" coordsize="21600,21600" o:gfxdata="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13hXc&#10;AAAACwEAAA8AAAAAAAAAAQAgAAAAIgAAAGRycy9kb3ducmV2LnhtbFBLAQIUABQAAAAIAIdO4kAm&#10;2oIWVQIAAKcEAAAOAAAAAAAAAAEAIAAAACsBAABkcnMvZTJvRG9jLnhtbFBLBQYAAAAABgAGAFkB&#10;AADyBQAAAAA=&#10;" adj="-2880,46769">
                      <v:fill on="f" focussize="0,0"/>
                      <v:stroke weight="2.25pt" color="#FF0000" joinstyle="miter"/>
                      <v:imagedata o:title=""/>
                      <o:lock v:ext="edit" aspectratio="f"/>
                      <v:textbox inset="0mm,0mm,0mm,0mm">
                        <w:txbxContent>
                          <w:p w14:paraId="4423BE0A">
                            <w:pPr>
                              <w:rPr>
                                <w:rFonts w:hint="eastAsia" w:ascii="黑体" w:hAnsi="黑体" w:eastAsia="黑体" w:cs="黑体"/>
                              </w:rPr>
                            </w:pPr>
                            <w:r>
                              <w:rPr>
                                <w:rFonts w:hint="eastAsia" w:ascii="黑体" w:hAnsi="黑体" w:eastAsia="黑体" w:cs="黑体"/>
                                <w:sz w:val="18"/>
                                <w:szCs w:val="18"/>
                              </w:rPr>
                              <w:t>项目所在地</w:t>
                            </w:r>
                          </w:p>
                        </w:txbxContent>
                      </v:textbox>
                    </v:shape>
                  </w:pict>
                </mc:Fallback>
              </mc:AlternateContent>
            </w:r>
            <w:r>
              <w:rPr>
                <w:rFonts w:hint="default" w:ascii="Times New Roman" w:hAnsi="Times New Roman" w:cs="Times New Roman"/>
              </w:rPr>
              <w:drawing>
                <wp:inline distT="0" distB="0" distL="114300" distR="114300">
                  <wp:extent cx="5274310" cy="7452995"/>
                  <wp:effectExtent l="0" t="0" r="2540" b="14605"/>
                  <wp:docPr id="40" name="图片 49" descr="C:\Users\lv\Desktop\淮北评审后成果\更新成果表与图\图件\32淮北市土壤污染风险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9" descr="C:\Users\lv\Desktop\淮北评审后成果\更新成果表与图\图件\32淮北市土壤污染风险分区管控图.jpg"/>
                          <pic:cNvPicPr>
                            <a:picLocks noChangeAspect="1"/>
                          </pic:cNvPicPr>
                        </pic:nvPicPr>
                        <pic:blipFill>
                          <a:blip r:embed="rId18"/>
                          <a:stretch>
                            <a:fillRect/>
                          </a:stretch>
                        </pic:blipFill>
                        <pic:spPr>
                          <a:xfrm>
                            <a:off x="0" y="0"/>
                            <a:ext cx="5274310" cy="7452995"/>
                          </a:xfrm>
                          <a:prstGeom prst="rect">
                            <a:avLst/>
                          </a:prstGeom>
                          <a:noFill/>
                          <a:ln>
                            <a:noFill/>
                          </a:ln>
                        </pic:spPr>
                      </pic:pic>
                    </a:graphicData>
                  </a:graphic>
                </wp:inline>
              </w:drawing>
            </w:r>
          </w:p>
          <w:p w14:paraId="50812ED2">
            <w:pPr>
              <w:keepNext w:val="0"/>
              <w:keepLines w:val="0"/>
              <w:suppressLineNumbers w:val="0"/>
              <w:tabs>
                <w:tab w:val="left" w:pos="1161"/>
              </w:tabs>
              <w:spacing w:before="77"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图</w:t>
            </w:r>
            <w:r>
              <w:rPr>
                <w:rFonts w:hint="default" w:ascii="Times New Roman" w:hAnsi="Times New Roman" w:cs="Times New Roman"/>
                <w:b/>
                <w:bCs/>
                <w:color w:val="auto"/>
                <w:spacing w:val="-61"/>
                <w:szCs w:val="21"/>
              </w:rPr>
              <w:t xml:space="preserve"> </w:t>
            </w:r>
            <w:r>
              <w:rPr>
                <w:rFonts w:hint="default" w:ascii="Times New Roman" w:hAnsi="Times New Roman" w:cs="Times New Roman"/>
                <w:b/>
                <w:color w:val="auto"/>
                <w:szCs w:val="21"/>
              </w:rPr>
              <w:t>1-</w:t>
            </w:r>
            <w:r>
              <w:rPr>
                <w:rFonts w:hint="eastAsia" w:ascii="Times New Roman" w:hAnsi="Times New Roman" w:cs="Times New Roman"/>
                <w:b/>
                <w:color w:val="auto"/>
                <w:szCs w:val="21"/>
              </w:rPr>
              <w:t>6</w:t>
            </w:r>
            <w:r>
              <w:rPr>
                <w:rFonts w:hint="default" w:ascii="Times New Roman" w:hAnsi="Times New Roman" w:cs="Times New Roman"/>
                <w:b/>
                <w:bCs/>
                <w:color w:val="auto"/>
                <w:szCs w:val="21"/>
              </w:rPr>
              <w:t>淮北市土壤环境风险分区管控图</w:t>
            </w:r>
          </w:p>
          <w:p w14:paraId="25D93D8F">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FF"/>
                <w:szCs w:val="24"/>
              </w:rPr>
            </w:pPr>
            <w:r>
              <w:rPr>
                <w:rFonts w:hint="eastAsia" w:ascii="Times New Roman" w:hAnsi="Times New Roman" w:cs="Times New Roman"/>
                <w:color w:val="0000FF"/>
                <w:szCs w:val="24"/>
              </w:rPr>
              <w:t>3</w:t>
            </w:r>
            <w:r>
              <w:rPr>
                <w:rFonts w:hint="default" w:ascii="Times New Roman" w:hAnsi="Times New Roman" w:cs="Times New Roman"/>
                <w:color w:val="0000FF"/>
                <w:szCs w:val="24"/>
              </w:rPr>
              <w:t>）安徽</w:t>
            </w:r>
            <w:r>
              <w:rPr>
                <w:rFonts w:hint="eastAsia" w:ascii="Times New Roman" w:hAnsi="Times New Roman" w:cs="Times New Roman"/>
                <w:color w:val="0000FF"/>
                <w:szCs w:val="24"/>
              </w:rPr>
              <w:t>省</w:t>
            </w:r>
            <w:r>
              <w:rPr>
                <w:rFonts w:hint="default" w:ascii="Times New Roman" w:hAnsi="Times New Roman" w:cs="Times New Roman"/>
                <w:color w:val="0000FF"/>
                <w:szCs w:val="24"/>
              </w:rPr>
              <w:t>“三线一单”管控要求</w:t>
            </w:r>
          </w:p>
          <w:p w14:paraId="792C570F">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经与</w:t>
            </w:r>
            <w:r>
              <w:rPr>
                <w:rFonts w:hint="eastAsia" w:ascii="Times New Roman" w:hAnsi="Times New Roman" w:cs="Times New Roman"/>
                <w:color w:val="auto"/>
                <w:szCs w:val="24"/>
              </w:rPr>
              <w:t>安徽省</w:t>
            </w:r>
            <w:r>
              <w:rPr>
                <w:rFonts w:hint="default" w:ascii="Times New Roman" w:hAnsi="Times New Roman" w:cs="Times New Roman"/>
                <w:color w:val="auto"/>
                <w:szCs w:val="24"/>
              </w:rPr>
              <w:t>“三线一单”成果数据分析，与1个环境管控单元存在交叠，其中优先保护类0个，重点管控类1个，一般管控类0个。</w:t>
            </w:r>
          </w:p>
          <w:p w14:paraId="23D68659">
            <w:pPr>
              <w:keepNext w:val="0"/>
              <w:keepLines w:val="0"/>
              <w:suppressLineNumbers w:val="0"/>
              <w:tabs>
                <w:tab w:val="left" w:pos="1039"/>
              </w:tabs>
              <w:spacing w:before="74" w:beforeAutospacing="0" w:after="0" w:afterAutospacing="0"/>
              <w:ind w:left="0" w:right="0"/>
              <w:jc w:val="center"/>
              <w:rPr>
                <w:rFonts w:hint="default"/>
              </w:rPr>
            </w:pP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2569210</wp:posOffset>
                      </wp:positionH>
                      <wp:positionV relativeFrom="paragraph">
                        <wp:posOffset>83820</wp:posOffset>
                      </wp:positionV>
                      <wp:extent cx="1143000" cy="421640"/>
                      <wp:effectExtent l="12700" t="12700" r="25400" b="556260"/>
                      <wp:wrapNone/>
                      <wp:docPr id="2" name="矩形标注 17"/>
                      <wp:cNvGraphicFramePr/>
                      <a:graphic xmlns:a="http://schemas.openxmlformats.org/drawingml/2006/main">
                        <a:graphicData uri="http://schemas.microsoft.com/office/word/2010/wordprocessingShape">
                          <wps:wsp>
                            <wps:cNvSpPr/>
                            <wps:spPr>
                              <a:xfrm>
                                <a:off x="0" y="0"/>
                                <a:ext cx="1143000" cy="421640"/>
                              </a:xfrm>
                              <a:prstGeom prst="wedgeRectCallout">
                                <a:avLst>
                                  <a:gd name="adj1" fmla="val -32944"/>
                                  <a:gd name="adj2" fmla="val 174847"/>
                                </a:avLst>
                              </a:prstGeom>
                              <a:solidFill>
                                <a:srgbClr val="FFFFFF"/>
                              </a:solidFill>
                              <a:ln w="25400" cap="flat" cmpd="sng">
                                <a:solidFill>
                                  <a:srgbClr val="000000"/>
                                </a:solidFill>
                                <a:prstDash val="solid"/>
                                <a:round/>
                                <a:headEnd type="none" w="med" len="med"/>
                                <a:tailEnd type="none" w="med" len="med"/>
                              </a:ln>
                            </wps:spPr>
                            <wps:txbx>
                              <w:txbxContent>
                                <w:p w14:paraId="1CB44A6F">
                                  <w:pPr>
                                    <w:jc w:val="center"/>
                                    <w:rPr>
                                      <w:rFonts w:hint="eastAsia"/>
                                      <w:color w:val="0F243E"/>
                                    </w:rPr>
                                  </w:pPr>
                                  <w:r>
                                    <w:rPr>
                                      <w:rFonts w:hint="eastAsia"/>
                                      <w:color w:val="0F243E"/>
                                    </w:rPr>
                                    <w:t>本项目所在位置</w:t>
                                  </w:r>
                                </w:p>
                              </w:txbxContent>
                            </wps:txbx>
                            <wps:bodyPr wrap="square" anchor="ctr" anchorCtr="0" upright="1"/>
                          </wps:wsp>
                        </a:graphicData>
                      </a:graphic>
                    </wp:anchor>
                  </w:drawing>
                </mc:Choice>
                <mc:Fallback>
                  <w:pict>
                    <v:shape id="矩形标注 17" o:spid="_x0000_s1026" o:spt="61" type="#_x0000_t61" style="position:absolute;left:0pt;margin-left:202.3pt;margin-top:6.6pt;height:33.2pt;width:90pt;z-index:251660288;v-text-anchor:middle;mso-width-relative:page;mso-height-relative:page;" fillcolor="#FFFFFF" filled="t" stroked="t" coordsize="21600,21600" o:gfxdata="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gJVNYAAAAJAQAA&#10;DwAAAAAAAAABACAAAAAiAAAAZHJzL2Rvd25yZXYueG1sUEsBAhQAFAAAAAgAh07iQDkiYZ9UAgAA&#10;uQQAAA4AAAAAAAAAAQAgAAAAJQEAAGRycy9lMm9Eb2MueG1sUEsFBgAAAAAGAAYAWQEAAOsFAAAA&#10;AA==&#10;" adj="3684,48567">
                      <v:fill on="t" focussize="0,0"/>
                      <v:stroke weight="2pt" color="#000000" joinstyle="round"/>
                      <v:imagedata o:title=""/>
                      <o:lock v:ext="edit" aspectratio="f"/>
                      <v:textbox>
                        <w:txbxContent>
                          <w:p w14:paraId="1CB44A6F">
                            <w:pPr>
                              <w:jc w:val="center"/>
                              <w:rPr>
                                <w:rFonts w:hint="eastAsia"/>
                                <w:color w:val="0F243E"/>
                              </w:rPr>
                            </w:pPr>
                            <w:r>
                              <w:rPr>
                                <w:rFonts w:hint="eastAsia"/>
                                <w:color w:val="0F243E"/>
                              </w:rPr>
                              <w:t>本项目所在位置</w:t>
                            </w:r>
                          </w:p>
                        </w:txbxContent>
                      </v:textbox>
                    </v:shape>
                  </w:pict>
                </mc:Fallback>
              </mc:AlternateContent>
            </w:r>
            <w:r>
              <w:rPr>
                <w:rFonts w:hint="default"/>
              </w:rPr>
              <w:drawing>
                <wp:inline distT="0" distB="0" distL="114300" distR="114300">
                  <wp:extent cx="5273675" cy="3317875"/>
                  <wp:effectExtent l="0" t="0" r="3175" b="158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9"/>
                          <a:stretch>
                            <a:fillRect/>
                          </a:stretch>
                        </pic:blipFill>
                        <pic:spPr>
                          <a:xfrm>
                            <a:off x="0" y="0"/>
                            <a:ext cx="5273675" cy="3317875"/>
                          </a:xfrm>
                          <a:prstGeom prst="rect">
                            <a:avLst/>
                          </a:prstGeom>
                          <a:noFill/>
                          <a:ln>
                            <a:noFill/>
                          </a:ln>
                        </pic:spPr>
                      </pic:pic>
                    </a:graphicData>
                  </a:graphic>
                </wp:inline>
              </w:drawing>
            </w:r>
          </w:p>
          <w:p w14:paraId="4CD494FA">
            <w:pPr>
              <w:keepNext w:val="0"/>
              <w:keepLines w:val="0"/>
              <w:suppressLineNumbers w:val="0"/>
              <w:tabs>
                <w:tab w:val="left" w:pos="1039"/>
              </w:tabs>
              <w:spacing w:before="74"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color w:val="auto"/>
                <w:szCs w:val="21"/>
              </w:rPr>
              <w:t>1-</w:t>
            </w:r>
            <w:r>
              <w:rPr>
                <w:rFonts w:hint="eastAsia" w:ascii="Times New Roman" w:hAnsi="Times New Roman" w:cs="Times New Roman"/>
                <w:b/>
                <w:color w:val="auto"/>
                <w:szCs w:val="21"/>
              </w:rPr>
              <w:t>3</w:t>
            </w:r>
            <w:r>
              <w:rPr>
                <w:rFonts w:hint="default" w:ascii="Times New Roman" w:hAnsi="Times New Roman" w:cs="Times New Roman"/>
                <w:b/>
                <w:bCs/>
                <w:color w:val="auto"/>
              </w:rPr>
              <w:t>本项目与“三线一单”位置关系图</w:t>
            </w:r>
          </w:p>
          <w:p w14:paraId="5C41B0B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p>
          <w:p w14:paraId="696A7EF2">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bCs/>
                <w:color w:val="auto"/>
              </w:rPr>
              <w:t>表1-</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rPr>
              <w:t xml:space="preserve">  </w:t>
            </w:r>
            <w:r>
              <w:rPr>
                <w:rFonts w:hint="eastAsia" w:ascii="Times New Roman" w:hAnsi="Times New Roman" w:cs="Times New Roman"/>
                <w:b/>
                <w:bCs/>
                <w:color w:val="auto"/>
              </w:rPr>
              <w:t>分区管控单元</w:t>
            </w:r>
            <w:r>
              <w:rPr>
                <w:rFonts w:hint="eastAsia" w:ascii="宋体" w:hAnsi="宋体" w:cs="宋体"/>
                <w:b/>
                <w:bCs/>
                <w:color w:val="auto"/>
                <w:kern w:val="0"/>
                <w:szCs w:val="21"/>
                <w:lang w:bidi="ar"/>
              </w:rPr>
              <w:t>管控要求</w:t>
            </w:r>
            <w:r>
              <w:rPr>
                <w:rFonts w:hint="default" w:ascii="Times New Roman" w:hAnsi="Times New Roman" w:cs="Times New Roman"/>
                <w:b/>
                <w:bCs/>
                <w:color w:val="auto"/>
              </w:rPr>
              <w:t>清单对比表</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757"/>
              <w:gridCol w:w="718"/>
              <w:gridCol w:w="4156"/>
              <w:gridCol w:w="741"/>
              <w:gridCol w:w="505"/>
            </w:tblGrid>
            <w:tr w14:paraId="1A3B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581" w:type="dxa"/>
                  <w:noWrap w:val="0"/>
                  <w:vAlign w:val="center"/>
                </w:tcPr>
                <w:p w14:paraId="4B7606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涉及的环境管控单元</w:t>
                  </w:r>
                </w:p>
              </w:tc>
              <w:tc>
                <w:tcPr>
                  <w:tcW w:w="763" w:type="dxa"/>
                  <w:noWrap w:val="0"/>
                  <w:vAlign w:val="center"/>
                </w:tcPr>
                <w:p w14:paraId="00CF99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区域名称</w:t>
                  </w:r>
                </w:p>
              </w:tc>
              <w:tc>
                <w:tcPr>
                  <w:tcW w:w="723" w:type="dxa"/>
                  <w:noWrap w:val="0"/>
                  <w:vAlign w:val="center"/>
                </w:tcPr>
                <w:p w14:paraId="34C6A2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管控类别</w:t>
                  </w:r>
                </w:p>
              </w:tc>
              <w:tc>
                <w:tcPr>
                  <w:tcW w:w="4212" w:type="dxa"/>
                  <w:noWrap w:val="0"/>
                  <w:vAlign w:val="center"/>
                </w:tcPr>
                <w:p w14:paraId="64AB41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管控要求</w:t>
                  </w:r>
                </w:p>
              </w:tc>
              <w:tc>
                <w:tcPr>
                  <w:tcW w:w="743" w:type="dxa"/>
                  <w:noWrap w:val="0"/>
                  <w:vAlign w:val="center"/>
                </w:tcPr>
                <w:p w14:paraId="1401AC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本项目符合性</w:t>
                  </w:r>
                </w:p>
              </w:tc>
              <w:tc>
                <w:tcPr>
                  <w:tcW w:w="506" w:type="dxa"/>
                  <w:noWrap w:val="0"/>
                  <w:vAlign w:val="center"/>
                </w:tcPr>
                <w:p w14:paraId="715E29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是否符合</w:t>
                  </w:r>
                </w:p>
              </w:tc>
            </w:tr>
            <w:tr w14:paraId="286D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581" w:type="dxa"/>
                  <w:vMerge w:val="restart"/>
                  <w:noWrap w:val="0"/>
                  <w:vAlign w:val="center"/>
                </w:tcPr>
                <w:p w14:paraId="25BBB3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ZH34060220041</w:t>
                  </w:r>
                </w:p>
              </w:tc>
              <w:tc>
                <w:tcPr>
                  <w:tcW w:w="763" w:type="dxa"/>
                  <w:vMerge w:val="restart"/>
                  <w:noWrap w:val="0"/>
                  <w:vAlign w:val="center"/>
                </w:tcPr>
                <w:p w14:paraId="0703CD9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沿淮绿色生态廊道区-重点管控单元18</w:t>
                  </w:r>
                </w:p>
              </w:tc>
              <w:tc>
                <w:tcPr>
                  <w:tcW w:w="723" w:type="dxa"/>
                  <w:noWrap w:val="0"/>
                  <w:vAlign w:val="center"/>
                </w:tcPr>
                <w:p w14:paraId="0852D2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空间布局约束</w:t>
                  </w:r>
                </w:p>
              </w:tc>
              <w:tc>
                <w:tcPr>
                  <w:tcW w:w="4212" w:type="dxa"/>
                  <w:noWrap w:val="0"/>
                  <w:vAlign w:val="center"/>
                </w:tcPr>
                <w:p w14:paraId="54D68AE0">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禁止在淮河流域新建化学制浆造纸企业和印染、制革、化工、电镀、酿造等污染严重的小型企业。</w:t>
                  </w:r>
                </w:p>
                <w:p w14:paraId="3AA0C3AD">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在饮用水水源保护区内，禁止设置排污口。在风景名胜区水体、重要渔业水体和其他具有特殊经济文化价值的水体的保护区内，不得新建排污口。</w:t>
                  </w:r>
                </w:p>
                <w:p w14:paraId="44417E57">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禁止下列行为：</w:t>
                  </w:r>
                </w:p>
                <w:p w14:paraId="7F94C079">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（1）向水体排放或者倾倒油类、酸液、碱液和其他有毒有害液体；</w:t>
                  </w:r>
                </w:p>
                <w:p w14:paraId="13429D8F">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（2）在水体中清洗装贮过有毒有害污染物的车辆、船舶和容器；</w:t>
                  </w:r>
                </w:p>
                <w:p w14:paraId="102A1906">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（3）向水体排放、倾倒含有汞、镉、砷、铬、铅、氰化物、黄磷等可溶性剧毒废液或者将上述物质直接埋入地下；</w:t>
                  </w:r>
                </w:p>
                <w:p w14:paraId="60087B63">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（4）向水体排放、倾倒工业废渣、城镇垃圾和其他废弃物；</w:t>
                  </w:r>
                </w:p>
                <w:p w14:paraId="5692F2B2">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（5）向水体排放、倾倒放射性固体废弃物或者放射性废水；</w:t>
                  </w:r>
                </w:p>
                <w:p w14:paraId="7F7A0D19">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（6）利用渗井、渗坑、裂隙、溶洞、塌陷区和废弃矿坑排放、倾倒，或者利用无防渗措施的沟渠、坑塘输送或者存贮含毒污染物或者病原体的废水和其他废弃物；</w:t>
                  </w:r>
                </w:p>
                <w:p w14:paraId="3E2192D9">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（7）在河流、湖泊、运河、渠道、水库最高水位线以下的滩地和岸坡堆放、贮存固体废弃物和其他污染物；</w:t>
                  </w:r>
                </w:p>
                <w:p w14:paraId="59691A55">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（8）围湖和其他破坏水环境生态平衡的活动；</w:t>
                  </w:r>
                </w:p>
                <w:p w14:paraId="009DA234">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（9）引进不符合国家环境保护规定要求的技术和设备；</w:t>
                  </w:r>
                </w:p>
                <w:p w14:paraId="311886C0">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（10）法律、法规禁止的其他行为。</w:t>
                  </w:r>
                </w:p>
              </w:tc>
              <w:tc>
                <w:tcPr>
                  <w:tcW w:w="743" w:type="dxa"/>
                  <w:noWrap w:val="0"/>
                  <w:vAlign w:val="center"/>
                </w:tcPr>
                <w:p w14:paraId="5C814B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rPr>
                    <w:t>本项目废水不</w:t>
                  </w:r>
                  <w:r>
                    <w:rPr>
                      <w:rFonts w:hint="default" w:ascii="Times New Roman" w:hAnsi="Times New Roman" w:eastAsia="宋体" w:cs="Times New Roman"/>
                      <w:color w:val="auto"/>
                      <w:kern w:val="0"/>
                      <w:sz w:val="21"/>
                      <w:szCs w:val="21"/>
                      <w:lang w:val="en-US" w:eastAsia="zh-CN"/>
                    </w:rPr>
                    <w:t>直接</w:t>
                  </w:r>
                  <w:r>
                    <w:rPr>
                      <w:rFonts w:hint="default" w:ascii="Times New Roman" w:hAnsi="Times New Roman" w:eastAsia="宋体" w:cs="Times New Roman"/>
                      <w:color w:val="auto"/>
                      <w:kern w:val="0"/>
                      <w:sz w:val="21"/>
                      <w:szCs w:val="21"/>
                    </w:rPr>
                    <w:t>外排，不涉及管控行为。</w:t>
                  </w:r>
                </w:p>
              </w:tc>
              <w:tc>
                <w:tcPr>
                  <w:tcW w:w="506" w:type="dxa"/>
                  <w:noWrap w:val="0"/>
                  <w:vAlign w:val="center"/>
                </w:tcPr>
                <w:p w14:paraId="665B13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14:paraId="6961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581" w:type="dxa"/>
                  <w:vMerge w:val="continue"/>
                  <w:noWrap w:val="0"/>
                  <w:vAlign w:val="center"/>
                </w:tcPr>
                <w:p w14:paraId="269953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p>
              </w:tc>
              <w:tc>
                <w:tcPr>
                  <w:tcW w:w="763" w:type="dxa"/>
                  <w:vMerge w:val="continue"/>
                  <w:noWrap w:val="0"/>
                  <w:vAlign w:val="center"/>
                </w:tcPr>
                <w:p w14:paraId="5888F4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p>
              </w:tc>
              <w:tc>
                <w:tcPr>
                  <w:tcW w:w="723" w:type="dxa"/>
                  <w:noWrap w:val="0"/>
                  <w:vAlign w:val="center"/>
                </w:tcPr>
                <w:p w14:paraId="3BE2B9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污染物排放管控</w:t>
                  </w:r>
                </w:p>
              </w:tc>
              <w:tc>
                <w:tcPr>
                  <w:tcW w:w="4212" w:type="dxa"/>
                  <w:noWrap w:val="0"/>
                  <w:vAlign w:val="center"/>
                </w:tcPr>
                <w:p w14:paraId="7DB723C0">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43.新建、改建、扩建排放重点大气污染物的项目不符合总量控制要求的，不得通过环境影响评价。建筑工程施工现场扬尘污染防治应做到工地周边围挡、物料堆放覆盖、路面硬化、土方开挖湿法作业、出入车辆清洗、渣土车辆密闭运输“六个百分之百”。具体要求执行《建筑工程施工和预拌混凝土生产扬尘污染防治标准》（试行）。裸露地面扬尘、道路扬尘、装卸扬尘控制具体要求从严执行《安徽省大气污染防治条例》和《安徽省打赢蓝天保卫战三年行动计划实施方案》等要求。</w:t>
                  </w:r>
                </w:p>
              </w:tc>
              <w:tc>
                <w:tcPr>
                  <w:tcW w:w="743" w:type="dxa"/>
                  <w:noWrap w:val="0"/>
                  <w:vAlign w:val="center"/>
                </w:tcPr>
                <w:p w14:paraId="7A5B1D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本项目为新建项目，总量控制符合要求。项目施工期实行“六个百分之百”</w:t>
                  </w:r>
                </w:p>
              </w:tc>
              <w:tc>
                <w:tcPr>
                  <w:tcW w:w="506" w:type="dxa"/>
                  <w:noWrap w:val="0"/>
                  <w:vAlign w:val="center"/>
                </w:tcPr>
                <w:p w14:paraId="64E5B2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14:paraId="19C3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581" w:type="dxa"/>
                  <w:vMerge w:val="continue"/>
                  <w:noWrap w:val="0"/>
                  <w:vAlign w:val="center"/>
                </w:tcPr>
                <w:p w14:paraId="10EE22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p>
              </w:tc>
              <w:tc>
                <w:tcPr>
                  <w:tcW w:w="763" w:type="dxa"/>
                  <w:vMerge w:val="continue"/>
                  <w:noWrap w:val="0"/>
                  <w:vAlign w:val="center"/>
                </w:tcPr>
                <w:p w14:paraId="328A4C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p>
              </w:tc>
              <w:tc>
                <w:tcPr>
                  <w:tcW w:w="723" w:type="dxa"/>
                  <w:noWrap w:val="0"/>
                  <w:vAlign w:val="center"/>
                </w:tcPr>
                <w:p w14:paraId="413525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资源开发效率</w:t>
                  </w:r>
                </w:p>
                <w:p w14:paraId="2C8069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要求</w:t>
                  </w:r>
                </w:p>
              </w:tc>
              <w:tc>
                <w:tcPr>
                  <w:tcW w:w="4212" w:type="dxa"/>
                  <w:noWrap w:val="0"/>
                  <w:vAlign w:val="center"/>
                </w:tcPr>
                <w:p w14:paraId="7E24F1D3">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2.产生、收集、贮存、运输、利用、处置固</w:t>
                  </w:r>
                </w:p>
                <w:p w14:paraId="3F428A90">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体废物的单位和个人，应当采取措施，防止或者减少固体废物对环境的污染，对所造成的环境污染依法承担责任。3.城市建设用地规模应当符合国家规定的标准，充分利用现有建设用地，不占或者尽量少占农用地。4.国家保护耕地，严格控制耕地转为非耕地。5.禁止占用耕地建窑、建坟或者擅自在耕地上建房、挖砂、采石、采矿、取土等。6.禁止占用永久基本农田发展林果业和挖塘养鱼。7.禁止任何单位和个人闲置、荒芜耕地。8.禁止毁坏森林、草原开垦耕地，禁止围湖造田和侵占江河滩地。9.农村村民一户只能拥有一处宅基地，其宅基地的面积不得超过省、自治区、直辖市规定的标准。10.禁止单位和个人在土地利用总体规划确定的禁止开垦区内从事土地开发活动。11.土地复垦义务人在生产建设活动中应当遵循“保护、预防和控制为主，生产建设与复垦相结合”的原则，禁止不按照规定排放废气、废水、废渣、粉灰、废油等。12.任何单位和个人不得为退耕还林者指定种苗供应商。13.退耕还林者应当按照作业设计和合同的要求植树种草。禁止林粮间作和破坏原有林草植被的行为。</w:t>
                  </w:r>
                </w:p>
              </w:tc>
              <w:tc>
                <w:tcPr>
                  <w:tcW w:w="743" w:type="dxa"/>
                  <w:noWrap w:val="0"/>
                  <w:vAlign w:val="center"/>
                </w:tcPr>
                <w:p w14:paraId="3237B0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项目产生的固废均得到合理利用，无固废外排。项目用地为</w:t>
                  </w:r>
                  <w:r>
                    <w:rPr>
                      <w:rFonts w:hint="default" w:ascii="Times New Roman" w:hAnsi="Times New Roman" w:eastAsia="宋体" w:cs="Times New Roman"/>
                      <w:color w:val="auto"/>
                      <w:kern w:val="0"/>
                      <w:sz w:val="21"/>
                      <w:szCs w:val="21"/>
                      <w:lang w:val="en-US" w:eastAsia="zh-CN" w:bidi="ar"/>
                    </w:rPr>
                    <w:t>工业</w:t>
                  </w:r>
                  <w:r>
                    <w:rPr>
                      <w:rFonts w:hint="default" w:ascii="Times New Roman" w:hAnsi="Times New Roman" w:eastAsia="宋体" w:cs="Times New Roman"/>
                      <w:color w:val="auto"/>
                      <w:kern w:val="0"/>
                      <w:sz w:val="21"/>
                      <w:szCs w:val="21"/>
                      <w:lang w:eastAsia="zh-CN" w:bidi="ar"/>
                    </w:rPr>
                    <w:t>用地</w:t>
                  </w:r>
                  <w:r>
                    <w:rPr>
                      <w:rFonts w:hint="default" w:ascii="Times New Roman" w:hAnsi="Times New Roman" w:eastAsia="宋体" w:cs="Times New Roman"/>
                      <w:color w:val="auto"/>
                      <w:kern w:val="0"/>
                      <w:sz w:val="21"/>
                      <w:szCs w:val="21"/>
                      <w:lang w:bidi="ar"/>
                    </w:rPr>
                    <w:t>，项目的建设不占用农用地、耕地等。</w:t>
                  </w:r>
                </w:p>
              </w:tc>
              <w:tc>
                <w:tcPr>
                  <w:tcW w:w="506" w:type="dxa"/>
                  <w:noWrap w:val="0"/>
                  <w:vAlign w:val="center"/>
                </w:tcPr>
                <w:p w14:paraId="4FAB84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bl>
          <w:p w14:paraId="46DED34A">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本项目废水、</w:t>
            </w:r>
            <w:r>
              <w:rPr>
                <w:rFonts w:hint="eastAsia" w:ascii="Times New Roman" w:hAnsi="Times New Roman" w:cs="Times New Roman"/>
                <w:color w:val="auto"/>
                <w:szCs w:val="24"/>
                <w:lang w:val="en-US" w:eastAsia="zh-CN"/>
              </w:rPr>
              <w:t>废气、</w:t>
            </w:r>
            <w:r>
              <w:rPr>
                <w:rFonts w:hint="default" w:ascii="Times New Roman" w:hAnsi="Times New Roman" w:cs="Times New Roman"/>
                <w:color w:val="auto"/>
                <w:szCs w:val="24"/>
              </w:rPr>
              <w:t>固废等污染物均采取有效防治措施，一般情况下无土壤环境污染途径，对土壤环境影响较小。</w:t>
            </w:r>
          </w:p>
          <w:p w14:paraId="26FB8BDB">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rPr>
              <w:t>（3）</w:t>
            </w:r>
            <w:r>
              <w:rPr>
                <w:rFonts w:hint="default" w:ascii="Times New Roman" w:hAnsi="Times New Roman" w:cs="Times New Roman"/>
                <w:color w:val="auto"/>
                <w:szCs w:val="24"/>
              </w:rPr>
              <w:t>与资源利用上线相符性分析</w:t>
            </w:r>
          </w:p>
          <w:p w14:paraId="47AC6CE5">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项目用水来自市政供水管网</w:t>
            </w:r>
            <w:r>
              <w:rPr>
                <w:rFonts w:hint="eastAsia" w:ascii="Times New Roman" w:hAnsi="Times New Roman" w:cs="Times New Roman"/>
                <w:color w:val="auto"/>
                <w:szCs w:val="24"/>
              </w:rPr>
              <w:t>，用水量较小</w:t>
            </w:r>
            <w:r>
              <w:rPr>
                <w:rFonts w:hint="default" w:ascii="Times New Roman" w:hAnsi="Times New Roman" w:cs="Times New Roman"/>
                <w:color w:val="auto"/>
                <w:szCs w:val="24"/>
              </w:rPr>
              <w:t>；用电由市政电网所供给；用地为</w:t>
            </w:r>
            <w:r>
              <w:rPr>
                <w:rFonts w:hint="eastAsia" w:ascii="Times New Roman" w:hAnsi="Times New Roman" w:cs="Times New Roman"/>
                <w:color w:val="auto"/>
                <w:szCs w:val="24"/>
                <w:lang w:val="en-US" w:eastAsia="zh-CN"/>
              </w:rPr>
              <w:t>工业</w:t>
            </w:r>
            <w:r>
              <w:rPr>
                <w:rFonts w:hint="eastAsia" w:ascii="Times New Roman" w:hAnsi="Times New Roman" w:cs="Times New Roman"/>
                <w:color w:val="auto"/>
                <w:szCs w:val="24"/>
                <w:lang w:eastAsia="zh-CN"/>
              </w:rPr>
              <w:t>用地</w:t>
            </w:r>
            <w:r>
              <w:rPr>
                <w:rFonts w:hint="default" w:ascii="Times New Roman" w:hAnsi="Times New Roman" w:cs="Times New Roman"/>
                <w:color w:val="auto"/>
                <w:szCs w:val="24"/>
              </w:rPr>
              <w:t>，符合当地土地规划要求</w:t>
            </w:r>
            <w:r>
              <w:rPr>
                <w:rFonts w:hint="eastAsia" w:ascii="Times New Roman" w:hAnsi="Times New Roman" w:cs="Times New Roman"/>
                <w:color w:val="auto"/>
                <w:szCs w:val="24"/>
              </w:rPr>
              <w:t>。</w:t>
            </w:r>
            <w:r>
              <w:rPr>
                <w:rFonts w:hint="default" w:ascii="Times New Roman" w:hAnsi="Times New Roman" w:cs="Times New Roman"/>
                <w:color w:val="auto"/>
                <w:szCs w:val="24"/>
              </w:rPr>
              <w:t>项目对当地资源利用的影响较小。</w:t>
            </w:r>
          </w:p>
          <w:p w14:paraId="2507BDD3">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rPr>
              <w:t>（4）与</w:t>
            </w:r>
            <w:r>
              <w:rPr>
                <w:rFonts w:hint="default" w:ascii="Times New Roman" w:hAnsi="Times New Roman" w:cs="Times New Roman"/>
                <w:color w:val="auto"/>
                <w:szCs w:val="24"/>
              </w:rPr>
              <w:t>环境准入清单相符性分析</w:t>
            </w:r>
          </w:p>
          <w:p w14:paraId="7E6379E5">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rPr>
              <w:t>本</w:t>
            </w:r>
            <w:r>
              <w:rPr>
                <w:rFonts w:hint="default" w:ascii="Times New Roman" w:hAnsi="Times New Roman" w:cs="Times New Roman"/>
                <w:color w:val="auto"/>
                <w:szCs w:val="24"/>
              </w:rPr>
              <w:t>项目属于</w:t>
            </w:r>
            <w:r>
              <w:rPr>
                <w:rFonts w:hint="eastAsia" w:ascii="Times New Roman" w:hAnsi="Times New Roman" w:cs="Times New Roman"/>
                <w:color w:val="auto"/>
                <w:szCs w:val="24"/>
                <w:lang w:eastAsia="zh-CN"/>
              </w:rPr>
              <w:t>汽车零部件及配件制造</w:t>
            </w:r>
            <w:r>
              <w:rPr>
                <w:rFonts w:hint="default" w:ascii="Times New Roman" w:hAnsi="Times New Roman" w:cs="Times New Roman"/>
                <w:color w:val="auto"/>
                <w:szCs w:val="24"/>
              </w:rPr>
              <w:t>，</w:t>
            </w:r>
            <w:r>
              <w:rPr>
                <w:rFonts w:hint="eastAsia" w:ascii="Times New Roman" w:hAnsi="Times New Roman" w:cs="Times New Roman"/>
                <w:color w:val="auto"/>
                <w:szCs w:val="24"/>
              </w:rPr>
              <w:t>不属于</w:t>
            </w:r>
            <w:r>
              <w:rPr>
                <w:rFonts w:hint="eastAsia" w:ascii="Times New Roman" w:hAnsi="Times New Roman" w:cs="Times New Roman"/>
                <w:color w:val="auto"/>
                <w:szCs w:val="24"/>
                <w:lang w:eastAsia="zh-CN"/>
              </w:rPr>
              <w:t>安徽淮北杜集经济开发区总体发展规划</w:t>
            </w:r>
            <w:r>
              <w:rPr>
                <w:rFonts w:hint="eastAsia" w:ascii="Times New Roman" w:hAnsi="Times New Roman" w:cs="Times New Roman"/>
                <w:color w:val="auto"/>
                <w:szCs w:val="24"/>
              </w:rPr>
              <w:t>禁止范围之列，</w:t>
            </w:r>
            <w:r>
              <w:rPr>
                <w:rFonts w:hint="default" w:ascii="Times New Roman" w:hAnsi="Times New Roman" w:cs="Times New Roman"/>
                <w:color w:val="auto"/>
                <w:szCs w:val="24"/>
              </w:rPr>
              <w:t>建设项目符合</w:t>
            </w:r>
            <w:r>
              <w:rPr>
                <w:rFonts w:hint="eastAsia" w:ascii="Times New Roman" w:hAnsi="Times New Roman" w:cs="Times New Roman"/>
                <w:color w:val="auto"/>
                <w:szCs w:val="24"/>
              </w:rPr>
              <w:t>《产业结构调整指导目录（2024年本）》</w:t>
            </w:r>
            <w:r>
              <w:rPr>
                <w:rFonts w:hint="default" w:ascii="Times New Roman" w:hAnsi="Times New Roman" w:cs="Times New Roman"/>
                <w:color w:val="auto"/>
                <w:szCs w:val="24"/>
              </w:rPr>
              <w:t>、《市场准入负面清单（2022年版）》、《安徽省工业产业结构调整指导目录》（2007年本）要求，项目已经</w:t>
            </w:r>
            <w:r>
              <w:rPr>
                <w:rFonts w:hint="eastAsia" w:ascii="Times New Roman" w:hAnsi="Times New Roman" w:cs="Times New Roman"/>
                <w:color w:val="auto"/>
                <w:szCs w:val="24"/>
                <w:lang w:eastAsia="zh-CN"/>
              </w:rPr>
              <w:t>安徽淮北杜集经济开发区管理委员会</w:t>
            </w:r>
            <w:r>
              <w:rPr>
                <w:rFonts w:hint="default" w:ascii="Times New Roman" w:hAnsi="Times New Roman" w:cs="Times New Roman"/>
                <w:color w:val="auto"/>
                <w:szCs w:val="24"/>
              </w:rPr>
              <w:t>备案，不属于负面清单类企业。</w:t>
            </w:r>
          </w:p>
          <w:p w14:paraId="2166113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 xml:space="preserve">  淮北市生态环境准入清单对比表</w:t>
            </w:r>
          </w:p>
          <w:tbl>
            <w:tblPr>
              <w:tblStyle w:val="21"/>
              <w:tblW w:w="7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930"/>
              <w:gridCol w:w="3750"/>
              <w:gridCol w:w="2175"/>
            </w:tblGrid>
            <w:tr w14:paraId="4002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9" w:type="dxa"/>
                  <w:noWrap w:val="0"/>
                  <w:vAlign w:val="center"/>
                </w:tcPr>
                <w:p w14:paraId="00E9CA5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管控类别</w:t>
                  </w:r>
                </w:p>
              </w:tc>
              <w:tc>
                <w:tcPr>
                  <w:tcW w:w="4680" w:type="dxa"/>
                  <w:gridSpan w:val="2"/>
                  <w:noWrap w:val="0"/>
                  <w:vAlign w:val="center"/>
                </w:tcPr>
                <w:p w14:paraId="69EB176F">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管控要求</w:t>
                  </w:r>
                </w:p>
              </w:tc>
              <w:tc>
                <w:tcPr>
                  <w:tcW w:w="2175" w:type="dxa"/>
                  <w:noWrap w:val="0"/>
                  <w:vAlign w:val="center"/>
                </w:tcPr>
                <w:p w14:paraId="471B892E">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本项目符合性</w:t>
                  </w:r>
                </w:p>
              </w:tc>
            </w:tr>
            <w:tr w14:paraId="3EF3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729" w:type="dxa"/>
                  <w:vMerge w:val="restart"/>
                  <w:noWrap w:val="0"/>
                  <w:vAlign w:val="center"/>
                </w:tcPr>
                <w:p w14:paraId="304D88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空间布局约束</w:t>
                  </w:r>
                </w:p>
              </w:tc>
              <w:tc>
                <w:tcPr>
                  <w:tcW w:w="4680" w:type="dxa"/>
                  <w:gridSpan w:val="2"/>
                  <w:noWrap w:val="0"/>
                  <w:vAlign w:val="center"/>
                </w:tcPr>
                <w:p w14:paraId="57E74B4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格落实《中华人民共和国自然保护区条例（2017年修订）》《水产种质资源保护区管理暂行办法（2016年修正本）》《饮用水水源保护区污染防治管理规定》《安徽省城镇饮用水水源保护条例》《国家湿地公园管理办法》《湿地保护管理规程》《中华人民共和国草原法》《安徽省湿地保护条例》《关于特别是作为水禽栖息地的国际重要湿地公约》要求</w:t>
                  </w:r>
                </w:p>
              </w:tc>
              <w:tc>
                <w:tcPr>
                  <w:tcW w:w="2175" w:type="dxa"/>
                  <w:vMerge w:val="restart"/>
                  <w:noWrap w:val="0"/>
                  <w:vAlign w:val="center"/>
                </w:tcPr>
                <w:p w14:paraId="42E5C6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本项目位于</w:t>
                  </w:r>
                  <w:r>
                    <w:rPr>
                      <w:rFonts w:hint="eastAsia" w:cs="Times New Roman"/>
                      <w:color w:val="auto"/>
                      <w:kern w:val="0"/>
                      <w:szCs w:val="21"/>
                      <w:lang w:eastAsia="zh-CN"/>
                    </w:rPr>
                    <w:t>安徽省淮北市杜集区杜集经济开发产业园二期标准化厂房4号厂房、2号厂房</w:t>
                  </w:r>
                  <w:r>
                    <w:rPr>
                      <w:rFonts w:hint="default" w:ascii="Times New Roman" w:hAnsi="Times New Roman" w:cs="Times New Roman"/>
                      <w:color w:val="auto"/>
                      <w:kern w:val="0"/>
                      <w:szCs w:val="21"/>
                    </w:rPr>
                    <w:t>，所在区域不涉及自然保护区、水源保护区、种植资源保护区和湿地，且不涉及禁止和限制区域。</w:t>
                  </w:r>
                </w:p>
              </w:tc>
            </w:tr>
            <w:tr w14:paraId="417E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29" w:type="dxa"/>
                  <w:vMerge w:val="continue"/>
                  <w:noWrap w:val="0"/>
                  <w:vAlign w:val="center"/>
                </w:tcPr>
                <w:p w14:paraId="19CB4ED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4680" w:type="dxa"/>
                  <w:gridSpan w:val="2"/>
                  <w:noWrap w:val="0"/>
                  <w:vAlign w:val="center"/>
                </w:tcPr>
                <w:p w14:paraId="3D92595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水土保持功能区禁止在二十度以上陡坡地开垦种质农作物。禁止在崩塌、滑坡危险区和泥石流易发区从事取土、挖砂、采石等可能造成水土流失的活动。防风固沙极重要和重要区禁止开垦、开发植物保护带；禁止在水土流失重点预防区和重点治理区铲草皮、挖树等。</w:t>
                  </w:r>
                </w:p>
              </w:tc>
              <w:tc>
                <w:tcPr>
                  <w:tcW w:w="2175" w:type="dxa"/>
                  <w:vMerge w:val="continue"/>
                  <w:noWrap w:val="0"/>
                  <w:vAlign w:val="center"/>
                </w:tcPr>
                <w:p w14:paraId="6C9D406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r>
            <w:tr w14:paraId="585F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729" w:type="dxa"/>
                  <w:vMerge w:val="continue"/>
                  <w:noWrap w:val="0"/>
                  <w:vAlign w:val="center"/>
                </w:tcPr>
                <w:p w14:paraId="5797551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4680" w:type="dxa"/>
                  <w:gridSpan w:val="2"/>
                  <w:noWrap w:val="0"/>
                  <w:vAlign w:val="center"/>
                </w:tcPr>
                <w:p w14:paraId="5B50BA2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生物多样性维护生态功能区的大规模水电开发和林纸一体化产业发展。禁止各种损害栖息地的经济社会活动和生产方式，如无序采矿、毁林开荒、湿地和草地开垦等。禁止滥捕、乱采，乱猎等行为，加强外来入侵物种管理。</w:t>
                  </w:r>
                </w:p>
              </w:tc>
              <w:tc>
                <w:tcPr>
                  <w:tcW w:w="2175" w:type="dxa"/>
                  <w:vMerge w:val="continue"/>
                  <w:noWrap w:val="0"/>
                  <w:vAlign w:val="center"/>
                </w:tcPr>
                <w:p w14:paraId="00CCAA6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r>
            <w:tr w14:paraId="3F52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9" w:type="dxa"/>
                  <w:vMerge w:val="continue"/>
                  <w:noWrap w:val="0"/>
                  <w:vAlign w:val="center"/>
                </w:tcPr>
                <w:p w14:paraId="6ED0D93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4680" w:type="dxa"/>
                  <w:gridSpan w:val="2"/>
                  <w:noWrap w:val="0"/>
                  <w:vAlign w:val="center"/>
                </w:tcPr>
                <w:p w14:paraId="34C8F69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禁止砍伐、樵采、开垦、放牧、采药、狩猎、勘探、开矿和滥用水资源等一切破坏植被的活动。</w:t>
                  </w:r>
                </w:p>
              </w:tc>
              <w:tc>
                <w:tcPr>
                  <w:tcW w:w="2175" w:type="dxa"/>
                  <w:noWrap w:val="0"/>
                  <w:vAlign w:val="center"/>
                </w:tcPr>
                <w:p w14:paraId="1396FDD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w:t>
                  </w:r>
                </w:p>
              </w:tc>
            </w:tr>
            <w:tr w14:paraId="7D76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Merge w:val="restart"/>
                  <w:noWrap w:val="0"/>
                  <w:vAlign w:val="center"/>
                </w:tcPr>
                <w:p w14:paraId="39EB571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污染物排放管控</w:t>
                  </w:r>
                </w:p>
              </w:tc>
              <w:tc>
                <w:tcPr>
                  <w:tcW w:w="930" w:type="dxa"/>
                  <w:vMerge w:val="restart"/>
                  <w:noWrap w:val="0"/>
                  <w:vAlign w:val="center"/>
                </w:tcPr>
                <w:p w14:paraId="6084509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环境质量目标</w:t>
                  </w:r>
                </w:p>
              </w:tc>
              <w:tc>
                <w:tcPr>
                  <w:tcW w:w="3750" w:type="dxa"/>
                  <w:noWrap w:val="0"/>
                  <w:vAlign w:val="center"/>
                </w:tcPr>
                <w:p w14:paraId="4A5562F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大气环境质量持续改善。</w:t>
                  </w:r>
                </w:p>
              </w:tc>
              <w:tc>
                <w:tcPr>
                  <w:tcW w:w="2175" w:type="dxa"/>
                  <w:noWrap w:val="0"/>
                  <w:vAlign w:val="center"/>
                </w:tcPr>
                <w:p w14:paraId="2C7D484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根据淮北市生态环境局网站公开的《202</w:t>
                  </w:r>
                  <w:r>
                    <w:rPr>
                      <w:rFonts w:hint="eastAsia" w:cs="Times New Roman"/>
                      <w:color w:val="auto"/>
                      <w:kern w:val="0"/>
                      <w:szCs w:val="21"/>
                      <w:lang w:val="en-US" w:eastAsia="zh-CN"/>
                    </w:rPr>
                    <w:t>4</w:t>
                  </w:r>
                  <w:r>
                    <w:rPr>
                      <w:rFonts w:hint="default" w:ascii="Times New Roman" w:hAnsi="Times New Roman" w:cs="Times New Roman"/>
                      <w:color w:val="auto"/>
                      <w:kern w:val="0"/>
                      <w:szCs w:val="21"/>
                    </w:rPr>
                    <w:t>年度淮北市生态环境状况公报》，202</w:t>
                  </w:r>
                  <w:r>
                    <w:rPr>
                      <w:rFonts w:hint="eastAsia" w:cs="Times New Roman"/>
                      <w:color w:val="auto"/>
                      <w:kern w:val="0"/>
                      <w:szCs w:val="21"/>
                      <w:lang w:val="en-US" w:eastAsia="zh-CN"/>
                    </w:rPr>
                    <w:t>4</w:t>
                  </w:r>
                  <w:r>
                    <w:rPr>
                      <w:rFonts w:hint="default" w:ascii="Times New Roman" w:hAnsi="Times New Roman" w:cs="Times New Roman"/>
                      <w:color w:val="auto"/>
                      <w:kern w:val="0"/>
                      <w:szCs w:val="21"/>
                    </w:rPr>
                    <w:t>年淮北市环境空气质量属于不达标区，通过市政府大力推进锅炉淘汰改造、施工工地扬尘治理、强化移动污染源防治等系列整治措施，区域大气环境将得到改善。</w:t>
                  </w:r>
                </w:p>
              </w:tc>
            </w:tr>
            <w:tr w14:paraId="7E74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729" w:type="dxa"/>
                  <w:vMerge w:val="continue"/>
                  <w:noWrap w:val="0"/>
                  <w:vAlign w:val="center"/>
                </w:tcPr>
                <w:p w14:paraId="11BCF11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930" w:type="dxa"/>
                  <w:vMerge w:val="continue"/>
                  <w:noWrap w:val="0"/>
                  <w:vAlign w:val="center"/>
                </w:tcPr>
                <w:p w14:paraId="579B1A0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3750" w:type="dxa"/>
                  <w:noWrap w:val="0"/>
                  <w:vAlign w:val="center"/>
                </w:tcPr>
                <w:p w14:paraId="049FA50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水环境质量持续改善。</w:t>
                  </w:r>
                </w:p>
              </w:tc>
              <w:tc>
                <w:tcPr>
                  <w:tcW w:w="2175" w:type="dxa"/>
                  <w:noWrap w:val="0"/>
                  <w:vAlign w:val="center"/>
                </w:tcPr>
                <w:p w14:paraId="4B19E8E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olor w:val="auto"/>
                      <w:kern w:val="0"/>
                      <w:szCs w:val="21"/>
                      <w:lang w:val="en-US" w:eastAsia="zh-CN"/>
                    </w:rPr>
                    <w:t>生活</w:t>
                  </w:r>
                  <w:r>
                    <w:rPr>
                      <w:rFonts w:hint="eastAsia"/>
                      <w:color w:val="auto"/>
                      <w:kern w:val="0"/>
                      <w:szCs w:val="21"/>
                    </w:rPr>
                    <w:t>污水经</w:t>
                  </w:r>
                  <w:r>
                    <w:rPr>
                      <w:rFonts w:hint="eastAsia"/>
                      <w:color w:val="auto"/>
                      <w:kern w:val="0"/>
                      <w:szCs w:val="21"/>
                      <w:lang w:val="en-US" w:eastAsia="zh-CN"/>
                    </w:rPr>
                    <w:t>产业园现有的化粪池收集后排入园区污水</w:t>
                  </w:r>
                  <w:r>
                    <w:rPr>
                      <w:rFonts w:hint="eastAsia"/>
                      <w:color w:val="auto"/>
                      <w:kern w:val="0"/>
                      <w:szCs w:val="21"/>
                    </w:rPr>
                    <w:t>管网，进入龙湖污水处理厂集中处理后达标排放。</w:t>
                  </w:r>
                  <w:r>
                    <w:rPr>
                      <w:rFonts w:hint="eastAsia"/>
                      <w:color w:val="auto"/>
                      <w:kern w:val="0"/>
                      <w:szCs w:val="21"/>
                      <w:lang w:val="en-US" w:eastAsia="zh-CN"/>
                    </w:rPr>
                    <w:t>循</w:t>
                  </w:r>
                  <w:r>
                    <w:rPr>
                      <w:rFonts w:hint="eastAsia"/>
                      <w:color w:val="auto"/>
                      <w:kern w:val="0"/>
                      <w:szCs w:val="21"/>
                    </w:rPr>
                    <w:t>环冷却水排水为清净下水，直接通过市政污水管网进入污水处理厂进行深度处理</w:t>
                  </w:r>
                  <w:r>
                    <w:rPr>
                      <w:rFonts w:hint="eastAsia"/>
                      <w:color w:val="auto"/>
                      <w:kern w:val="0"/>
                      <w:szCs w:val="21"/>
                      <w:lang w:eastAsia="zh-CN"/>
                    </w:rPr>
                    <w:t>。</w:t>
                  </w:r>
                </w:p>
              </w:tc>
            </w:tr>
            <w:tr w14:paraId="7D1D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29" w:type="dxa"/>
                  <w:vMerge w:val="continue"/>
                  <w:noWrap w:val="0"/>
                  <w:vAlign w:val="center"/>
                </w:tcPr>
                <w:p w14:paraId="1F74466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930" w:type="dxa"/>
                  <w:vMerge w:val="continue"/>
                  <w:noWrap w:val="0"/>
                  <w:vAlign w:val="center"/>
                </w:tcPr>
                <w:p w14:paraId="01AFF6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3750" w:type="dxa"/>
                  <w:noWrap w:val="0"/>
                  <w:vAlign w:val="center"/>
                </w:tcPr>
                <w:p w14:paraId="7C74871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污染地块安全利用率达到省下达指标</w:t>
                  </w:r>
                </w:p>
              </w:tc>
              <w:tc>
                <w:tcPr>
                  <w:tcW w:w="2175" w:type="dxa"/>
                  <w:noWrap w:val="0"/>
                  <w:vAlign w:val="center"/>
                </w:tcPr>
                <w:p w14:paraId="2557B5A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1DBB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9" w:type="dxa"/>
                  <w:vMerge w:val="restart"/>
                  <w:noWrap w:val="0"/>
                  <w:vAlign w:val="center"/>
                </w:tcPr>
                <w:p w14:paraId="0960AA2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污染物排放管控</w:t>
                  </w:r>
                </w:p>
              </w:tc>
              <w:tc>
                <w:tcPr>
                  <w:tcW w:w="930" w:type="dxa"/>
                  <w:vMerge w:val="restart"/>
                  <w:noWrap w:val="0"/>
                  <w:vAlign w:val="center"/>
                </w:tcPr>
                <w:p w14:paraId="7F3D02C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污染物控制要求</w:t>
                  </w:r>
                </w:p>
              </w:tc>
              <w:tc>
                <w:tcPr>
                  <w:tcW w:w="3750" w:type="dxa"/>
                  <w:noWrap w:val="0"/>
                  <w:vAlign w:val="center"/>
                </w:tcPr>
                <w:p w14:paraId="3F0B65B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加快城镇污水处理设施建设与改造，现有城镇污水处理设施，要因地制宜进行改造。</w:t>
                  </w:r>
                </w:p>
              </w:tc>
              <w:tc>
                <w:tcPr>
                  <w:tcW w:w="2175" w:type="dxa"/>
                  <w:noWrap w:val="0"/>
                  <w:vAlign w:val="center"/>
                </w:tcPr>
                <w:p w14:paraId="47AC986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5E7E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729" w:type="dxa"/>
                  <w:vMerge w:val="continue"/>
                  <w:noWrap w:val="0"/>
                  <w:vAlign w:val="center"/>
                </w:tcPr>
                <w:p w14:paraId="4BDA765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930" w:type="dxa"/>
                  <w:vMerge w:val="continue"/>
                  <w:noWrap w:val="0"/>
                  <w:vAlign w:val="center"/>
                </w:tcPr>
                <w:p w14:paraId="0C50F7D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3750" w:type="dxa"/>
                  <w:noWrap w:val="0"/>
                  <w:vAlign w:val="center"/>
                </w:tcPr>
                <w:p w14:paraId="23790F2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因地制宜基本建成生活垃圾分类和处理系统，支持建制镇加快补齐生活垃圾收集、转运和无害化处理设施短板。</w:t>
                  </w:r>
                </w:p>
              </w:tc>
              <w:tc>
                <w:tcPr>
                  <w:tcW w:w="2175" w:type="dxa"/>
                  <w:noWrap w:val="0"/>
                  <w:vAlign w:val="center"/>
                </w:tcPr>
                <w:p w14:paraId="3F4FEDA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7677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29" w:type="dxa"/>
                  <w:noWrap w:val="0"/>
                  <w:vAlign w:val="center"/>
                </w:tcPr>
                <w:p w14:paraId="59246AC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环境风险防控</w:t>
                  </w:r>
                </w:p>
              </w:tc>
              <w:tc>
                <w:tcPr>
                  <w:tcW w:w="4680" w:type="dxa"/>
                  <w:gridSpan w:val="2"/>
                  <w:noWrap w:val="0"/>
                  <w:vAlign w:val="center"/>
                </w:tcPr>
                <w:p w14:paraId="2373564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有效应对突发环境事件，强化“一废一品一库”管理，完善突发环境事件应急预案体系以及环境风险三级防控体系。</w:t>
                  </w:r>
                </w:p>
              </w:tc>
              <w:tc>
                <w:tcPr>
                  <w:tcW w:w="2175" w:type="dxa"/>
                  <w:noWrap w:val="0"/>
                  <w:vAlign w:val="center"/>
                </w:tcPr>
                <w:p w14:paraId="78AB501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535A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29" w:type="dxa"/>
                  <w:vMerge w:val="restart"/>
                  <w:noWrap w:val="0"/>
                  <w:vAlign w:val="center"/>
                </w:tcPr>
                <w:p w14:paraId="2B956BB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资源利用要求</w:t>
                  </w:r>
                </w:p>
              </w:tc>
              <w:tc>
                <w:tcPr>
                  <w:tcW w:w="930" w:type="dxa"/>
                  <w:noWrap w:val="0"/>
                  <w:vAlign w:val="center"/>
                </w:tcPr>
                <w:p w14:paraId="50F29C2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水资源</w:t>
                  </w:r>
                </w:p>
              </w:tc>
              <w:tc>
                <w:tcPr>
                  <w:tcW w:w="3750" w:type="dxa"/>
                  <w:noWrap w:val="0"/>
                  <w:vAlign w:val="center"/>
                </w:tcPr>
                <w:p w14:paraId="1AA4FC9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达到省下达指标</w:t>
                  </w:r>
                </w:p>
              </w:tc>
              <w:tc>
                <w:tcPr>
                  <w:tcW w:w="2175" w:type="dxa"/>
                  <w:noWrap w:val="0"/>
                  <w:vAlign w:val="center"/>
                </w:tcPr>
                <w:p w14:paraId="0410E3E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本项目用水量较少，因此，项目对区域水资源总量影响很小。</w:t>
                  </w:r>
                </w:p>
              </w:tc>
            </w:tr>
            <w:tr w14:paraId="49F3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29" w:type="dxa"/>
                  <w:vMerge w:val="continue"/>
                  <w:noWrap w:val="0"/>
                  <w:vAlign w:val="center"/>
                </w:tcPr>
                <w:p w14:paraId="113C8C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930" w:type="dxa"/>
                  <w:noWrap w:val="0"/>
                  <w:vAlign w:val="center"/>
                </w:tcPr>
                <w:p w14:paraId="2A721B9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土地资源</w:t>
                  </w:r>
                </w:p>
              </w:tc>
              <w:tc>
                <w:tcPr>
                  <w:tcW w:w="3750" w:type="dxa"/>
                  <w:noWrap w:val="0"/>
                  <w:vAlign w:val="center"/>
                </w:tcPr>
                <w:p w14:paraId="6B2A97D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达到省下达指标</w:t>
                  </w:r>
                </w:p>
              </w:tc>
              <w:tc>
                <w:tcPr>
                  <w:tcW w:w="2175" w:type="dxa"/>
                  <w:noWrap w:val="0"/>
                  <w:vAlign w:val="center"/>
                </w:tcPr>
                <w:p w14:paraId="0993655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本项目未占用基本农田。因此，本项目的建设，不影响区域土地资源总量。</w:t>
                  </w:r>
                </w:p>
              </w:tc>
            </w:tr>
            <w:tr w14:paraId="0039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29" w:type="dxa"/>
                  <w:vMerge w:val="continue"/>
                  <w:noWrap w:val="0"/>
                  <w:vAlign w:val="center"/>
                </w:tcPr>
                <w:p w14:paraId="5A7E9AD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c>
                <w:tcPr>
                  <w:tcW w:w="930" w:type="dxa"/>
                  <w:noWrap w:val="0"/>
                  <w:vAlign w:val="center"/>
                </w:tcPr>
                <w:p w14:paraId="2187785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能源</w:t>
                  </w:r>
                </w:p>
              </w:tc>
              <w:tc>
                <w:tcPr>
                  <w:tcW w:w="3750" w:type="dxa"/>
                  <w:noWrap w:val="0"/>
                  <w:vAlign w:val="center"/>
                </w:tcPr>
                <w:p w14:paraId="198C1ED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达到省下达指标</w:t>
                  </w:r>
                </w:p>
              </w:tc>
              <w:tc>
                <w:tcPr>
                  <w:tcW w:w="2175" w:type="dxa"/>
                  <w:noWrap w:val="0"/>
                  <w:vAlign w:val="center"/>
                </w:tcPr>
                <w:p w14:paraId="5A93B1C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本项目自身能源消耗小</w:t>
                  </w:r>
                </w:p>
              </w:tc>
            </w:tr>
          </w:tbl>
          <w:p w14:paraId="580FCA52">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综上所述，本项目建设符合“三线一单”相关要求。</w:t>
            </w:r>
          </w:p>
          <w:p w14:paraId="5619C9AA">
            <w:pPr>
              <w:pStyle w:val="60"/>
              <w:keepNext w:val="0"/>
              <w:keepLines w:val="0"/>
              <w:suppressLineNumbers w:val="0"/>
              <w:autoSpaceDE w:val="0"/>
              <w:adjustRightInd w:val="0"/>
              <w:snapToGrid w:val="0"/>
              <w:spacing w:before="0" w:beforeAutospacing="0" w:after="0" w:afterAutospacing="0" w:line="360" w:lineRule="auto"/>
              <w:ind w:left="420" w:right="0" w:firstLine="0"/>
              <w:rPr>
                <w:rFonts w:hint="default" w:ascii="Times New Roman" w:hAnsi="Times New Roman" w:cs="Times New Roman"/>
                <w:b/>
                <w:bCs/>
                <w:color w:val="auto"/>
                <w:kern w:val="0"/>
                <w:sz w:val="24"/>
              </w:rPr>
            </w:pPr>
            <w:r>
              <w:rPr>
                <w:rFonts w:hint="eastAsia" w:ascii="Times New Roman" w:hAnsi="Times New Roman" w:cs="Times New Roman"/>
                <w:b/>
                <w:bCs/>
                <w:color w:val="auto"/>
                <w:kern w:val="0"/>
                <w:sz w:val="24"/>
                <w:lang w:val="en-US" w:eastAsia="zh-CN"/>
              </w:rPr>
              <w:t>四</w:t>
            </w:r>
            <w:r>
              <w:rPr>
                <w:rFonts w:hint="default" w:ascii="Times New Roman" w:hAnsi="Times New Roman" w:cs="Times New Roman"/>
                <w:b/>
                <w:bCs/>
                <w:color w:val="auto"/>
                <w:kern w:val="0"/>
                <w:sz w:val="24"/>
              </w:rPr>
              <w:t>、与《淮北市生态环境保护“十四五”规划》符合性分析</w:t>
            </w:r>
          </w:p>
          <w:p w14:paraId="64AFC0A6">
            <w:pPr>
              <w:pStyle w:val="60"/>
              <w:keepNext w:val="0"/>
              <w:keepLines w:val="0"/>
              <w:suppressLineNumbers w:val="0"/>
              <w:autoSpaceDE w:val="0"/>
              <w:adjustRightInd w:val="0"/>
              <w:snapToGrid w:val="0"/>
              <w:spacing w:before="0" w:beforeAutospacing="0" w:after="0" w:afterAutospacing="0" w:line="360" w:lineRule="auto"/>
              <w:ind w:left="0" w:right="0" w:firstLineChars="200"/>
              <w:rPr>
                <w:rFonts w:hint="default" w:ascii="Times New Roman" w:hAnsi="Times New Roman" w:cs="Times New Roman"/>
                <w:b/>
                <w:bCs/>
                <w:color w:val="auto"/>
                <w:kern w:val="0"/>
                <w:sz w:val="24"/>
              </w:rPr>
            </w:pPr>
            <w:r>
              <w:rPr>
                <w:rFonts w:hint="default" w:ascii="Times New Roman" w:hAnsi="Times New Roman" w:cs="Times New Roman"/>
                <w:color w:val="auto"/>
                <w:sz w:val="24"/>
              </w:rPr>
              <w:t>项目与《淮北市生态环境保护“十四五”规划》的符合性分析见</w:t>
            </w:r>
            <w:r>
              <w:rPr>
                <w:rFonts w:hint="eastAsia" w:ascii="Times New Roman" w:hAnsi="Times New Roman" w:cs="Times New Roman"/>
                <w:color w:val="auto"/>
                <w:sz w:val="24"/>
              </w:rPr>
              <w:t>下表</w:t>
            </w:r>
            <w:r>
              <w:rPr>
                <w:rFonts w:hint="default" w:ascii="Times New Roman" w:hAnsi="Times New Roman" w:cs="Times New Roman"/>
                <w:color w:val="auto"/>
                <w:sz w:val="24"/>
              </w:rPr>
              <w:t>。</w:t>
            </w:r>
          </w:p>
          <w:p w14:paraId="0A30003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表1</w:t>
            </w:r>
            <w:r>
              <w:rPr>
                <w:rFonts w:hint="eastAsia" w:ascii="Times New Roman" w:hAnsi="Times New Roman" w:cs="Times New Roman"/>
                <w:b/>
                <w:bCs/>
                <w:color w:val="auto"/>
                <w:szCs w:val="21"/>
              </w:rPr>
              <w:t>-3</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kern w:val="0"/>
                <w:szCs w:val="21"/>
              </w:rPr>
              <w:t>与《淮北市生态环境保护“十四五”规划》符合性分析</w:t>
            </w:r>
            <w:r>
              <w:rPr>
                <w:rFonts w:hint="default" w:ascii="Times New Roman" w:hAnsi="Times New Roman" w:cs="Times New Roman"/>
                <w:b/>
                <w:bCs/>
                <w:color w:val="auto"/>
                <w:szCs w:val="21"/>
              </w:rPr>
              <w:t>一览表</w:t>
            </w:r>
          </w:p>
          <w:tbl>
            <w:tblPr>
              <w:tblStyle w:val="21"/>
              <w:tblW w:w="75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70"/>
              <w:gridCol w:w="2673"/>
              <w:gridCol w:w="491"/>
            </w:tblGrid>
            <w:tr w14:paraId="275E03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285C368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规划目标</w:t>
                  </w:r>
                </w:p>
              </w:tc>
              <w:tc>
                <w:tcPr>
                  <w:tcW w:w="2673" w:type="dxa"/>
                  <w:noWrap w:val="0"/>
                  <w:vAlign w:val="center"/>
                </w:tcPr>
                <w:p w14:paraId="7DBA5CB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w:t>
                  </w:r>
                </w:p>
              </w:tc>
              <w:tc>
                <w:tcPr>
                  <w:tcW w:w="491" w:type="dxa"/>
                  <w:noWrap w:val="0"/>
                  <w:vAlign w:val="center"/>
                </w:tcPr>
                <w:p w14:paraId="360E4EF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2B4F0B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33FF55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持续淘汰落后产能。</w:t>
                  </w:r>
                  <w:r>
                    <w:rPr>
                      <w:rFonts w:hint="default" w:ascii="Times New Roman" w:hAnsi="Times New Roman" w:cs="Times New Roman"/>
                      <w:color w:val="auto"/>
                      <w:szCs w:val="21"/>
                    </w:rPr>
                    <w:t>严格执行国家和安徽省落后生产能力淘汰政策，加快淘汰一批不具有资源节约和环保优势、产品附加值较低、相对落后和过剩的生产能力。全面排查装备水平低、环保设施差的小型工业企业，开展对环境影响较大的“低小散”落后企业、加工点、作坊的专项整治。推动高污染企业逐步退出，城市建成区内污染较重的企业有序搬迁、改造或依法关闭。</w:t>
                  </w:r>
                </w:p>
              </w:tc>
              <w:tc>
                <w:tcPr>
                  <w:tcW w:w="2673" w:type="dxa"/>
                  <w:noWrap w:val="0"/>
                  <w:vAlign w:val="center"/>
                </w:tcPr>
                <w:p w14:paraId="0A4823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本项目为</w:t>
                  </w:r>
                  <w:r>
                    <w:rPr>
                      <w:rFonts w:hint="eastAsia" w:cs="Times New Roman"/>
                      <w:color w:val="auto"/>
                      <w:szCs w:val="21"/>
                      <w:lang w:eastAsia="zh-CN"/>
                    </w:rPr>
                    <w:t>C3670汽车零部件及配件制造</w:t>
                  </w:r>
                  <w:r>
                    <w:rPr>
                      <w:rFonts w:hint="default" w:ascii="Times New Roman" w:hAnsi="Times New Roman" w:cs="Times New Roman"/>
                      <w:color w:val="auto"/>
                      <w:szCs w:val="21"/>
                    </w:rPr>
                    <w:t>，项目建设符合国家产业政策要求，不属于对环境影响较大的“低小散”落后企业、加工点、作坊。</w:t>
                  </w:r>
                </w:p>
              </w:tc>
              <w:tc>
                <w:tcPr>
                  <w:tcW w:w="491" w:type="dxa"/>
                  <w:noWrap w:val="0"/>
                  <w:vAlign w:val="center"/>
                </w:tcPr>
                <w:p w14:paraId="3F0ACC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7F3FA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5789E22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加强重点污染源监管。</w:t>
                  </w:r>
                  <w:r>
                    <w:rPr>
                      <w:rFonts w:hint="default" w:ascii="Times New Roman" w:hAnsi="Times New Roman" w:cs="Times New Roman"/>
                      <w:color w:val="auto"/>
                      <w:szCs w:val="21"/>
                    </w:rPr>
                    <w:t>动态更新土壤污染重点监管单位名录，落实新改扩项目土壤环境影响评价、污染隐患排查、自行监测、拆除活动污染防治等制度，依法在排污许可证中载明土壤污染防治要求。强化重金属污染防控，持续推进涉重行业企业污染源排查与整治，建立污染源排查整治清单。严格执行重金属污染物排放标准和总量控制要求，严控土壤和地下水新增污染。</w:t>
                  </w:r>
                </w:p>
              </w:tc>
              <w:tc>
                <w:tcPr>
                  <w:tcW w:w="2673" w:type="dxa"/>
                  <w:noWrap w:val="0"/>
                  <w:vAlign w:val="center"/>
                </w:tcPr>
                <w:p w14:paraId="30801F5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本项目对可能造成土壤、地下水污染途径区域进行分区防渗；项目不涉及重金属污染。</w:t>
                  </w:r>
                </w:p>
              </w:tc>
              <w:tc>
                <w:tcPr>
                  <w:tcW w:w="491" w:type="dxa"/>
                  <w:noWrap w:val="0"/>
                  <w:vAlign w:val="center"/>
                </w:tcPr>
                <w:p w14:paraId="46B9DB9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7C8D1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2602678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严格落实地下水环境分区管控。</w:t>
                  </w:r>
                  <w:r>
                    <w:rPr>
                      <w:rFonts w:hint="default" w:ascii="Times New Roman" w:hAnsi="Times New Roman" w:cs="Times New Roman"/>
                      <w:color w:val="auto"/>
                      <w:szCs w:val="21"/>
                    </w:rPr>
                    <w:t>完成地下水污染防治分区划定，形成地下水污染分区、分类防控体系，提出地下水污染分区防治及污染源分类监管措施。严格执行地下水禁采区和限采区划分方案，加强地下水资源保护。建立全市地下水污染防治管理体系，全市地下水环境质量稳定向好。</w:t>
                  </w:r>
                </w:p>
              </w:tc>
              <w:tc>
                <w:tcPr>
                  <w:tcW w:w="2673" w:type="dxa"/>
                  <w:noWrap w:val="0"/>
                  <w:vAlign w:val="center"/>
                </w:tcPr>
                <w:p w14:paraId="3ACB05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本项目严格落实地下水污染分区防治措施，项目用水来自供水管网。</w:t>
                  </w:r>
                </w:p>
              </w:tc>
              <w:tc>
                <w:tcPr>
                  <w:tcW w:w="491" w:type="dxa"/>
                  <w:noWrap w:val="0"/>
                  <w:vAlign w:val="center"/>
                </w:tcPr>
                <w:p w14:paraId="18F2262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238A1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2B592DE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完善工业和社会生活噪声管理。</w:t>
                  </w:r>
                  <w:r>
                    <w:rPr>
                      <w:rFonts w:hint="default" w:ascii="Times New Roman" w:hAnsi="Times New Roman" w:cs="Times New Roman"/>
                      <w:color w:val="auto"/>
                      <w:szCs w:val="21"/>
                    </w:rPr>
                    <w:t>严格执行声环境功能区建设项目准入要求，加强工业噪声污染管控。规范客货流集中区域噪声管理，优化车流、人流通道设置，通过限制装卸货物时间和规范装卸货操作，减少对周边敏感建筑物的噪声影响。规范固定设备噪声源管理，开展全市固定噪声源控制设备自查，建立管理台账。</w:t>
                  </w:r>
                </w:p>
              </w:tc>
              <w:tc>
                <w:tcPr>
                  <w:tcW w:w="2673" w:type="dxa"/>
                  <w:noWrap w:val="0"/>
                  <w:vAlign w:val="center"/>
                </w:tcPr>
                <w:p w14:paraId="42753BC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项目满足声环境功能区要求，本项目加强工业噪声污染防治，严格执行声环境功能区达标要求。</w:t>
                  </w:r>
                </w:p>
              </w:tc>
              <w:tc>
                <w:tcPr>
                  <w:tcW w:w="491" w:type="dxa"/>
                  <w:noWrap w:val="0"/>
                  <w:vAlign w:val="center"/>
                </w:tcPr>
                <w:p w14:paraId="15487CD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3928C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50E241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优化产业空间布局。</w:t>
                  </w:r>
                  <w:r>
                    <w:rPr>
                      <w:rFonts w:hint="default" w:ascii="Times New Roman" w:hAnsi="Times New Roman" w:cs="Times New Roman"/>
                      <w:color w:val="auto"/>
                      <w:szCs w:val="21"/>
                    </w:rPr>
                    <w:t>优化总量分配和调控机制，重点污染物排放总量指标优先向重大建设项目、重点产业园区、战略性新兴产业倾斜。引导新建的大气污染物排放建设项目入园管理。对现有重污染项目实施深度治理，严格控制“两高”行业新增产能。落实空间开发保护原则、边界，坚持节约优先、保护优先、自然恢复为主的方针，开展资源环境承载能力和国土空间开发适宜性评价。强化</w:t>
                  </w:r>
                </w:p>
                <w:p w14:paraId="288DDA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“三线一单”在政策制定、环境准入、园区管理、执法监管等方面的应用。</w:t>
                  </w:r>
                </w:p>
              </w:tc>
              <w:tc>
                <w:tcPr>
                  <w:tcW w:w="2673" w:type="dxa"/>
                  <w:noWrap w:val="0"/>
                  <w:vAlign w:val="center"/>
                </w:tcPr>
                <w:p w14:paraId="48A99F4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本项目为</w:t>
                  </w:r>
                  <w:r>
                    <w:rPr>
                      <w:rFonts w:hint="eastAsia" w:cs="Times New Roman"/>
                      <w:color w:val="auto"/>
                      <w:szCs w:val="21"/>
                      <w:lang w:eastAsia="zh-CN"/>
                    </w:rPr>
                    <w:t>C3670汽车零部件及配件制造</w:t>
                  </w:r>
                  <w:r>
                    <w:rPr>
                      <w:rFonts w:hint="default" w:ascii="Times New Roman" w:hAnsi="Times New Roman" w:cs="Times New Roman"/>
                      <w:color w:val="auto"/>
                      <w:szCs w:val="21"/>
                    </w:rPr>
                    <w:t>，不属于“两高”行业，项目建设符合“三线一单”等政策要求。</w:t>
                  </w:r>
                </w:p>
              </w:tc>
              <w:tc>
                <w:tcPr>
                  <w:tcW w:w="491" w:type="dxa"/>
                  <w:noWrap w:val="0"/>
                  <w:vAlign w:val="center"/>
                </w:tcPr>
                <w:p w14:paraId="662F5E6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B6809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370" w:type="dxa"/>
                  <w:noWrap w:val="0"/>
                  <w:vAlign w:val="center"/>
                </w:tcPr>
                <w:p w14:paraId="131BB1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推进风险全过程监管。</w:t>
                  </w:r>
                  <w:r>
                    <w:rPr>
                      <w:rFonts w:hint="default" w:ascii="Times New Roman" w:hAnsi="Times New Roman" w:cs="Times New Roman"/>
                      <w:color w:val="auto"/>
                      <w:szCs w:val="21"/>
                    </w:rPr>
                    <w:t>强化企业环境风险主体责任，督促企业开展环境风险隐患排查并建立档案。抓好重点行业企业和重点区域的环境风险评估工作，实施环境风险分级管理，持续推进企业、园区、行政区域的三级防控体系。建立企业突发环境事件报告与应急处理制度、特征污染物监测报告等制度，探索建立建设项目验收与企业环境应急预案备案的联动机制，推广“标杆式”、“卡片式”预案管理模式。严格源头防控、深化过程监管，严厉打击污染治理设施不规范、不运行、偷排、漏排等行为，强化责任追究，将环境风险防范纳入到日常环境管理。</w:t>
                  </w:r>
                </w:p>
              </w:tc>
              <w:tc>
                <w:tcPr>
                  <w:tcW w:w="2673" w:type="dxa"/>
                  <w:noWrap w:val="0"/>
                  <w:vAlign w:val="center"/>
                </w:tcPr>
                <w:p w14:paraId="010FB7E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本项目拟制定企业突发环境事件报告与应急处理制度、特征污染物监测报告等制度，加强环境风险隐患排查并建立档案。</w:t>
                  </w:r>
                </w:p>
              </w:tc>
              <w:tc>
                <w:tcPr>
                  <w:tcW w:w="491" w:type="dxa"/>
                  <w:noWrap w:val="0"/>
                  <w:vAlign w:val="center"/>
                </w:tcPr>
                <w:p w14:paraId="034E32B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3986EF92">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五</w:t>
            </w:r>
            <w:r>
              <w:rPr>
                <w:rFonts w:hint="default" w:ascii="Times New Roman" w:hAnsi="Times New Roman" w:cs="Times New Roman"/>
                <w:b/>
                <w:bCs/>
                <w:color w:val="auto"/>
                <w:sz w:val="24"/>
              </w:rPr>
              <w:t>、与《环境空气细颗粒物污染防治技术政策》</w:t>
            </w:r>
            <w:r>
              <w:rPr>
                <w:rFonts w:hint="eastAsia" w:ascii="Times New Roman" w:hAnsi="Times New Roman" w:cs="Times New Roman"/>
                <w:b/>
                <w:bCs/>
                <w:color w:val="auto"/>
                <w:sz w:val="24"/>
              </w:rPr>
              <w:t>（2013年9月25日）</w:t>
            </w:r>
            <w:r>
              <w:rPr>
                <w:rFonts w:hint="default" w:ascii="Times New Roman" w:hAnsi="Times New Roman" w:cs="Times New Roman"/>
                <w:b/>
                <w:bCs/>
                <w:color w:val="auto"/>
                <w:sz w:val="24"/>
              </w:rPr>
              <w:t>相符性分析</w:t>
            </w:r>
          </w:p>
          <w:p w14:paraId="2C2F9E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《技术政策》指出：实行细颗粒物排放总量控制制度，将细颗粒物纳入污染物减排统计、监测考核体系，不断削减排放总量，严格控制新增排放量，实施清洁清产，从源头上减少细颗粒物的产生和排放。</w:t>
            </w:r>
          </w:p>
          <w:p w14:paraId="607E217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rPr>
              <w:t>本项目</w:t>
            </w:r>
            <w:r>
              <w:rPr>
                <w:rFonts w:hint="eastAsia" w:ascii="Times New Roman" w:hAnsi="Times New Roman" w:cs="Times New Roman"/>
                <w:color w:val="auto"/>
                <w:sz w:val="24"/>
                <w:lang w:val="en-US" w:eastAsia="zh-CN"/>
              </w:rPr>
              <w:t>有组织</w:t>
            </w:r>
            <w:r>
              <w:rPr>
                <w:rFonts w:hint="eastAsia" w:ascii="Times New Roman" w:hAnsi="Times New Roman" w:cs="Times New Roman"/>
                <w:b/>
                <w:bCs/>
                <w:color w:val="auto"/>
                <w:sz w:val="24"/>
              </w:rPr>
              <w:t>粉尘</w:t>
            </w:r>
            <w:r>
              <w:rPr>
                <w:rFonts w:hint="eastAsia" w:ascii="Times New Roman" w:hAnsi="Times New Roman" w:cs="Times New Roman"/>
                <w:color w:val="auto"/>
                <w:sz w:val="24"/>
              </w:rPr>
              <w:t>采取</w:t>
            </w:r>
            <w:r>
              <w:rPr>
                <w:rFonts w:hint="eastAsia" w:ascii="Times New Roman" w:hAnsi="Times New Roman" w:cs="Times New Roman"/>
                <w:color w:val="auto"/>
                <w:sz w:val="24"/>
                <w:lang w:val="en-US" w:eastAsia="zh-CN"/>
              </w:rPr>
              <w:t>布袋</w:t>
            </w:r>
            <w:r>
              <w:rPr>
                <w:rFonts w:hint="eastAsia" w:ascii="Times New Roman" w:hAnsi="Times New Roman" w:cs="Times New Roman"/>
                <w:color w:val="auto"/>
                <w:sz w:val="24"/>
              </w:rPr>
              <w:t>除尘器（处理效率99%</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处理后</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经15m高排气筒排放</w:t>
            </w:r>
            <w:r>
              <w:rPr>
                <w:rFonts w:hint="eastAsia" w:ascii="Times New Roman" w:hAnsi="Times New Roman" w:cs="Times New Roman"/>
                <w:color w:val="auto"/>
                <w:sz w:val="24"/>
              </w:rPr>
              <w:t>；</w:t>
            </w:r>
            <w:r>
              <w:rPr>
                <w:rFonts w:hint="eastAsia" w:ascii="Times New Roman" w:hAnsi="Times New Roman" w:cs="Times New Roman"/>
                <w:b/>
                <w:bCs/>
                <w:color w:val="auto"/>
                <w:sz w:val="24"/>
              </w:rPr>
              <w:t>厂房内无组织粉尘</w:t>
            </w:r>
            <w:r>
              <w:rPr>
                <w:rFonts w:hint="eastAsia" w:ascii="Times New Roman" w:hAnsi="Times New Roman" w:cs="Times New Roman"/>
                <w:color w:val="auto"/>
                <w:sz w:val="24"/>
              </w:rPr>
              <w:t>采取“车间封闭、减少卸料落差</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定期清扫地面、加强管理”等措施减少无组织粉尘排放。厂区颗粒物经环保措施处理后均能达标排放。</w:t>
            </w:r>
            <w:r>
              <w:rPr>
                <w:rFonts w:hint="default" w:ascii="Times New Roman" w:hAnsi="Times New Roman" w:cs="Times New Roman"/>
                <w:color w:val="auto"/>
                <w:sz w:val="24"/>
              </w:rPr>
              <w:t>因此本项目与《环境空气细颗粒物污染防治技术政策》相符。</w:t>
            </w:r>
          </w:p>
          <w:p w14:paraId="44FED747">
            <w:pPr>
              <w:keepNext w:val="0"/>
              <w:keepLines w:val="0"/>
              <w:suppressLineNumbers w:val="0"/>
              <w:autoSpaceDE w:val="0"/>
              <w:autoSpaceDN w:val="0"/>
              <w:spacing w:before="0" w:beforeAutospacing="0" w:after="0" w:afterAutospacing="0" w:line="360" w:lineRule="auto"/>
              <w:ind w:left="0" w:right="0" w:firstLine="482" w:firstLineChars="200"/>
              <w:rPr>
                <w:rFonts w:hint="default" w:ascii="Times New Roman" w:hAnsi="Times New Roman" w:cs="Times New Roman"/>
                <w:b/>
                <w:bCs/>
                <w:color w:val="auto"/>
                <w:kern w:val="44"/>
                <w:sz w:val="24"/>
              </w:rPr>
            </w:pPr>
            <w:r>
              <w:rPr>
                <w:rFonts w:hint="eastAsia" w:ascii="Times New Roman" w:hAnsi="Times New Roman" w:cs="宋体"/>
                <w:b/>
                <w:bCs/>
                <w:color w:val="auto"/>
                <w:kern w:val="44"/>
                <w:sz w:val="24"/>
                <w:lang w:val="en-US" w:eastAsia="zh-CN"/>
              </w:rPr>
              <w:t>六</w:t>
            </w:r>
            <w:r>
              <w:rPr>
                <w:rFonts w:hint="eastAsia" w:ascii="Times New Roman" w:hAnsi="Times New Roman" w:cs="宋体"/>
                <w:b/>
                <w:bCs/>
                <w:color w:val="auto"/>
                <w:kern w:val="44"/>
                <w:sz w:val="24"/>
              </w:rPr>
              <w:t>、与《</w:t>
            </w:r>
            <w:r>
              <w:rPr>
                <w:rFonts w:hint="eastAsia" w:ascii="Times New Roman" w:hAnsi="Times New Roman" w:cs="宋体"/>
                <w:b/>
                <w:bCs/>
                <w:color w:val="auto"/>
                <w:kern w:val="44"/>
                <w:sz w:val="24"/>
                <w:lang w:eastAsia="zh-CN"/>
              </w:rPr>
              <w:t>安徽省生态环境厅关于强化2024-2025秋冬季大气污染防治攻坚工作的通知</w:t>
            </w:r>
            <w:r>
              <w:rPr>
                <w:rFonts w:hint="eastAsia" w:ascii="Times New Roman" w:hAnsi="Times New Roman" w:cs="宋体"/>
                <w:b/>
                <w:bCs/>
                <w:color w:val="auto"/>
                <w:kern w:val="44"/>
                <w:sz w:val="24"/>
              </w:rPr>
              <w:t>》相符性分析</w:t>
            </w:r>
          </w:p>
          <w:p w14:paraId="0D8445F1">
            <w:pPr>
              <w:keepNext w:val="0"/>
              <w:keepLines w:val="0"/>
              <w:suppressLineNumbers w:val="0"/>
              <w:tabs>
                <w:tab w:val="left" w:pos="3780"/>
              </w:tabs>
              <w:autoSpaceDE w:val="0"/>
              <w:autoSpaceDN w:val="0"/>
              <w:spacing w:before="0" w:beforeAutospacing="0" w:after="0" w:afterAutospacing="0" w:line="360" w:lineRule="auto"/>
              <w:ind w:left="0" w:right="0" w:firstLine="482"/>
              <w:jc w:val="center"/>
              <w:rPr>
                <w:rFonts w:hint="default" w:ascii="Times New Roman" w:hAnsi="Times New Roman" w:cs="Times New Roman"/>
                <w:b/>
                <w:bCs/>
                <w:color w:val="auto"/>
                <w:kern w:val="0"/>
                <w:sz w:val="24"/>
              </w:rPr>
            </w:pPr>
            <w:r>
              <w:rPr>
                <w:rFonts w:hint="eastAsia" w:ascii="Times New Roman" w:hAnsi="Times New Roman" w:cs="宋体"/>
                <w:b/>
                <w:bCs/>
                <w:color w:val="auto"/>
                <w:kern w:val="0"/>
                <w:sz w:val="24"/>
              </w:rPr>
              <w:t>表</w:t>
            </w:r>
            <w:r>
              <w:rPr>
                <w:rFonts w:hint="default" w:ascii="Times New Roman" w:hAnsi="Times New Roman" w:cs="Times New Roman"/>
                <w:b/>
                <w:bCs/>
                <w:color w:val="auto"/>
                <w:kern w:val="0"/>
                <w:sz w:val="24"/>
              </w:rPr>
              <w:t>1-</w:t>
            </w:r>
            <w:r>
              <w:rPr>
                <w:rFonts w:hint="eastAsia" w:ascii="Times New Roman" w:hAnsi="Times New Roman" w:cs="Times New Roman"/>
                <w:b/>
                <w:bCs/>
                <w:color w:val="auto"/>
                <w:kern w:val="0"/>
                <w:sz w:val="24"/>
              </w:rPr>
              <w:t>4</w:t>
            </w:r>
            <w:r>
              <w:rPr>
                <w:rFonts w:hint="default" w:ascii="Times New Roman" w:hAnsi="Times New Roman" w:cs="Times New Roman"/>
                <w:b/>
                <w:bCs/>
                <w:color w:val="auto"/>
                <w:kern w:val="0"/>
                <w:sz w:val="24"/>
              </w:rPr>
              <w:t xml:space="preserve">  </w:t>
            </w:r>
            <w:r>
              <w:rPr>
                <w:rFonts w:hint="eastAsia" w:ascii="Times New Roman" w:hAnsi="Times New Roman" w:cs="宋体"/>
                <w:b/>
                <w:bCs/>
                <w:color w:val="auto"/>
                <w:kern w:val="0"/>
                <w:sz w:val="24"/>
              </w:rPr>
              <w:t>与《</w:t>
            </w:r>
            <w:r>
              <w:rPr>
                <w:rFonts w:hint="eastAsia" w:ascii="Times New Roman" w:hAnsi="Times New Roman" w:cs="宋体"/>
                <w:b/>
                <w:bCs/>
                <w:color w:val="auto"/>
                <w:kern w:val="44"/>
                <w:sz w:val="24"/>
                <w:lang w:eastAsia="zh-CN"/>
              </w:rPr>
              <w:t>安徽省生态环境厅关于强化2024-2025秋冬季大气污染防治攻坚工作的通知</w:t>
            </w:r>
            <w:r>
              <w:rPr>
                <w:rFonts w:hint="eastAsia" w:ascii="Times New Roman" w:hAnsi="Times New Roman" w:cs="宋体"/>
                <w:b/>
                <w:bCs/>
                <w:color w:val="auto"/>
                <w:kern w:val="0"/>
                <w:sz w:val="24"/>
              </w:rPr>
              <w:t>》相符性分析</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5369"/>
              <w:gridCol w:w="2142"/>
              <w:gridCol w:w="495"/>
            </w:tblGrid>
            <w:tr w14:paraId="17A1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14:paraId="5DC44E27">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b/>
                      <w:bCs/>
                      <w:color w:val="auto"/>
                      <w:szCs w:val="21"/>
                    </w:rPr>
                  </w:pPr>
                  <w:r>
                    <w:rPr>
                      <w:rFonts w:hint="eastAsia" w:ascii="Times New Roman" w:hAnsi="Times New Roman" w:cs="Times New Roman"/>
                      <w:b/>
                      <w:bCs/>
                      <w:color w:val="auto"/>
                      <w:szCs w:val="21"/>
                    </w:rPr>
                    <w:t>序号</w:t>
                  </w:r>
                </w:p>
              </w:tc>
              <w:tc>
                <w:tcPr>
                  <w:tcW w:w="5343" w:type="dxa"/>
                  <w:tcBorders>
                    <w:top w:val="single" w:color="auto" w:sz="4" w:space="0"/>
                    <w:left w:val="single" w:color="auto" w:sz="4" w:space="0"/>
                    <w:bottom w:val="single" w:color="auto" w:sz="4" w:space="0"/>
                    <w:right w:val="single" w:color="auto" w:sz="4" w:space="0"/>
                  </w:tcBorders>
                  <w:noWrap w:val="0"/>
                  <w:vAlign w:val="center"/>
                </w:tcPr>
                <w:p w14:paraId="66B1E529">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方案内容</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6826697B">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b/>
                      <w:bCs/>
                      <w:color w:val="auto"/>
                      <w:szCs w:val="21"/>
                      <w:lang w:eastAsia="en-US"/>
                    </w:rPr>
                  </w:pPr>
                  <w:r>
                    <w:rPr>
                      <w:rFonts w:hint="default" w:ascii="Times New Roman" w:hAnsi="Times New Roman" w:cs="Times New Roman"/>
                      <w:b/>
                      <w:bCs/>
                      <w:color w:val="auto"/>
                      <w:szCs w:val="21"/>
                      <w:lang w:eastAsia="en-US"/>
                    </w:rPr>
                    <w:t>本项目情况</w:t>
                  </w:r>
                </w:p>
              </w:tc>
              <w:tc>
                <w:tcPr>
                  <w:tcW w:w="493" w:type="dxa"/>
                  <w:tcBorders>
                    <w:top w:val="single" w:color="auto" w:sz="4" w:space="0"/>
                    <w:left w:val="single" w:color="auto" w:sz="4" w:space="0"/>
                    <w:bottom w:val="single" w:color="auto" w:sz="4" w:space="0"/>
                    <w:right w:val="single" w:color="auto" w:sz="4" w:space="0"/>
                  </w:tcBorders>
                  <w:noWrap w:val="0"/>
                  <w:vAlign w:val="center"/>
                </w:tcPr>
                <w:p w14:paraId="6B391B59">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b/>
                      <w:bCs/>
                      <w:color w:val="auto"/>
                      <w:szCs w:val="21"/>
                    </w:rPr>
                  </w:pPr>
                  <w:r>
                    <w:rPr>
                      <w:rFonts w:hint="eastAsia" w:ascii="Times New Roman" w:hAnsi="Times New Roman" w:cs="Times New Roman"/>
                      <w:b/>
                      <w:bCs/>
                      <w:color w:val="auto"/>
                      <w:szCs w:val="21"/>
                    </w:rPr>
                    <w:t>结论</w:t>
                  </w:r>
                </w:p>
              </w:tc>
            </w:tr>
            <w:tr w14:paraId="1875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0" w:hRule="atLeas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14:paraId="43FEDD53">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5343" w:type="dxa"/>
                  <w:tcBorders>
                    <w:top w:val="single" w:color="auto" w:sz="4" w:space="0"/>
                    <w:left w:val="single" w:color="auto" w:sz="4" w:space="0"/>
                    <w:bottom w:val="single" w:color="auto" w:sz="4" w:space="0"/>
                    <w:right w:val="single" w:color="auto" w:sz="4" w:space="0"/>
                  </w:tcBorders>
                  <w:noWrap w:val="0"/>
                  <w:vAlign w:val="center"/>
                </w:tcPr>
                <w:p w14:paraId="51745B14">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color w:val="auto"/>
                      <w:szCs w:val="21"/>
                    </w:rPr>
                  </w:pPr>
                  <w:r>
                    <w:rPr>
                      <w:rFonts w:hint="eastAsia" w:ascii="Times New Roman" w:hAnsi="Times New Roman" w:cs="Times New Roman"/>
                      <w:color w:val="auto"/>
                      <w:szCs w:val="21"/>
                    </w:rPr>
                    <w:t>加强挥发性有机物管控。积极督促指导VOCs年排放量1吨及以上企业对照挥发性有机物综合治理“一企一策”方案，对原辅材料替代、过程控制、末端治理及环境监管等环节逐一梳理，及时排查整治跑冒滴漏问题。着重对有机液体储罐、物料装卸、敞开液面、旁路、泄露检测等问题推进治理，更新排查台账，实现涉VOCs 企业全覆盖。积极推进吸附剂、活性炭更换智能化全程管理，定期更换。</w:t>
                  </w:r>
                </w:p>
                <w:p w14:paraId="7E918497">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C9A53A2">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color w:val="auto"/>
                      <w:szCs w:val="21"/>
                    </w:rPr>
                  </w:pPr>
                  <w:r>
                    <w:rPr>
                      <w:rFonts w:hint="eastAsia" w:ascii="Times New Roman" w:hAnsi="Times New Roman" w:cs="Times New Roman"/>
                      <w:color w:val="auto"/>
                    </w:rPr>
                    <w:t>本项目属于</w:t>
                  </w:r>
                  <w:r>
                    <w:rPr>
                      <w:rFonts w:hint="eastAsia" w:cs="Times New Roman"/>
                      <w:color w:val="auto"/>
                      <w:lang w:eastAsia="zh-CN"/>
                    </w:rPr>
                    <w:t>汽车零部件及配件制造</w:t>
                  </w:r>
                </w:p>
              </w:tc>
              <w:tc>
                <w:tcPr>
                  <w:tcW w:w="493" w:type="dxa"/>
                  <w:tcBorders>
                    <w:top w:val="single" w:color="auto" w:sz="4" w:space="0"/>
                    <w:left w:val="single" w:color="auto" w:sz="4" w:space="0"/>
                    <w:bottom w:val="single" w:color="auto" w:sz="4" w:space="0"/>
                    <w:right w:val="single" w:color="auto" w:sz="4" w:space="0"/>
                  </w:tcBorders>
                  <w:noWrap w:val="0"/>
                  <w:vAlign w:val="center"/>
                </w:tcPr>
                <w:p w14:paraId="3EF6F0C1">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符合</w:t>
                  </w:r>
                </w:p>
              </w:tc>
            </w:tr>
            <w:tr w14:paraId="1F40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14:paraId="707BBD3F">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color w:val="auto"/>
                      <w:szCs w:val="21"/>
                    </w:rPr>
                  </w:pPr>
                  <w:r>
                    <w:rPr>
                      <w:rFonts w:hint="eastAsia" w:ascii="Times New Roman" w:hAnsi="Times New Roman" w:cs="Times New Roman"/>
                      <w:color w:val="auto"/>
                      <w:szCs w:val="21"/>
                    </w:rPr>
                    <w:t>2</w:t>
                  </w:r>
                </w:p>
              </w:tc>
              <w:tc>
                <w:tcPr>
                  <w:tcW w:w="5343" w:type="dxa"/>
                  <w:tcBorders>
                    <w:top w:val="single" w:color="auto" w:sz="4" w:space="0"/>
                    <w:left w:val="single" w:color="auto" w:sz="4" w:space="0"/>
                    <w:bottom w:val="single" w:color="auto" w:sz="4" w:space="0"/>
                    <w:right w:val="single" w:color="auto" w:sz="4" w:space="0"/>
                  </w:tcBorders>
                  <w:noWrap w:val="0"/>
                  <w:vAlign w:val="center"/>
                </w:tcPr>
                <w:p w14:paraId="7934D61E">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ascii="Times New Roman" w:hAnsi="Times New Roman" w:cs="Times New Roman"/>
                      <w:color w:val="auto"/>
                      <w:szCs w:val="21"/>
                    </w:rPr>
                    <w:t>加强各类扬尘精细化管控。建筑施工严格执行“六个百分百”</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45714325">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ascii="Times New Roman" w:hAnsi="Times New Roman" w:cs="Times New Roman"/>
                      <w:color w:val="auto"/>
                      <w:szCs w:val="21"/>
                    </w:rPr>
                    <w:t>本项目施工期严格执行“</w:t>
                  </w:r>
                  <w:r>
                    <w:rPr>
                      <w:rFonts w:hint="default" w:ascii="Times New Roman" w:hAnsi="Times New Roman" w:cs="Times New Roman"/>
                      <w:color w:val="auto"/>
                      <w:szCs w:val="21"/>
                    </w:rPr>
                    <w:t>六个百分之百</w:t>
                  </w:r>
                  <w:r>
                    <w:rPr>
                      <w:rFonts w:hint="eastAsia" w:ascii="Times New Roman" w:hAnsi="Times New Roman" w:cs="Times New Roman"/>
                      <w:color w:val="auto"/>
                      <w:szCs w:val="21"/>
                    </w:rPr>
                    <w:t>”</w:t>
                  </w:r>
                </w:p>
              </w:tc>
              <w:tc>
                <w:tcPr>
                  <w:tcW w:w="493" w:type="dxa"/>
                  <w:tcBorders>
                    <w:top w:val="single" w:color="auto" w:sz="4" w:space="0"/>
                    <w:left w:val="single" w:color="auto" w:sz="4" w:space="0"/>
                    <w:bottom w:val="single" w:color="auto" w:sz="4" w:space="0"/>
                    <w:right w:val="single" w:color="auto" w:sz="4" w:space="0"/>
                  </w:tcBorders>
                  <w:noWrap w:val="0"/>
                  <w:vAlign w:val="center"/>
                </w:tcPr>
                <w:p w14:paraId="3509AB92">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符合</w:t>
                  </w:r>
                </w:p>
              </w:tc>
            </w:tr>
            <w:tr w14:paraId="644A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1" w:hRule="atLeas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14:paraId="3138002B">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cs="Times New Roman"/>
                      <w:color w:val="auto"/>
                      <w:szCs w:val="21"/>
                    </w:rPr>
                  </w:pPr>
                  <w:r>
                    <w:rPr>
                      <w:rFonts w:hint="eastAsia" w:ascii="Times New Roman" w:hAnsi="Times New Roman" w:cs="Times New Roman"/>
                      <w:color w:val="auto"/>
                      <w:szCs w:val="21"/>
                    </w:rPr>
                    <w:t>3</w:t>
                  </w:r>
                </w:p>
              </w:tc>
              <w:tc>
                <w:tcPr>
                  <w:tcW w:w="5343" w:type="dxa"/>
                  <w:tcBorders>
                    <w:top w:val="single" w:color="auto" w:sz="4" w:space="0"/>
                    <w:left w:val="single" w:color="auto" w:sz="4" w:space="0"/>
                    <w:bottom w:val="single" w:color="auto" w:sz="4" w:space="0"/>
                    <w:right w:val="single" w:color="auto" w:sz="4" w:space="0"/>
                  </w:tcBorders>
                  <w:noWrap w:val="0"/>
                  <w:vAlign w:val="center"/>
                </w:tcPr>
                <w:p w14:paraId="6C934365">
                  <w:pPr>
                    <w:keepNext w:val="0"/>
                    <w:keepLines w:val="0"/>
                    <w:suppressLineNumbers w:val="0"/>
                    <w:wordWrap w:val="0"/>
                    <w:overflowPunct w:val="0"/>
                    <w:spacing w:before="0" w:beforeAutospacing="0" w:after="0" w:afterAutospacing="0"/>
                    <w:ind w:left="0" w:right="0"/>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rPr>
                    <w:t>加快落后废气治理工艺淘汰。对照《国家污染防治技术指导目录(限制和淘汰类)》要求，指导督促仍在使用低效失效废气治理设施、难以稳定达标排放的企业实施提升改造</w:t>
                  </w:r>
                  <w:r>
                    <w:rPr>
                      <w:rFonts w:hint="eastAsia" w:ascii="Times New Roman" w:hAnsi="Times New Roman" w:cs="Times New Roman"/>
                      <w:color w:val="auto"/>
                      <w:szCs w:val="21"/>
                      <w:lang w:eastAsia="zh-CN"/>
                    </w:rPr>
                    <w:t>。</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6DEB80F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宋体" w:hAnsi="宋体" w:cs="宋体"/>
                      <w:color w:val="auto"/>
                      <w:szCs w:val="21"/>
                    </w:rPr>
                    <w:t>本项目</w:t>
                  </w:r>
                  <w:r>
                    <w:rPr>
                      <w:rFonts w:hint="eastAsia" w:ascii="宋体" w:hAnsi="宋体" w:cs="宋体"/>
                      <w:bCs/>
                      <w:color w:val="auto"/>
                      <w:lang w:val="en-US" w:eastAsia="zh-CN"/>
                    </w:rPr>
                    <w:t>为新建项目，项目暂未建设不存在落后废气治理工艺</w:t>
                  </w:r>
                  <w:r>
                    <w:rPr>
                      <w:rFonts w:hint="eastAsia" w:ascii="Times New Roman" w:hAnsi="Times New Roman" w:cs="Times New Roman"/>
                      <w:color w:val="auto"/>
                    </w:rPr>
                    <w:t>。</w:t>
                  </w:r>
                </w:p>
              </w:tc>
              <w:tc>
                <w:tcPr>
                  <w:tcW w:w="493" w:type="dxa"/>
                  <w:tcBorders>
                    <w:top w:val="single" w:color="auto" w:sz="4" w:space="0"/>
                    <w:left w:val="single" w:color="auto" w:sz="4" w:space="0"/>
                    <w:bottom w:val="single" w:color="auto" w:sz="4" w:space="0"/>
                    <w:right w:val="single" w:color="auto" w:sz="4" w:space="0"/>
                  </w:tcBorders>
                  <w:noWrap w:val="0"/>
                  <w:vAlign w:val="center"/>
                </w:tcPr>
                <w:p w14:paraId="1A238627">
                  <w:pPr>
                    <w:keepNext w:val="0"/>
                    <w:keepLines w:val="0"/>
                    <w:suppressLineNumbers w:val="0"/>
                    <w:wordWrap w:val="0"/>
                    <w:overflowPunct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4B987522">
            <w:pPr>
              <w:keepNext w:val="0"/>
              <w:keepLines w:val="0"/>
              <w:suppressLineNumbers w:val="0"/>
              <w:spacing w:before="0" w:beforeAutospacing="0" w:after="0" w:afterAutospacing="0" w:line="500" w:lineRule="exact"/>
              <w:ind w:left="0" w:right="0" w:firstLine="482" w:firstLineChars="200"/>
              <w:jc w:val="left"/>
              <w:outlineLvl w:val="2"/>
              <w:rPr>
                <w:rFonts w:hint="default" w:ascii="Times New Roman" w:hAnsi="Times New Roman" w:cs="Times New Roman"/>
                <w:b/>
                <w:bCs/>
                <w:color w:val="auto"/>
                <w:sz w:val="24"/>
                <w:szCs w:val="20"/>
              </w:rPr>
            </w:pPr>
            <w:r>
              <w:rPr>
                <w:rFonts w:hint="eastAsia" w:ascii="Times New Roman" w:hAnsi="Times New Roman" w:cs="Times New Roman"/>
                <w:b/>
                <w:bCs/>
                <w:color w:val="auto"/>
                <w:sz w:val="24"/>
                <w:lang w:val="en-US" w:eastAsia="zh-CN"/>
              </w:rPr>
              <w:t>七</w:t>
            </w:r>
            <w:r>
              <w:rPr>
                <w:rFonts w:hint="eastAsia" w:ascii="Times New Roman" w:hAnsi="Times New Roman" w:cs="Times New Roman"/>
                <w:b/>
                <w:bCs/>
                <w:color w:val="auto"/>
                <w:sz w:val="24"/>
              </w:rPr>
              <w:t>、与《安徽省挥发性有机物污染整治工作方案》符合性分析</w:t>
            </w:r>
          </w:p>
          <w:p w14:paraId="696472D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szCs w:val="21"/>
                <w:lang w:bidi="en-US"/>
              </w:rPr>
            </w:pPr>
          </w:p>
          <w:p w14:paraId="61A02569">
            <w:pPr>
              <w:keepNext w:val="0"/>
              <w:keepLines w:val="0"/>
              <w:suppressLineNumbers w:val="0"/>
              <w:spacing w:before="0" w:beforeAutospacing="0" w:after="0" w:afterAutospacing="0" w:line="360" w:lineRule="auto"/>
              <w:ind w:left="0" w:right="0"/>
              <w:jc w:val="center"/>
              <w:rPr>
                <w:rFonts w:hint="default" w:ascii="Times New Roman" w:hAnsi="Times New Roman" w:eastAsia="仿宋_GB2312" w:cs="Times New Roman"/>
                <w:snapToGrid w:val="0"/>
                <w:color w:val="auto"/>
                <w:kern w:val="0"/>
                <w:szCs w:val="21"/>
              </w:rPr>
            </w:pPr>
            <w:r>
              <w:rPr>
                <w:rFonts w:hint="default" w:ascii="Times New Roman" w:hAnsi="Times New Roman" w:cs="Times New Roman"/>
                <w:b/>
                <w:bCs/>
                <w:snapToGrid w:val="0"/>
                <w:color w:val="auto"/>
                <w:kern w:val="0"/>
                <w:szCs w:val="21"/>
              </w:rPr>
              <w:t>表1-</w:t>
            </w:r>
            <w:r>
              <w:rPr>
                <w:rFonts w:hint="eastAsia" w:ascii="Times New Roman" w:hAnsi="Times New Roman" w:cs="Times New Roman"/>
                <w:b/>
                <w:bCs/>
                <w:snapToGrid w:val="0"/>
                <w:color w:val="auto"/>
                <w:kern w:val="0"/>
                <w:szCs w:val="21"/>
                <w:lang w:val="en-US" w:eastAsia="zh-CN"/>
              </w:rPr>
              <w:t>5</w:t>
            </w:r>
            <w:r>
              <w:rPr>
                <w:rFonts w:hint="default" w:ascii="Times New Roman" w:hAnsi="Times New Roman" w:cs="Times New Roman"/>
                <w:b/>
                <w:bCs/>
                <w:snapToGrid w:val="0"/>
                <w:color w:val="auto"/>
                <w:kern w:val="0"/>
                <w:szCs w:val="21"/>
              </w:rPr>
              <w:t xml:space="preserve">  </w:t>
            </w:r>
            <w:r>
              <w:rPr>
                <w:rFonts w:hint="eastAsia" w:ascii="Times New Roman" w:hAnsi="Times New Roman" w:cs="Times New Roman"/>
                <w:b/>
                <w:bCs/>
                <w:snapToGrid w:val="0"/>
                <w:color w:val="auto"/>
                <w:kern w:val="0"/>
                <w:szCs w:val="21"/>
              </w:rPr>
              <w:t>相关</w:t>
            </w:r>
            <w:r>
              <w:rPr>
                <w:rFonts w:hint="default" w:ascii="Times New Roman" w:hAnsi="Times New Roman" w:cs="Times New Roman"/>
                <w:b/>
                <w:bCs/>
                <w:snapToGrid w:val="0"/>
                <w:color w:val="auto"/>
                <w:kern w:val="0"/>
                <w:szCs w:val="21"/>
              </w:rPr>
              <w:t>政策符合性分析一览表</w:t>
            </w:r>
          </w:p>
          <w:tbl>
            <w:tblPr>
              <w:tblStyle w:val="21"/>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334"/>
              <w:gridCol w:w="3142"/>
              <w:gridCol w:w="671"/>
            </w:tblGrid>
            <w:tr w14:paraId="7103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750" w:type="dxa"/>
                  <w:noWrap w:val="0"/>
                  <w:vAlign w:val="center"/>
                </w:tcPr>
                <w:p w14:paraId="2CD81B33">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 w:val="22"/>
                      <w:szCs w:val="32"/>
                    </w:rPr>
                  </w:pPr>
                  <w:r>
                    <w:rPr>
                      <w:rFonts w:hint="eastAsia" w:ascii="Times New Roman" w:hAnsi="Times New Roman" w:cs="Times New Roman"/>
                      <w:bCs/>
                      <w:color w:val="auto"/>
                      <w:kern w:val="44"/>
                      <w:szCs w:val="30"/>
                    </w:rPr>
                    <w:t>政策类别</w:t>
                  </w:r>
                </w:p>
              </w:tc>
              <w:tc>
                <w:tcPr>
                  <w:tcW w:w="3334" w:type="dxa"/>
                  <w:noWrap w:val="0"/>
                  <w:vAlign w:val="center"/>
                </w:tcPr>
                <w:p w14:paraId="52D23EFF">
                  <w:pPr>
                    <w:keepNext/>
                    <w:keepLines w:val="0"/>
                    <w:suppressLineNumbers w:val="0"/>
                    <w:overflowPunct w:val="0"/>
                    <w:snapToGrid w:val="0"/>
                    <w:spacing w:before="0" w:beforeAutospacing="0" w:after="0" w:afterAutospacing="0"/>
                    <w:ind w:left="0" w:right="0"/>
                    <w:jc w:val="center"/>
                    <w:outlineLvl w:val="0"/>
                    <w:rPr>
                      <w:rFonts w:hint="default" w:ascii="Times New Roman" w:hAnsi="Times New Roman" w:cs="Times New Roman"/>
                      <w:bCs/>
                      <w:color w:val="auto"/>
                      <w:kern w:val="44"/>
                      <w:sz w:val="22"/>
                      <w:szCs w:val="32"/>
                    </w:rPr>
                  </w:pPr>
                  <w:r>
                    <w:rPr>
                      <w:rFonts w:hint="eastAsia" w:ascii="Times New Roman" w:hAnsi="Times New Roman" w:cs="Times New Roman"/>
                      <w:bCs/>
                      <w:color w:val="auto"/>
                      <w:kern w:val="44"/>
                      <w:sz w:val="22"/>
                      <w:szCs w:val="32"/>
                    </w:rPr>
                    <w:t>规定内容</w:t>
                  </w:r>
                </w:p>
              </w:tc>
              <w:tc>
                <w:tcPr>
                  <w:tcW w:w="3142" w:type="dxa"/>
                  <w:noWrap w:val="0"/>
                  <w:vAlign w:val="center"/>
                </w:tcPr>
                <w:p w14:paraId="4A4CB391">
                  <w:pPr>
                    <w:keepNext/>
                    <w:keepLines w:val="0"/>
                    <w:suppressLineNumbers w:val="0"/>
                    <w:overflowPunct w:val="0"/>
                    <w:snapToGrid w:val="0"/>
                    <w:spacing w:before="0" w:beforeAutospacing="0" w:after="0" w:afterAutospacing="0"/>
                    <w:ind w:left="0" w:right="0"/>
                    <w:jc w:val="center"/>
                    <w:outlineLvl w:val="0"/>
                    <w:rPr>
                      <w:rFonts w:hint="default" w:ascii="Times New Roman" w:hAnsi="Times New Roman" w:cs="Times New Roman"/>
                      <w:bCs/>
                      <w:color w:val="auto"/>
                      <w:kern w:val="44"/>
                      <w:sz w:val="22"/>
                      <w:szCs w:val="32"/>
                    </w:rPr>
                  </w:pPr>
                  <w:r>
                    <w:rPr>
                      <w:rFonts w:hint="eastAsia" w:ascii="Times New Roman" w:hAnsi="Times New Roman" w:cs="Times New Roman"/>
                      <w:bCs/>
                      <w:color w:val="auto"/>
                      <w:kern w:val="44"/>
                      <w:sz w:val="22"/>
                      <w:szCs w:val="32"/>
                    </w:rPr>
                    <w:t>本项目内容</w:t>
                  </w:r>
                </w:p>
              </w:tc>
              <w:tc>
                <w:tcPr>
                  <w:tcW w:w="671" w:type="dxa"/>
                  <w:noWrap w:val="0"/>
                  <w:vAlign w:val="center"/>
                </w:tcPr>
                <w:p w14:paraId="2F581F47">
                  <w:pPr>
                    <w:keepNext/>
                    <w:keepLines w:val="0"/>
                    <w:suppressLineNumbers w:val="0"/>
                    <w:overflowPunct w:val="0"/>
                    <w:snapToGrid w:val="0"/>
                    <w:spacing w:before="0" w:beforeAutospacing="0" w:after="0" w:afterAutospacing="0"/>
                    <w:ind w:left="0" w:right="0"/>
                    <w:jc w:val="center"/>
                    <w:outlineLvl w:val="0"/>
                    <w:rPr>
                      <w:rFonts w:hint="default" w:ascii="Times New Roman" w:hAnsi="Times New Roman" w:cs="Times New Roman"/>
                      <w:bCs/>
                      <w:color w:val="auto"/>
                      <w:kern w:val="44"/>
                      <w:sz w:val="22"/>
                      <w:szCs w:val="32"/>
                    </w:rPr>
                  </w:pPr>
                  <w:r>
                    <w:rPr>
                      <w:rFonts w:hint="eastAsia" w:ascii="Times New Roman" w:hAnsi="Times New Roman" w:cs="Times New Roman"/>
                      <w:bCs/>
                      <w:color w:val="auto"/>
                      <w:kern w:val="44"/>
                      <w:sz w:val="22"/>
                      <w:szCs w:val="32"/>
                    </w:rPr>
                    <w:t>相符性</w:t>
                  </w:r>
                </w:p>
              </w:tc>
            </w:tr>
            <w:tr w14:paraId="7206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750" w:type="dxa"/>
                  <w:vMerge w:val="restart"/>
                  <w:noWrap w:val="0"/>
                  <w:vAlign w:val="center"/>
                </w:tcPr>
                <w:p w14:paraId="703B165A">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Cs w:val="30"/>
                    </w:rPr>
                  </w:pPr>
                  <w:r>
                    <w:rPr>
                      <w:rFonts w:hint="eastAsia" w:ascii="Times New Roman" w:hAnsi="Times New Roman" w:cs="Times New Roman"/>
                      <w:bCs/>
                      <w:color w:val="auto"/>
                      <w:kern w:val="44"/>
                      <w:szCs w:val="30"/>
                    </w:rPr>
                    <w:t>《安徽省挥发性有机物污染整治工作方案》</w:t>
                  </w:r>
                </w:p>
              </w:tc>
              <w:tc>
                <w:tcPr>
                  <w:tcW w:w="3334" w:type="dxa"/>
                  <w:noWrap w:val="0"/>
                  <w:vAlign w:val="center"/>
                </w:tcPr>
                <w:p w14:paraId="0D9AC7C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六、具体措施</w:t>
                  </w:r>
                </w:p>
                <w:p w14:paraId="3E6CF880">
                  <w:pPr>
                    <w:keepNext w:val="0"/>
                    <w:keepLines w:val="0"/>
                    <w:suppressLineNumbers w:val="0"/>
                    <w:autoSpaceDE w:val="0"/>
                    <w:autoSpaceDN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default" w:ascii="Times New Roman" w:hAnsi="Times New Roman" w:cs="Times New Roman"/>
                      <w:color w:val="auto"/>
                      <w:szCs w:val="21"/>
                    </w:rPr>
                    <w:t>（一）优化产业布局。.....在城市建成区、自然保护区、水源保护区、风景名胜区、森林公园、重要湿地、生态敏感区和其他重要生态功能区实行强制性保护，禁止新建VOCs高污染企业。</w:t>
                  </w:r>
                </w:p>
              </w:tc>
              <w:tc>
                <w:tcPr>
                  <w:tcW w:w="3142" w:type="dxa"/>
                  <w:noWrap w:val="0"/>
                  <w:vAlign w:val="center"/>
                </w:tcPr>
                <w:p w14:paraId="63B2E9FC">
                  <w:pPr>
                    <w:keepNext w:val="0"/>
                    <w:keepLines w:val="0"/>
                    <w:suppressLineNumbers w:val="0"/>
                    <w:autoSpaceDE w:val="0"/>
                    <w:autoSpaceDN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default" w:ascii="Times New Roman" w:hAnsi="Times New Roman" w:cs="Times New Roman"/>
                      <w:color w:val="auto"/>
                      <w:szCs w:val="21"/>
                    </w:rPr>
                    <w:t>本项目位于</w:t>
                  </w:r>
                  <w:r>
                    <w:rPr>
                      <w:rFonts w:hint="eastAsia" w:cs="Times New Roman"/>
                      <w:color w:val="auto"/>
                      <w:szCs w:val="21"/>
                      <w:lang w:eastAsia="zh-CN"/>
                    </w:rPr>
                    <w:t>安徽省淮北市杜集区杜集经济开发产业园二期标准化厂房4号厂房、2号厂房</w:t>
                  </w:r>
                  <w:r>
                    <w:rPr>
                      <w:rFonts w:hint="eastAsia" w:ascii="Times New Roman" w:hAnsi="Times New Roman" w:cs="Times New Roman"/>
                      <w:color w:val="auto"/>
                      <w:szCs w:val="21"/>
                    </w:rPr>
                    <w:t>，</w:t>
                  </w:r>
                  <w:r>
                    <w:rPr>
                      <w:rFonts w:hint="default" w:ascii="Times New Roman" w:hAnsi="Times New Roman" w:cs="Times New Roman"/>
                      <w:color w:val="auto"/>
                      <w:szCs w:val="21"/>
                    </w:rPr>
                    <w:t>不属于VOCs高污染企业。</w:t>
                  </w:r>
                </w:p>
              </w:tc>
              <w:tc>
                <w:tcPr>
                  <w:tcW w:w="671" w:type="dxa"/>
                  <w:noWrap w:val="0"/>
                  <w:vAlign w:val="center"/>
                </w:tcPr>
                <w:p w14:paraId="373EC74C">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 w:val="22"/>
                      <w:szCs w:val="32"/>
                    </w:rPr>
                  </w:pPr>
                  <w:r>
                    <w:rPr>
                      <w:rFonts w:hint="default" w:ascii="Times New Roman" w:hAnsi="Times New Roman" w:cs="Times New Roman"/>
                      <w:bCs/>
                      <w:color w:val="auto"/>
                      <w:szCs w:val="21"/>
                    </w:rPr>
                    <w:t>符合</w:t>
                  </w:r>
                </w:p>
              </w:tc>
            </w:tr>
            <w:tr w14:paraId="31BD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trPr>
              <w:tc>
                <w:tcPr>
                  <w:tcW w:w="750" w:type="dxa"/>
                  <w:vMerge w:val="continue"/>
                  <w:noWrap w:val="0"/>
                  <w:vAlign w:val="center"/>
                </w:tcPr>
                <w:p w14:paraId="69EC83DF">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Cs w:val="30"/>
                    </w:rPr>
                  </w:pPr>
                </w:p>
              </w:tc>
              <w:tc>
                <w:tcPr>
                  <w:tcW w:w="3334" w:type="dxa"/>
                  <w:noWrap w:val="0"/>
                  <w:vAlign w:val="center"/>
                </w:tcPr>
                <w:p w14:paraId="3D772E27">
                  <w:pPr>
                    <w:keepNext w:val="0"/>
                    <w:keepLines w:val="0"/>
                    <w:suppressLineNumbers w:val="0"/>
                    <w:autoSpaceDE w:val="0"/>
                    <w:autoSpaceDN w:val="0"/>
                    <w:adjustRightInd w:val="0"/>
                    <w:snapToGrid w:val="0"/>
                    <w:spacing w:before="0" w:beforeAutospacing="0" w:after="0" w:afterAutospacing="0"/>
                    <w:ind w:left="0" w:right="0"/>
                    <w:rPr>
                      <w:rFonts w:hint="eastAsia" w:ascii="Times New Roman" w:hAnsi="Times New Roman" w:cs="Times New Roman"/>
                      <w:color w:val="auto"/>
                      <w:szCs w:val="21"/>
                    </w:rPr>
                  </w:pPr>
                  <w:r>
                    <w:rPr>
                      <w:rFonts w:hint="default" w:ascii="Times New Roman" w:hAnsi="Times New Roman" w:cs="Times New Roman"/>
                      <w:color w:val="auto"/>
                      <w:szCs w:val="21"/>
                    </w:rPr>
                    <w:t>3.严格建设项目准入。.....新建、建设VOCs排放量大的企业应入工业园区并符合规划要求，必须建设挥发性有机物污染治理设施，安装废气收集、回收或净化装置，原则上总净化效率不得低于90%。建立VOCs排放总量控制制度。重点行业建设项目报批环评文件时应附VOCs等量替代的来源说明，并落实相应的有机废气治理措施。</w:t>
                  </w:r>
                </w:p>
              </w:tc>
              <w:tc>
                <w:tcPr>
                  <w:tcW w:w="3142" w:type="dxa"/>
                  <w:noWrap w:val="0"/>
                  <w:vAlign w:val="center"/>
                </w:tcPr>
                <w:p w14:paraId="7E7C58C8">
                  <w:pPr>
                    <w:keepNext w:val="0"/>
                    <w:keepLines w:val="0"/>
                    <w:suppressLineNumbers w:val="0"/>
                    <w:autoSpaceDE w:val="0"/>
                    <w:autoSpaceDN w:val="0"/>
                    <w:adjustRightInd w:val="0"/>
                    <w:snapToGrid w:val="0"/>
                    <w:spacing w:before="0" w:beforeAutospacing="0" w:after="0" w:afterAutospacing="0"/>
                    <w:ind w:left="0" w:right="0"/>
                    <w:rPr>
                      <w:rFonts w:hint="eastAsia" w:ascii="Times New Roman" w:hAnsi="Times New Roman" w:cs="Times New Roman"/>
                      <w:color w:val="auto"/>
                      <w:szCs w:val="21"/>
                    </w:rPr>
                  </w:pPr>
                  <w:r>
                    <w:rPr>
                      <w:rFonts w:hint="default" w:ascii="Times New Roman" w:hAnsi="Times New Roman" w:cs="Times New Roman"/>
                      <w:color w:val="auto"/>
                      <w:szCs w:val="21"/>
                    </w:rPr>
                    <w:t>本项目位于</w:t>
                  </w:r>
                  <w:r>
                    <w:rPr>
                      <w:rFonts w:hint="eastAsia" w:cs="Times New Roman"/>
                      <w:color w:val="auto"/>
                      <w:szCs w:val="21"/>
                      <w:lang w:eastAsia="zh-CN"/>
                    </w:rPr>
                    <w:t>安徽省淮北市杜集区杜集经济开发产业园二期标准化厂房4号厂房、2号厂房</w:t>
                  </w:r>
                  <w:r>
                    <w:rPr>
                      <w:rFonts w:hint="default" w:ascii="Times New Roman" w:hAnsi="Times New Roman" w:cs="Times New Roman"/>
                      <w:color w:val="auto"/>
                      <w:szCs w:val="21"/>
                    </w:rPr>
                    <w:t>内，</w:t>
                  </w:r>
                  <w:r>
                    <w:rPr>
                      <w:rFonts w:hint="eastAsia" w:ascii="Times New Roman" w:hAnsi="Times New Roman" w:cs="Times New Roman"/>
                      <w:color w:val="auto"/>
                      <w:szCs w:val="21"/>
                    </w:rPr>
                    <w:t>不属于VOCs排放量大的企业。环评要求</w:t>
                  </w:r>
                  <w:r>
                    <w:rPr>
                      <w:rFonts w:hint="default" w:ascii="Times New Roman" w:hAnsi="Times New Roman" w:cs="Times New Roman"/>
                      <w:color w:val="auto"/>
                      <w:szCs w:val="21"/>
                    </w:rPr>
                    <w:t>建设挥发性有机物污染治理设施</w:t>
                  </w:r>
                  <w:r>
                    <w:rPr>
                      <w:rFonts w:hint="eastAsia"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集气</w:t>
                  </w:r>
                  <w:r>
                    <w:rPr>
                      <w:rFonts w:hint="eastAsia" w:cs="Times New Roman"/>
                      <w:color w:val="auto"/>
                      <w:kern w:val="0"/>
                      <w:szCs w:val="21"/>
                      <w:lang w:val="en-US" w:eastAsia="zh-CN"/>
                    </w:rPr>
                    <w:t>设施</w:t>
                  </w:r>
                  <w:r>
                    <w:rPr>
                      <w:rFonts w:hint="eastAsia" w:ascii="Times New Roman" w:hAnsi="Times New Roman" w:cs="Times New Roman"/>
                      <w:color w:val="auto"/>
                      <w:kern w:val="0"/>
                      <w:szCs w:val="21"/>
                      <w:lang w:val="en-US" w:eastAsia="zh-CN"/>
                    </w:rPr>
                    <w:t>收集</w:t>
                  </w:r>
                  <w:r>
                    <w:rPr>
                      <w:rFonts w:hint="eastAsia" w:ascii="Times New Roman" w:hAnsi="Times New Roman" w:cs="Times New Roman"/>
                      <w:color w:val="auto"/>
                      <w:kern w:val="0"/>
                      <w:szCs w:val="21"/>
                    </w:rPr>
                    <w:t>+</w:t>
                  </w:r>
                  <w:r>
                    <w:rPr>
                      <w:rFonts w:hint="eastAsia" w:cs="Times New Roman"/>
                      <w:color w:val="auto"/>
                      <w:kern w:val="0"/>
                      <w:szCs w:val="21"/>
                      <w:lang w:val="en-US" w:eastAsia="zh-CN"/>
                    </w:rPr>
                    <w:t>TO燃烧器</w:t>
                  </w:r>
                  <w:r>
                    <w:rPr>
                      <w:rFonts w:hint="eastAsia" w:ascii="Times New Roman" w:hAnsi="Times New Roman" w:cs="Times New Roman"/>
                      <w:color w:val="auto"/>
                      <w:kern w:val="0"/>
                      <w:szCs w:val="21"/>
                    </w:rPr>
                    <w:t>”</w:t>
                  </w:r>
                  <w:r>
                    <w:rPr>
                      <w:rFonts w:hint="eastAsia" w:ascii="Times New Roman" w:hAnsi="Times New Roman" w:cs="Times New Roman"/>
                      <w:color w:val="auto"/>
                      <w:szCs w:val="21"/>
                    </w:rPr>
                    <w:t>，并申请总量控制指标。</w:t>
                  </w:r>
                </w:p>
              </w:tc>
              <w:tc>
                <w:tcPr>
                  <w:tcW w:w="671" w:type="dxa"/>
                  <w:noWrap w:val="0"/>
                  <w:vAlign w:val="center"/>
                </w:tcPr>
                <w:p w14:paraId="0C8F1CA4">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 w:val="22"/>
                      <w:szCs w:val="32"/>
                    </w:rPr>
                  </w:pPr>
                  <w:r>
                    <w:rPr>
                      <w:rFonts w:hint="default" w:ascii="Times New Roman" w:hAnsi="Times New Roman" w:cs="Times New Roman"/>
                      <w:bCs/>
                      <w:color w:val="auto"/>
                      <w:szCs w:val="21"/>
                    </w:rPr>
                    <w:t>符合</w:t>
                  </w:r>
                </w:p>
              </w:tc>
            </w:tr>
            <w:tr w14:paraId="20EE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5" w:hRule="atLeast"/>
              </w:trPr>
              <w:tc>
                <w:tcPr>
                  <w:tcW w:w="750" w:type="dxa"/>
                  <w:vMerge w:val="continue"/>
                  <w:noWrap w:val="0"/>
                  <w:vAlign w:val="center"/>
                </w:tcPr>
                <w:p w14:paraId="50493C7A">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Cs w:val="30"/>
                    </w:rPr>
                  </w:pPr>
                </w:p>
              </w:tc>
              <w:tc>
                <w:tcPr>
                  <w:tcW w:w="3334" w:type="dxa"/>
                  <w:noWrap w:val="0"/>
                  <w:vAlign w:val="center"/>
                </w:tcPr>
                <w:p w14:paraId="2703D4E8">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四）强化污染治理。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进行综合分析，合理选择废气回收或末端治理工艺路线，科学治理，达标排放。要妥善处置次生污染物，防范二次污染。要加强基础工作。</w:t>
                  </w:r>
                </w:p>
              </w:tc>
              <w:tc>
                <w:tcPr>
                  <w:tcW w:w="3142" w:type="dxa"/>
                  <w:noWrap w:val="0"/>
                  <w:vAlign w:val="center"/>
                </w:tcPr>
                <w:p w14:paraId="0FE860C3">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kern w:val="0"/>
                      <w:szCs w:val="21"/>
                      <w:lang w:val="en-US" w:eastAsia="zh-CN"/>
                    </w:rPr>
                    <w:t>有机</w:t>
                  </w:r>
                  <w:r>
                    <w:rPr>
                      <w:rFonts w:hint="eastAsia" w:ascii="Times New Roman" w:hAnsi="Times New Roman" w:cs="Times New Roman"/>
                      <w:color w:val="auto"/>
                      <w:kern w:val="0"/>
                      <w:szCs w:val="21"/>
                    </w:rPr>
                    <w:t>废气，通过“</w:t>
                  </w:r>
                  <w:r>
                    <w:rPr>
                      <w:rFonts w:hint="eastAsia" w:ascii="Times New Roman" w:hAnsi="Times New Roman" w:cs="Times New Roman"/>
                      <w:color w:val="auto"/>
                      <w:kern w:val="0"/>
                      <w:szCs w:val="21"/>
                      <w:lang w:val="en-US" w:eastAsia="zh-CN"/>
                    </w:rPr>
                    <w:t>集气</w:t>
                  </w:r>
                  <w:r>
                    <w:rPr>
                      <w:rFonts w:hint="eastAsia" w:cs="Times New Roman"/>
                      <w:color w:val="auto"/>
                      <w:kern w:val="0"/>
                      <w:szCs w:val="21"/>
                      <w:lang w:val="en-US" w:eastAsia="zh-CN"/>
                    </w:rPr>
                    <w:t>设施</w:t>
                  </w:r>
                  <w:r>
                    <w:rPr>
                      <w:rFonts w:hint="eastAsia" w:ascii="Times New Roman" w:hAnsi="Times New Roman" w:cs="Times New Roman"/>
                      <w:color w:val="auto"/>
                      <w:kern w:val="0"/>
                      <w:szCs w:val="21"/>
                      <w:lang w:val="en-US" w:eastAsia="zh-CN"/>
                    </w:rPr>
                    <w:t>收集</w:t>
                  </w:r>
                  <w:r>
                    <w:rPr>
                      <w:rFonts w:hint="eastAsia" w:ascii="Times New Roman" w:hAnsi="Times New Roman" w:cs="Times New Roman"/>
                      <w:color w:val="auto"/>
                      <w:kern w:val="0"/>
                      <w:szCs w:val="21"/>
                    </w:rPr>
                    <w:t>+</w:t>
                  </w:r>
                  <w:r>
                    <w:rPr>
                      <w:rFonts w:hint="eastAsia" w:cs="Times New Roman"/>
                      <w:color w:val="auto"/>
                      <w:kern w:val="0"/>
                      <w:szCs w:val="21"/>
                      <w:lang w:val="en-US" w:eastAsia="zh-CN"/>
                    </w:rPr>
                    <w:t>TO燃烧器</w:t>
                  </w:r>
                  <w:r>
                    <w:rPr>
                      <w:rFonts w:hint="eastAsia" w:ascii="Times New Roman" w:hAnsi="Times New Roman" w:cs="Times New Roman"/>
                      <w:color w:val="auto"/>
                      <w:kern w:val="0"/>
                      <w:szCs w:val="21"/>
                    </w:rPr>
                    <w:t>”处理后有组织排放</w:t>
                  </w:r>
                  <w:r>
                    <w:rPr>
                      <w:rFonts w:hint="default" w:ascii="Times New Roman" w:hAnsi="Times New Roman" w:cs="Times New Roman"/>
                      <w:color w:val="auto"/>
                      <w:szCs w:val="21"/>
                    </w:rPr>
                    <w:t>，无储罐，加强企业内部管理，明确VOCs处理装置的管理和监控方案，提升现场管理水平，确保VOCs处理装置长期有效运行，建立完善的“一厂一档”，与VOCs排放相关的原辅料的使用、产品生产及输出、废气处理、污染物排放等信息进行跟踪记录，以满足企业VOCs实际以及潜在的排放量查证需要，确保企业VOCs处理装置运行效果；</w:t>
                  </w:r>
                  <w:r>
                    <w:rPr>
                      <w:rFonts w:hint="eastAsia" w:cs="Times New Roman"/>
                      <w:color w:val="auto"/>
                      <w:szCs w:val="21"/>
                      <w:lang w:val="en-US" w:eastAsia="zh-CN"/>
                    </w:rPr>
                    <w:t>危险废物</w:t>
                  </w:r>
                  <w:r>
                    <w:rPr>
                      <w:rFonts w:hint="default" w:ascii="Times New Roman" w:hAnsi="Times New Roman" w:cs="Times New Roman"/>
                      <w:color w:val="auto"/>
                      <w:szCs w:val="21"/>
                    </w:rPr>
                    <w:t>收集后暂存于危废暂存间，定期交由有</w:t>
                  </w:r>
                  <w:r>
                    <w:rPr>
                      <w:rFonts w:hint="eastAsia" w:ascii="Times New Roman" w:hAnsi="Times New Roman" w:cs="Times New Roman"/>
                      <w:color w:val="auto"/>
                      <w:szCs w:val="21"/>
                    </w:rPr>
                    <w:t>资质单位处置</w:t>
                  </w:r>
                  <w:r>
                    <w:rPr>
                      <w:rFonts w:hint="eastAsia" w:ascii="Times New Roman" w:hAnsi="Times New Roman" w:cs="Times New Roman"/>
                      <w:color w:val="auto"/>
                      <w:szCs w:val="21"/>
                      <w:lang w:val="en-US" w:eastAsia="zh-CN"/>
                    </w:rPr>
                    <w:t>。</w:t>
                  </w:r>
                </w:p>
              </w:tc>
              <w:tc>
                <w:tcPr>
                  <w:tcW w:w="671" w:type="dxa"/>
                  <w:noWrap w:val="0"/>
                  <w:vAlign w:val="center"/>
                </w:tcPr>
                <w:p w14:paraId="16684AFC">
                  <w:pPr>
                    <w:keepNext/>
                    <w:keepLines w:val="0"/>
                    <w:suppressLineNumbers w:val="0"/>
                    <w:overflowPunct w:val="0"/>
                    <w:snapToGrid w:val="0"/>
                    <w:spacing w:before="0" w:beforeAutospacing="0" w:after="0" w:afterAutospacing="0"/>
                    <w:ind w:left="0" w:right="0"/>
                    <w:jc w:val="center"/>
                    <w:outlineLvl w:val="0"/>
                    <w:rPr>
                      <w:rFonts w:hint="eastAsia" w:ascii="Times New Roman" w:hAnsi="Times New Roman" w:cs="Times New Roman"/>
                      <w:bCs/>
                      <w:color w:val="auto"/>
                      <w:kern w:val="44"/>
                      <w:sz w:val="22"/>
                      <w:szCs w:val="32"/>
                    </w:rPr>
                  </w:pPr>
                  <w:r>
                    <w:rPr>
                      <w:rFonts w:hint="default" w:ascii="Times New Roman" w:hAnsi="Times New Roman" w:cs="Times New Roman"/>
                      <w:bCs/>
                      <w:color w:val="auto"/>
                      <w:szCs w:val="21"/>
                    </w:rPr>
                    <w:t>符合</w:t>
                  </w:r>
                </w:p>
              </w:tc>
            </w:tr>
          </w:tbl>
          <w:p w14:paraId="009E8CCD">
            <w:pPr>
              <w:keepNext w:val="0"/>
              <w:keepLines w:val="0"/>
              <w:suppressLineNumbers w:val="0"/>
              <w:autoSpaceDE w:val="0"/>
              <w:autoSpaceDN w:val="0"/>
              <w:adjustRightInd w:val="0"/>
              <w:spacing w:before="0" w:beforeAutospacing="0" w:after="0" w:afterAutospacing="0" w:line="500" w:lineRule="exact"/>
              <w:ind w:left="0" w:right="0" w:firstLine="482" w:firstLineChars="200"/>
              <w:jc w:val="left"/>
              <w:rPr>
                <w:rFonts w:hint="default" w:ascii="宋体" w:hAnsi="宋体" w:cs="Times New Roman"/>
                <w:color w:val="auto"/>
                <w:kern w:val="0"/>
                <w:sz w:val="24"/>
              </w:rPr>
            </w:pPr>
            <w:r>
              <w:rPr>
                <w:rFonts w:hint="eastAsia" w:cs="Times New Roman"/>
                <w:b/>
                <w:bCs/>
                <w:color w:val="auto"/>
                <w:sz w:val="24"/>
                <w:lang w:val="en-US" w:eastAsia="zh-CN"/>
              </w:rPr>
              <w:t>八</w:t>
            </w:r>
            <w:r>
              <w:rPr>
                <w:rFonts w:hint="eastAsia" w:ascii="Times New Roman" w:hAnsi="Times New Roman" w:cs="Times New Roman"/>
                <w:b/>
                <w:bCs/>
                <w:color w:val="auto"/>
                <w:sz w:val="24"/>
              </w:rPr>
              <w:t>、</w:t>
            </w:r>
            <w:r>
              <w:rPr>
                <w:rFonts w:hint="eastAsia" w:ascii="宋体" w:hAnsi="宋体" w:cs="宋体"/>
                <w:b/>
                <w:bCs/>
                <w:color w:val="auto"/>
                <w:sz w:val="24"/>
              </w:rPr>
              <w:t>与《挥发性有机物污染防治技术政策》符合性分析</w:t>
            </w:r>
          </w:p>
          <w:p w14:paraId="652B2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bidi="en-US"/>
              </w:rPr>
            </w:pPr>
            <w:r>
              <w:rPr>
                <w:rFonts w:hint="default" w:ascii="Times New Roman" w:hAnsi="Times New Roman" w:cs="Times New Roman"/>
                <w:b/>
                <w:color w:val="auto"/>
                <w:szCs w:val="21"/>
                <w:lang w:bidi="en-US"/>
              </w:rPr>
              <w:t>表1-</w:t>
            </w:r>
            <w:r>
              <w:rPr>
                <w:rFonts w:hint="eastAsia" w:cs="Times New Roman"/>
                <w:b/>
                <w:color w:val="auto"/>
                <w:szCs w:val="21"/>
                <w:lang w:val="en-US" w:eastAsia="zh-CN" w:bidi="en-US"/>
              </w:rPr>
              <w:t>6</w:t>
            </w:r>
            <w:r>
              <w:rPr>
                <w:rFonts w:hint="default" w:ascii="Times New Roman" w:hAnsi="Times New Roman" w:cs="Times New Roman"/>
                <w:b/>
                <w:color w:val="auto"/>
                <w:szCs w:val="21"/>
                <w:lang w:bidi="en-US"/>
              </w:rPr>
              <w:t xml:space="preserve"> </w:t>
            </w:r>
            <w:r>
              <w:rPr>
                <w:rFonts w:hint="default" w:ascii="Times New Roman" w:hAnsi="Times New Roman" w:cs="Times New Roman"/>
                <w:b/>
                <w:bCs/>
                <w:color w:val="auto"/>
                <w:szCs w:val="21"/>
              </w:rPr>
              <w:t>与《挥发性有机物污染防治技术政策》符合性分析</w:t>
            </w:r>
          </w:p>
          <w:tbl>
            <w:tblPr>
              <w:tblStyle w:val="21"/>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3387"/>
              <w:gridCol w:w="2942"/>
              <w:gridCol w:w="975"/>
            </w:tblGrid>
            <w:tr w14:paraId="355E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74" w:type="dxa"/>
                  <w:noWrap w:val="0"/>
                  <w:vAlign w:val="center"/>
                </w:tcPr>
                <w:p w14:paraId="47E3329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3387" w:type="dxa"/>
                  <w:tcBorders>
                    <w:left w:val="nil"/>
                  </w:tcBorders>
                  <w:noWrap w:val="0"/>
                  <w:vAlign w:val="center"/>
                </w:tcPr>
                <w:p w14:paraId="7580E01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文件内容</w:t>
                  </w:r>
                </w:p>
              </w:tc>
              <w:tc>
                <w:tcPr>
                  <w:tcW w:w="2942" w:type="dxa"/>
                  <w:noWrap w:val="0"/>
                  <w:vAlign w:val="center"/>
                </w:tcPr>
                <w:p w14:paraId="1AEE65C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本项目建设内容</w:t>
                  </w:r>
                </w:p>
              </w:tc>
              <w:tc>
                <w:tcPr>
                  <w:tcW w:w="975" w:type="dxa"/>
                  <w:noWrap w:val="0"/>
                  <w:vAlign w:val="center"/>
                </w:tcPr>
                <w:p w14:paraId="1977009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相符性</w:t>
                  </w:r>
                </w:p>
              </w:tc>
            </w:tr>
            <w:tr w14:paraId="4D4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774" w:type="dxa"/>
                  <w:vMerge w:val="restart"/>
                  <w:noWrap w:val="0"/>
                  <w:vAlign w:val="center"/>
                </w:tcPr>
                <w:p w14:paraId="60E61C8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三、末端治理与综合利用</w:t>
                  </w:r>
                </w:p>
              </w:tc>
              <w:tc>
                <w:tcPr>
                  <w:tcW w:w="3387" w:type="dxa"/>
                  <w:tcBorders>
                    <w:left w:val="nil"/>
                  </w:tcBorders>
                  <w:noWrap w:val="0"/>
                  <w:vAlign w:val="center"/>
                </w:tcPr>
                <w:p w14:paraId="49D3C87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942" w:type="dxa"/>
                  <w:noWrap w:val="0"/>
                  <w:vAlign w:val="center"/>
                </w:tcPr>
                <w:p w14:paraId="4038FFDD">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本项目有机废气浓度为低浓度VOCs废气，企业拟采用</w:t>
                  </w:r>
                  <w:r>
                    <w:rPr>
                      <w:rFonts w:hint="eastAsia"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集气</w:t>
                  </w:r>
                  <w:r>
                    <w:rPr>
                      <w:rFonts w:hint="eastAsia" w:cs="Times New Roman"/>
                      <w:color w:val="auto"/>
                      <w:kern w:val="0"/>
                      <w:szCs w:val="21"/>
                      <w:lang w:val="en-US" w:eastAsia="zh-CN"/>
                    </w:rPr>
                    <w:t>设施</w:t>
                  </w:r>
                  <w:r>
                    <w:rPr>
                      <w:rFonts w:hint="eastAsia" w:ascii="Times New Roman" w:hAnsi="Times New Roman" w:cs="Times New Roman"/>
                      <w:color w:val="auto"/>
                      <w:kern w:val="0"/>
                      <w:szCs w:val="21"/>
                      <w:lang w:val="en-US" w:eastAsia="zh-CN"/>
                    </w:rPr>
                    <w:t>收集</w:t>
                  </w:r>
                  <w:r>
                    <w:rPr>
                      <w:rFonts w:hint="eastAsia" w:ascii="Times New Roman" w:hAnsi="Times New Roman" w:cs="Times New Roman"/>
                      <w:color w:val="auto"/>
                      <w:kern w:val="0"/>
                      <w:szCs w:val="21"/>
                    </w:rPr>
                    <w:t>+</w:t>
                  </w:r>
                  <w:r>
                    <w:rPr>
                      <w:rFonts w:hint="eastAsia" w:cs="Times New Roman"/>
                      <w:color w:val="auto"/>
                      <w:kern w:val="0"/>
                      <w:szCs w:val="21"/>
                      <w:lang w:val="en-US" w:eastAsia="zh-CN"/>
                    </w:rPr>
                    <w:t>TO燃烧器</w:t>
                  </w:r>
                  <w:r>
                    <w:rPr>
                      <w:rFonts w:hint="eastAsia" w:ascii="Times New Roman" w:hAnsi="Times New Roman" w:cs="Times New Roman"/>
                      <w:color w:val="auto"/>
                      <w:kern w:val="0"/>
                      <w:szCs w:val="21"/>
                    </w:rPr>
                    <w:t>”</w:t>
                  </w:r>
                  <w:r>
                    <w:rPr>
                      <w:rFonts w:hint="default" w:ascii="Times New Roman" w:hAnsi="Times New Roman" w:cs="Times New Roman"/>
                      <w:bCs/>
                      <w:color w:val="auto"/>
                      <w:szCs w:val="21"/>
                    </w:rPr>
                    <w:t>净化后达标排放。</w:t>
                  </w:r>
                </w:p>
              </w:tc>
              <w:tc>
                <w:tcPr>
                  <w:tcW w:w="975" w:type="dxa"/>
                  <w:noWrap w:val="0"/>
                  <w:vAlign w:val="center"/>
                </w:tcPr>
                <w:p w14:paraId="4CD3D38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2CEC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774" w:type="dxa"/>
                  <w:vMerge w:val="continue"/>
                  <w:noWrap w:val="0"/>
                  <w:vAlign w:val="center"/>
                </w:tcPr>
                <w:p w14:paraId="4DFC1C9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3387" w:type="dxa"/>
                  <w:tcBorders>
                    <w:left w:val="nil"/>
                  </w:tcBorders>
                  <w:noWrap w:val="0"/>
                  <w:vAlign w:val="center"/>
                </w:tcPr>
                <w:p w14:paraId="6EB1B9C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对于不能再生的过滤材料、吸附剂及催化剂等净化材料，应按照国家固体废物管理的相关规定处理处置。</w:t>
                  </w:r>
                </w:p>
              </w:tc>
              <w:tc>
                <w:tcPr>
                  <w:tcW w:w="2942" w:type="dxa"/>
                  <w:noWrap w:val="0"/>
                  <w:vAlign w:val="center"/>
                </w:tcPr>
                <w:p w14:paraId="1068103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Cs w:val="21"/>
                      <w:lang w:val="en-US" w:eastAsia="zh-CN"/>
                    </w:rPr>
                    <w:t>本项目无</w:t>
                  </w:r>
                  <w:r>
                    <w:rPr>
                      <w:rFonts w:hint="default" w:ascii="Times New Roman" w:hAnsi="Times New Roman" w:cs="Times New Roman"/>
                      <w:bCs/>
                      <w:color w:val="auto"/>
                      <w:szCs w:val="21"/>
                    </w:rPr>
                    <w:t>过滤材料、吸附剂及催化剂等净化材料</w:t>
                  </w:r>
                  <w:r>
                    <w:rPr>
                      <w:rFonts w:hint="eastAsia" w:ascii="Times New Roman" w:hAnsi="Times New Roman" w:cs="Times New Roman"/>
                      <w:bCs/>
                      <w:color w:val="auto"/>
                      <w:szCs w:val="21"/>
                      <w:lang w:val="en-US" w:eastAsia="zh-CN"/>
                    </w:rPr>
                    <w:t>产生</w:t>
                  </w:r>
                  <w:r>
                    <w:rPr>
                      <w:rFonts w:hint="default" w:ascii="Times New Roman" w:hAnsi="Times New Roman" w:cs="Times New Roman"/>
                      <w:bCs/>
                      <w:color w:val="auto"/>
                      <w:szCs w:val="21"/>
                    </w:rPr>
                    <w:t>。</w:t>
                  </w:r>
                </w:p>
              </w:tc>
              <w:tc>
                <w:tcPr>
                  <w:tcW w:w="975" w:type="dxa"/>
                  <w:noWrap w:val="0"/>
                  <w:vAlign w:val="center"/>
                </w:tcPr>
                <w:p w14:paraId="62437A6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2AAD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774" w:type="dxa"/>
                  <w:noWrap w:val="0"/>
                  <w:vAlign w:val="center"/>
                </w:tcPr>
                <w:p w14:paraId="588BEB7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四、运行与监测</w:t>
                  </w:r>
                </w:p>
              </w:tc>
              <w:tc>
                <w:tcPr>
                  <w:tcW w:w="3387" w:type="dxa"/>
                  <w:tcBorders>
                    <w:left w:val="nil"/>
                  </w:tcBorders>
                  <w:noWrap w:val="0"/>
                  <w:vAlign w:val="center"/>
                </w:tcPr>
                <w:p w14:paraId="318436B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企业应建立健全VOCs治理设施的运行维护规程和台帐等日常管理制度，并根据工艺要求定期对各类设备、电气、自控仪表等进行检修维护，确保设施的稳定运行。</w:t>
                  </w:r>
                </w:p>
              </w:tc>
              <w:tc>
                <w:tcPr>
                  <w:tcW w:w="2942" w:type="dxa"/>
                  <w:noWrap w:val="0"/>
                  <w:vAlign w:val="center"/>
                </w:tcPr>
                <w:p w14:paraId="615E89F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企业健全VOCs治理设施的运行维护规程和台帐等日常管理制度</w:t>
                  </w:r>
                </w:p>
              </w:tc>
              <w:tc>
                <w:tcPr>
                  <w:tcW w:w="975" w:type="dxa"/>
                  <w:noWrap w:val="0"/>
                  <w:vAlign w:val="center"/>
                </w:tcPr>
                <w:p w14:paraId="7F1B044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6B7BD81E">
            <w:pPr>
              <w:keepNext w:val="0"/>
              <w:keepLines w:val="0"/>
              <w:suppressLineNumbers w:val="0"/>
              <w:adjustRightInd w:val="0"/>
              <w:spacing w:before="0" w:beforeAutospacing="0" w:after="0" w:afterAutospacing="0" w:line="360" w:lineRule="auto"/>
              <w:ind w:left="0" w:right="0" w:firstLine="482" w:firstLineChars="200"/>
              <w:jc w:val="left"/>
              <w:rPr>
                <w:rFonts w:hint="default" w:ascii="Times New Roman" w:hAnsi="Times New Roman" w:cs="Times New Roman"/>
                <w:b/>
                <w:sz w:val="24"/>
                <w:szCs w:val="24"/>
              </w:rPr>
            </w:pPr>
            <w:r>
              <w:rPr>
                <w:rFonts w:hint="eastAsia" w:cs="Times New Roman"/>
                <w:b/>
                <w:sz w:val="24"/>
                <w:szCs w:val="24"/>
                <w:lang w:val="en-US" w:eastAsia="zh-CN"/>
              </w:rPr>
              <w:t>九</w:t>
            </w:r>
            <w:r>
              <w:rPr>
                <w:rFonts w:hint="eastAsia" w:ascii="Times New Roman" w:hAnsi="Times New Roman" w:cs="Times New Roman"/>
                <w:b/>
                <w:sz w:val="24"/>
                <w:szCs w:val="24"/>
                <w:lang w:eastAsia="zh-CN"/>
              </w:rPr>
              <w:t>、</w:t>
            </w:r>
            <w:r>
              <w:rPr>
                <w:rFonts w:hint="eastAsia" w:ascii="宋体" w:hAnsi="宋体" w:cs="宋体"/>
                <w:b/>
                <w:bCs/>
                <w:color w:val="auto"/>
                <w:sz w:val="24"/>
              </w:rPr>
              <w:t>与《淮北市挥发性有机物污染综合治理方案》（淮大气办【2020】17号）符合性分析</w:t>
            </w:r>
          </w:p>
          <w:p w14:paraId="4A1FE291">
            <w:pPr>
              <w:keepNext w:val="0"/>
              <w:keepLines w:val="0"/>
              <w:suppressLineNumbers w:val="0"/>
              <w:snapToGrid w:val="0"/>
              <w:spacing w:before="0" w:beforeAutospacing="0" w:after="0" w:afterAutospacing="0" w:line="460" w:lineRule="exact"/>
              <w:ind w:left="0" w:right="0"/>
              <w:jc w:val="center"/>
              <w:rPr>
                <w:rFonts w:hint="eastAsia" w:ascii="Times New Roman" w:hAnsi="Times New Roman" w:cs="Times New Roman"/>
                <w:color w:val="auto"/>
                <w:szCs w:val="21"/>
              </w:rPr>
            </w:pPr>
            <w:r>
              <w:rPr>
                <w:rFonts w:hint="eastAsia" w:ascii="Times New Roman" w:hAnsi="Times New Roman" w:cs="Times New Roman"/>
                <w:b/>
                <w:bCs/>
                <w:color w:val="auto"/>
                <w:szCs w:val="21"/>
              </w:rPr>
              <w:t>表1-</w:t>
            </w:r>
            <w:r>
              <w:rPr>
                <w:rFonts w:hint="eastAsia" w:cs="Times New Roman"/>
                <w:b/>
                <w:bCs/>
                <w:color w:val="auto"/>
                <w:szCs w:val="21"/>
                <w:lang w:val="en-US" w:eastAsia="zh-CN"/>
              </w:rPr>
              <w:t>7</w:t>
            </w:r>
            <w:r>
              <w:rPr>
                <w:rFonts w:hint="eastAsia" w:ascii="Times New Roman" w:hAnsi="Times New Roman" w:cs="Times New Roman"/>
                <w:b/>
                <w:bCs/>
                <w:color w:val="auto"/>
                <w:szCs w:val="21"/>
              </w:rPr>
              <w:t xml:space="preserve">  与《淮北市挥发性有机物污染综合治理方案》符合性分析</w:t>
            </w:r>
          </w:p>
          <w:tbl>
            <w:tblPr>
              <w:tblStyle w:val="21"/>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1"/>
              <w:gridCol w:w="1984"/>
              <w:gridCol w:w="935"/>
            </w:tblGrid>
            <w:tr w14:paraId="5603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1" w:type="dxa"/>
                  <w:noWrap w:val="0"/>
                  <w:vAlign w:val="center"/>
                </w:tcPr>
                <w:p w14:paraId="394C689F">
                  <w:pPr>
                    <w:keepNext w:val="0"/>
                    <w:keepLines w:val="0"/>
                    <w:suppressLineNumbers w:val="0"/>
                    <w:spacing w:before="0" w:beforeAutospacing="0" w:after="0" w:afterAutospacing="0" w:line="400" w:lineRule="exact"/>
                    <w:ind w:left="0" w:right="0"/>
                    <w:jc w:val="center"/>
                    <w:rPr>
                      <w:rFonts w:hint="default" w:ascii="宋体" w:hAnsi="宋体" w:cs="Times New Roman"/>
                      <w:bCs/>
                      <w:color w:val="auto"/>
                      <w:szCs w:val="21"/>
                    </w:rPr>
                  </w:pPr>
                  <w:r>
                    <w:rPr>
                      <w:rFonts w:hint="eastAsia" w:ascii="宋体" w:hAnsi="宋体" w:cs="Times New Roman"/>
                      <w:color w:val="auto"/>
                      <w:szCs w:val="21"/>
                    </w:rPr>
                    <w:t>文件内容</w:t>
                  </w:r>
                </w:p>
              </w:tc>
              <w:tc>
                <w:tcPr>
                  <w:tcW w:w="1984" w:type="dxa"/>
                  <w:noWrap w:val="0"/>
                  <w:vAlign w:val="center"/>
                </w:tcPr>
                <w:p w14:paraId="7C5FE966">
                  <w:pPr>
                    <w:keepNext w:val="0"/>
                    <w:keepLines w:val="0"/>
                    <w:suppressLineNumbers w:val="0"/>
                    <w:spacing w:before="0" w:beforeAutospacing="0" w:after="0" w:afterAutospacing="0" w:line="400" w:lineRule="exact"/>
                    <w:ind w:left="0" w:right="0"/>
                    <w:jc w:val="center"/>
                    <w:rPr>
                      <w:rFonts w:hint="default" w:ascii="宋体" w:hAnsi="宋体" w:cs="Times New Roman"/>
                      <w:bCs/>
                      <w:color w:val="auto"/>
                      <w:szCs w:val="21"/>
                    </w:rPr>
                  </w:pPr>
                  <w:r>
                    <w:rPr>
                      <w:rFonts w:hint="default" w:ascii="宋体" w:hAnsi="宋体" w:cs="Times New Roman"/>
                      <w:bCs/>
                      <w:color w:val="auto"/>
                      <w:szCs w:val="21"/>
                    </w:rPr>
                    <w:t>本项目建设内容</w:t>
                  </w:r>
                </w:p>
              </w:tc>
              <w:tc>
                <w:tcPr>
                  <w:tcW w:w="935" w:type="dxa"/>
                  <w:noWrap w:val="0"/>
                  <w:vAlign w:val="center"/>
                </w:tcPr>
                <w:p w14:paraId="4B4654AC">
                  <w:pPr>
                    <w:keepNext w:val="0"/>
                    <w:keepLines w:val="0"/>
                    <w:suppressLineNumbers w:val="0"/>
                    <w:spacing w:before="0" w:beforeAutospacing="0" w:after="0" w:afterAutospacing="0" w:line="400" w:lineRule="exact"/>
                    <w:ind w:left="0" w:right="0"/>
                    <w:jc w:val="center"/>
                    <w:rPr>
                      <w:rFonts w:hint="default" w:ascii="宋体" w:hAnsi="宋体" w:cs="Times New Roman"/>
                      <w:bCs/>
                      <w:color w:val="auto"/>
                      <w:szCs w:val="21"/>
                    </w:rPr>
                  </w:pPr>
                  <w:r>
                    <w:rPr>
                      <w:rFonts w:hint="default" w:ascii="宋体" w:hAnsi="宋体" w:cs="Times New Roman"/>
                      <w:bCs/>
                      <w:color w:val="auto"/>
                      <w:szCs w:val="21"/>
                    </w:rPr>
                    <w:t>相符性</w:t>
                  </w:r>
                </w:p>
              </w:tc>
            </w:tr>
            <w:tr w14:paraId="31E6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1" w:type="dxa"/>
                  <w:noWrap w:val="0"/>
                  <w:vAlign w:val="center"/>
                </w:tcPr>
                <w:p w14:paraId="5EE53AC0">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四、主要任务-（一）加大产业结构调整-2.严格建设项目环境准入。提高VOCs排放重点行业环保准入门槛，严格控制新增污染物排放量。新、改、扩建涉VOCs排放项目，应从源头加强控制，使用低（无）VOCs含量的原辅材料，加强废气收集，安装高效治理设施。</w:t>
                  </w:r>
                </w:p>
              </w:tc>
              <w:tc>
                <w:tcPr>
                  <w:tcW w:w="1984" w:type="dxa"/>
                  <w:noWrap w:val="0"/>
                  <w:vAlign w:val="center"/>
                </w:tcPr>
                <w:p w14:paraId="125E1766">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建设单位对VOCs产生工序加强废气收集，安装</w:t>
                  </w:r>
                  <w:r>
                    <w:rPr>
                      <w:rFonts w:hint="eastAsia" w:cs="Times New Roman"/>
                      <w:color w:val="auto"/>
                      <w:kern w:val="0"/>
                      <w:szCs w:val="21"/>
                      <w:lang w:val="en-US" w:eastAsia="zh-CN"/>
                    </w:rPr>
                    <w:t>TO燃烧器</w:t>
                  </w:r>
                  <w:r>
                    <w:rPr>
                      <w:rFonts w:hint="default" w:ascii="Times New Roman" w:hAnsi="Times New Roman" w:cs="Times New Roman"/>
                      <w:bCs/>
                      <w:color w:val="auto"/>
                      <w:szCs w:val="21"/>
                    </w:rPr>
                    <w:t>对VOCs进行治理。</w:t>
                  </w:r>
                </w:p>
              </w:tc>
              <w:tc>
                <w:tcPr>
                  <w:tcW w:w="935" w:type="dxa"/>
                  <w:noWrap w:val="0"/>
                  <w:vAlign w:val="center"/>
                </w:tcPr>
                <w:p w14:paraId="19D87828">
                  <w:pPr>
                    <w:keepNext w:val="0"/>
                    <w:keepLines w:val="0"/>
                    <w:suppressLineNumbers w:val="0"/>
                    <w:spacing w:before="0" w:beforeAutospacing="0" w:after="0" w:afterAutospacing="0"/>
                    <w:ind w:left="0" w:right="0"/>
                    <w:jc w:val="center"/>
                    <w:rPr>
                      <w:rFonts w:hint="default" w:ascii="宋体" w:hAnsi="宋体" w:cs="Times New Roman"/>
                      <w:bCs/>
                      <w:color w:val="auto"/>
                      <w:szCs w:val="21"/>
                    </w:rPr>
                  </w:pPr>
                  <w:r>
                    <w:rPr>
                      <w:rFonts w:hint="eastAsia" w:ascii="宋体" w:hAnsi="宋体" w:cs="Times New Roman"/>
                      <w:bCs/>
                      <w:color w:val="auto"/>
                      <w:szCs w:val="21"/>
                    </w:rPr>
                    <w:t>符合</w:t>
                  </w:r>
                </w:p>
              </w:tc>
            </w:tr>
            <w:tr w14:paraId="0C86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1" w:type="dxa"/>
                  <w:noWrap w:val="0"/>
                  <w:vAlign w:val="center"/>
                </w:tcPr>
                <w:p w14:paraId="7922101D">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四、主要任务-（二）加强VOCs无组织排放管控。针对我市多数涉VOCs企业无组织排放情况严重，需要强化VOCs无组织排放管控，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对于无法实现有组织排放的企业要严格按照《挥发性有机物无组织排放控制标准》进行监管。</w:t>
                  </w:r>
                </w:p>
              </w:tc>
              <w:tc>
                <w:tcPr>
                  <w:tcW w:w="1984" w:type="dxa"/>
                  <w:noWrap w:val="0"/>
                  <w:vAlign w:val="center"/>
                </w:tcPr>
                <w:p w14:paraId="35C03ED3">
                  <w:pPr>
                    <w:keepNext w:val="0"/>
                    <w:keepLines w:val="0"/>
                    <w:suppressLineNumbers w:val="0"/>
                    <w:spacing w:before="0" w:beforeAutospacing="0" w:after="0" w:afterAutospacing="0"/>
                    <w:ind w:left="0" w:right="0"/>
                    <w:rPr>
                      <w:rFonts w:hint="default" w:ascii="Times New Roman" w:hAnsi="Times New Roman" w:cs="Times New Roman"/>
                      <w:bCs/>
                      <w:color w:val="auto"/>
                      <w:szCs w:val="21"/>
                    </w:rPr>
                  </w:pPr>
                  <w:r>
                    <w:rPr>
                      <w:rFonts w:hint="default" w:ascii="Times New Roman" w:hAnsi="Times New Roman" w:cs="Times New Roman"/>
                      <w:bCs/>
                      <w:color w:val="auto"/>
                      <w:szCs w:val="21"/>
                    </w:rPr>
                    <w:t>建设单位拟对VOCs产生工序采用密闭设备操作，对含VOC废气进行收集处理达标后有组织排放。</w:t>
                  </w:r>
                </w:p>
              </w:tc>
              <w:tc>
                <w:tcPr>
                  <w:tcW w:w="935" w:type="dxa"/>
                  <w:noWrap w:val="0"/>
                  <w:vAlign w:val="center"/>
                </w:tcPr>
                <w:p w14:paraId="1E9DDB7D">
                  <w:pPr>
                    <w:keepNext w:val="0"/>
                    <w:keepLines w:val="0"/>
                    <w:suppressLineNumbers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符合</w:t>
                  </w:r>
                </w:p>
              </w:tc>
            </w:tr>
          </w:tbl>
          <w:p w14:paraId="2C7F2ACB">
            <w:pPr>
              <w:keepNext w:val="0"/>
              <w:keepLines w:val="0"/>
              <w:suppressLineNumbers w:val="0"/>
              <w:adjustRightInd w:val="0"/>
              <w:spacing w:before="0" w:beforeAutospacing="0" w:after="0" w:afterAutospacing="0" w:line="360" w:lineRule="auto"/>
              <w:ind w:left="0" w:right="0" w:firstLine="480" w:firstLineChars="200"/>
              <w:jc w:val="left"/>
              <w:rPr>
                <w:rFonts w:hint="eastAsia" w:ascii="宋体" w:hAnsi="宋体" w:cs="宋体"/>
                <w:kern w:val="0"/>
                <w:sz w:val="24"/>
              </w:rPr>
            </w:pPr>
          </w:p>
          <w:p w14:paraId="01D157B6">
            <w:pPr>
              <w:pStyle w:val="6"/>
              <w:keepNext w:val="0"/>
              <w:keepLines w:val="0"/>
              <w:suppressLineNumbers w:val="0"/>
              <w:spacing w:before="0" w:beforeAutospacing="0" w:afterAutospacing="0"/>
              <w:ind w:right="0"/>
              <w:rPr>
                <w:rFonts w:hint="eastAsia" w:ascii="宋体" w:hAnsi="宋体" w:cs="宋体"/>
                <w:kern w:val="0"/>
                <w:sz w:val="24"/>
              </w:rPr>
            </w:pPr>
          </w:p>
          <w:p w14:paraId="4311541A">
            <w:pPr>
              <w:pStyle w:val="6"/>
              <w:keepNext w:val="0"/>
              <w:keepLines w:val="0"/>
              <w:suppressLineNumbers w:val="0"/>
              <w:spacing w:before="0" w:beforeAutospacing="0" w:afterAutospacing="0"/>
              <w:ind w:left="0" w:leftChars="0" w:right="0" w:firstLine="0" w:firstLineChars="0"/>
              <w:rPr>
                <w:rFonts w:hint="eastAsia" w:ascii="宋体" w:hAnsi="宋体" w:cs="宋体"/>
                <w:kern w:val="0"/>
                <w:sz w:val="24"/>
              </w:rPr>
            </w:pPr>
          </w:p>
          <w:p w14:paraId="51912E48">
            <w:pPr>
              <w:keepNext w:val="0"/>
              <w:keepLines w:val="0"/>
              <w:suppressLineNumbers w:val="0"/>
              <w:autoSpaceDE w:val="0"/>
              <w:autoSpaceDN w:val="0"/>
              <w:adjustRightInd w:val="0"/>
              <w:snapToGrid w:val="0"/>
              <w:spacing w:before="0" w:beforeAutospacing="0" w:after="0" w:afterAutospacing="0" w:line="460" w:lineRule="exact"/>
              <w:ind w:left="0" w:right="0"/>
              <w:jc w:val="left"/>
              <w:rPr>
                <w:rFonts w:hint="default" w:ascii="宋体" w:hAnsi="宋体" w:cs="宋体"/>
                <w:kern w:val="0"/>
                <w:sz w:val="24"/>
              </w:rPr>
            </w:pPr>
          </w:p>
        </w:tc>
      </w:tr>
    </w:tbl>
    <w:p w14:paraId="1F6B70E3">
      <w:pPr>
        <w:spacing w:line="360" w:lineRule="auto"/>
        <w:outlineLvl w:val="0"/>
        <w:rPr>
          <w:rFonts w:eastAsia="黑体"/>
          <w:sz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1F11F4AF">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8598"/>
      </w:tblGrid>
      <w:tr w14:paraId="155C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2D6A5166">
            <w:pPr>
              <w:pStyle w:val="19"/>
              <w:keepNext w:val="0"/>
              <w:keepLines w:val="0"/>
              <w:suppressLineNumbers w:val="0"/>
              <w:adjustRightInd w:val="0"/>
              <w:snapToGrid w:val="0"/>
              <w:spacing w:before="0" w:beforeAutospacing="0" w:after="0" w:afterAutospacing="0" w:line="460" w:lineRule="exact"/>
              <w:ind w:left="0" w:right="0"/>
              <w:jc w:val="center"/>
              <w:rPr>
                <w:rFonts w:hint="default" w:cs="宋体"/>
                <w:szCs w:val="24"/>
              </w:rPr>
            </w:pPr>
            <w:r>
              <w:rPr>
                <w:rFonts w:hint="eastAsia" w:cs="宋体"/>
                <w:szCs w:val="24"/>
              </w:rPr>
              <w:t>建设内容</w:t>
            </w:r>
          </w:p>
        </w:tc>
        <w:tc>
          <w:tcPr>
            <w:tcW w:w="8161" w:type="dxa"/>
            <w:noWrap w:val="0"/>
            <w:vAlign w:val="top"/>
          </w:tcPr>
          <w:p w14:paraId="0FA39E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cs="Times New Roman"/>
                <w:color w:val="auto"/>
                <w:sz w:val="24"/>
              </w:rPr>
              <w:t>、</w:t>
            </w:r>
            <w:r>
              <w:rPr>
                <w:rFonts w:hint="default" w:ascii="Times New Roman" w:hAnsi="Times New Roman" w:cs="Times New Roman"/>
                <w:color w:val="auto"/>
                <w:sz w:val="24"/>
              </w:rPr>
              <w:t>项目背景及任务由来</w:t>
            </w:r>
          </w:p>
          <w:p w14:paraId="2B58D19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eastAsia="zh-CN"/>
              </w:rPr>
            </w:pPr>
            <w:r>
              <w:rPr>
                <w:rFonts w:hint="eastAsia" w:cs="Times New Roman"/>
                <w:color w:val="auto"/>
                <w:sz w:val="24"/>
                <w:lang w:eastAsia="zh-CN"/>
              </w:rPr>
              <w:t>淮北市佰斯倍新材料科技有限公司成立于2023年05月08日，注册地位于安徽省淮北市杜集区高岳办事处孙庄村孙谢里小区三栋401，法定代表人为刘姗。经营范围包括一般项目：新材料技术研发；技术服务、技术开发、技术咨询、技术交流、技术转让、技术推广；国内贸易代理；汽车零配件批发；汽车零部件及配件制造；新型陶瓷材料销售；金属材料制造；金属材料销售；汽车装饰用品销售；汽车零配件零售；高性能纤维及复合材料制造；高性能纤维及复合材料销售；合成材料制造（不含危险化学品）；齿轮及齿轮减、变速箱销售；货物进出口；技术进出口；锻件及粉末冶金制品制造；锻件及粉末冶金制品销售；高铁设备、配件制造；汽车零部件研发；通用零部件制造；摩托车零配件制造；摩托车及零配件批发；摩托车及零部件研发；摩托车及零配件零售；机械零件、零部件销售；机械零件、零部件加工；风力发电机组及零部件销售；轨道交通专用设备、关键系统及部件销售；铁路机车车辆配件制造；铁路机车车辆配件销售（除许可业务外，可自主依法经营法律法规非禁止或限制的项目）</w:t>
            </w:r>
            <w:r>
              <w:rPr>
                <w:rFonts w:hint="eastAsia" w:ascii="Times New Roman" w:hAnsi="Times New Roman" w:cs="Times New Roman"/>
                <w:color w:val="auto"/>
                <w:sz w:val="24"/>
                <w:lang w:eastAsia="zh-CN"/>
              </w:rPr>
              <w:t>类商品及技术的进出口业务（国家限制企业经营或禁止进出口的商品和技术除外）</w:t>
            </w:r>
            <w:r>
              <w:rPr>
                <w:rFonts w:hint="eastAsia" w:cs="Times New Roman"/>
                <w:color w:val="auto"/>
                <w:sz w:val="24"/>
                <w:lang w:eastAsia="zh-CN"/>
              </w:rPr>
              <w:t>。</w:t>
            </w:r>
          </w:p>
          <w:p w14:paraId="4386B6BF">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ascii="Times New Roman" w:hAnsi="Times New Roman" w:cs="Times New Roman"/>
                <w:color w:val="auto"/>
                <w:sz w:val="24"/>
                <w:lang w:eastAsia="zh-CN"/>
              </w:rPr>
              <w:t>根据广泛的市场调研，结合自身的技术和市场优势，</w:t>
            </w:r>
            <w:r>
              <w:rPr>
                <w:rFonts w:hint="eastAsia" w:cs="Times New Roman"/>
                <w:color w:val="auto"/>
                <w:sz w:val="24"/>
                <w:lang w:eastAsia="zh-CN"/>
              </w:rPr>
              <w:t>淮北市佰斯倍新材料科技有限公司</w:t>
            </w:r>
            <w:r>
              <w:rPr>
                <w:rFonts w:hint="eastAsia" w:ascii="Times New Roman" w:hAnsi="Times New Roman" w:cs="Times New Roman"/>
                <w:color w:val="auto"/>
                <w:sz w:val="24"/>
              </w:rPr>
              <w:t>拟</w:t>
            </w:r>
            <w:r>
              <w:rPr>
                <w:rFonts w:hint="default" w:ascii="Times New Roman" w:hAnsi="Times New Roman" w:cs="Times New Roman"/>
                <w:color w:val="auto"/>
                <w:sz w:val="24"/>
              </w:rPr>
              <w:t>投资</w:t>
            </w:r>
            <w:r>
              <w:rPr>
                <w:rFonts w:hint="eastAsia" w:cs="Times New Roman"/>
                <w:color w:val="auto"/>
                <w:sz w:val="24"/>
                <w:lang w:val="en-US" w:eastAsia="zh-CN"/>
              </w:rPr>
              <w:t>30000万</w:t>
            </w:r>
            <w:r>
              <w:rPr>
                <w:rFonts w:hint="default" w:ascii="Times New Roman" w:hAnsi="Times New Roman" w:cs="Times New Roman"/>
                <w:color w:val="auto"/>
                <w:sz w:val="24"/>
              </w:rPr>
              <w:t>元在</w:t>
            </w:r>
            <w:r>
              <w:rPr>
                <w:rFonts w:hint="eastAsia" w:cs="Times New Roman"/>
                <w:color w:val="auto"/>
                <w:sz w:val="24"/>
                <w:lang w:eastAsia="zh-CN"/>
              </w:rPr>
              <w:t>安徽省淮北市杜集区杜集经济开发产业园二期标准化厂房4号厂房</w:t>
            </w:r>
            <w:r>
              <w:rPr>
                <w:rFonts w:hint="eastAsia" w:cs="Times New Roman"/>
                <w:sz w:val="24"/>
                <w:lang w:val="en-US" w:eastAsia="zh-CN"/>
              </w:rPr>
              <w:t>、2号厂房</w:t>
            </w:r>
            <w:r>
              <w:rPr>
                <w:rFonts w:hint="eastAsia" w:ascii="Times New Roman" w:hAnsi="Times New Roman" w:cs="Times New Roman"/>
                <w:color w:val="auto"/>
                <w:sz w:val="24"/>
              </w:rPr>
              <w:t>建设</w:t>
            </w:r>
            <w:r>
              <w:rPr>
                <w:rFonts w:hint="eastAsia" w:cs="Times New Roman"/>
                <w:bCs/>
                <w:sz w:val="24"/>
                <w:szCs w:val="24"/>
                <w:lang w:eastAsia="zh-CN"/>
              </w:rPr>
              <w:t>碳陶刹车盘与碳陶刹车片项目</w:t>
            </w:r>
            <w:r>
              <w:rPr>
                <w:rFonts w:hint="eastAsia" w:ascii="Times New Roman" w:hAnsi="Times New Roman" w:cs="Times New Roman"/>
                <w:color w:val="auto"/>
                <w:sz w:val="24"/>
              </w:rPr>
              <w:t>，该项目分两期进行，其中一期租赁</w:t>
            </w:r>
            <w:r>
              <w:rPr>
                <w:rFonts w:hint="eastAsia" w:cs="Times New Roman"/>
                <w:color w:val="auto"/>
                <w:sz w:val="24"/>
                <w:lang w:val="en-US" w:eastAsia="zh-CN"/>
              </w:rPr>
              <w:t>4号</w:t>
            </w:r>
            <w:r>
              <w:rPr>
                <w:rFonts w:hint="eastAsia" w:ascii="Times New Roman" w:hAnsi="Times New Roman" w:cs="Times New Roman"/>
                <w:color w:val="auto"/>
                <w:sz w:val="24"/>
              </w:rPr>
              <w:t>厂房约8500平方米(含办公室研发中心)，对租赁</w:t>
            </w:r>
            <w:r>
              <w:rPr>
                <w:rFonts w:hint="eastAsia" w:cs="Times New Roman"/>
                <w:color w:val="auto"/>
                <w:sz w:val="24"/>
                <w:lang w:val="en-US" w:eastAsia="zh-CN"/>
              </w:rPr>
              <w:t>厂房</w:t>
            </w:r>
            <w:r>
              <w:rPr>
                <w:rFonts w:hint="eastAsia" w:ascii="Times New Roman" w:hAnsi="Times New Roman" w:cs="Times New Roman"/>
                <w:color w:val="auto"/>
                <w:sz w:val="24"/>
              </w:rPr>
              <w:t>进行提升改造后，建设碳陶刹车盘与碳陶刹车片项目。同步配置自来水管网、雨污分流制排水系统、市政供电系统、市政天然气管道，建设废气处理设施、噪声防治设施、固体废物贮存设施等。项目一期租赁</w:t>
            </w:r>
            <w:r>
              <w:rPr>
                <w:rFonts w:hint="eastAsia" w:cs="Times New Roman"/>
                <w:color w:val="auto"/>
                <w:sz w:val="24"/>
                <w:lang w:eastAsia="zh-CN"/>
              </w:rPr>
              <w:t>4号厂房</w:t>
            </w:r>
            <w:r>
              <w:rPr>
                <w:rFonts w:hint="eastAsia" w:ascii="Times New Roman" w:hAnsi="Times New Roman" w:cs="Times New Roman"/>
                <w:color w:val="auto"/>
                <w:sz w:val="24"/>
              </w:rPr>
              <w:t>约8500平方米</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一期总投资9000万元(固定资产投资 4500万元，流动资金4500万元)，主要生产设备包括碳化炉、硅炉、CVI气相渗硅炉、针刺机、碳纤维编织机、CNC等。项目主要生产工艺为</w:t>
            </w:r>
            <w:r>
              <w:rPr>
                <w:rFonts w:hint="eastAsia" w:cs="Times New Roman"/>
                <w:color w:val="auto"/>
                <w:sz w:val="24"/>
                <w:lang w:eastAsia="zh-CN"/>
              </w:rPr>
              <w:t>：</w:t>
            </w:r>
            <w:r>
              <w:rPr>
                <w:rFonts w:hint="eastAsia" w:ascii="Times New Roman" w:hAnsi="Times New Roman" w:cs="Times New Roman"/>
                <w:color w:val="auto"/>
                <w:sz w:val="24"/>
              </w:rPr>
              <w:t>碳纤维改性1</w:t>
            </w:r>
            <w:r>
              <w:rPr>
                <w:rFonts w:hint="eastAsia" w:cs="Times New Roman"/>
                <w:color w:val="auto"/>
                <w:sz w:val="24"/>
                <w:lang w:eastAsia="zh-CN"/>
              </w:rPr>
              <w:t>—</w:t>
            </w:r>
            <w:r>
              <w:rPr>
                <w:rFonts w:hint="eastAsia" w:ascii="Times New Roman" w:hAnsi="Times New Roman" w:cs="Times New Roman"/>
                <w:color w:val="auto"/>
                <w:sz w:val="24"/>
              </w:rPr>
              <w:t>叠层穿刺</w:t>
            </w:r>
            <w:r>
              <w:rPr>
                <w:rFonts w:hint="eastAsia" w:cs="Times New Roman"/>
                <w:color w:val="auto"/>
                <w:sz w:val="24"/>
                <w:lang w:eastAsia="zh-CN"/>
              </w:rPr>
              <w:t>—</w:t>
            </w:r>
            <w:r>
              <w:rPr>
                <w:rFonts w:hint="eastAsia" w:ascii="Times New Roman" w:hAnsi="Times New Roman" w:cs="Times New Roman"/>
                <w:color w:val="auto"/>
                <w:sz w:val="24"/>
              </w:rPr>
              <w:t>碳纤维改性2</w:t>
            </w:r>
            <w:r>
              <w:rPr>
                <w:rFonts w:hint="eastAsia" w:cs="Times New Roman"/>
                <w:color w:val="auto"/>
                <w:sz w:val="24"/>
                <w:lang w:eastAsia="zh-CN"/>
              </w:rPr>
              <w:t>—</w:t>
            </w:r>
            <w:r>
              <w:rPr>
                <w:rFonts w:hint="eastAsia" w:ascii="Times New Roman" w:hAnsi="Times New Roman" w:cs="Times New Roman"/>
                <w:color w:val="auto"/>
                <w:sz w:val="24"/>
              </w:rPr>
              <w:t>气相沉积</w:t>
            </w:r>
            <w:r>
              <w:rPr>
                <w:rFonts w:hint="eastAsia" w:cs="Times New Roman"/>
                <w:color w:val="auto"/>
                <w:sz w:val="24"/>
                <w:lang w:eastAsia="zh-CN"/>
              </w:rPr>
              <w:t>—</w:t>
            </w:r>
            <w:r>
              <w:rPr>
                <w:rFonts w:hint="eastAsia" w:ascii="Times New Roman" w:hAnsi="Times New Roman" w:cs="Times New Roman"/>
                <w:color w:val="auto"/>
                <w:sz w:val="24"/>
              </w:rPr>
              <w:t>加工</w:t>
            </w:r>
            <w:r>
              <w:rPr>
                <w:rFonts w:hint="eastAsia" w:cs="Times New Roman"/>
                <w:color w:val="auto"/>
                <w:sz w:val="24"/>
                <w:lang w:eastAsia="zh-CN"/>
              </w:rPr>
              <w:t>—</w:t>
            </w:r>
            <w:r>
              <w:rPr>
                <w:rFonts w:hint="eastAsia" w:ascii="Times New Roman" w:hAnsi="Times New Roman" w:cs="Times New Roman"/>
                <w:color w:val="auto"/>
                <w:sz w:val="24"/>
              </w:rPr>
              <w:t>涂层处理</w:t>
            </w:r>
            <w:r>
              <w:rPr>
                <w:rFonts w:hint="eastAsia" w:cs="Times New Roman"/>
                <w:color w:val="auto"/>
                <w:sz w:val="24"/>
                <w:lang w:eastAsia="zh-CN"/>
              </w:rPr>
              <w:t>—</w:t>
            </w:r>
            <w:r>
              <w:rPr>
                <w:rFonts w:hint="eastAsia" w:ascii="Times New Roman" w:hAnsi="Times New Roman" w:cs="Times New Roman"/>
                <w:color w:val="auto"/>
                <w:sz w:val="24"/>
              </w:rPr>
              <w:t>高温碳化</w:t>
            </w:r>
            <w:r>
              <w:rPr>
                <w:rFonts w:hint="eastAsia" w:cs="Times New Roman"/>
                <w:color w:val="auto"/>
                <w:sz w:val="24"/>
                <w:lang w:eastAsia="zh-CN"/>
              </w:rPr>
              <w:t>—</w:t>
            </w:r>
            <w:r>
              <w:rPr>
                <w:rFonts w:hint="eastAsia" w:ascii="Times New Roman" w:hAnsi="Times New Roman" w:cs="Times New Roman"/>
                <w:color w:val="auto"/>
                <w:sz w:val="24"/>
              </w:rPr>
              <w:t>陶瓷化处理</w:t>
            </w:r>
            <w:r>
              <w:rPr>
                <w:rFonts w:hint="eastAsia" w:cs="Times New Roman"/>
                <w:color w:val="auto"/>
                <w:sz w:val="24"/>
                <w:lang w:eastAsia="zh-CN"/>
              </w:rPr>
              <w:t>—</w:t>
            </w:r>
            <w:r>
              <w:rPr>
                <w:rFonts w:hint="eastAsia" w:ascii="Times New Roman" w:hAnsi="Times New Roman" w:cs="Times New Roman"/>
                <w:color w:val="auto"/>
                <w:sz w:val="24"/>
              </w:rPr>
              <w:t>精加工。建设碳陶刹车盘生产线，主要生产设备包括碳化渗硅炉、CVI气相渗硅炉、针刺机、碳纤维编织机、CNC等。一期项目建成将形成年产碳陶刹车盘</w:t>
            </w:r>
            <w:r>
              <w:rPr>
                <w:rFonts w:hint="eastAsia" w:cs="Times New Roman"/>
                <w:color w:val="auto"/>
                <w:sz w:val="24"/>
                <w:lang w:val="en-US" w:eastAsia="zh-CN"/>
              </w:rPr>
              <w:t>2.5</w:t>
            </w:r>
            <w:r>
              <w:rPr>
                <w:rFonts w:hint="eastAsia" w:ascii="Times New Roman" w:hAnsi="Times New Roman" w:cs="Times New Roman"/>
                <w:color w:val="auto"/>
                <w:sz w:val="24"/>
              </w:rPr>
              <w:t>万件生产能力。二期计划总投资 2</w:t>
            </w:r>
            <w:r>
              <w:rPr>
                <w:rFonts w:hint="eastAsia" w:cs="Times New Roman"/>
                <w:color w:val="auto"/>
                <w:sz w:val="24"/>
                <w:lang w:val="en-US" w:eastAsia="zh-CN"/>
              </w:rPr>
              <w:t>.</w:t>
            </w:r>
            <w:r>
              <w:rPr>
                <w:rFonts w:hint="eastAsia" w:ascii="Times New Roman" w:hAnsi="Times New Roman" w:cs="Times New Roman"/>
                <w:color w:val="auto"/>
                <w:sz w:val="24"/>
              </w:rPr>
              <w:t>1亿元(其中固定</w:t>
            </w:r>
            <w:r>
              <w:rPr>
                <w:rFonts w:hint="eastAsia" w:cs="Times New Roman"/>
                <w:color w:val="auto"/>
                <w:sz w:val="24"/>
                <w:lang w:val="en-US" w:eastAsia="zh-CN"/>
              </w:rPr>
              <w:t>资</w:t>
            </w:r>
            <w:r>
              <w:rPr>
                <w:rFonts w:hint="eastAsia" w:ascii="Times New Roman" w:hAnsi="Times New Roman" w:cs="Times New Roman"/>
                <w:color w:val="auto"/>
                <w:sz w:val="24"/>
              </w:rPr>
              <w:t>产投资约为1.06亿元)，建设短纤维碳陶刹车盘生产线。</w:t>
            </w:r>
            <w:r>
              <w:rPr>
                <w:rFonts w:hint="eastAsia" w:cs="Times New Roman"/>
                <w:color w:val="auto"/>
                <w:sz w:val="24"/>
                <w:lang w:val="en-US" w:eastAsia="zh-CN"/>
              </w:rPr>
              <w:t>本次评价为一期建设内容。</w:t>
            </w:r>
          </w:p>
          <w:p w14:paraId="36A5ED1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default" w:ascii="Times New Roman" w:hAnsi="Times New Roman" w:cs="Times New Roman"/>
                <w:color w:val="auto"/>
                <w:sz w:val="24"/>
              </w:rPr>
              <w:t>根据《建设项目环境影响评价分类管理名录》（20</w:t>
            </w:r>
            <w:r>
              <w:rPr>
                <w:rFonts w:hint="eastAsia" w:ascii="Times New Roman" w:hAnsi="Times New Roman" w:cs="Times New Roman"/>
                <w:color w:val="auto"/>
                <w:sz w:val="24"/>
              </w:rPr>
              <w:t>21年版</w:t>
            </w:r>
            <w:r>
              <w:rPr>
                <w:rFonts w:hint="default" w:ascii="Times New Roman" w:hAnsi="Times New Roman" w:cs="Times New Roman"/>
                <w:color w:val="auto"/>
                <w:sz w:val="24"/>
              </w:rPr>
              <w:t>），</w:t>
            </w:r>
            <w:r>
              <w:rPr>
                <w:rFonts w:hint="eastAsia" w:ascii="Times New Roman" w:hAnsi="Times New Roman" w:cs="Times New Roman"/>
                <w:color w:val="auto"/>
                <w:sz w:val="24"/>
              </w:rPr>
              <w:t>项目</w:t>
            </w:r>
            <w:r>
              <w:rPr>
                <w:rFonts w:hint="default" w:ascii="Times New Roman" w:hAnsi="Times New Roman" w:cs="Times New Roman"/>
                <w:color w:val="auto"/>
                <w:sz w:val="24"/>
              </w:rPr>
              <w:t>属于</w:t>
            </w:r>
            <w:r>
              <w:rPr>
                <w:rFonts w:hint="eastAsia" w:ascii="Times New Roman" w:hAnsi="Times New Roman" w:cs="Times New Roman"/>
                <w:color w:val="auto"/>
                <w:sz w:val="24"/>
              </w:rPr>
              <w:t>“</w:t>
            </w:r>
            <w:r>
              <w:rPr>
                <w:rFonts w:hint="eastAsia" w:cs="Times New Roman"/>
                <w:color w:val="auto"/>
                <w:sz w:val="24"/>
                <w:lang w:eastAsia="zh-CN"/>
              </w:rPr>
              <w:t>三十三、汽车制造业 36  71.汽车零部件及配件制造 367</w:t>
            </w:r>
            <w:r>
              <w:rPr>
                <w:rFonts w:hint="eastAsia" w:ascii="Times New Roman" w:hAnsi="Times New Roman" w:cs="Times New Roman"/>
                <w:color w:val="auto"/>
                <w:sz w:val="24"/>
              </w:rPr>
              <w:t>”</w:t>
            </w:r>
            <w:r>
              <w:rPr>
                <w:rFonts w:hint="eastAsia" w:cs="Times New Roman"/>
                <w:color w:val="auto"/>
                <w:sz w:val="24"/>
                <w:lang w:val="en-US" w:eastAsia="zh-CN"/>
              </w:rPr>
              <w:t>中的“其他（年用非溶剂型低VOCs含量涂料10吨以下的除外）”</w:t>
            </w:r>
            <w:r>
              <w:rPr>
                <w:rFonts w:hint="default" w:ascii="Times New Roman" w:hAnsi="Times New Roman" w:cs="Times New Roman"/>
                <w:color w:val="auto"/>
                <w:sz w:val="24"/>
              </w:rPr>
              <w:t>，应编制报告表</w:t>
            </w:r>
            <w:r>
              <w:rPr>
                <w:rFonts w:hint="eastAsia" w:ascii="Times New Roman" w:hAnsi="Times New Roman" w:cs="Times New Roman"/>
                <w:color w:val="auto"/>
                <w:sz w:val="24"/>
              </w:rPr>
              <w:t>。</w:t>
            </w:r>
          </w:p>
          <w:p w14:paraId="682B540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建设项目报告类别判定一览表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3727"/>
              <w:gridCol w:w="1319"/>
              <w:gridCol w:w="1498"/>
            </w:tblGrid>
            <w:tr w14:paraId="20EC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pct"/>
                  <w:noWrap w:val="0"/>
                  <w:vAlign w:val="center"/>
                </w:tcPr>
                <w:p w14:paraId="030832B6">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国民经济</w:t>
                  </w:r>
                </w:p>
                <w:p w14:paraId="211FA06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行业类别</w:t>
                  </w:r>
                </w:p>
              </w:tc>
              <w:tc>
                <w:tcPr>
                  <w:tcW w:w="2226" w:type="pct"/>
                  <w:noWrap w:val="0"/>
                  <w:vAlign w:val="center"/>
                </w:tcPr>
                <w:p w14:paraId="2FD904D6">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建设项目</w:t>
                  </w:r>
                </w:p>
                <w:p w14:paraId="18E86F85">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行业类别</w:t>
                  </w:r>
                </w:p>
              </w:tc>
              <w:tc>
                <w:tcPr>
                  <w:tcW w:w="788" w:type="pct"/>
                  <w:noWrap w:val="0"/>
                  <w:vAlign w:val="center"/>
                </w:tcPr>
                <w:p w14:paraId="037C84B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报告</w:t>
                  </w:r>
                </w:p>
                <w:p w14:paraId="5CC7E0B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类别</w:t>
                  </w:r>
                </w:p>
              </w:tc>
              <w:tc>
                <w:tcPr>
                  <w:tcW w:w="894" w:type="pct"/>
                  <w:noWrap w:val="0"/>
                  <w:vAlign w:val="center"/>
                </w:tcPr>
                <w:p w14:paraId="286EE468">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最终确定报告类别</w:t>
                  </w:r>
                </w:p>
              </w:tc>
            </w:tr>
            <w:tr w14:paraId="3F31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pct"/>
                  <w:noWrap w:val="0"/>
                  <w:vAlign w:val="center"/>
                </w:tcPr>
                <w:p w14:paraId="63983BA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eastAsia="zh-CN" w:bidi="ar"/>
                    </w:rPr>
                  </w:pPr>
                  <w:r>
                    <w:rPr>
                      <w:rFonts w:hint="eastAsia" w:cs="Times New Roman"/>
                      <w:color w:val="auto"/>
                      <w:szCs w:val="21"/>
                      <w:lang w:eastAsia="zh-CN"/>
                    </w:rPr>
                    <w:t>C3670汽车零部件及配件制造</w:t>
                  </w:r>
                </w:p>
              </w:tc>
              <w:tc>
                <w:tcPr>
                  <w:tcW w:w="2226" w:type="pct"/>
                  <w:noWrap w:val="0"/>
                  <w:vAlign w:val="center"/>
                </w:tcPr>
                <w:p w14:paraId="2B937258">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kern w:val="0"/>
                      <w:szCs w:val="21"/>
                      <w:lang w:bidi="ar"/>
                    </w:rPr>
                  </w:pPr>
                  <w:r>
                    <w:rPr>
                      <w:rFonts w:hint="eastAsia" w:ascii="Times New Roman" w:hAnsi="Times New Roman" w:cs="Times New Roman"/>
                      <w:color w:val="auto"/>
                      <w:szCs w:val="21"/>
                    </w:rPr>
                    <w:t>三十三、汽车制造业 36  71.汽车零部件及配件制造 367</w:t>
                  </w:r>
                </w:p>
              </w:tc>
              <w:tc>
                <w:tcPr>
                  <w:tcW w:w="788" w:type="pct"/>
                  <w:noWrap w:val="0"/>
                  <w:vAlign w:val="center"/>
                </w:tcPr>
                <w:p w14:paraId="04C14BD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报告表</w:t>
                  </w:r>
                </w:p>
              </w:tc>
              <w:tc>
                <w:tcPr>
                  <w:tcW w:w="894" w:type="pct"/>
                  <w:noWrap w:val="0"/>
                  <w:vAlign w:val="center"/>
                </w:tcPr>
                <w:p w14:paraId="3ED8EBC0">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报告表</w:t>
                  </w:r>
                </w:p>
              </w:tc>
            </w:tr>
          </w:tbl>
          <w:p w14:paraId="05AB59B1">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根据《固定污染源排污许可分类管理名录（20</w:t>
            </w:r>
            <w:r>
              <w:rPr>
                <w:rFonts w:hint="eastAsia" w:ascii="Times New Roman" w:hAnsi="Times New Roman" w:eastAsia="宋体" w:cs="Times New Roman"/>
                <w:color w:val="auto"/>
                <w:sz w:val="24"/>
                <w:lang w:val="en-US" w:eastAsia="zh-CN"/>
              </w:rPr>
              <w:t>19</w:t>
            </w:r>
            <w:r>
              <w:rPr>
                <w:rFonts w:hint="eastAsia" w:ascii="Times New Roman" w:hAnsi="Times New Roman" w:eastAsia="宋体" w:cs="Times New Roman"/>
                <w:color w:val="auto"/>
                <w:sz w:val="24"/>
              </w:rPr>
              <w:t>年版）》，本项目</w:t>
            </w:r>
            <w:r>
              <w:rPr>
                <w:rFonts w:hint="eastAsia" w:ascii="Times New Roman" w:hAnsi="Times New Roman" w:eastAsia="宋体" w:cs="Times New Roman"/>
                <w:color w:val="auto"/>
                <w:sz w:val="24"/>
                <w:lang w:val="en-US" w:eastAsia="zh-CN"/>
              </w:rPr>
              <w:t>属于“三十</w:t>
            </w:r>
            <w:r>
              <w:rPr>
                <w:rFonts w:hint="eastAsia" w:cs="Times New Roman"/>
                <w:color w:val="auto"/>
                <w:sz w:val="24"/>
                <w:lang w:val="en-US" w:eastAsia="zh-CN"/>
              </w:rPr>
              <w:t>一</w:t>
            </w:r>
            <w:r>
              <w:rPr>
                <w:rFonts w:hint="eastAsia" w:ascii="Times New Roman" w:hAnsi="Times New Roman" w:eastAsia="宋体" w:cs="Times New Roman"/>
                <w:color w:val="auto"/>
                <w:sz w:val="24"/>
                <w:lang w:val="en-US" w:eastAsia="zh-CN"/>
              </w:rPr>
              <w:t xml:space="preserve">、汽车制造业 36 </w:t>
            </w:r>
            <w:r>
              <w:rPr>
                <w:rFonts w:hint="eastAsia" w:cs="Times New Roman"/>
                <w:color w:val="auto"/>
                <w:sz w:val="24"/>
                <w:lang w:val="en-US" w:eastAsia="zh-CN"/>
              </w:rPr>
              <w:t xml:space="preserve"> 85.汽车零部件及配件制造367</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，排污许可填报管理类别为“</w:t>
            </w:r>
            <w:r>
              <w:rPr>
                <w:rFonts w:hint="eastAsia" w:cs="Times New Roman"/>
                <w:color w:val="auto"/>
                <w:sz w:val="24"/>
                <w:lang w:val="en-US" w:eastAsia="zh-CN"/>
              </w:rPr>
              <w:t>简化</w:t>
            </w:r>
            <w:r>
              <w:rPr>
                <w:rFonts w:hint="eastAsia" w:ascii="Times New Roman" w:hAnsi="Times New Roman" w:eastAsia="宋体" w:cs="Times New Roman"/>
                <w:color w:val="auto"/>
                <w:sz w:val="24"/>
              </w:rPr>
              <w:t>管理”</w:t>
            </w:r>
            <w:r>
              <w:rPr>
                <w:rFonts w:hint="eastAsia" w:ascii="Times New Roman" w:hAnsi="Times New Roman" w:eastAsia="宋体" w:cs="Times New Roman"/>
                <w:color w:val="auto"/>
                <w:sz w:val="24"/>
                <w:lang w:eastAsia="zh-CN"/>
              </w:rPr>
              <w:t>。</w:t>
            </w:r>
          </w:p>
          <w:p w14:paraId="67EB7729">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2、建设内容及规模</w:t>
            </w:r>
          </w:p>
          <w:p w14:paraId="2D1D5BC0">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2.1项目建设概况</w:t>
            </w:r>
          </w:p>
          <w:p w14:paraId="02B03640">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项目名称：</w:t>
            </w:r>
            <w:r>
              <w:rPr>
                <w:rFonts w:hint="eastAsia" w:cs="Times New Roman"/>
                <w:color w:val="auto"/>
                <w:sz w:val="24"/>
                <w:lang w:eastAsia="zh-CN"/>
              </w:rPr>
              <w:t>碳陶刹车盘与碳陶刹车片项目</w:t>
            </w:r>
            <w:r>
              <w:rPr>
                <w:rFonts w:hint="eastAsia" w:ascii="Times New Roman" w:hAnsi="Times New Roman" w:eastAsia="宋体" w:cs="Times New Roman"/>
                <w:color w:val="auto"/>
                <w:sz w:val="24"/>
                <w:lang w:eastAsia="zh-CN"/>
              </w:rPr>
              <w:t>；</w:t>
            </w:r>
          </w:p>
          <w:p w14:paraId="3570C643">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eastAsia" w:cs="Times New Roman"/>
                <w:color w:val="auto"/>
                <w:sz w:val="24"/>
                <w:lang w:eastAsia="zh-CN"/>
              </w:rPr>
              <w:t>淮北市佰斯倍新材料科技有限公司</w:t>
            </w:r>
            <w:r>
              <w:rPr>
                <w:rFonts w:hint="eastAsia" w:ascii="Times New Roman" w:hAnsi="Times New Roman" w:eastAsia="宋体" w:cs="Times New Roman"/>
                <w:color w:val="auto"/>
                <w:sz w:val="24"/>
                <w:lang w:eastAsia="zh-CN"/>
              </w:rPr>
              <w:t>；</w:t>
            </w:r>
          </w:p>
          <w:p w14:paraId="54D1F082">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建设地点</w:t>
            </w:r>
            <w:r>
              <w:rPr>
                <w:rFonts w:hint="eastAsia" w:ascii="Times New Roman" w:hAnsi="Times New Roman" w:eastAsia="宋体" w:cs="Times New Roman"/>
                <w:color w:val="auto"/>
                <w:sz w:val="24"/>
                <w:lang w:eastAsia="zh-CN"/>
              </w:rPr>
              <w:t>：</w:t>
            </w:r>
            <w:r>
              <w:rPr>
                <w:rFonts w:hint="eastAsia" w:cs="Times New Roman"/>
                <w:color w:val="auto"/>
                <w:sz w:val="24"/>
                <w:lang w:eastAsia="zh-CN"/>
              </w:rPr>
              <w:t>安徽省淮北市杜集区杜集经济开发产业园二期标准化厂房4号厂房</w:t>
            </w:r>
            <w:r>
              <w:rPr>
                <w:rFonts w:hint="eastAsia" w:cs="Times New Roman"/>
                <w:sz w:val="24"/>
                <w:lang w:val="en-US" w:eastAsia="zh-CN"/>
              </w:rPr>
              <w:t>、2号厂房</w:t>
            </w:r>
            <w:r>
              <w:rPr>
                <w:rFonts w:hint="eastAsia" w:ascii="Times New Roman" w:hAnsi="Times New Roman" w:eastAsia="宋体" w:cs="Times New Roman"/>
                <w:color w:val="auto"/>
                <w:sz w:val="24"/>
                <w:lang w:eastAsia="zh-CN"/>
              </w:rPr>
              <w:t>；</w:t>
            </w:r>
          </w:p>
          <w:p w14:paraId="29127F96">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建设性质：</w:t>
            </w:r>
            <w:r>
              <w:rPr>
                <w:rFonts w:hint="eastAsia" w:cs="Times New Roman"/>
                <w:color w:val="auto"/>
                <w:sz w:val="24"/>
                <w:lang w:val="en-US" w:eastAsia="zh-CN"/>
              </w:rPr>
              <w:t>新建</w:t>
            </w:r>
            <w:r>
              <w:rPr>
                <w:rFonts w:hint="eastAsia" w:ascii="Times New Roman" w:hAnsi="Times New Roman" w:eastAsia="宋体" w:cs="Times New Roman"/>
                <w:color w:val="auto"/>
                <w:sz w:val="24"/>
                <w:lang w:eastAsia="zh-CN"/>
              </w:rPr>
              <w:t>；</w:t>
            </w:r>
          </w:p>
          <w:p w14:paraId="3E7000AA">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项目投资：项目总投资</w:t>
            </w:r>
            <w:r>
              <w:rPr>
                <w:rFonts w:hint="eastAsia" w:cs="Times New Roman"/>
                <w:color w:val="auto"/>
                <w:sz w:val="24"/>
                <w:lang w:val="en-US" w:eastAsia="zh-CN"/>
              </w:rPr>
              <w:t>9000万</w:t>
            </w:r>
            <w:r>
              <w:rPr>
                <w:rFonts w:hint="default" w:ascii="Times New Roman" w:hAnsi="Times New Roman" w:eastAsia="宋体" w:cs="Times New Roman"/>
                <w:color w:val="auto"/>
                <w:sz w:val="24"/>
              </w:rPr>
              <w:t>元，其中环保投资</w:t>
            </w:r>
            <w:r>
              <w:rPr>
                <w:rFonts w:hint="eastAsia" w:cs="Times New Roman"/>
                <w:color w:val="auto"/>
                <w:sz w:val="24"/>
                <w:lang w:val="en-US" w:eastAsia="zh-CN"/>
              </w:rPr>
              <w:t>155</w:t>
            </w:r>
            <w:r>
              <w:rPr>
                <w:rFonts w:hint="eastAsia" w:ascii="Times New Roman" w:hAnsi="Times New Roman" w:eastAsia="宋体" w:cs="Times New Roman"/>
                <w:color w:val="auto"/>
                <w:sz w:val="24"/>
                <w:lang w:val="en-US" w:eastAsia="zh-CN"/>
              </w:rPr>
              <w:t>万元，占总投资的</w:t>
            </w:r>
            <w:r>
              <w:rPr>
                <w:rFonts w:hint="eastAsia" w:cs="Times New Roman"/>
                <w:color w:val="auto"/>
                <w:sz w:val="24"/>
                <w:lang w:val="en-US" w:eastAsia="zh-CN"/>
              </w:rPr>
              <w:t>1.72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14:paraId="62735F7C">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项目概况：</w:t>
            </w:r>
            <w:r>
              <w:rPr>
                <w:rFonts w:hint="eastAsia" w:ascii="Times New Roman" w:hAnsi="Times New Roman" w:cs="Times New Roman"/>
                <w:color w:val="auto"/>
                <w:sz w:val="24"/>
              </w:rPr>
              <w:t>该项目分两期进行，</w:t>
            </w:r>
            <w:r>
              <w:rPr>
                <w:rFonts w:hint="eastAsia" w:cs="Times New Roman"/>
                <w:color w:val="auto"/>
                <w:sz w:val="24"/>
                <w:lang w:val="en-US" w:eastAsia="zh-CN"/>
              </w:rPr>
              <w:t>本次评价为一期建设内容。</w:t>
            </w:r>
            <w:r>
              <w:rPr>
                <w:rFonts w:hint="eastAsia" w:ascii="Times New Roman" w:hAnsi="Times New Roman" w:cs="Times New Roman"/>
                <w:color w:val="auto"/>
                <w:sz w:val="24"/>
              </w:rPr>
              <w:t>一期租赁</w:t>
            </w:r>
            <w:r>
              <w:rPr>
                <w:rFonts w:hint="eastAsia" w:cs="Times New Roman"/>
                <w:color w:val="auto"/>
                <w:sz w:val="24"/>
                <w:lang w:val="en-US" w:eastAsia="zh-CN"/>
              </w:rPr>
              <w:t>4号</w:t>
            </w:r>
            <w:r>
              <w:rPr>
                <w:rFonts w:hint="eastAsia" w:ascii="Times New Roman" w:hAnsi="Times New Roman" w:cs="Times New Roman"/>
                <w:color w:val="auto"/>
                <w:sz w:val="24"/>
              </w:rPr>
              <w:t>厂房约8500平方米(含办公室研发中心)，对租赁</w:t>
            </w:r>
            <w:r>
              <w:rPr>
                <w:rFonts w:hint="eastAsia" w:cs="Times New Roman"/>
                <w:color w:val="auto"/>
                <w:sz w:val="24"/>
                <w:lang w:val="en-US" w:eastAsia="zh-CN"/>
              </w:rPr>
              <w:t>厂</w:t>
            </w:r>
            <w:r>
              <w:rPr>
                <w:rFonts w:hint="eastAsia" w:ascii="Times New Roman" w:hAnsi="Times New Roman" w:cs="Times New Roman"/>
                <w:color w:val="auto"/>
                <w:sz w:val="24"/>
              </w:rPr>
              <w:t>房进行提升改造后，建设碳陶刹车盘与碳陶刹车片项目。同步配置自来水管网、雨污分流制排水系统、市政供电系统、市政天然气管道，建设废气处理设施、噪声防治设施、固体废物贮存设施等。</w:t>
            </w:r>
          </w:p>
          <w:p w14:paraId="5A20B0F9">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周边关系：位于</w:t>
            </w:r>
            <w:r>
              <w:rPr>
                <w:rFonts w:hint="eastAsia" w:cs="Times New Roman"/>
                <w:color w:val="auto"/>
                <w:sz w:val="24"/>
                <w:lang w:eastAsia="zh-CN"/>
              </w:rPr>
              <w:t>安徽省淮北市杜集区杜集经济开发产业园二期标准化厂房4号厂房</w:t>
            </w:r>
            <w:r>
              <w:rPr>
                <w:rFonts w:hint="eastAsia" w:cs="Times New Roman"/>
                <w:sz w:val="24"/>
                <w:lang w:val="en-US" w:eastAsia="zh-CN"/>
              </w:rPr>
              <w:t>、2号厂房</w:t>
            </w:r>
            <w:r>
              <w:rPr>
                <w:rFonts w:hint="eastAsia" w:ascii="Times New Roman" w:hAnsi="Times New Roman" w:eastAsia="宋体" w:cs="Times New Roman"/>
                <w:color w:val="auto"/>
                <w:sz w:val="24"/>
              </w:rPr>
              <w:t>，项目用地为</w:t>
            </w:r>
            <w:r>
              <w:rPr>
                <w:rFonts w:hint="eastAsia" w:cs="Times New Roman"/>
                <w:color w:val="auto"/>
                <w:sz w:val="24"/>
                <w:lang w:val="en-US" w:eastAsia="zh-CN"/>
              </w:rPr>
              <w:t>工业</w:t>
            </w:r>
            <w:r>
              <w:rPr>
                <w:rFonts w:hint="eastAsia" w:ascii="Times New Roman" w:hAnsi="Times New Roman" w:eastAsia="宋体" w:cs="Times New Roman"/>
                <w:color w:val="auto"/>
                <w:sz w:val="24"/>
                <w:lang w:eastAsia="zh-CN"/>
              </w:rPr>
              <w:t>用地</w:t>
            </w:r>
            <w:r>
              <w:rPr>
                <w:rFonts w:hint="eastAsia" w:ascii="Times New Roman" w:hAnsi="Times New Roman" w:eastAsia="宋体" w:cs="Times New Roman"/>
                <w:color w:val="auto"/>
                <w:sz w:val="24"/>
              </w:rPr>
              <w:t>，厂区</w:t>
            </w:r>
            <w:r>
              <w:rPr>
                <w:rFonts w:hint="eastAsia" w:cs="Times New Roman"/>
                <w:color w:val="auto"/>
                <w:sz w:val="24"/>
                <w:lang w:eastAsia="zh-CN"/>
              </w:rPr>
              <w:t>东侧为杜集经济开发区5号厂房</w:t>
            </w:r>
            <w:r>
              <w:rPr>
                <w:rFonts w:hint="eastAsia" w:ascii="Times New Roman" w:hAnsi="Times New Roman" w:eastAsia="宋体" w:cs="Times New Roman"/>
                <w:color w:val="auto"/>
                <w:sz w:val="24"/>
              </w:rPr>
              <w:t>，南侧为</w:t>
            </w:r>
            <w:r>
              <w:rPr>
                <w:rFonts w:hint="eastAsia" w:cs="Times New Roman"/>
                <w:color w:val="auto"/>
                <w:sz w:val="24"/>
                <w:lang w:val="en-US" w:eastAsia="zh-CN"/>
              </w:rPr>
              <w:t>淮北北华玻璃制品有限公司</w:t>
            </w:r>
            <w:r>
              <w:rPr>
                <w:rFonts w:hint="eastAsia" w:ascii="Times New Roman" w:hAnsi="Times New Roman" w:eastAsia="宋体" w:cs="Times New Roman"/>
                <w:color w:val="auto"/>
                <w:sz w:val="24"/>
              </w:rPr>
              <w:t>，西侧为</w:t>
            </w:r>
            <w:r>
              <w:rPr>
                <w:rFonts w:hint="eastAsia" w:cs="Times New Roman"/>
                <w:color w:val="auto"/>
                <w:sz w:val="24"/>
                <w:lang w:eastAsia="zh-CN"/>
              </w:rPr>
              <w:t>淮北相山水泥有限责任公司</w:t>
            </w:r>
            <w:r>
              <w:rPr>
                <w:rFonts w:hint="eastAsia" w:ascii="Times New Roman" w:hAnsi="Times New Roman" w:eastAsia="宋体" w:cs="Times New Roman"/>
                <w:color w:val="auto"/>
                <w:sz w:val="24"/>
              </w:rPr>
              <w:t>，</w:t>
            </w:r>
            <w:r>
              <w:rPr>
                <w:rFonts w:hint="eastAsia" w:cs="Times New Roman"/>
                <w:color w:val="auto"/>
                <w:sz w:val="24"/>
                <w:lang w:eastAsia="zh-CN"/>
              </w:rPr>
              <w:t>北侧为杜集经济开发区厂房</w:t>
            </w:r>
            <w:r>
              <w:rPr>
                <w:rFonts w:hint="eastAsia" w:ascii="Times New Roman" w:hAnsi="Times New Roman" w:eastAsia="宋体" w:cs="Times New Roman"/>
                <w:color w:val="auto"/>
                <w:sz w:val="24"/>
              </w:rPr>
              <w:t>。详见附图2：项目周边关系图。</w:t>
            </w:r>
          </w:p>
          <w:p w14:paraId="7260E902">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2.2项目建设内容</w:t>
            </w:r>
          </w:p>
          <w:p w14:paraId="33BF0599">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项目</w:t>
            </w:r>
            <w:r>
              <w:rPr>
                <w:rFonts w:hint="eastAsia" w:cs="Times New Roman"/>
                <w:color w:val="auto"/>
                <w:sz w:val="24"/>
                <w:lang w:val="en-US" w:eastAsia="zh-CN"/>
              </w:rPr>
              <w:t>一期</w:t>
            </w:r>
            <w:r>
              <w:rPr>
                <w:rFonts w:hint="eastAsia" w:ascii="Times New Roman" w:hAnsi="Times New Roman" w:eastAsia="宋体" w:cs="Times New Roman"/>
                <w:color w:val="auto"/>
                <w:sz w:val="24"/>
              </w:rPr>
              <w:t>总投资</w:t>
            </w:r>
            <w:r>
              <w:rPr>
                <w:rFonts w:hint="eastAsia" w:cs="Times New Roman"/>
                <w:color w:val="auto"/>
                <w:sz w:val="24"/>
                <w:lang w:val="en-US" w:eastAsia="zh-CN"/>
              </w:rPr>
              <w:t>9000万</w:t>
            </w:r>
            <w:r>
              <w:rPr>
                <w:rFonts w:hint="eastAsia" w:ascii="Times New Roman" w:hAnsi="Times New Roman" w:eastAsia="宋体" w:cs="Times New Roman"/>
                <w:color w:val="auto"/>
                <w:sz w:val="24"/>
              </w:rPr>
              <w:t>元，</w:t>
            </w:r>
            <w:r>
              <w:rPr>
                <w:rFonts w:hint="eastAsia" w:cs="Times New Roman"/>
                <w:color w:val="auto"/>
                <w:sz w:val="24"/>
                <w:lang w:val="en-US" w:eastAsia="zh-CN"/>
              </w:rPr>
              <w:t>项目总占地面积8500</w:t>
            </w:r>
            <w:r>
              <w:rPr>
                <w:rFonts w:hint="default" w:ascii="Times New Roman" w:hAnsi="Times New Roman" w:eastAsia="宋体" w:cs="Times New Roman"/>
                <w:color w:val="auto"/>
                <w:sz w:val="24"/>
                <w:lang w:val="en-US" w:eastAsia="zh-CN"/>
              </w:rPr>
              <w:t>平方米，</w:t>
            </w:r>
            <w:r>
              <w:rPr>
                <w:rFonts w:hint="eastAsia" w:ascii="Times New Roman" w:hAnsi="Times New Roman" w:cs="Times New Roman"/>
                <w:color w:val="auto"/>
                <w:sz w:val="24"/>
              </w:rPr>
              <w:t>主要生产设备包括碳化炉、硅炉、CVI气相渗硅炉、针刺机、碳纤维编织机、CNC等。项目主要生产工艺为</w:t>
            </w:r>
            <w:r>
              <w:rPr>
                <w:rFonts w:hint="eastAsia" w:cs="Times New Roman"/>
                <w:color w:val="auto"/>
                <w:sz w:val="24"/>
                <w:lang w:eastAsia="zh-CN"/>
              </w:rPr>
              <w:t>：</w:t>
            </w:r>
            <w:r>
              <w:rPr>
                <w:rFonts w:hint="eastAsia" w:ascii="Times New Roman" w:hAnsi="Times New Roman" w:cs="Times New Roman"/>
                <w:color w:val="auto"/>
                <w:sz w:val="24"/>
              </w:rPr>
              <w:t>碳纤维改性1</w:t>
            </w:r>
            <w:r>
              <w:rPr>
                <w:rFonts w:hint="eastAsia" w:cs="Times New Roman"/>
                <w:color w:val="auto"/>
                <w:sz w:val="24"/>
                <w:lang w:eastAsia="zh-CN"/>
              </w:rPr>
              <w:t>—</w:t>
            </w:r>
            <w:r>
              <w:rPr>
                <w:rFonts w:hint="eastAsia" w:ascii="Times New Roman" w:hAnsi="Times New Roman" w:cs="Times New Roman"/>
                <w:color w:val="auto"/>
                <w:sz w:val="24"/>
              </w:rPr>
              <w:t>叠层穿刺</w:t>
            </w:r>
            <w:r>
              <w:rPr>
                <w:rFonts w:hint="eastAsia" w:cs="Times New Roman"/>
                <w:color w:val="auto"/>
                <w:sz w:val="24"/>
                <w:lang w:eastAsia="zh-CN"/>
              </w:rPr>
              <w:t>—</w:t>
            </w:r>
            <w:r>
              <w:rPr>
                <w:rFonts w:hint="eastAsia" w:ascii="Times New Roman" w:hAnsi="Times New Roman" w:cs="Times New Roman"/>
                <w:color w:val="auto"/>
                <w:sz w:val="24"/>
              </w:rPr>
              <w:t>碳纤维改性2</w:t>
            </w:r>
            <w:r>
              <w:rPr>
                <w:rFonts w:hint="eastAsia" w:cs="Times New Roman"/>
                <w:color w:val="auto"/>
                <w:sz w:val="24"/>
                <w:lang w:eastAsia="zh-CN"/>
              </w:rPr>
              <w:t>—</w:t>
            </w:r>
            <w:r>
              <w:rPr>
                <w:rFonts w:hint="eastAsia" w:ascii="Times New Roman" w:hAnsi="Times New Roman" w:cs="Times New Roman"/>
                <w:color w:val="auto"/>
                <w:sz w:val="24"/>
              </w:rPr>
              <w:t>气相沉积</w:t>
            </w:r>
            <w:r>
              <w:rPr>
                <w:rFonts w:hint="eastAsia" w:cs="Times New Roman"/>
                <w:color w:val="auto"/>
                <w:sz w:val="24"/>
                <w:lang w:eastAsia="zh-CN"/>
              </w:rPr>
              <w:t>—</w:t>
            </w:r>
            <w:r>
              <w:rPr>
                <w:rFonts w:hint="eastAsia" w:ascii="Times New Roman" w:hAnsi="Times New Roman" w:cs="Times New Roman"/>
                <w:color w:val="auto"/>
                <w:sz w:val="24"/>
              </w:rPr>
              <w:t>加工</w:t>
            </w:r>
            <w:r>
              <w:rPr>
                <w:rFonts w:hint="eastAsia" w:cs="Times New Roman"/>
                <w:color w:val="auto"/>
                <w:sz w:val="24"/>
                <w:lang w:eastAsia="zh-CN"/>
              </w:rPr>
              <w:t>—</w:t>
            </w:r>
            <w:r>
              <w:rPr>
                <w:rFonts w:hint="eastAsia" w:ascii="Times New Roman" w:hAnsi="Times New Roman" w:cs="Times New Roman"/>
                <w:color w:val="auto"/>
                <w:sz w:val="24"/>
              </w:rPr>
              <w:t>涂层处理</w:t>
            </w:r>
            <w:r>
              <w:rPr>
                <w:rFonts w:hint="eastAsia" w:cs="Times New Roman"/>
                <w:color w:val="auto"/>
                <w:sz w:val="24"/>
                <w:lang w:eastAsia="zh-CN"/>
              </w:rPr>
              <w:t>—</w:t>
            </w:r>
            <w:r>
              <w:rPr>
                <w:rFonts w:hint="eastAsia" w:ascii="Times New Roman" w:hAnsi="Times New Roman" w:cs="Times New Roman"/>
                <w:color w:val="auto"/>
                <w:sz w:val="24"/>
              </w:rPr>
              <w:t>高温碳化</w:t>
            </w:r>
            <w:r>
              <w:rPr>
                <w:rFonts w:hint="eastAsia" w:cs="Times New Roman"/>
                <w:color w:val="auto"/>
                <w:sz w:val="24"/>
                <w:lang w:eastAsia="zh-CN"/>
              </w:rPr>
              <w:t>—</w:t>
            </w:r>
            <w:r>
              <w:rPr>
                <w:rFonts w:hint="eastAsia" w:ascii="Times New Roman" w:hAnsi="Times New Roman" w:cs="Times New Roman"/>
                <w:color w:val="auto"/>
                <w:sz w:val="24"/>
              </w:rPr>
              <w:t>陶瓷化处理</w:t>
            </w:r>
            <w:r>
              <w:rPr>
                <w:rFonts w:hint="eastAsia" w:cs="Times New Roman"/>
                <w:color w:val="auto"/>
                <w:sz w:val="24"/>
                <w:lang w:eastAsia="zh-CN"/>
              </w:rPr>
              <w:t>—</w:t>
            </w:r>
            <w:r>
              <w:rPr>
                <w:rFonts w:hint="eastAsia" w:ascii="Times New Roman" w:hAnsi="Times New Roman" w:cs="Times New Roman"/>
                <w:color w:val="auto"/>
                <w:sz w:val="24"/>
              </w:rPr>
              <w:t>精加工。建设碳陶刹车盘生产线，主要生产设备包括碳化渗硅炉、CVI气相渗硅炉、针刺机、碳纤维编织机、CNC等。一期项目建成将形成年产碳陶刹车盘</w:t>
            </w:r>
            <w:r>
              <w:rPr>
                <w:rFonts w:hint="eastAsia" w:cs="Times New Roman"/>
                <w:color w:val="auto"/>
                <w:sz w:val="24"/>
                <w:lang w:val="en-US" w:eastAsia="zh-CN"/>
              </w:rPr>
              <w:t>2.5</w:t>
            </w:r>
            <w:r>
              <w:rPr>
                <w:rFonts w:hint="eastAsia" w:ascii="Times New Roman" w:hAnsi="Times New Roman" w:cs="Times New Roman"/>
                <w:color w:val="auto"/>
                <w:sz w:val="24"/>
              </w:rPr>
              <w:t>万件</w:t>
            </w:r>
            <w:r>
              <w:rPr>
                <w:rFonts w:hint="eastAsia" w:cs="Times New Roman"/>
                <w:color w:val="auto"/>
                <w:sz w:val="24"/>
                <w:lang w:val="en-US" w:eastAsia="zh-CN"/>
              </w:rPr>
              <w:t>的</w:t>
            </w:r>
            <w:r>
              <w:rPr>
                <w:rFonts w:hint="eastAsia" w:ascii="Times New Roman" w:hAnsi="Times New Roman" w:cs="Times New Roman"/>
                <w:color w:val="auto"/>
                <w:sz w:val="24"/>
              </w:rPr>
              <w:t>生产能力。</w:t>
            </w:r>
          </w:p>
          <w:p w14:paraId="2F0BF44D">
            <w:pPr>
              <w:keepNext w:val="0"/>
              <w:keepLines w:val="0"/>
              <w:suppressLineNumbers w:val="0"/>
              <w:adjustRightInd w:val="0"/>
              <w:snapToGri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二</w:t>
            </w:r>
            <w:r>
              <w:rPr>
                <w:rFonts w:hint="default" w:ascii="Times New Roman" w:hAnsi="Times New Roman" w:eastAsia="宋体" w:cs="Times New Roman"/>
                <w:b/>
                <w:bCs/>
                <w:color w:val="auto"/>
                <w:sz w:val="24"/>
                <w:lang w:val="en-US" w:eastAsia="zh-CN"/>
              </w:rPr>
              <w:t>、工程内容及产品方案内容</w:t>
            </w:r>
          </w:p>
          <w:p w14:paraId="18709F30">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本项目的工程内容见下表。</w:t>
            </w:r>
          </w:p>
          <w:p w14:paraId="18623874">
            <w:pPr>
              <w:keepNext w:val="0"/>
              <w:keepLines w:val="0"/>
              <w:suppressLineNumbers w:val="0"/>
              <w:adjustRightInd w:val="0"/>
              <w:snapToGrid w:val="0"/>
              <w:spacing w:before="0" w:beforeAutospacing="0" w:after="0" w:afterAutospacing="0" w:line="480" w:lineRule="exact"/>
              <w:ind w:left="105" w:leftChars="50" w:right="105" w:rightChars="50"/>
              <w:jc w:val="center"/>
              <w:rPr>
                <w:rFonts w:hint="default" w:ascii="黑体" w:hAnsi="黑体" w:eastAsia="黑体" w:cs="Times New Roman"/>
                <w:sz w:val="24"/>
              </w:rPr>
            </w:pPr>
            <w:r>
              <w:rPr>
                <w:rFonts w:hint="default" w:ascii="Times New Roman" w:hAnsi="Times New Roman" w:eastAsia="宋体" w:cs="Times New Roman"/>
                <w:b/>
                <w:bCs w:val="0"/>
                <w:szCs w:val="21"/>
              </w:rPr>
              <w:t>表</w:t>
            </w:r>
            <w:r>
              <w:rPr>
                <w:rFonts w:hint="eastAsia" w:ascii="Times New Roman" w:hAnsi="Times New Roman" w:eastAsia="宋体" w:cs="Times New Roman"/>
                <w:b/>
                <w:bCs w:val="0"/>
                <w:szCs w:val="21"/>
              </w:rPr>
              <w:t>2.1</w:t>
            </w:r>
            <w:r>
              <w:rPr>
                <w:rFonts w:hint="default" w:ascii="Times New Roman" w:hAnsi="Times New Roman" w:eastAsia="宋体" w:cs="Times New Roman"/>
                <w:b/>
                <w:bCs w:val="0"/>
                <w:szCs w:val="21"/>
              </w:rPr>
              <w:t xml:space="preserve">  本项目主要工程内容一览表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08"/>
              <w:gridCol w:w="1387"/>
              <w:gridCol w:w="4806"/>
              <w:gridCol w:w="1044"/>
            </w:tblGrid>
            <w:tr w14:paraId="1B37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noWrap w:val="0"/>
                  <w:vAlign w:val="center"/>
                </w:tcPr>
                <w:p w14:paraId="517B8AEF">
                  <w:pPr>
                    <w:keepNext w:val="0"/>
                    <w:keepLines w:val="0"/>
                    <w:suppressLineNumbers w:val="0"/>
                    <w:spacing w:before="0" w:beforeAutospacing="0" w:after="0" w:afterAutospacing="0" w:line="360" w:lineRule="atLeast"/>
                    <w:ind w:left="0" w:right="0"/>
                    <w:jc w:val="center"/>
                    <w:rPr>
                      <w:rFonts w:hint="eastAsia"/>
                      <w:b/>
                      <w:bCs/>
                      <w:color w:val="auto"/>
                      <w:szCs w:val="21"/>
                    </w:rPr>
                  </w:pPr>
                  <w:r>
                    <w:rPr>
                      <w:rFonts w:hint="eastAsia"/>
                      <w:b/>
                      <w:bCs/>
                      <w:color w:val="auto"/>
                      <w:szCs w:val="21"/>
                    </w:rPr>
                    <w:t>工程名称</w:t>
                  </w:r>
                </w:p>
              </w:tc>
              <w:tc>
                <w:tcPr>
                  <w:tcW w:w="0" w:type="auto"/>
                  <w:gridSpan w:val="2"/>
                  <w:noWrap w:val="0"/>
                  <w:vAlign w:val="center"/>
                </w:tcPr>
                <w:p w14:paraId="3335BA73">
                  <w:pPr>
                    <w:keepNext w:val="0"/>
                    <w:keepLines w:val="0"/>
                    <w:suppressLineNumbers w:val="0"/>
                    <w:spacing w:before="0" w:beforeAutospacing="0" w:after="0" w:afterAutospacing="0" w:line="360" w:lineRule="atLeast"/>
                    <w:ind w:left="0" w:right="0"/>
                    <w:jc w:val="center"/>
                    <w:rPr>
                      <w:rFonts w:hint="eastAsia"/>
                      <w:b/>
                      <w:bCs/>
                      <w:color w:val="auto"/>
                      <w:szCs w:val="21"/>
                    </w:rPr>
                  </w:pPr>
                  <w:r>
                    <w:rPr>
                      <w:rFonts w:hint="eastAsia"/>
                      <w:b/>
                      <w:iCs/>
                      <w:color w:val="auto"/>
                      <w:szCs w:val="21"/>
                    </w:rPr>
                    <w:t>项目名称</w:t>
                  </w:r>
                </w:p>
              </w:tc>
              <w:tc>
                <w:tcPr>
                  <w:tcW w:w="5341" w:type="dxa"/>
                  <w:noWrap w:val="0"/>
                  <w:vAlign w:val="center"/>
                </w:tcPr>
                <w:p w14:paraId="269B163D">
                  <w:pPr>
                    <w:keepNext w:val="0"/>
                    <w:keepLines w:val="0"/>
                    <w:suppressLineNumbers w:val="0"/>
                    <w:spacing w:before="0" w:beforeAutospacing="0" w:after="0" w:afterAutospacing="0" w:line="360" w:lineRule="atLeast"/>
                    <w:ind w:left="0" w:right="0"/>
                    <w:jc w:val="center"/>
                    <w:rPr>
                      <w:rFonts w:hint="eastAsia" w:eastAsia="宋体"/>
                      <w:b/>
                      <w:bCs/>
                      <w:color w:val="auto"/>
                      <w:szCs w:val="21"/>
                      <w:lang w:eastAsia="zh-CN"/>
                    </w:rPr>
                  </w:pPr>
                  <w:r>
                    <w:rPr>
                      <w:rFonts w:hint="eastAsia"/>
                      <w:b/>
                      <w:bCs/>
                      <w:color w:val="auto"/>
                      <w:szCs w:val="21"/>
                      <w:lang w:eastAsia="zh-CN"/>
                    </w:rPr>
                    <w:t>工程内容</w:t>
                  </w:r>
                </w:p>
              </w:tc>
              <w:tc>
                <w:tcPr>
                  <w:tcW w:w="1136" w:type="dxa"/>
                  <w:noWrap w:val="0"/>
                  <w:vAlign w:val="center"/>
                </w:tcPr>
                <w:p w14:paraId="52393554">
                  <w:pPr>
                    <w:keepNext w:val="0"/>
                    <w:keepLines w:val="0"/>
                    <w:suppressLineNumbers w:val="0"/>
                    <w:spacing w:before="0" w:beforeAutospacing="0" w:after="0" w:afterAutospacing="0" w:line="360" w:lineRule="atLeast"/>
                    <w:ind w:left="0" w:right="0"/>
                    <w:jc w:val="center"/>
                    <w:rPr>
                      <w:rFonts w:hint="default"/>
                      <w:b/>
                      <w:bCs/>
                      <w:color w:val="auto"/>
                      <w:szCs w:val="21"/>
                      <w:lang w:val="en-US" w:eastAsia="zh-CN"/>
                    </w:rPr>
                  </w:pPr>
                  <w:r>
                    <w:rPr>
                      <w:rFonts w:hint="eastAsia"/>
                      <w:b/>
                      <w:bCs/>
                      <w:color w:val="auto"/>
                      <w:szCs w:val="21"/>
                      <w:lang w:val="en-US" w:eastAsia="zh-CN"/>
                    </w:rPr>
                    <w:t>备注</w:t>
                  </w:r>
                </w:p>
              </w:tc>
            </w:tr>
            <w:tr w14:paraId="1082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0" w:type="auto"/>
                  <w:vMerge w:val="restart"/>
                  <w:noWrap w:val="0"/>
                  <w:vAlign w:val="center"/>
                </w:tcPr>
                <w:p w14:paraId="1072F91C">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主体工程</w:t>
                  </w:r>
                </w:p>
              </w:tc>
              <w:tc>
                <w:tcPr>
                  <w:tcW w:w="1691" w:type="dxa"/>
                  <w:gridSpan w:val="2"/>
                  <w:noWrap w:val="0"/>
                  <w:vAlign w:val="center"/>
                </w:tcPr>
                <w:p w14:paraId="53200BC0">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color w:val="auto"/>
                      <w:szCs w:val="21"/>
                      <w:lang w:val="en-US" w:eastAsia="zh-CN"/>
                    </w:rPr>
                    <w:t>前处理车间</w:t>
                  </w:r>
                </w:p>
              </w:tc>
              <w:tc>
                <w:tcPr>
                  <w:tcW w:w="5341" w:type="dxa"/>
                  <w:noWrap w:val="0"/>
                  <w:vAlign w:val="center"/>
                </w:tcPr>
                <w:p w14:paraId="71EF5318">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color w:val="auto"/>
                      <w:szCs w:val="21"/>
                      <w:lang w:val="en-US" w:eastAsia="zh-CN"/>
                    </w:rPr>
                    <w:t>建筑面积约203m</w:t>
                  </w:r>
                  <w:r>
                    <w:rPr>
                      <w:rFonts w:hint="eastAsia"/>
                      <w:color w:val="auto"/>
                      <w:szCs w:val="21"/>
                      <w:vertAlign w:val="superscript"/>
                      <w:lang w:val="en-US" w:eastAsia="zh-CN"/>
                    </w:rPr>
                    <w:t>2</w:t>
                  </w:r>
                  <w:r>
                    <w:rPr>
                      <w:rFonts w:hint="eastAsia"/>
                      <w:color w:val="auto"/>
                      <w:szCs w:val="21"/>
                      <w:lang w:val="en-US" w:eastAsia="zh-CN"/>
                    </w:rPr>
                    <w:t>，内设烘箱、混合机、混料机、热压机等设备，用于碳纤维改性处理1、2及涂层处理工序</w:t>
                  </w:r>
                </w:p>
              </w:tc>
              <w:tc>
                <w:tcPr>
                  <w:tcW w:w="1136" w:type="dxa"/>
                  <w:noWrap w:val="0"/>
                  <w:vAlign w:val="center"/>
                </w:tcPr>
                <w:p w14:paraId="44A051D3">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租赁现有厂房建设</w:t>
                  </w:r>
                </w:p>
              </w:tc>
            </w:tr>
            <w:tr w14:paraId="1991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0" w:type="auto"/>
                  <w:vMerge w:val="continue"/>
                  <w:noWrap w:val="0"/>
                  <w:vAlign w:val="center"/>
                </w:tcPr>
                <w:p w14:paraId="0238DC36">
                  <w:pPr>
                    <w:keepNext w:val="0"/>
                    <w:keepLines w:val="0"/>
                    <w:suppressLineNumbers w:val="0"/>
                    <w:spacing w:before="0" w:beforeAutospacing="0" w:after="0" w:afterAutospacing="0" w:line="360" w:lineRule="atLeast"/>
                    <w:ind w:left="0" w:right="0"/>
                    <w:jc w:val="center"/>
                    <w:rPr>
                      <w:rFonts w:hint="default"/>
                      <w:color w:val="auto"/>
                    </w:rPr>
                  </w:pPr>
                </w:p>
              </w:tc>
              <w:tc>
                <w:tcPr>
                  <w:tcW w:w="0" w:type="auto"/>
                  <w:gridSpan w:val="2"/>
                  <w:noWrap w:val="0"/>
                  <w:vAlign w:val="center"/>
                </w:tcPr>
                <w:p w14:paraId="3CFDA7AC">
                  <w:pPr>
                    <w:keepNext w:val="0"/>
                    <w:keepLines w:val="0"/>
                    <w:suppressLineNumbers w:val="0"/>
                    <w:spacing w:before="0" w:beforeAutospacing="0" w:after="0" w:afterAutospacing="0" w:line="360" w:lineRule="atLeast"/>
                    <w:ind w:left="0" w:right="0"/>
                    <w:jc w:val="center"/>
                    <w:rPr>
                      <w:rFonts w:hint="eastAsia" w:eastAsia="宋体"/>
                      <w:color w:val="auto"/>
                      <w:szCs w:val="21"/>
                      <w:lang w:eastAsia="zh-CN"/>
                    </w:rPr>
                  </w:pPr>
                  <w:r>
                    <w:rPr>
                      <w:rFonts w:hint="eastAsia" w:eastAsia="宋体"/>
                      <w:color w:val="auto"/>
                      <w:szCs w:val="21"/>
                      <w:lang w:eastAsia="zh-CN"/>
                    </w:rPr>
                    <w:t>针刺&amp;裁切车间</w:t>
                  </w:r>
                </w:p>
              </w:tc>
              <w:tc>
                <w:tcPr>
                  <w:tcW w:w="5341" w:type="dxa"/>
                  <w:noWrap w:val="0"/>
                  <w:vAlign w:val="center"/>
                </w:tcPr>
                <w:p w14:paraId="66B5AD0F">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color w:val="auto"/>
                      <w:szCs w:val="21"/>
                      <w:lang w:val="en-US" w:eastAsia="zh-CN"/>
                    </w:rPr>
                    <w:t>建筑面积约366m</w:t>
                  </w:r>
                  <w:r>
                    <w:rPr>
                      <w:rFonts w:hint="eastAsia"/>
                      <w:color w:val="auto"/>
                      <w:szCs w:val="21"/>
                      <w:vertAlign w:val="superscript"/>
                      <w:lang w:val="en-US" w:eastAsia="zh-CN"/>
                    </w:rPr>
                    <w:t>2</w:t>
                  </w:r>
                  <w:r>
                    <w:rPr>
                      <w:rFonts w:hint="eastAsia"/>
                      <w:color w:val="auto"/>
                      <w:szCs w:val="21"/>
                      <w:lang w:val="en-US" w:eastAsia="zh-CN"/>
                    </w:rPr>
                    <w:t>，内设织布机、裁切机、针刺机等设备，用于针刺复合工序</w:t>
                  </w:r>
                </w:p>
              </w:tc>
              <w:tc>
                <w:tcPr>
                  <w:tcW w:w="1136" w:type="dxa"/>
                  <w:noWrap w:val="0"/>
                  <w:vAlign w:val="center"/>
                </w:tcPr>
                <w:p w14:paraId="6FEE5C90">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color w:val="auto"/>
                      <w:szCs w:val="21"/>
                      <w:lang w:val="en-US" w:eastAsia="zh-CN"/>
                    </w:rPr>
                    <w:t>租赁现有厂房建设</w:t>
                  </w:r>
                </w:p>
              </w:tc>
            </w:tr>
            <w:tr w14:paraId="7229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0" w:type="auto"/>
                  <w:vMerge w:val="continue"/>
                  <w:noWrap w:val="0"/>
                  <w:vAlign w:val="center"/>
                </w:tcPr>
                <w:p w14:paraId="3D4ADA6F">
                  <w:pPr>
                    <w:keepNext w:val="0"/>
                    <w:keepLines w:val="0"/>
                    <w:suppressLineNumbers w:val="0"/>
                    <w:spacing w:before="0" w:beforeAutospacing="0" w:after="0" w:afterAutospacing="0" w:line="360" w:lineRule="atLeast"/>
                    <w:ind w:left="0" w:right="0"/>
                    <w:jc w:val="center"/>
                    <w:rPr>
                      <w:rFonts w:hint="default"/>
                      <w:color w:val="auto"/>
                    </w:rPr>
                  </w:pPr>
                </w:p>
              </w:tc>
              <w:tc>
                <w:tcPr>
                  <w:tcW w:w="1691" w:type="dxa"/>
                  <w:gridSpan w:val="2"/>
                  <w:noWrap w:val="0"/>
                  <w:vAlign w:val="center"/>
                </w:tcPr>
                <w:p w14:paraId="5D0F99FD">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加工车间</w:t>
                  </w:r>
                </w:p>
              </w:tc>
              <w:tc>
                <w:tcPr>
                  <w:tcW w:w="5341" w:type="dxa"/>
                  <w:noWrap w:val="0"/>
                  <w:vAlign w:val="center"/>
                </w:tcPr>
                <w:p w14:paraId="4199B999">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建筑面积约605m</w:t>
                  </w:r>
                  <w:r>
                    <w:rPr>
                      <w:rFonts w:hint="eastAsia"/>
                      <w:color w:val="auto"/>
                      <w:szCs w:val="21"/>
                      <w:vertAlign w:val="superscript"/>
                      <w:lang w:val="en-US" w:eastAsia="zh-CN"/>
                    </w:rPr>
                    <w:t>2</w:t>
                  </w:r>
                  <w:r>
                    <w:rPr>
                      <w:rFonts w:hint="eastAsia"/>
                      <w:color w:val="auto"/>
                      <w:szCs w:val="21"/>
                      <w:lang w:val="en-US" w:eastAsia="zh-CN"/>
                    </w:rPr>
                    <w:t>，内设圆台磨、CNC等设备，用于加工和精加工工序</w:t>
                  </w:r>
                </w:p>
              </w:tc>
              <w:tc>
                <w:tcPr>
                  <w:tcW w:w="1136" w:type="dxa"/>
                  <w:noWrap w:val="0"/>
                  <w:vAlign w:val="center"/>
                </w:tcPr>
                <w:p w14:paraId="5482158C">
                  <w:pPr>
                    <w:keepNext w:val="0"/>
                    <w:keepLines w:val="0"/>
                    <w:suppressLineNumbers w:val="0"/>
                    <w:spacing w:before="0" w:beforeAutospacing="0" w:after="0" w:afterAutospacing="0" w:line="360" w:lineRule="atLeast"/>
                    <w:ind w:left="0" w:right="0"/>
                    <w:jc w:val="center"/>
                    <w:rPr>
                      <w:rFonts w:hint="eastAsia"/>
                      <w:color w:val="auto"/>
                      <w:szCs w:val="21"/>
                      <w:lang w:eastAsia="zh-CN"/>
                    </w:rPr>
                  </w:pPr>
                  <w:r>
                    <w:rPr>
                      <w:rFonts w:hint="eastAsia"/>
                      <w:color w:val="auto"/>
                      <w:szCs w:val="21"/>
                      <w:lang w:val="en-US" w:eastAsia="zh-CN"/>
                    </w:rPr>
                    <w:t>租赁现有厂房建设</w:t>
                  </w:r>
                </w:p>
              </w:tc>
            </w:tr>
            <w:tr w14:paraId="4977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0" w:type="auto"/>
                  <w:vMerge w:val="continue"/>
                  <w:noWrap w:val="0"/>
                  <w:vAlign w:val="center"/>
                </w:tcPr>
                <w:p w14:paraId="6674C5D3">
                  <w:pPr>
                    <w:keepNext w:val="0"/>
                    <w:keepLines w:val="0"/>
                    <w:suppressLineNumbers w:val="0"/>
                    <w:spacing w:before="0" w:beforeAutospacing="0" w:after="0" w:afterAutospacing="0" w:line="360" w:lineRule="atLeast"/>
                    <w:ind w:left="0" w:right="0"/>
                    <w:jc w:val="center"/>
                    <w:rPr>
                      <w:rFonts w:hint="default"/>
                      <w:color w:val="auto"/>
                    </w:rPr>
                  </w:pPr>
                </w:p>
              </w:tc>
              <w:tc>
                <w:tcPr>
                  <w:tcW w:w="1691" w:type="dxa"/>
                  <w:gridSpan w:val="2"/>
                  <w:noWrap w:val="0"/>
                  <w:vAlign w:val="center"/>
                </w:tcPr>
                <w:p w14:paraId="62282819">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热处理车间</w:t>
                  </w:r>
                </w:p>
              </w:tc>
              <w:tc>
                <w:tcPr>
                  <w:tcW w:w="5341" w:type="dxa"/>
                  <w:noWrap w:val="0"/>
                  <w:vAlign w:val="center"/>
                </w:tcPr>
                <w:p w14:paraId="552CF365">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建筑面积约1132m</w:t>
                  </w:r>
                  <w:r>
                    <w:rPr>
                      <w:rFonts w:hint="eastAsia"/>
                      <w:color w:val="auto"/>
                      <w:szCs w:val="21"/>
                      <w:vertAlign w:val="superscript"/>
                      <w:lang w:val="en-US" w:eastAsia="zh-CN"/>
                    </w:rPr>
                    <w:t>2</w:t>
                  </w:r>
                  <w:r>
                    <w:rPr>
                      <w:rFonts w:hint="eastAsia"/>
                      <w:color w:val="auto"/>
                      <w:szCs w:val="21"/>
                      <w:lang w:val="en-US" w:eastAsia="zh-CN"/>
                    </w:rPr>
                    <w:t>，内设碳化炉、CVI炉、渗硅炉、高温炉等设备，用于碳化处理、气相沉积、熔融渗硅（陶瓷化处理）、高温处理等工序</w:t>
                  </w:r>
                </w:p>
              </w:tc>
              <w:tc>
                <w:tcPr>
                  <w:tcW w:w="1136" w:type="dxa"/>
                  <w:noWrap w:val="0"/>
                  <w:vAlign w:val="center"/>
                </w:tcPr>
                <w:p w14:paraId="7BE0217C">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租赁现有厂房建设</w:t>
                  </w:r>
                </w:p>
              </w:tc>
            </w:tr>
            <w:tr w14:paraId="1047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0" w:type="auto"/>
                  <w:vMerge w:val="continue"/>
                  <w:noWrap w:val="0"/>
                  <w:vAlign w:val="center"/>
                </w:tcPr>
                <w:p w14:paraId="1138DC03">
                  <w:pPr>
                    <w:keepNext w:val="0"/>
                    <w:keepLines w:val="0"/>
                    <w:suppressLineNumbers w:val="0"/>
                    <w:spacing w:before="0" w:beforeAutospacing="0" w:after="0" w:afterAutospacing="0" w:line="360" w:lineRule="atLeast"/>
                    <w:ind w:left="0" w:right="0"/>
                    <w:jc w:val="center"/>
                    <w:rPr>
                      <w:rFonts w:hint="default"/>
                      <w:color w:val="auto"/>
                    </w:rPr>
                  </w:pPr>
                </w:p>
              </w:tc>
              <w:tc>
                <w:tcPr>
                  <w:tcW w:w="0" w:type="auto"/>
                  <w:gridSpan w:val="2"/>
                  <w:noWrap w:val="0"/>
                  <w:vAlign w:val="center"/>
                </w:tcPr>
                <w:p w14:paraId="69743FB1">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包装车间</w:t>
                  </w:r>
                </w:p>
              </w:tc>
              <w:tc>
                <w:tcPr>
                  <w:tcW w:w="5341" w:type="dxa"/>
                  <w:noWrap w:val="0"/>
                  <w:vAlign w:val="center"/>
                </w:tcPr>
                <w:p w14:paraId="00DFC91D">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建筑面积约720m</w:t>
                  </w:r>
                  <w:r>
                    <w:rPr>
                      <w:rFonts w:hint="eastAsia"/>
                      <w:color w:val="auto"/>
                      <w:szCs w:val="21"/>
                      <w:vertAlign w:val="superscript"/>
                      <w:lang w:val="en-US" w:eastAsia="zh-CN"/>
                    </w:rPr>
                    <w:t>2</w:t>
                  </w:r>
                  <w:r>
                    <w:rPr>
                      <w:rFonts w:hint="eastAsia"/>
                      <w:color w:val="auto"/>
                      <w:szCs w:val="21"/>
                      <w:lang w:val="en-US" w:eastAsia="zh-CN"/>
                    </w:rPr>
                    <w:t>，用于产品装配包装</w:t>
                  </w:r>
                </w:p>
              </w:tc>
              <w:tc>
                <w:tcPr>
                  <w:tcW w:w="1136" w:type="dxa"/>
                  <w:noWrap w:val="0"/>
                  <w:vAlign w:val="center"/>
                </w:tcPr>
                <w:p w14:paraId="18FE2CA2">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租赁现有厂房建设</w:t>
                  </w:r>
                </w:p>
              </w:tc>
            </w:tr>
            <w:tr w14:paraId="1A6D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0" w:type="auto"/>
                  <w:noWrap w:val="0"/>
                  <w:vAlign w:val="center"/>
                </w:tcPr>
                <w:p w14:paraId="3117B68B">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辅助工程</w:t>
                  </w:r>
                </w:p>
              </w:tc>
              <w:tc>
                <w:tcPr>
                  <w:tcW w:w="0" w:type="auto"/>
                  <w:gridSpan w:val="2"/>
                  <w:noWrap w:val="0"/>
                  <w:vAlign w:val="center"/>
                </w:tcPr>
                <w:p w14:paraId="7006F2C1">
                  <w:pPr>
                    <w:keepNext w:val="0"/>
                    <w:keepLines w:val="0"/>
                    <w:suppressLineNumbers w:val="0"/>
                    <w:spacing w:before="0" w:beforeAutospacing="0" w:after="0" w:afterAutospacing="0" w:line="360" w:lineRule="atLeast"/>
                    <w:ind w:left="0" w:right="0"/>
                    <w:jc w:val="center"/>
                    <w:rPr>
                      <w:rFonts w:hint="eastAsia" w:eastAsia="宋体"/>
                      <w:color w:val="auto"/>
                      <w:szCs w:val="21"/>
                      <w:lang w:val="en-US" w:eastAsia="zh-CN"/>
                    </w:rPr>
                  </w:pPr>
                  <w:r>
                    <w:rPr>
                      <w:rFonts w:hint="eastAsia"/>
                      <w:color w:val="auto"/>
                      <w:szCs w:val="21"/>
                      <w:lang w:val="en-US" w:eastAsia="zh-CN"/>
                    </w:rPr>
                    <w:t>办公室</w:t>
                  </w:r>
                </w:p>
              </w:tc>
              <w:tc>
                <w:tcPr>
                  <w:tcW w:w="5341" w:type="dxa"/>
                  <w:noWrap w:val="0"/>
                  <w:vAlign w:val="center"/>
                </w:tcPr>
                <w:p w14:paraId="79935842">
                  <w:pPr>
                    <w:keepNext w:val="0"/>
                    <w:keepLines w:val="0"/>
                    <w:suppressLineNumbers w:val="0"/>
                    <w:spacing w:before="0" w:beforeAutospacing="0" w:after="0" w:afterAutospacing="0" w:line="360" w:lineRule="atLeast"/>
                    <w:ind w:left="0" w:right="0"/>
                    <w:jc w:val="center"/>
                    <w:rPr>
                      <w:rFonts w:hint="eastAsia" w:eastAsia="宋体"/>
                      <w:color w:val="auto"/>
                      <w:szCs w:val="21"/>
                      <w:lang w:eastAsia="zh-CN"/>
                    </w:rPr>
                  </w:pPr>
                  <w:r>
                    <w:rPr>
                      <w:rFonts w:hint="eastAsia"/>
                      <w:color w:val="auto"/>
                      <w:szCs w:val="21"/>
                      <w:lang w:val="en-US" w:eastAsia="zh-CN"/>
                    </w:rPr>
                    <w:t>为项目行政办公场所，建筑面积约90m</w:t>
                  </w:r>
                  <w:r>
                    <w:rPr>
                      <w:rFonts w:hint="eastAsia"/>
                      <w:color w:val="auto"/>
                      <w:szCs w:val="21"/>
                      <w:vertAlign w:val="superscript"/>
                      <w:lang w:val="en-US" w:eastAsia="zh-CN"/>
                    </w:rPr>
                    <w:t>2</w:t>
                  </w:r>
                  <w:r>
                    <w:rPr>
                      <w:rFonts w:hint="eastAsia"/>
                      <w:color w:val="auto"/>
                      <w:szCs w:val="21"/>
                      <w:lang w:val="en-US" w:eastAsia="zh-CN"/>
                    </w:rPr>
                    <w:t>，位于项目东北角。</w:t>
                  </w:r>
                </w:p>
              </w:tc>
              <w:tc>
                <w:tcPr>
                  <w:tcW w:w="1136" w:type="dxa"/>
                  <w:noWrap w:val="0"/>
                  <w:vAlign w:val="center"/>
                </w:tcPr>
                <w:p w14:paraId="0D80320E">
                  <w:pPr>
                    <w:keepNext w:val="0"/>
                    <w:keepLines w:val="0"/>
                    <w:suppressLineNumbers w:val="0"/>
                    <w:spacing w:before="0" w:beforeAutospacing="0" w:after="0" w:afterAutospacing="0" w:line="360" w:lineRule="atLeast"/>
                    <w:ind w:left="0" w:right="0"/>
                    <w:jc w:val="center"/>
                    <w:rPr>
                      <w:rFonts w:hint="eastAsia"/>
                      <w:color w:val="auto"/>
                      <w:szCs w:val="21"/>
                      <w:lang w:eastAsia="zh-CN"/>
                    </w:rPr>
                  </w:pPr>
                  <w:r>
                    <w:rPr>
                      <w:rFonts w:hint="eastAsia"/>
                      <w:color w:val="auto"/>
                      <w:szCs w:val="21"/>
                      <w:lang w:val="en-US" w:eastAsia="zh-CN"/>
                    </w:rPr>
                    <w:t>租赁现有厂房建设</w:t>
                  </w:r>
                </w:p>
              </w:tc>
            </w:tr>
            <w:tr w14:paraId="7D15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0" w:type="auto"/>
                  <w:vMerge w:val="restart"/>
                  <w:noWrap w:val="0"/>
                  <w:vAlign w:val="center"/>
                </w:tcPr>
                <w:p w14:paraId="1D94D899">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储运工程</w:t>
                  </w:r>
                </w:p>
              </w:tc>
              <w:tc>
                <w:tcPr>
                  <w:tcW w:w="0" w:type="auto"/>
                  <w:gridSpan w:val="2"/>
                  <w:noWrap w:val="0"/>
                  <w:vAlign w:val="center"/>
                </w:tcPr>
                <w:p w14:paraId="71357670">
                  <w:pPr>
                    <w:keepNext w:val="0"/>
                    <w:keepLines w:val="0"/>
                    <w:suppressLineNumbers w:val="0"/>
                    <w:spacing w:before="0" w:beforeAutospacing="0" w:after="0" w:afterAutospacing="0" w:line="360" w:lineRule="atLeast"/>
                    <w:ind w:left="0" w:right="0"/>
                    <w:jc w:val="center"/>
                    <w:rPr>
                      <w:rFonts w:hint="eastAsia" w:eastAsia="宋体"/>
                      <w:color w:val="auto"/>
                      <w:szCs w:val="21"/>
                      <w:lang w:eastAsia="zh-CN"/>
                    </w:rPr>
                  </w:pPr>
                  <w:r>
                    <w:rPr>
                      <w:rFonts w:hint="eastAsia" w:hAnsi="宋体"/>
                      <w:color w:val="auto"/>
                      <w:szCs w:val="21"/>
                      <w:lang w:eastAsia="zh-CN"/>
                    </w:rPr>
                    <w:t>原料仓库</w:t>
                  </w:r>
                </w:p>
              </w:tc>
              <w:tc>
                <w:tcPr>
                  <w:tcW w:w="5341" w:type="dxa"/>
                  <w:noWrap w:val="0"/>
                  <w:vAlign w:val="center"/>
                </w:tcPr>
                <w:p w14:paraId="7AF6F46E">
                  <w:pPr>
                    <w:keepNext w:val="0"/>
                    <w:keepLines w:val="0"/>
                    <w:suppressLineNumbers w:val="0"/>
                    <w:spacing w:before="0" w:beforeAutospacing="0" w:after="0" w:afterAutospacing="0" w:line="360" w:lineRule="atLeast"/>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位于生产车间内部，建筑面积约</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30</w:t>
                  </w:r>
                  <w:r>
                    <w:rPr>
                      <w:rFonts w:hint="eastAsia"/>
                      <w:color w:val="auto"/>
                      <w:szCs w:val="21"/>
                    </w:rPr>
                    <w:t>m</w:t>
                  </w:r>
                  <w:r>
                    <w:rPr>
                      <w:rFonts w:hint="eastAsia"/>
                      <w:color w:val="auto"/>
                      <w:szCs w:val="21"/>
                      <w:vertAlign w:val="superscript"/>
                    </w:rPr>
                    <w:t>2</w:t>
                  </w:r>
                </w:p>
              </w:tc>
              <w:tc>
                <w:tcPr>
                  <w:tcW w:w="1136" w:type="dxa"/>
                  <w:noWrap w:val="0"/>
                  <w:vAlign w:val="center"/>
                </w:tcPr>
                <w:p w14:paraId="0EA4CC3A">
                  <w:pPr>
                    <w:keepNext w:val="0"/>
                    <w:keepLines w:val="0"/>
                    <w:suppressLineNumbers w:val="0"/>
                    <w:spacing w:before="0" w:beforeAutospacing="0" w:after="0" w:afterAutospacing="0" w:line="360" w:lineRule="atLeast"/>
                    <w:ind w:left="0" w:right="0"/>
                    <w:jc w:val="center"/>
                    <w:rPr>
                      <w:rFonts w:hint="eastAsia"/>
                      <w:color w:val="auto"/>
                      <w:szCs w:val="21"/>
                      <w:lang w:eastAsia="zh-CN"/>
                    </w:rPr>
                  </w:pPr>
                  <w:r>
                    <w:rPr>
                      <w:rFonts w:hint="eastAsia"/>
                      <w:color w:val="auto"/>
                      <w:szCs w:val="21"/>
                      <w:lang w:val="en-US" w:eastAsia="zh-CN"/>
                    </w:rPr>
                    <w:t>租赁现有厂房建设</w:t>
                  </w:r>
                </w:p>
              </w:tc>
            </w:tr>
            <w:tr w14:paraId="2F46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noWrap w:val="0"/>
                  <w:vAlign w:val="center"/>
                </w:tcPr>
                <w:p w14:paraId="0CC81993">
                  <w:pPr>
                    <w:keepNext w:val="0"/>
                    <w:keepLines w:val="0"/>
                    <w:suppressLineNumbers w:val="0"/>
                    <w:spacing w:before="0" w:beforeAutospacing="0" w:after="0" w:afterAutospacing="0" w:line="360" w:lineRule="atLeast"/>
                    <w:ind w:left="0" w:right="0"/>
                    <w:jc w:val="center"/>
                    <w:rPr>
                      <w:rFonts w:hint="eastAsia"/>
                      <w:color w:val="auto"/>
                      <w:szCs w:val="21"/>
                    </w:rPr>
                  </w:pPr>
                </w:p>
              </w:tc>
              <w:tc>
                <w:tcPr>
                  <w:tcW w:w="0" w:type="auto"/>
                  <w:gridSpan w:val="2"/>
                  <w:noWrap w:val="0"/>
                  <w:vAlign w:val="center"/>
                </w:tcPr>
                <w:p w14:paraId="34E1FC44">
                  <w:pPr>
                    <w:keepNext w:val="0"/>
                    <w:keepLines w:val="0"/>
                    <w:suppressLineNumbers w:val="0"/>
                    <w:spacing w:before="0" w:beforeAutospacing="0" w:after="0" w:afterAutospacing="0" w:line="360" w:lineRule="atLeast"/>
                    <w:ind w:left="0" w:right="0"/>
                    <w:jc w:val="center"/>
                    <w:rPr>
                      <w:rFonts w:hint="eastAsia" w:hAnsi="宋体" w:eastAsia="宋体"/>
                      <w:color w:val="auto"/>
                      <w:szCs w:val="21"/>
                      <w:lang w:eastAsia="zh-CN"/>
                    </w:rPr>
                  </w:pPr>
                  <w:r>
                    <w:rPr>
                      <w:rFonts w:hint="eastAsia" w:hAnsi="宋体"/>
                      <w:color w:val="auto"/>
                      <w:szCs w:val="21"/>
                      <w:lang w:eastAsia="zh-CN"/>
                    </w:rPr>
                    <w:t>成品仓库</w:t>
                  </w:r>
                </w:p>
              </w:tc>
              <w:tc>
                <w:tcPr>
                  <w:tcW w:w="5341" w:type="dxa"/>
                  <w:noWrap w:val="0"/>
                  <w:vAlign w:val="center"/>
                </w:tcPr>
                <w:p w14:paraId="2325AC63">
                  <w:pPr>
                    <w:keepNext w:val="0"/>
                    <w:keepLines w:val="0"/>
                    <w:suppressLineNumbers w:val="0"/>
                    <w:spacing w:before="0" w:beforeAutospacing="0" w:after="0" w:afterAutospacing="0" w:line="360" w:lineRule="atLeast"/>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位于生产车间内部，面积</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3</w:t>
                  </w:r>
                  <w:r>
                    <w:rPr>
                      <w:rFonts w:hint="default" w:ascii="Times New Roman" w:hAnsi="Times New Roman" w:cs="Times New Roman"/>
                      <w:color w:val="auto"/>
                      <w:szCs w:val="21"/>
                      <w:lang w:val="en-US" w:eastAsia="zh-CN"/>
                    </w:rPr>
                    <w:t>0</w:t>
                  </w:r>
                  <w:r>
                    <w:rPr>
                      <w:rFonts w:hint="eastAsia"/>
                      <w:color w:val="auto"/>
                      <w:szCs w:val="21"/>
                    </w:rPr>
                    <w:t>m</w:t>
                  </w:r>
                  <w:r>
                    <w:rPr>
                      <w:rFonts w:hint="eastAsia"/>
                      <w:color w:val="auto"/>
                      <w:szCs w:val="21"/>
                      <w:vertAlign w:val="superscript"/>
                    </w:rPr>
                    <w:t>2</w:t>
                  </w:r>
                </w:p>
              </w:tc>
              <w:tc>
                <w:tcPr>
                  <w:tcW w:w="1136" w:type="dxa"/>
                  <w:noWrap w:val="0"/>
                  <w:vAlign w:val="center"/>
                </w:tcPr>
                <w:p w14:paraId="68E9221A">
                  <w:pPr>
                    <w:keepNext w:val="0"/>
                    <w:keepLines w:val="0"/>
                    <w:suppressLineNumbers w:val="0"/>
                    <w:spacing w:before="0" w:beforeAutospacing="0" w:after="0" w:afterAutospacing="0"/>
                    <w:ind w:left="0" w:right="0"/>
                    <w:jc w:val="center"/>
                    <w:rPr>
                      <w:rFonts w:hint="eastAsia"/>
                      <w:color w:val="auto"/>
                      <w:szCs w:val="21"/>
                      <w:lang w:eastAsia="zh-CN"/>
                    </w:rPr>
                  </w:pPr>
                  <w:r>
                    <w:rPr>
                      <w:rFonts w:hint="eastAsia"/>
                      <w:color w:val="auto"/>
                      <w:szCs w:val="21"/>
                      <w:lang w:val="en-US" w:eastAsia="zh-CN"/>
                    </w:rPr>
                    <w:t>租赁现有厂房建设</w:t>
                  </w:r>
                </w:p>
              </w:tc>
            </w:tr>
            <w:tr w14:paraId="6A7F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noWrap w:val="0"/>
                  <w:vAlign w:val="center"/>
                </w:tcPr>
                <w:p w14:paraId="3C02C580">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公用工程</w:t>
                  </w:r>
                </w:p>
              </w:tc>
              <w:tc>
                <w:tcPr>
                  <w:tcW w:w="0" w:type="auto"/>
                  <w:gridSpan w:val="2"/>
                  <w:noWrap w:val="0"/>
                  <w:vAlign w:val="center"/>
                </w:tcPr>
                <w:p w14:paraId="1D28A99E">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供电</w:t>
                  </w:r>
                </w:p>
              </w:tc>
              <w:tc>
                <w:tcPr>
                  <w:tcW w:w="5341" w:type="dxa"/>
                  <w:noWrap w:val="0"/>
                  <w:vAlign w:val="center"/>
                </w:tcPr>
                <w:p w14:paraId="26BF36A6">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由</w:t>
                  </w:r>
                  <w:r>
                    <w:rPr>
                      <w:rFonts w:hint="eastAsia"/>
                      <w:color w:val="auto"/>
                      <w:szCs w:val="21"/>
                      <w:lang w:eastAsia="zh-CN"/>
                    </w:rPr>
                    <w:t>园区</w:t>
                  </w:r>
                  <w:r>
                    <w:rPr>
                      <w:rFonts w:hint="eastAsia"/>
                      <w:color w:val="auto"/>
                      <w:szCs w:val="21"/>
                    </w:rPr>
                    <w:t>供电管网供给</w:t>
                  </w:r>
                </w:p>
              </w:tc>
              <w:tc>
                <w:tcPr>
                  <w:tcW w:w="1136" w:type="dxa"/>
                  <w:noWrap w:val="0"/>
                  <w:vAlign w:val="center"/>
                </w:tcPr>
                <w:p w14:paraId="69678DD6">
                  <w:pPr>
                    <w:keepNext w:val="0"/>
                    <w:keepLines w:val="0"/>
                    <w:suppressLineNumbers w:val="0"/>
                    <w:spacing w:before="0" w:beforeAutospacing="0" w:after="0" w:afterAutospacing="0" w:line="360" w:lineRule="atLeast"/>
                    <w:ind w:left="0" w:right="0"/>
                    <w:jc w:val="center"/>
                    <w:rPr>
                      <w:rFonts w:hint="eastAsia"/>
                      <w:color w:val="auto"/>
                      <w:szCs w:val="21"/>
                      <w:lang w:eastAsia="zh-CN"/>
                    </w:rPr>
                  </w:pPr>
                  <w:r>
                    <w:rPr>
                      <w:rFonts w:hint="eastAsia"/>
                      <w:color w:val="auto"/>
                    </w:rPr>
                    <w:t>依托</w:t>
                  </w:r>
                  <w:r>
                    <w:rPr>
                      <w:rFonts w:hint="eastAsia" w:ascii="宋体" w:hAnsi="宋体"/>
                      <w:color w:val="auto"/>
                      <w:szCs w:val="21"/>
                      <w:lang w:val="en-US" w:eastAsia="zh-CN"/>
                    </w:rPr>
                    <w:t>产业园现有</w:t>
                  </w:r>
                </w:p>
              </w:tc>
            </w:tr>
            <w:tr w14:paraId="13F1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vMerge w:val="continue"/>
                  <w:noWrap w:val="0"/>
                  <w:vAlign w:val="center"/>
                </w:tcPr>
                <w:p w14:paraId="5CD70ADB">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07E0DC79">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给水</w:t>
                  </w:r>
                </w:p>
              </w:tc>
              <w:tc>
                <w:tcPr>
                  <w:tcW w:w="5341" w:type="dxa"/>
                  <w:noWrap w:val="0"/>
                  <w:vAlign w:val="center"/>
                </w:tcPr>
                <w:p w14:paraId="59DA9F42">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由</w:t>
                  </w:r>
                  <w:r>
                    <w:rPr>
                      <w:rFonts w:hint="eastAsia"/>
                      <w:color w:val="auto"/>
                      <w:szCs w:val="21"/>
                      <w:lang w:eastAsia="zh-CN"/>
                    </w:rPr>
                    <w:t>园区</w:t>
                  </w:r>
                  <w:r>
                    <w:rPr>
                      <w:rFonts w:hint="eastAsia"/>
                      <w:color w:val="auto"/>
                      <w:szCs w:val="21"/>
                    </w:rPr>
                    <w:t>供水管网供给</w:t>
                  </w:r>
                </w:p>
              </w:tc>
              <w:tc>
                <w:tcPr>
                  <w:tcW w:w="1136" w:type="dxa"/>
                  <w:noWrap w:val="0"/>
                  <w:vAlign w:val="center"/>
                </w:tcPr>
                <w:p w14:paraId="1AC991FA">
                  <w:pPr>
                    <w:keepNext w:val="0"/>
                    <w:keepLines w:val="0"/>
                    <w:suppressLineNumbers w:val="0"/>
                    <w:spacing w:before="0" w:beforeAutospacing="0" w:after="0" w:afterAutospacing="0" w:line="360" w:lineRule="atLeast"/>
                    <w:ind w:left="0" w:right="0"/>
                    <w:jc w:val="center"/>
                    <w:rPr>
                      <w:rFonts w:hint="eastAsia"/>
                      <w:color w:val="auto"/>
                      <w:szCs w:val="21"/>
                      <w:lang w:eastAsia="zh-CN"/>
                    </w:rPr>
                  </w:pPr>
                  <w:r>
                    <w:rPr>
                      <w:rFonts w:hint="eastAsia"/>
                      <w:color w:val="auto"/>
                    </w:rPr>
                    <w:t>依托</w:t>
                  </w:r>
                  <w:r>
                    <w:rPr>
                      <w:rFonts w:hint="eastAsia" w:ascii="宋体" w:hAnsi="宋体"/>
                      <w:color w:val="auto"/>
                      <w:szCs w:val="21"/>
                      <w:lang w:val="en-US" w:eastAsia="zh-CN"/>
                    </w:rPr>
                    <w:t>产业园现有</w:t>
                  </w:r>
                </w:p>
              </w:tc>
            </w:tr>
            <w:tr w14:paraId="6F4F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0" w:type="auto"/>
                  <w:vMerge w:val="continue"/>
                  <w:noWrap w:val="0"/>
                  <w:vAlign w:val="center"/>
                </w:tcPr>
                <w:p w14:paraId="2D3089F3">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59C9D406">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排水</w:t>
                  </w:r>
                </w:p>
              </w:tc>
              <w:tc>
                <w:tcPr>
                  <w:tcW w:w="5341" w:type="dxa"/>
                  <w:noWrap w:val="0"/>
                  <w:vAlign w:val="center"/>
                </w:tcPr>
                <w:p w14:paraId="1870AAFA">
                  <w:pPr>
                    <w:keepNext w:val="0"/>
                    <w:keepLines w:val="0"/>
                    <w:suppressLineNumbers w:val="0"/>
                    <w:spacing w:before="0" w:beforeAutospacing="0" w:after="0" w:afterAutospacing="0" w:line="360" w:lineRule="atLeast"/>
                    <w:ind w:left="0" w:right="0"/>
                    <w:jc w:val="center"/>
                    <w:rPr>
                      <w:rFonts w:hint="eastAsia" w:eastAsia="宋体"/>
                      <w:color w:val="auto"/>
                      <w:kern w:val="0"/>
                      <w:szCs w:val="21"/>
                      <w:lang w:eastAsia="zh-CN"/>
                    </w:rPr>
                  </w:pPr>
                  <w:r>
                    <w:rPr>
                      <w:rFonts w:hint="eastAsia"/>
                      <w:color w:val="auto"/>
                      <w:kern w:val="0"/>
                      <w:szCs w:val="21"/>
                      <w:lang w:eastAsia="zh-CN"/>
                    </w:rPr>
                    <w:t>项目采用</w:t>
                  </w:r>
                  <w:r>
                    <w:rPr>
                      <w:rFonts w:hint="eastAsia"/>
                      <w:color w:val="auto"/>
                      <w:kern w:val="0"/>
                      <w:szCs w:val="21"/>
                    </w:rPr>
                    <w:t>雨污分流，雨水进园区雨水管网；</w:t>
                  </w:r>
                  <w:r>
                    <w:rPr>
                      <w:rFonts w:hint="eastAsia"/>
                      <w:color w:val="auto"/>
                      <w:kern w:val="0"/>
                      <w:szCs w:val="21"/>
                      <w:lang w:val="en-US" w:eastAsia="zh-CN"/>
                    </w:rPr>
                    <w:t>生活</w:t>
                  </w:r>
                  <w:r>
                    <w:rPr>
                      <w:rFonts w:hint="eastAsia"/>
                      <w:color w:val="auto"/>
                      <w:kern w:val="0"/>
                      <w:szCs w:val="21"/>
                    </w:rPr>
                    <w:t>污水经</w:t>
                  </w:r>
                  <w:r>
                    <w:rPr>
                      <w:rFonts w:hint="eastAsia"/>
                      <w:color w:val="auto"/>
                      <w:kern w:val="0"/>
                      <w:szCs w:val="21"/>
                      <w:lang w:val="en-US" w:eastAsia="zh-CN"/>
                    </w:rPr>
                    <w:t>产业园现有的化粪池收集后排入园区污水</w:t>
                  </w:r>
                  <w:r>
                    <w:rPr>
                      <w:rFonts w:hint="eastAsia"/>
                      <w:color w:val="auto"/>
                      <w:kern w:val="0"/>
                      <w:szCs w:val="21"/>
                    </w:rPr>
                    <w:t>管网，进入龙湖污水处理厂集中处理后达标排放。</w:t>
                  </w:r>
                  <w:r>
                    <w:rPr>
                      <w:rFonts w:hint="eastAsia"/>
                      <w:color w:val="auto"/>
                      <w:kern w:val="0"/>
                      <w:szCs w:val="21"/>
                      <w:lang w:val="en-US" w:eastAsia="zh-CN"/>
                    </w:rPr>
                    <w:t>循</w:t>
                  </w:r>
                  <w:r>
                    <w:rPr>
                      <w:rFonts w:hint="eastAsia"/>
                      <w:color w:val="auto"/>
                      <w:kern w:val="0"/>
                      <w:szCs w:val="21"/>
                    </w:rPr>
                    <w:t>环冷却水排水为清净下水，直接通过市政污水管网进入污水处理厂进行深度处理</w:t>
                  </w:r>
                  <w:r>
                    <w:rPr>
                      <w:rFonts w:hint="eastAsia"/>
                      <w:color w:val="auto"/>
                      <w:kern w:val="0"/>
                      <w:szCs w:val="21"/>
                      <w:lang w:eastAsia="zh-CN"/>
                    </w:rPr>
                    <w:t>。</w:t>
                  </w:r>
                </w:p>
              </w:tc>
              <w:tc>
                <w:tcPr>
                  <w:tcW w:w="1136" w:type="dxa"/>
                  <w:noWrap w:val="0"/>
                  <w:vAlign w:val="center"/>
                </w:tcPr>
                <w:p w14:paraId="250F0B27">
                  <w:pPr>
                    <w:keepNext w:val="0"/>
                    <w:keepLines w:val="0"/>
                    <w:suppressLineNumbers w:val="0"/>
                    <w:spacing w:before="0" w:beforeAutospacing="0" w:after="0" w:afterAutospacing="0" w:line="360" w:lineRule="atLeast"/>
                    <w:ind w:left="0" w:right="0"/>
                    <w:jc w:val="center"/>
                    <w:rPr>
                      <w:rFonts w:hint="eastAsia"/>
                      <w:color w:val="auto"/>
                      <w:kern w:val="0"/>
                      <w:szCs w:val="21"/>
                      <w:lang w:eastAsia="zh-CN"/>
                    </w:rPr>
                  </w:pPr>
                  <w:r>
                    <w:rPr>
                      <w:rFonts w:hint="eastAsia"/>
                      <w:color w:val="auto"/>
                    </w:rPr>
                    <w:t>依托</w:t>
                  </w:r>
                  <w:r>
                    <w:rPr>
                      <w:rFonts w:hint="eastAsia" w:ascii="宋体" w:hAnsi="宋体"/>
                      <w:color w:val="auto"/>
                      <w:szCs w:val="21"/>
                      <w:lang w:val="en-US" w:eastAsia="zh-CN"/>
                    </w:rPr>
                    <w:t>产业园现有</w:t>
                  </w:r>
                </w:p>
              </w:tc>
            </w:tr>
            <w:tr w14:paraId="7AC9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vMerge w:val="restart"/>
                  <w:noWrap w:val="0"/>
                  <w:vAlign w:val="center"/>
                </w:tcPr>
                <w:p w14:paraId="73A751B1">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环保工程</w:t>
                  </w:r>
                </w:p>
              </w:tc>
              <w:tc>
                <w:tcPr>
                  <w:tcW w:w="751" w:type="dxa"/>
                  <w:vMerge w:val="restart"/>
                  <w:noWrap w:val="0"/>
                  <w:vAlign w:val="center"/>
                </w:tcPr>
                <w:p w14:paraId="2CFF641E">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废气处理</w:t>
                  </w:r>
                </w:p>
              </w:tc>
              <w:tc>
                <w:tcPr>
                  <w:tcW w:w="0" w:type="auto"/>
                  <w:noWrap w:val="0"/>
                  <w:vAlign w:val="center"/>
                </w:tcPr>
                <w:p w14:paraId="60DF9042">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hAnsi="宋体"/>
                      <w:color w:val="auto"/>
                      <w:szCs w:val="21"/>
                    </w:rPr>
                    <w:t>改性废气</w:t>
                  </w:r>
                  <w:r>
                    <w:rPr>
                      <w:rFonts w:hint="eastAsia" w:hAnsi="宋体"/>
                      <w:color w:val="auto"/>
                      <w:szCs w:val="21"/>
                      <w:lang w:eastAsia="zh-CN"/>
                    </w:rPr>
                    <w:t>、</w:t>
                  </w:r>
                  <w:r>
                    <w:rPr>
                      <w:rFonts w:hint="eastAsia" w:hAnsi="宋体"/>
                      <w:color w:val="auto"/>
                      <w:szCs w:val="21"/>
                    </w:rPr>
                    <w:t>涂层废气</w:t>
                  </w:r>
                  <w:r>
                    <w:rPr>
                      <w:rFonts w:hint="eastAsia" w:hAnsi="宋体"/>
                      <w:color w:val="auto"/>
                      <w:szCs w:val="21"/>
                      <w:lang w:eastAsia="zh-CN"/>
                    </w:rPr>
                    <w:t>、</w:t>
                  </w:r>
                  <w:r>
                    <w:rPr>
                      <w:rFonts w:hint="eastAsia" w:hAnsi="宋体"/>
                      <w:color w:val="auto"/>
                      <w:szCs w:val="21"/>
                    </w:rPr>
                    <w:t>沉积废气、碳化废气和真空泵油雾废气</w:t>
                  </w:r>
                </w:p>
              </w:tc>
              <w:tc>
                <w:tcPr>
                  <w:tcW w:w="5341" w:type="dxa"/>
                  <w:noWrap w:val="0"/>
                  <w:vAlign w:val="center"/>
                </w:tcPr>
                <w:p w14:paraId="4AC0367D">
                  <w:pPr>
                    <w:keepNext w:val="0"/>
                    <w:keepLines w:val="0"/>
                    <w:suppressLineNumbers w:val="0"/>
                    <w:spacing w:before="0" w:beforeAutospacing="0" w:after="0" w:afterAutospacing="0" w:line="360" w:lineRule="atLeast"/>
                    <w:ind w:left="0" w:right="0"/>
                    <w:jc w:val="center"/>
                    <w:rPr>
                      <w:rFonts w:hint="default"/>
                      <w:color w:val="auto"/>
                      <w:lang w:val="en-US" w:eastAsia="zh-CN"/>
                    </w:rPr>
                  </w:pPr>
                  <w:r>
                    <w:rPr>
                      <w:rFonts w:hint="eastAsia" w:hAnsi="宋体"/>
                      <w:color w:val="auto"/>
                      <w:szCs w:val="21"/>
                    </w:rPr>
                    <w:t>改性废气</w:t>
                  </w:r>
                  <w:r>
                    <w:rPr>
                      <w:rFonts w:hint="eastAsia" w:hAnsi="宋体"/>
                      <w:color w:val="auto"/>
                      <w:szCs w:val="21"/>
                      <w:lang w:eastAsia="zh-CN"/>
                    </w:rPr>
                    <w:t>、</w:t>
                  </w:r>
                  <w:r>
                    <w:rPr>
                      <w:rFonts w:hint="eastAsia" w:hAnsi="宋体"/>
                      <w:color w:val="auto"/>
                      <w:szCs w:val="21"/>
                    </w:rPr>
                    <w:t>涂层废气</w:t>
                  </w:r>
                  <w:r>
                    <w:rPr>
                      <w:rFonts w:hint="eastAsia" w:hAnsi="宋体"/>
                      <w:color w:val="auto"/>
                      <w:szCs w:val="21"/>
                      <w:lang w:eastAsia="zh-CN"/>
                    </w:rPr>
                    <w:t>、</w:t>
                  </w:r>
                  <w:r>
                    <w:rPr>
                      <w:rFonts w:hint="eastAsia" w:hAnsi="宋体"/>
                      <w:color w:val="auto"/>
                      <w:szCs w:val="21"/>
                    </w:rPr>
                    <w:t>沉积废气、碳化废气和真空泵油雾废气经抽风管道收集，收集后通过</w:t>
                  </w:r>
                  <w:r>
                    <w:rPr>
                      <w:rFonts w:hint="eastAsia" w:hAnsi="宋体"/>
                      <w:color w:val="auto"/>
                      <w:szCs w:val="21"/>
                      <w:lang w:eastAsia="zh-CN"/>
                    </w:rPr>
                    <w:t>TO</w:t>
                  </w:r>
                  <w:r>
                    <w:rPr>
                      <w:rFonts w:hint="eastAsia" w:hAnsi="宋体"/>
                      <w:color w:val="auto"/>
                      <w:szCs w:val="21"/>
                    </w:rPr>
                    <w:t>燃烧装置处理后通过一根15m高的排气筒DA001排放</w:t>
                  </w:r>
                </w:p>
              </w:tc>
              <w:tc>
                <w:tcPr>
                  <w:tcW w:w="1136" w:type="dxa"/>
                  <w:noWrap w:val="0"/>
                  <w:vAlign w:val="center"/>
                </w:tcPr>
                <w:p w14:paraId="6F0F6FE2">
                  <w:pPr>
                    <w:keepNext w:val="0"/>
                    <w:keepLines w:val="0"/>
                    <w:suppressLineNumbers w:val="0"/>
                    <w:spacing w:before="0" w:beforeAutospacing="0" w:after="0" w:afterAutospacing="0" w:line="360" w:lineRule="atLeast"/>
                    <w:ind w:left="0" w:right="0"/>
                    <w:jc w:val="center"/>
                    <w:rPr>
                      <w:rFonts w:hint="default"/>
                      <w:color w:val="auto"/>
                      <w:lang w:val="en-US" w:eastAsia="zh-CN"/>
                    </w:rPr>
                  </w:pPr>
                  <w:r>
                    <w:rPr>
                      <w:rFonts w:hint="eastAsia" w:ascii="宋体" w:hAnsi="宋体"/>
                      <w:color w:val="auto"/>
                      <w:szCs w:val="21"/>
                      <w:lang w:val="en-US" w:eastAsia="zh-CN"/>
                    </w:rPr>
                    <w:t>新建</w:t>
                  </w:r>
                </w:p>
              </w:tc>
            </w:tr>
            <w:tr w14:paraId="3A7C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vMerge w:val="continue"/>
                  <w:noWrap w:val="0"/>
                  <w:vAlign w:val="center"/>
                </w:tcPr>
                <w:p w14:paraId="48DBDE31">
                  <w:pPr>
                    <w:keepNext w:val="0"/>
                    <w:keepLines w:val="0"/>
                    <w:suppressLineNumbers w:val="0"/>
                    <w:spacing w:before="0" w:beforeAutospacing="0" w:after="0" w:afterAutospacing="0" w:line="360" w:lineRule="atLeast"/>
                    <w:ind w:left="0" w:right="0"/>
                    <w:jc w:val="center"/>
                    <w:rPr>
                      <w:rFonts w:hint="default"/>
                      <w:color w:val="auto"/>
                    </w:rPr>
                  </w:pPr>
                </w:p>
              </w:tc>
              <w:tc>
                <w:tcPr>
                  <w:tcW w:w="751" w:type="dxa"/>
                  <w:vMerge w:val="continue"/>
                  <w:noWrap w:val="0"/>
                  <w:vAlign w:val="center"/>
                </w:tcPr>
                <w:p w14:paraId="6BA3D63B">
                  <w:pPr>
                    <w:keepNext w:val="0"/>
                    <w:keepLines w:val="0"/>
                    <w:suppressLineNumbers w:val="0"/>
                    <w:spacing w:before="0" w:beforeAutospacing="0" w:after="0" w:afterAutospacing="0" w:line="360" w:lineRule="atLeast"/>
                    <w:ind w:left="0" w:right="0"/>
                    <w:jc w:val="center"/>
                    <w:rPr>
                      <w:rFonts w:hint="default"/>
                      <w:color w:val="auto"/>
                    </w:rPr>
                  </w:pPr>
                </w:p>
              </w:tc>
              <w:tc>
                <w:tcPr>
                  <w:tcW w:w="0" w:type="auto"/>
                  <w:noWrap w:val="0"/>
                  <w:vAlign w:val="center"/>
                </w:tcPr>
                <w:p w14:paraId="5F2BB11E">
                  <w:pPr>
                    <w:keepNext w:val="0"/>
                    <w:keepLines w:val="0"/>
                    <w:suppressLineNumbers w:val="0"/>
                    <w:spacing w:before="0" w:beforeAutospacing="0" w:after="0" w:afterAutospacing="0" w:line="360" w:lineRule="atLeast"/>
                    <w:ind w:left="0" w:right="0"/>
                    <w:jc w:val="center"/>
                    <w:rPr>
                      <w:rFonts w:hint="default" w:eastAsia="宋体"/>
                      <w:color w:val="auto"/>
                      <w:szCs w:val="21"/>
                      <w:lang w:val="en-US" w:eastAsia="zh-CN"/>
                    </w:rPr>
                  </w:pPr>
                  <w:r>
                    <w:rPr>
                      <w:rFonts w:hint="eastAsia" w:hAnsi="宋体"/>
                      <w:color w:val="auto"/>
                      <w:szCs w:val="21"/>
                    </w:rPr>
                    <w:t>混料粉尘和加工废气</w:t>
                  </w:r>
                </w:p>
              </w:tc>
              <w:tc>
                <w:tcPr>
                  <w:tcW w:w="5341" w:type="dxa"/>
                  <w:noWrap w:val="0"/>
                  <w:vAlign w:val="center"/>
                </w:tcPr>
                <w:p w14:paraId="1E985283">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hAnsi="宋体"/>
                      <w:color w:val="auto"/>
                      <w:szCs w:val="21"/>
                    </w:rPr>
                    <w:t>项目混料粉尘和加工废气经自带集气管道收集后经布袋除尘器处理后通过一根15m高的排气筒（DA002）排放</w:t>
                  </w:r>
                </w:p>
              </w:tc>
              <w:tc>
                <w:tcPr>
                  <w:tcW w:w="1136" w:type="dxa"/>
                  <w:noWrap w:val="0"/>
                  <w:vAlign w:val="center"/>
                </w:tcPr>
                <w:p w14:paraId="1CE2FFE7">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ascii="宋体" w:hAnsi="宋体"/>
                      <w:color w:val="auto"/>
                      <w:szCs w:val="21"/>
                      <w:lang w:val="en-US" w:eastAsia="zh-CN"/>
                    </w:rPr>
                    <w:t>新建</w:t>
                  </w:r>
                </w:p>
              </w:tc>
            </w:tr>
            <w:tr w14:paraId="663B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0" w:type="auto"/>
                  <w:vMerge w:val="continue"/>
                  <w:noWrap w:val="0"/>
                  <w:vAlign w:val="center"/>
                </w:tcPr>
                <w:p w14:paraId="2170343D">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66846B4F">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废水处理</w:t>
                  </w:r>
                </w:p>
              </w:tc>
              <w:tc>
                <w:tcPr>
                  <w:tcW w:w="5341" w:type="dxa"/>
                  <w:noWrap w:val="0"/>
                  <w:vAlign w:val="center"/>
                </w:tcPr>
                <w:p w14:paraId="1EC47F19">
                  <w:pPr>
                    <w:keepNext w:val="0"/>
                    <w:keepLines w:val="0"/>
                    <w:suppressLineNumbers w:val="0"/>
                    <w:spacing w:before="0" w:beforeAutospacing="0" w:after="0" w:afterAutospacing="0" w:line="360" w:lineRule="atLeast"/>
                    <w:ind w:left="0" w:right="0"/>
                    <w:jc w:val="center"/>
                    <w:rPr>
                      <w:rFonts w:hint="default"/>
                      <w:color w:val="auto"/>
                      <w:szCs w:val="21"/>
                      <w:lang w:val="en-US"/>
                    </w:rPr>
                  </w:pPr>
                  <w:r>
                    <w:rPr>
                      <w:rFonts w:hint="eastAsia"/>
                      <w:color w:val="auto"/>
                      <w:kern w:val="0"/>
                      <w:szCs w:val="21"/>
                      <w:lang w:val="en-US" w:eastAsia="zh-CN"/>
                    </w:rPr>
                    <w:t>生活</w:t>
                  </w:r>
                  <w:r>
                    <w:rPr>
                      <w:rFonts w:hint="eastAsia"/>
                      <w:color w:val="auto"/>
                      <w:kern w:val="0"/>
                      <w:szCs w:val="21"/>
                    </w:rPr>
                    <w:t>污水经</w:t>
                  </w:r>
                  <w:r>
                    <w:rPr>
                      <w:rFonts w:hint="eastAsia"/>
                      <w:color w:val="auto"/>
                      <w:kern w:val="0"/>
                      <w:szCs w:val="21"/>
                      <w:lang w:val="en-US" w:eastAsia="zh-CN"/>
                    </w:rPr>
                    <w:t>产业园现有的化粪池收集后排入园区污水</w:t>
                  </w:r>
                  <w:r>
                    <w:rPr>
                      <w:rFonts w:hint="eastAsia"/>
                      <w:color w:val="auto"/>
                      <w:kern w:val="0"/>
                      <w:szCs w:val="21"/>
                    </w:rPr>
                    <w:t>管网，进入龙湖污水处理厂集中处理后达标排放。</w:t>
                  </w:r>
                  <w:r>
                    <w:rPr>
                      <w:rFonts w:hint="eastAsia"/>
                      <w:color w:val="auto"/>
                      <w:kern w:val="0"/>
                      <w:szCs w:val="21"/>
                      <w:lang w:val="en-US" w:eastAsia="zh-CN"/>
                    </w:rPr>
                    <w:t>循</w:t>
                  </w:r>
                  <w:r>
                    <w:rPr>
                      <w:rFonts w:hint="eastAsia"/>
                      <w:color w:val="auto"/>
                      <w:kern w:val="0"/>
                      <w:szCs w:val="21"/>
                    </w:rPr>
                    <w:t>环冷却水排水为清净下水，直接通过市政污水管网进入污水处理厂进行深度处理</w:t>
                  </w:r>
                  <w:r>
                    <w:rPr>
                      <w:rFonts w:hint="eastAsia"/>
                      <w:color w:val="auto"/>
                      <w:kern w:val="0"/>
                      <w:szCs w:val="21"/>
                      <w:lang w:eastAsia="zh-CN"/>
                    </w:rPr>
                    <w:t>。</w:t>
                  </w:r>
                </w:p>
              </w:tc>
              <w:tc>
                <w:tcPr>
                  <w:tcW w:w="1136" w:type="dxa"/>
                  <w:noWrap w:val="0"/>
                  <w:vAlign w:val="center"/>
                </w:tcPr>
                <w:p w14:paraId="0C8156D5">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ascii="宋体" w:hAnsi="宋体"/>
                      <w:color w:val="auto"/>
                      <w:szCs w:val="21"/>
                      <w:lang w:val="en-US" w:eastAsia="zh-CN"/>
                    </w:rPr>
                    <w:t>依托产业园现有的化粪池</w:t>
                  </w:r>
                </w:p>
              </w:tc>
            </w:tr>
            <w:tr w14:paraId="364A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0" w:type="auto"/>
                  <w:vMerge w:val="continue"/>
                  <w:noWrap w:val="0"/>
                  <w:vAlign w:val="center"/>
                </w:tcPr>
                <w:p w14:paraId="24471ED7">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7F32E231">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噪声防治</w:t>
                  </w:r>
                </w:p>
              </w:tc>
              <w:tc>
                <w:tcPr>
                  <w:tcW w:w="5341" w:type="dxa"/>
                  <w:noWrap w:val="0"/>
                  <w:vAlign w:val="center"/>
                </w:tcPr>
                <w:p w14:paraId="08A0990E">
                  <w:pPr>
                    <w:keepNext w:val="0"/>
                    <w:keepLines w:val="0"/>
                    <w:suppressLineNumbers w:val="0"/>
                    <w:spacing w:before="0" w:beforeAutospacing="0" w:after="0" w:afterAutospacing="0" w:line="360" w:lineRule="atLeast"/>
                    <w:ind w:left="0" w:right="0"/>
                    <w:jc w:val="center"/>
                    <w:rPr>
                      <w:rFonts w:hint="eastAsia" w:ascii="宋体" w:hAnsi="宋体"/>
                      <w:color w:val="auto"/>
                      <w:szCs w:val="21"/>
                    </w:rPr>
                  </w:pPr>
                  <w:r>
                    <w:rPr>
                      <w:rFonts w:hint="default" w:ascii="Times New Roman" w:hAnsi="Times New Roman" w:eastAsia="宋体" w:cs="Times New Roman"/>
                      <w:color w:val="auto"/>
                      <w:sz w:val="21"/>
                      <w:szCs w:val="21"/>
                      <w:lang w:val="en-US" w:eastAsia="zh-CN"/>
                    </w:rPr>
                    <w:t>厂房隔声、基础减震、消声、距离衰减等</w:t>
                  </w:r>
                </w:p>
              </w:tc>
              <w:tc>
                <w:tcPr>
                  <w:tcW w:w="1136" w:type="dxa"/>
                  <w:noWrap w:val="0"/>
                  <w:vAlign w:val="center"/>
                </w:tcPr>
                <w:p w14:paraId="0ABB0453">
                  <w:pPr>
                    <w:keepNext w:val="0"/>
                    <w:keepLines w:val="0"/>
                    <w:suppressLineNumbers w:val="0"/>
                    <w:spacing w:before="0" w:beforeAutospacing="0" w:after="0" w:afterAutospacing="0" w:line="360" w:lineRule="atLeast"/>
                    <w:ind w:left="0" w:right="0"/>
                    <w:jc w:val="center"/>
                    <w:rPr>
                      <w:rFonts w:hint="eastAsia" w:ascii="宋体" w:hAnsi="宋体" w:eastAsia="宋体"/>
                      <w:color w:val="auto"/>
                      <w:szCs w:val="21"/>
                      <w:lang w:val="en-US" w:eastAsia="zh-CN"/>
                    </w:rPr>
                  </w:pPr>
                  <w:r>
                    <w:rPr>
                      <w:rFonts w:hint="eastAsia" w:ascii="宋体" w:hAnsi="宋体"/>
                      <w:color w:val="auto"/>
                      <w:szCs w:val="21"/>
                      <w:lang w:val="en-US" w:eastAsia="zh-CN"/>
                    </w:rPr>
                    <w:t>新建</w:t>
                  </w:r>
                </w:p>
              </w:tc>
            </w:tr>
            <w:tr w14:paraId="37FB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jc w:val="center"/>
              </w:trPr>
              <w:tc>
                <w:tcPr>
                  <w:tcW w:w="0" w:type="auto"/>
                  <w:vMerge w:val="continue"/>
                  <w:noWrap w:val="0"/>
                  <w:vAlign w:val="center"/>
                </w:tcPr>
                <w:p w14:paraId="3112903F">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4EC973DE">
                  <w:pPr>
                    <w:keepNext w:val="0"/>
                    <w:keepLines w:val="0"/>
                    <w:suppressLineNumbers w:val="0"/>
                    <w:spacing w:before="0" w:beforeAutospacing="0" w:after="0" w:afterAutospacing="0" w:line="360" w:lineRule="atLeast"/>
                    <w:ind w:left="0" w:right="0"/>
                    <w:jc w:val="center"/>
                    <w:rPr>
                      <w:rFonts w:hint="eastAsia"/>
                      <w:color w:val="auto"/>
                      <w:szCs w:val="21"/>
                    </w:rPr>
                  </w:pPr>
                  <w:r>
                    <w:rPr>
                      <w:rFonts w:hint="eastAsia"/>
                      <w:color w:val="auto"/>
                      <w:szCs w:val="21"/>
                    </w:rPr>
                    <w:t>固废处理</w:t>
                  </w:r>
                </w:p>
              </w:tc>
              <w:tc>
                <w:tcPr>
                  <w:tcW w:w="5341" w:type="dxa"/>
                  <w:noWrap w:val="0"/>
                  <w:vAlign w:val="center"/>
                </w:tcPr>
                <w:p w14:paraId="5210E874">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eastAsia="zh-CN"/>
                    </w:rPr>
                    <w:t>项目固废主要</w:t>
                  </w:r>
                  <w:r>
                    <w:rPr>
                      <w:rFonts w:hint="eastAsia"/>
                      <w:color w:val="auto"/>
                      <w:szCs w:val="21"/>
                      <w:lang w:val="en-US" w:eastAsia="zh-CN"/>
                    </w:rPr>
                    <w:t>有</w:t>
                  </w:r>
                  <w:r>
                    <w:rPr>
                      <w:rFonts w:hint="eastAsia"/>
                      <w:color w:val="auto"/>
                      <w:szCs w:val="21"/>
                      <w:lang w:eastAsia="zh-CN"/>
                    </w:rPr>
                    <w:t>一般固废（废包装材料、不合格产品、废边角料）和危险废物（废润滑油及油桶、废真空泵油、废切削液、废液压油）和生活垃圾等。</w:t>
                  </w:r>
                  <w:r>
                    <w:rPr>
                      <w:rFonts w:hint="default" w:ascii="Times New Roman" w:hAnsi="Times New Roman" w:eastAsia="宋体" w:cs="Times New Roman"/>
                      <w:color w:val="auto"/>
                      <w:sz w:val="21"/>
                      <w:szCs w:val="21"/>
                      <w:lang w:val="en-US" w:eastAsia="zh-CN"/>
                    </w:rPr>
                    <w:t>生活垃圾收集后由环卫部门统一清理；废弃包装物外售废旧物资回收单位综合处理；不合格产品、边角料等</w:t>
                  </w:r>
                  <w:r>
                    <w:rPr>
                      <w:rFonts w:hint="eastAsia" w:cs="Times New Roman"/>
                      <w:color w:val="auto"/>
                      <w:sz w:val="21"/>
                      <w:szCs w:val="21"/>
                      <w:lang w:val="en-US" w:eastAsia="zh-CN"/>
                    </w:rPr>
                    <w:t>外售碳纤维回收公司</w:t>
                  </w:r>
                  <w:r>
                    <w:rPr>
                      <w:rFonts w:hint="default" w:ascii="Times New Roman" w:hAnsi="Times New Roman" w:eastAsia="宋体" w:cs="Times New Roman"/>
                      <w:color w:val="auto"/>
                      <w:sz w:val="21"/>
                      <w:szCs w:val="21"/>
                      <w:lang w:val="en-US" w:eastAsia="zh-CN"/>
                    </w:rPr>
                    <w:t>；废润滑油及油桶、废真空泵油、废切削液、废液压油收集后</w:t>
                  </w:r>
                  <w:r>
                    <w:rPr>
                      <w:rFonts w:hint="eastAsia" w:ascii="Times New Roman" w:hAnsi="Times New Roman" w:eastAsia="宋体" w:cs="Times New Roman"/>
                      <w:color w:val="auto"/>
                      <w:sz w:val="21"/>
                      <w:szCs w:val="21"/>
                      <w:lang w:val="en-US" w:eastAsia="zh-CN"/>
                    </w:rPr>
                    <w:t>暂存于危废暂存间（</w:t>
                  </w:r>
                  <w:r>
                    <w:rPr>
                      <w:rFonts w:hint="eastAsia"/>
                      <w:color w:val="auto"/>
                      <w:szCs w:val="21"/>
                      <w:lang w:val="en-US" w:eastAsia="zh-CN"/>
                    </w:rPr>
                    <w:t>危废间10m</w:t>
                  </w:r>
                  <w:r>
                    <w:rPr>
                      <w:rFonts w:hint="eastAsia"/>
                      <w:color w:val="auto"/>
                      <w:szCs w:val="21"/>
                      <w:vertAlign w:val="superscript"/>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由有资质的单位统一处理</w:t>
                  </w:r>
                  <w:r>
                    <w:rPr>
                      <w:rFonts w:hint="eastAsia"/>
                      <w:color w:val="auto"/>
                      <w:szCs w:val="21"/>
                      <w:lang w:eastAsia="zh-CN"/>
                    </w:rPr>
                    <w:t>。</w:t>
                  </w:r>
                </w:p>
              </w:tc>
              <w:tc>
                <w:tcPr>
                  <w:tcW w:w="1136" w:type="dxa"/>
                  <w:noWrap w:val="0"/>
                  <w:vAlign w:val="center"/>
                </w:tcPr>
                <w:p w14:paraId="53288815">
                  <w:pPr>
                    <w:keepNext w:val="0"/>
                    <w:keepLines w:val="0"/>
                    <w:suppressLineNumbers w:val="0"/>
                    <w:spacing w:before="0" w:beforeAutospacing="0" w:after="0" w:afterAutospacing="0" w:line="360" w:lineRule="atLeast"/>
                    <w:ind w:left="0" w:right="0"/>
                    <w:jc w:val="center"/>
                    <w:rPr>
                      <w:rFonts w:hint="default"/>
                      <w:color w:val="auto"/>
                      <w:szCs w:val="21"/>
                      <w:lang w:val="en-US" w:eastAsia="zh-CN"/>
                    </w:rPr>
                  </w:pPr>
                  <w:r>
                    <w:rPr>
                      <w:rFonts w:hint="eastAsia"/>
                      <w:color w:val="auto"/>
                      <w:szCs w:val="21"/>
                      <w:lang w:val="en-US" w:eastAsia="zh-CN"/>
                    </w:rPr>
                    <w:t>新建</w:t>
                  </w:r>
                </w:p>
              </w:tc>
            </w:tr>
            <w:tr w14:paraId="33C1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0" w:type="auto"/>
                  <w:vMerge w:val="continue"/>
                  <w:noWrap w:val="0"/>
                  <w:vAlign w:val="center"/>
                </w:tcPr>
                <w:p w14:paraId="712ADEA3">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vMerge w:val="restart"/>
                  <w:noWrap w:val="0"/>
                  <w:vAlign w:val="center"/>
                </w:tcPr>
                <w:p w14:paraId="31A2CE93">
                  <w:pPr>
                    <w:keepNext w:val="0"/>
                    <w:keepLines w:val="0"/>
                    <w:suppressLineNumbers w:val="0"/>
                    <w:spacing w:before="0" w:beforeAutospacing="0" w:after="0" w:afterAutospacing="0" w:line="260" w:lineRule="exact"/>
                    <w:ind w:left="0" w:right="0"/>
                    <w:jc w:val="center"/>
                    <w:rPr>
                      <w:rFonts w:hint="eastAsia" w:eastAsia="宋体"/>
                      <w:color w:val="auto"/>
                      <w:szCs w:val="21"/>
                      <w:lang w:eastAsia="zh-CN"/>
                    </w:rPr>
                  </w:pPr>
                  <w:r>
                    <w:rPr>
                      <w:rFonts w:hint="default" w:ascii="Times New Roman" w:hAnsi="Times New Roman"/>
                      <w:color w:val="auto"/>
                      <w:sz w:val="21"/>
                      <w:szCs w:val="21"/>
                    </w:rPr>
                    <w:t>地下水</w:t>
                  </w:r>
                  <w:r>
                    <w:rPr>
                      <w:rFonts w:hint="eastAsia" w:ascii="Times New Roman" w:hAnsi="Times New Roman"/>
                      <w:color w:val="auto"/>
                      <w:sz w:val="21"/>
                      <w:szCs w:val="21"/>
                      <w:lang w:eastAsia="zh-CN"/>
                    </w:rPr>
                    <w:t>、土壤</w:t>
                  </w:r>
                </w:p>
              </w:tc>
              <w:tc>
                <w:tcPr>
                  <w:tcW w:w="5341" w:type="dxa"/>
                  <w:noWrap w:val="0"/>
                  <w:vAlign w:val="center"/>
                </w:tcPr>
                <w:p w14:paraId="1839E257">
                  <w:pPr>
                    <w:keepNext w:val="0"/>
                    <w:keepLines w:val="0"/>
                    <w:suppressLineNumbers w:val="0"/>
                    <w:spacing w:before="0" w:beforeAutospacing="0" w:after="0" w:afterAutospacing="0" w:line="260" w:lineRule="exact"/>
                    <w:ind w:left="0" w:leftChars="0" w:right="0" w:rightChars="0"/>
                    <w:jc w:val="center"/>
                    <w:rPr>
                      <w:rFonts w:hint="eastAsia" w:ascii="Times New Roman" w:hAnsi="Times New Roman"/>
                      <w:color w:val="auto"/>
                      <w:sz w:val="21"/>
                      <w:szCs w:val="21"/>
                    </w:rPr>
                  </w:pPr>
                  <w:r>
                    <w:rPr>
                      <w:rFonts w:hint="eastAsia" w:ascii="Times New Roman" w:hAnsi="Times New Roman"/>
                      <w:color w:val="auto"/>
                      <w:sz w:val="21"/>
                      <w:szCs w:val="21"/>
                    </w:rPr>
                    <w:t>危废暂存区、</w:t>
                  </w:r>
                  <w:r>
                    <w:rPr>
                      <w:rFonts w:hint="eastAsia"/>
                      <w:color w:val="auto"/>
                      <w:sz w:val="21"/>
                      <w:szCs w:val="21"/>
                      <w:lang w:eastAsia="zh-CN"/>
                    </w:rPr>
                    <w:t>产业园现有的化粪池</w:t>
                  </w:r>
                  <w:r>
                    <w:rPr>
                      <w:rFonts w:hint="eastAsia" w:ascii="Times New Roman" w:hAnsi="Times New Roman"/>
                      <w:color w:val="auto"/>
                      <w:sz w:val="21"/>
                      <w:szCs w:val="21"/>
                    </w:rPr>
                    <w:t>和事故池重点防渗</w:t>
                  </w:r>
                  <w:r>
                    <w:rPr>
                      <w:rFonts w:hint="eastAsia" w:ascii="Times New Roman" w:hAnsi="Times New Roman"/>
                      <w:color w:val="auto"/>
                      <w:sz w:val="21"/>
                      <w:szCs w:val="21"/>
                      <w:lang w:eastAsia="zh-CN"/>
                    </w:rPr>
                    <w:t>：</w:t>
                  </w:r>
                  <w:r>
                    <w:rPr>
                      <w:rFonts w:hint="eastAsia" w:ascii="Times New Roman" w:hAnsi="Times New Roman"/>
                      <w:color w:val="auto"/>
                      <w:sz w:val="21"/>
                      <w:szCs w:val="21"/>
                    </w:rPr>
                    <w:t>①底层HDPE土工膜防渗处理；②表层20cm混凝土浇筑</w:t>
                  </w:r>
                  <w:r>
                    <w:rPr>
                      <w:rFonts w:hint="eastAsia" w:ascii="Times New Roman" w:hAnsi="Times New Roman"/>
                      <w:color w:val="auto"/>
                      <w:sz w:val="21"/>
                      <w:szCs w:val="21"/>
                      <w:lang w:eastAsia="zh-CN"/>
                    </w:rPr>
                    <w:t>，</w:t>
                  </w:r>
                  <w:r>
                    <w:rPr>
                      <w:rFonts w:hint="eastAsia"/>
                      <w:bCs/>
                      <w:color w:val="auto"/>
                      <w:sz w:val="21"/>
                      <w:szCs w:val="21"/>
                    </w:rPr>
                    <w:t>渗透系数≤</w:t>
                  </w:r>
                  <w:r>
                    <w:rPr>
                      <w:rFonts w:hint="default"/>
                      <w:bCs/>
                      <w:color w:val="auto"/>
                      <w:sz w:val="21"/>
                      <w:szCs w:val="21"/>
                    </w:rPr>
                    <w:t>10</w:t>
                  </w:r>
                  <w:r>
                    <w:rPr>
                      <w:rFonts w:hint="default"/>
                      <w:bCs/>
                      <w:color w:val="auto"/>
                      <w:sz w:val="21"/>
                      <w:szCs w:val="21"/>
                      <w:vertAlign w:val="superscript"/>
                    </w:rPr>
                    <w:t>-7</w:t>
                  </w:r>
                  <w:r>
                    <w:rPr>
                      <w:rFonts w:hint="default"/>
                      <w:bCs/>
                      <w:color w:val="auto"/>
                      <w:sz w:val="21"/>
                      <w:szCs w:val="21"/>
                    </w:rPr>
                    <w:t>cm/s</w:t>
                  </w:r>
                  <w:r>
                    <w:rPr>
                      <w:rFonts w:hint="eastAsia"/>
                      <w:bCs/>
                      <w:color w:val="auto"/>
                      <w:sz w:val="21"/>
                      <w:szCs w:val="21"/>
                      <w:lang w:eastAsia="zh-CN"/>
                    </w:rPr>
                    <w:t>。</w:t>
                  </w:r>
                </w:p>
              </w:tc>
              <w:tc>
                <w:tcPr>
                  <w:tcW w:w="1136" w:type="dxa"/>
                  <w:noWrap w:val="0"/>
                  <w:vAlign w:val="center"/>
                </w:tcPr>
                <w:p w14:paraId="786375BF">
                  <w:pPr>
                    <w:keepNext w:val="0"/>
                    <w:keepLines w:val="0"/>
                    <w:suppressLineNumbers w:val="0"/>
                    <w:spacing w:before="0" w:beforeAutospacing="0" w:after="0" w:afterAutospacing="0" w:line="260" w:lineRule="exact"/>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新建</w:t>
                  </w:r>
                </w:p>
              </w:tc>
            </w:tr>
            <w:tr w14:paraId="4135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0" w:type="auto"/>
                  <w:vMerge w:val="continue"/>
                  <w:noWrap w:val="0"/>
                  <w:vAlign w:val="center"/>
                </w:tcPr>
                <w:p w14:paraId="539766CB">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vMerge w:val="continue"/>
                  <w:noWrap w:val="0"/>
                  <w:vAlign w:val="center"/>
                </w:tcPr>
                <w:p w14:paraId="712AA5AA">
                  <w:pPr>
                    <w:keepNext w:val="0"/>
                    <w:keepLines w:val="0"/>
                    <w:suppressLineNumbers w:val="0"/>
                    <w:spacing w:before="0" w:beforeAutospacing="0" w:after="0" w:afterAutospacing="0" w:line="260" w:lineRule="exact"/>
                    <w:ind w:left="0" w:right="0"/>
                    <w:jc w:val="center"/>
                    <w:rPr>
                      <w:rFonts w:hint="eastAsia"/>
                      <w:color w:val="auto"/>
                      <w:szCs w:val="21"/>
                    </w:rPr>
                  </w:pPr>
                </w:p>
              </w:tc>
              <w:tc>
                <w:tcPr>
                  <w:tcW w:w="5341" w:type="dxa"/>
                  <w:noWrap w:val="0"/>
                  <w:vAlign w:val="center"/>
                </w:tcPr>
                <w:p w14:paraId="2B6CF1B3">
                  <w:pPr>
                    <w:keepNext w:val="0"/>
                    <w:keepLines w:val="0"/>
                    <w:suppressLineNumbers w:val="0"/>
                    <w:spacing w:before="0" w:beforeAutospacing="0" w:after="0" w:afterAutospacing="0" w:line="360" w:lineRule="atLeast"/>
                    <w:ind w:left="0" w:leftChars="0" w:right="0" w:rightChars="0"/>
                    <w:jc w:val="center"/>
                    <w:rPr>
                      <w:rFonts w:hint="eastAsia" w:ascii="Times New Roman" w:hAnsi="Times New Roman"/>
                      <w:color w:val="auto"/>
                      <w:sz w:val="21"/>
                      <w:szCs w:val="21"/>
                    </w:rPr>
                  </w:pPr>
                  <w:r>
                    <w:rPr>
                      <w:rFonts w:hint="eastAsia" w:ascii="Times New Roman" w:hAnsi="Times New Roman"/>
                      <w:color w:val="auto"/>
                      <w:sz w:val="21"/>
                      <w:szCs w:val="21"/>
                    </w:rPr>
                    <w:t>生产车间及其他区域一般防渗</w:t>
                  </w:r>
                  <w:r>
                    <w:rPr>
                      <w:rFonts w:hint="eastAsia" w:ascii="Times New Roman" w:hAnsi="Times New Roman"/>
                      <w:color w:val="auto"/>
                      <w:sz w:val="21"/>
                      <w:szCs w:val="21"/>
                      <w:lang w:eastAsia="zh-CN"/>
                    </w:rPr>
                    <w:t>：</w:t>
                  </w:r>
                  <w:r>
                    <w:rPr>
                      <w:rFonts w:hint="default" w:ascii="Times New Roman" w:hAnsi="Times New Roman"/>
                      <w:color w:val="auto"/>
                      <w:sz w:val="21"/>
                      <w:szCs w:val="21"/>
                    </w:rPr>
                    <w:t>20cm混凝土硬化</w:t>
                  </w:r>
                </w:p>
              </w:tc>
              <w:tc>
                <w:tcPr>
                  <w:tcW w:w="1136" w:type="dxa"/>
                  <w:noWrap w:val="0"/>
                  <w:vAlign w:val="center"/>
                </w:tcPr>
                <w:p w14:paraId="248CD56D">
                  <w:pPr>
                    <w:keepNext w:val="0"/>
                    <w:keepLines w:val="0"/>
                    <w:suppressLineNumbers w:val="0"/>
                    <w:spacing w:before="0" w:beforeAutospacing="0" w:after="0" w:afterAutospacing="0" w:line="360" w:lineRule="atLeast"/>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新建</w:t>
                  </w:r>
                </w:p>
              </w:tc>
            </w:tr>
            <w:tr w14:paraId="187D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0" w:type="auto"/>
                  <w:vMerge w:val="continue"/>
                  <w:noWrap w:val="0"/>
                  <w:vAlign w:val="center"/>
                </w:tcPr>
                <w:p w14:paraId="14A62FBF">
                  <w:pPr>
                    <w:keepNext w:val="0"/>
                    <w:keepLines w:val="0"/>
                    <w:suppressLineNumbers w:val="0"/>
                    <w:spacing w:before="0" w:beforeAutospacing="0" w:after="0" w:afterAutospacing="0" w:line="360" w:lineRule="atLeast"/>
                    <w:ind w:left="0" w:right="0"/>
                    <w:jc w:val="center"/>
                    <w:rPr>
                      <w:rFonts w:hint="default"/>
                      <w:color w:val="auto"/>
                      <w:szCs w:val="21"/>
                    </w:rPr>
                  </w:pPr>
                </w:p>
              </w:tc>
              <w:tc>
                <w:tcPr>
                  <w:tcW w:w="0" w:type="auto"/>
                  <w:gridSpan w:val="2"/>
                  <w:noWrap w:val="0"/>
                  <w:vAlign w:val="center"/>
                </w:tcPr>
                <w:p w14:paraId="22E12AEB">
                  <w:pPr>
                    <w:keepNext w:val="0"/>
                    <w:keepLines w:val="0"/>
                    <w:suppressLineNumbers w:val="0"/>
                    <w:spacing w:before="0" w:beforeAutospacing="0" w:after="0" w:afterAutospacing="0" w:line="260" w:lineRule="exact"/>
                    <w:ind w:left="0" w:right="0"/>
                    <w:jc w:val="center"/>
                    <w:rPr>
                      <w:rFonts w:hint="eastAsia"/>
                      <w:color w:val="auto"/>
                      <w:szCs w:val="21"/>
                    </w:rPr>
                  </w:pPr>
                  <w:r>
                    <w:rPr>
                      <w:rFonts w:hint="eastAsia" w:ascii="Times New Roman" w:hAnsi="Times New Roman"/>
                      <w:color w:val="auto"/>
                      <w:sz w:val="21"/>
                      <w:szCs w:val="21"/>
                    </w:rPr>
                    <w:t>环境风险防范</w:t>
                  </w:r>
                </w:p>
              </w:tc>
              <w:tc>
                <w:tcPr>
                  <w:tcW w:w="5341" w:type="dxa"/>
                  <w:noWrap w:val="0"/>
                  <w:vAlign w:val="center"/>
                </w:tcPr>
                <w:p w14:paraId="1C5F6430">
                  <w:pPr>
                    <w:keepNext w:val="0"/>
                    <w:keepLines w:val="0"/>
                    <w:suppressLineNumbers w:val="0"/>
                    <w:spacing w:before="0" w:beforeAutospacing="0" w:after="0" w:afterAutospacing="0" w:line="360" w:lineRule="atLeast"/>
                    <w:ind w:left="0"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依托</w:t>
                  </w:r>
                  <w:r>
                    <w:rPr>
                      <w:rFonts w:hint="eastAsia"/>
                      <w:color w:val="auto"/>
                      <w:sz w:val="21"/>
                      <w:szCs w:val="21"/>
                      <w:lang w:val="en-US" w:eastAsia="zh-CN"/>
                    </w:rPr>
                    <w:t>产业园统一建设的</w:t>
                  </w:r>
                  <w:r>
                    <w:rPr>
                      <w:rFonts w:hint="eastAsia" w:ascii="Times New Roman" w:hAnsi="Times New Roman"/>
                      <w:color w:val="auto"/>
                      <w:sz w:val="21"/>
                      <w:szCs w:val="21"/>
                    </w:rPr>
                    <w:t>事故池用于收集事故状态废水</w:t>
                  </w:r>
                  <w:r>
                    <w:rPr>
                      <w:rFonts w:hint="eastAsia"/>
                      <w:color w:val="auto"/>
                      <w:sz w:val="21"/>
                      <w:szCs w:val="21"/>
                      <w:lang w:eastAsia="zh-CN"/>
                    </w:rPr>
                    <w:t>（</w:t>
                  </w:r>
                  <w:r>
                    <w:rPr>
                      <w:rFonts w:hint="eastAsia"/>
                      <w:color w:val="auto"/>
                      <w:sz w:val="21"/>
                      <w:szCs w:val="21"/>
                      <w:lang w:val="en-US" w:eastAsia="zh-CN"/>
                    </w:rPr>
                    <w:t>所需容量72m</w:t>
                  </w:r>
                  <w:r>
                    <w:rPr>
                      <w:rFonts w:hint="eastAsia"/>
                      <w:color w:val="auto"/>
                      <w:sz w:val="21"/>
                      <w:szCs w:val="21"/>
                      <w:vertAlign w:val="superscript"/>
                      <w:lang w:val="en-US" w:eastAsia="zh-CN"/>
                    </w:rPr>
                    <w:t>3</w:t>
                  </w:r>
                  <w:r>
                    <w:rPr>
                      <w:rFonts w:hint="eastAsia"/>
                      <w:color w:val="auto"/>
                      <w:sz w:val="21"/>
                      <w:szCs w:val="21"/>
                      <w:lang w:eastAsia="zh-CN"/>
                    </w:rPr>
                    <w:t>）</w:t>
                  </w:r>
                  <w:r>
                    <w:rPr>
                      <w:rFonts w:hint="eastAsia" w:ascii="Times New Roman" w:hAnsi="Times New Roman"/>
                      <w:color w:val="auto"/>
                      <w:sz w:val="21"/>
                      <w:szCs w:val="21"/>
                      <w:lang w:eastAsia="zh-CN"/>
                    </w:rPr>
                    <w:t>，配套建设废水收集管道</w:t>
                  </w:r>
                  <w:r>
                    <w:rPr>
                      <w:rFonts w:hint="eastAsia"/>
                      <w:color w:val="auto"/>
                      <w:sz w:val="21"/>
                      <w:szCs w:val="21"/>
                      <w:lang w:eastAsia="zh-CN"/>
                    </w:rPr>
                    <w:t>。</w:t>
                  </w:r>
                </w:p>
              </w:tc>
              <w:tc>
                <w:tcPr>
                  <w:tcW w:w="1136" w:type="dxa"/>
                  <w:noWrap w:val="0"/>
                  <w:vAlign w:val="center"/>
                </w:tcPr>
                <w:p w14:paraId="3CEE61B3">
                  <w:pPr>
                    <w:keepNext w:val="0"/>
                    <w:keepLines w:val="0"/>
                    <w:suppressLineNumbers w:val="0"/>
                    <w:spacing w:before="0" w:beforeAutospacing="0" w:after="0" w:afterAutospacing="0" w:line="360" w:lineRule="atLeast"/>
                    <w:ind w:left="0" w:right="0"/>
                    <w:jc w:val="center"/>
                    <w:rPr>
                      <w:rFonts w:hint="eastAsia" w:ascii="Times New Roman" w:hAnsi="Times New Roman" w:eastAsia="宋体"/>
                      <w:color w:val="auto"/>
                      <w:sz w:val="21"/>
                      <w:szCs w:val="21"/>
                      <w:lang w:val="en-US" w:eastAsia="zh-CN"/>
                    </w:rPr>
                  </w:pPr>
                  <w:r>
                    <w:rPr>
                      <w:rFonts w:hint="eastAsia" w:ascii="宋体" w:hAnsi="宋体"/>
                      <w:color w:val="auto"/>
                      <w:szCs w:val="21"/>
                      <w:lang w:val="en-US" w:eastAsia="zh-CN"/>
                    </w:rPr>
                    <w:t>依托产业园</w:t>
                  </w:r>
                </w:p>
              </w:tc>
            </w:tr>
          </w:tbl>
          <w:p w14:paraId="6DF6CF27">
            <w:pPr>
              <w:keepNext w:val="0"/>
              <w:keepLines w:val="0"/>
              <w:suppressLineNumbers w:val="0"/>
              <w:adjustRightInd w:val="0"/>
              <w:snapToGrid w:val="0"/>
              <w:spacing w:before="0" w:beforeAutospacing="0" w:after="0" w:afterAutospacing="0" w:line="480" w:lineRule="exact"/>
              <w:ind w:left="105" w:leftChars="50" w:right="105" w:rightChars="50"/>
              <w:jc w:val="center"/>
              <w:rPr>
                <w:rFonts w:hint="default" w:ascii="黑体" w:hAnsi="黑体" w:eastAsia="黑体" w:cs="Times New Roman"/>
                <w:sz w:val="24"/>
              </w:rPr>
            </w:pPr>
          </w:p>
          <w:p w14:paraId="0925268E">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196"/>
              <w:jc w:val="left"/>
              <w:textAlignment w:val="auto"/>
              <w:outlineLvl w:val="9"/>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三</w:t>
            </w:r>
            <w:r>
              <w:rPr>
                <w:rFonts w:hint="default" w:ascii="Times New Roman" w:hAnsi="Times New Roman" w:cs="Times New Roman"/>
                <w:b/>
                <w:bCs/>
                <w:sz w:val="24"/>
                <w:lang w:val="en-US" w:eastAsia="zh-CN"/>
              </w:rPr>
              <w:t>、产品方案内容</w:t>
            </w:r>
          </w:p>
          <w:p w14:paraId="6438568E">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val="0"/>
                <w:szCs w:val="21"/>
              </w:rPr>
            </w:pPr>
            <w:r>
              <w:rPr>
                <w:rFonts w:hint="default" w:ascii="Times New Roman" w:hAnsi="Times New Roman" w:eastAsia="宋体" w:cs="Times New Roman"/>
                <w:b w:val="0"/>
                <w:bCs/>
                <w:sz w:val="24"/>
                <w:szCs w:val="24"/>
              </w:rPr>
              <w:t>本项目主要</w:t>
            </w:r>
            <w:r>
              <w:rPr>
                <w:rFonts w:hint="eastAsia" w:cs="Times New Roman"/>
                <w:b w:val="0"/>
                <w:bCs/>
                <w:sz w:val="24"/>
                <w:szCs w:val="24"/>
                <w:lang w:val="en-US" w:eastAsia="zh-CN"/>
              </w:rPr>
              <w:t>产品是</w:t>
            </w:r>
            <w:r>
              <w:rPr>
                <w:rFonts w:hint="eastAsia" w:ascii="Times New Roman" w:hAnsi="Times New Roman" w:cs="Times New Roman"/>
                <w:color w:val="auto"/>
                <w:sz w:val="24"/>
              </w:rPr>
              <w:t>碳陶刹车盘</w:t>
            </w:r>
            <w:r>
              <w:rPr>
                <w:rFonts w:hint="eastAsia" w:ascii="Times New Roman" w:hAnsi="Times New Roman" w:eastAsia="宋体" w:cs="Times New Roman"/>
                <w:b w:val="0"/>
                <w:bCs/>
                <w:sz w:val="24"/>
                <w:szCs w:val="24"/>
                <w:lang w:eastAsia="zh-CN"/>
              </w:rPr>
              <w:t>，项目具体产品方案见下表：</w:t>
            </w:r>
          </w:p>
          <w:p w14:paraId="70F08391">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表</w:t>
            </w:r>
            <w:r>
              <w:rPr>
                <w:rFonts w:hint="eastAsia" w:ascii="Times New Roman" w:hAnsi="Times New Roman" w:eastAsia="宋体" w:cs="Times New Roman"/>
                <w:b/>
                <w:bCs w:val="0"/>
                <w:szCs w:val="21"/>
                <w:lang w:val="en-US" w:eastAsia="zh-CN"/>
              </w:rPr>
              <w:t>2-2</w:t>
            </w:r>
            <w:r>
              <w:rPr>
                <w:rFonts w:hint="default" w:ascii="Times New Roman" w:hAnsi="Times New Roman" w:eastAsia="宋体" w:cs="Times New Roman"/>
                <w:b/>
                <w:bCs w:val="0"/>
                <w:szCs w:val="21"/>
              </w:rPr>
              <w:t xml:space="preserve">  项目产品方案一览表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3367"/>
              <w:gridCol w:w="2036"/>
              <w:gridCol w:w="1926"/>
            </w:tblGrid>
            <w:tr w14:paraId="1043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noWrap w:val="0"/>
                  <w:vAlign w:val="top"/>
                </w:tcPr>
                <w:p w14:paraId="5CDBA5BE">
                  <w:pPr>
                    <w:keepNext w:val="0"/>
                    <w:keepLines w:val="0"/>
                    <w:suppressLineNumbers w:val="0"/>
                    <w:spacing w:before="0" w:beforeAutospacing="0" w:after="0" w:afterAutospacing="0" w:line="400" w:lineRule="exact"/>
                    <w:ind w:left="0" w:right="0"/>
                    <w:jc w:val="center"/>
                    <w:rPr>
                      <w:rFonts w:hint="default"/>
                      <w:color w:val="000000"/>
                      <w:szCs w:val="21"/>
                    </w:rPr>
                  </w:pPr>
                  <w:r>
                    <w:rPr>
                      <w:rFonts w:hint="default" w:hAnsi="宋体"/>
                      <w:color w:val="000000"/>
                      <w:szCs w:val="21"/>
                    </w:rPr>
                    <w:t>序号</w:t>
                  </w:r>
                </w:p>
              </w:tc>
              <w:tc>
                <w:tcPr>
                  <w:tcW w:w="2011" w:type="pct"/>
                  <w:noWrap w:val="0"/>
                  <w:vAlign w:val="top"/>
                </w:tcPr>
                <w:p w14:paraId="09950DF7">
                  <w:pPr>
                    <w:keepNext w:val="0"/>
                    <w:keepLines w:val="0"/>
                    <w:suppressLineNumbers w:val="0"/>
                    <w:spacing w:before="0" w:beforeAutospacing="0" w:after="0" w:afterAutospacing="0" w:line="400" w:lineRule="exact"/>
                    <w:ind w:left="0" w:right="0"/>
                    <w:jc w:val="center"/>
                    <w:rPr>
                      <w:rFonts w:hint="default"/>
                      <w:color w:val="000000"/>
                      <w:szCs w:val="21"/>
                    </w:rPr>
                  </w:pPr>
                  <w:r>
                    <w:rPr>
                      <w:rFonts w:hint="default" w:hAnsi="宋体"/>
                      <w:color w:val="000000"/>
                      <w:szCs w:val="21"/>
                    </w:rPr>
                    <w:t>名称</w:t>
                  </w:r>
                </w:p>
              </w:tc>
              <w:tc>
                <w:tcPr>
                  <w:tcW w:w="1216" w:type="pct"/>
                  <w:noWrap w:val="0"/>
                  <w:vAlign w:val="top"/>
                </w:tcPr>
                <w:p w14:paraId="5FF2B063">
                  <w:pPr>
                    <w:keepNext w:val="0"/>
                    <w:keepLines w:val="0"/>
                    <w:suppressLineNumbers w:val="0"/>
                    <w:spacing w:before="0" w:beforeAutospacing="0" w:after="0" w:afterAutospacing="0" w:line="400" w:lineRule="exact"/>
                    <w:ind w:left="0" w:right="0"/>
                    <w:jc w:val="center"/>
                    <w:rPr>
                      <w:rFonts w:hint="default"/>
                      <w:color w:val="000000"/>
                      <w:szCs w:val="21"/>
                    </w:rPr>
                  </w:pPr>
                  <w:r>
                    <w:rPr>
                      <w:rFonts w:hint="eastAsia" w:cs="Times New Roman"/>
                      <w:b/>
                      <w:kern w:val="2"/>
                      <w:sz w:val="21"/>
                      <w:szCs w:val="21"/>
                      <w:highlight w:val="none"/>
                      <w:u w:val="none"/>
                      <w:lang w:val="en-US" w:eastAsia="zh-CN" w:bidi="ar-SA"/>
                    </w:rPr>
                    <w:t>单位</w:t>
                  </w:r>
                </w:p>
              </w:tc>
              <w:tc>
                <w:tcPr>
                  <w:tcW w:w="1150" w:type="pct"/>
                  <w:noWrap w:val="0"/>
                  <w:vAlign w:val="top"/>
                </w:tcPr>
                <w:p w14:paraId="33B93248">
                  <w:pPr>
                    <w:keepNext w:val="0"/>
                    <w:keepLines w:val="0"/>
                    <w:suppressLineNumbers w:val="0"/>
                    <w:spacing w:before="0" w:beforeAutospacing="0" w:after="0" w:afterAutospacing="0" w:line="400" w:lineRule="exact"/>
                    <w:ind w:left="0" w:leftChars="0" w:right="0" w:rightChars="0"/>
                    <w:jc w:val="center"/>
                    <w:rPr>
                      <w:rFonts w:hint="default"/>
                      <w:color w:val="000000"/>
                      <w:szCs w:val="21"/>
                    </w:rPr>
                  </w:pPr>
                  <w:r>
                    <w:rPr>
                      <w:rFonts w:hint="eastAsia" w:ascii="Times New Roman" w:hAnsi="Times New Roman" w:eastAsia="宋体" w:cs="Times New Roman"/>
                      <w:b/>
                      <w:kern w:val="2"/>
                      <w:sz w:val="21"/>
                      <w:szCs w:val="21"/>
                      <w:highlight w:val="none"/>
                      <w:u w:val="none"/>
                      <w:lang w:val="en-US" w:eastAsia="zh-CN" w:bidi="ar-SA"/>
                    </w:rPr>
                    <w:t>年产量</w:t>
                  </w:r>
                </w:p>
              </w:tc>
            </w:tr>
            <w:tr w14:paraId="5B84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noWrap w:val="0"/>
                  <w:vAlign w:val="top"/>
                </w:tcPr>
                <w:p w14:paraId="4EDA2BA7">
                  <w:pPr>
                    <w:keepNext w:val="0"/>
                    <w:keepLines w:val="0"/>
                    <w:suppressLineNumbers w:val="0"/>
                    <w:spacing w:before="0" w:beforeAutospacing="0" w:after="0" w:afterAutospacing="0" w:line="400" w:lineRule="exact"/>
                    <w:ind w:left="0" w:right="0"/>
                    <w:jc w:val="center"/>
                    <w:rPr>
                      <w:rFonts w:hint="eastAsia" w:hAnsi="宋体"/>
                      <w:bCs/>
                      <w:color w:val="000000"/>
                      <w:szCs w:val="21"/>
                    </w:rPr>
                  </w:pPr>
                  <w:r>
                    <w:rPr>
                      <w:rFonts w:hint="eastAsia" w:hAnsi="宋体"/>
                      <w:bCs/>
                      <w:color w:val="000000"/>
                      <w:szCs w:val="21"/>
                    </w:rPr>
                    <w:t>1</w:t>
                  </w:r>
                </w:p>
              </w:tc>
              <w:tc>
                <w:tcPr>
                  <w:tcW w:w="2011" w:type="pct"/>
                  <w:noWrap w:val="0"/>
                  <w:vAlign w:val="top"/>
                </w:tcPr>
                <w:p w14:paraId="7097594F">
                  <w:pPr>
                    <w:keepNext w:val="0"/>
                    <w:keepLines w:val="0"/>
                    <w:suppressLineNumbers w:val="0"/>
                    <w:spacing w:before="0" w:beforeAutospacing="0" w:after="0" w:afterAutospacing="0" w:line="400" w:lineRule="exact"/>
                    <w:ind w:left="0" w:right="0"/>
                    <w:jc w:val="center"/>
                    <w:rPr>
                      <w:rFonts w:hint="eastAsia" w:hAnsi="宋体"/>
                      <w:color w:val="000000"/>
                      <w:szCs w:val="21"/>
                    </w:rPr>
                  </w:pPr>
                  <w:r>
                    <w:rPr>
                      <w:rFonts w:hint="eastAsia"/>
                      <w:lang w:val="en-US" w:eastAsia="zh-CN"/>
                    </w:rPr>
                    <w:t>碳陶刹车盘</w:t>
                  </w:r>
                </w:p>
              </w:tc>
              <w:tc>
                <w:tcPr>
                  <w:tcW w:w="1216" w:type="pct"/>
                  <w:noWrap w:val="0"/>
                  <w:vAlign w:val="top"/>
                </w:tcPr>
                <w:p w14:paraId="2A1C2334">
                  <w:pPr>
                    <w:keepNext w:val="0"/>
                    <w:keepLines w:val="0"/>
                    <w:suppressLineNumbers w:val="0"/>
                    <w:spacing w:before="0" w:beforeAutospacing="0" w:after="0" w:afterAutospacing="0" w:line="400" w:lineRule="exact"/>
                    <w:ind w:left="0" w:leftChars="0" w:right="0" w:rightChars="0"/>
                    <w:jc w:val="center"/>
                    <w:rPr>
                      <w:rFonts w:hint="eastAsia" w:hAnsi="宋体"/>
                      <w:color w:val="000000"/>
                      <w:szCs w:val="21"/>
                    </w:rPr>
                  </w:pPr>
                  <w:r>
                    <w:rPr>
                      <w:rFonts w:hint="eastAsia"/>
                      <w:color w:val="000000"/>
                      <w:szCs w:val="21"/>
                      <w:lang w:val="en-US" w:eastAsia="zh-CN"/>
                    </w:rPr>
                    <w:t>套/a</w:t>
                  </w:r>
                </w:p>
              </w:tc>
              <w:tc>
                <w:tcPr>
                  <w:tcW w:w="1150" w:type="pct"/>
                  <w:noWrap w:val="0"/>
                  <w:vAlign w:val="top"/>
                </w:tcPr>
                <w:p w14:paraId="722CCA74">
                  <w:pPr>
                    <w:keepNext w:val="0"/>
                    <w:keepLines w:val="0"/>
                    <w:suppressLineNumbers w:val="0"/>
                    <w:spacing w:before="0" w:beforeAutospacing="0" w:after="0" w:afterAutospacing="0" w:line="400" w:lineRule="exact"/>
                    <w:ind w:left="0" w:leftChars="0" w:right="0" w:rightChars="0"/>
                    <w:jc w:val="center"/>
                    <w:rPr>
                      <w:rFonts w:hint="default" w:eastAsia="宋体"/>
                      <w:color w:val="000000"/>
                      <w:szCs w:val="21"/>
                      <w:lang w:val="en-US" w:eastAsia="zh-CN"/>
                    </w:rPr>
                  </w:pPr>
                  <w:r>
                    <w:rPr>
                      <w:rFonts w:hint="eastAsia"/>
                      <w:color w:val="000000"/>
                      <w:szCs w:val="21"/>
                      <w:lang w:val="en-US" w:eastAsia="zh-CN"/>
                    </w:rPr>
                    <w:t>2.5万</w:t>
                  </w:r>
                </w:p>
              </w:tc>
            </w:tr>
          </w:tbl>
          <w:p w14:paraId="18AFC3CC">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sz w:val="24"/>
                <w:lang w:val="en-US" w:eastAsia="zh-CN"/>
              </w:rPr>
            </w:pPr>
            <w:r>
              <w:rPr>
                <w:rFonts w:hint="eastAsia" w:ascii="宋体" w:hAnsi="宋体" w:cs="Times New Roman"/>
                <w:b/>
                <w:sz w:val="24"/>
                <w:lang w:val="en-US" w:eastAsia="zh-CN"/>
              </w:rPr>
              <w:t>四</w:t>
            </w:r>
            <w:r>
              <w:rPr>
                <w:rFonts w:hint="eastAsia" w:ascii="宋体" w:hAnsi="宋体" w:cs="Times New Roman"/>
                <w:b/>
                <w:sz w:val="24"/>
              </w:rPr>
              <w:t>、</w:t>
            </w:r>
            <w:r>
              <w:rPr>
                <w:rFonts w:hint="eastAsia" w:ascii="宋体" w:hAnsi="宋体" w:cs="Times New Roman"/>
                <w:b/>
                <w:sz w:val="24"/>
                <w:lang w:val="en-US" w:eastAsia="zh-CN"/>
              </w:rPr>
              <w:t>主要设备</w:t>
            </w:r>
          </w:p>
          <w:p w14:paraId="2FE36D1B">
            <w:pPr>
              <w:keepNext w:val="0"/>
              <w:keepLines w:val="0"/>
              <w:suppressLineNumbers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表2</w:t>
            </w:r>
            <w:r>
              <w:rPr>
                <w:rFonts w:hint="default"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 xml:space="preserve">2  </w:t>
            </w:r>
            <w:r>
              <w:rPr>
                <w:rFonts w:hint="default" w:ascii="Times New Roman" w:hAnsi="Times New Roman" w:eastAsia="宋体" w:cs="Times New Roman"/>
                <w:b/>
                <w:bCs/>
                <w:sz w:val="21"/>
                <w:szCs w:val="21"/>
                <w:lang w:val="en-US" w:eastAsia="zh-CN"/>
              </w:rPr>
              <w:t>主要设备一览表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624"/>
              <w:gridCol w:w="1800"/>
              <w:gridCol w:w="1100"/>
              <w:gridCol w:w="3073"/>
            </w:tblGrid>
            <w:tr w14:paraId="3275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7F64DC92">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970" w:type="pct"/>
                  <w:noWrap w:val="0"/>
                  <w:vAlign w:val="center"/>
                </w:tcPr>
                <w:p w14:paraId="4550EBC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设施名称</w:t>
                  </w:r>
                </w:p>
              </w:tc>
              <w:tc>
                <w:tcPr>
                  <w:tcW w:w="1075" w:type="pct"/>
                  <w:noWrap w:val="0"/>
                  <w:vAlign w:val="center"/>
                </w:tcPr>
                <w:p w14:paraId="661774C3">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型号规格</w:t>
                  </w:r>
                </w:p>
              </w:tc>
              <w:tc>
                <w:tcPr>
                  <w:tcW w:w="657" w:type="pct"/>
                  <w:noWrap w:val="0"/>
                  <w:vAlign w:val="center"/>
                </w:tcPr>
                <w:p w14:paraId="69246053">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数量</w:t>
                  </w:r>
                  <w:r>
                    <w:rPr>
                      <w:rFonts w:hint="eastAsia" w:ascii="Times New Roman" w:hAnsi="Times New Roman" w:cs="Times New Roman"/>
                      <w:color w:val="000000"/>
                      <w:sz w:val="21"/>
                      <w:szCs w:val="21"/>
                      <w:lang w:val="en-US" w:eastAsia="zh-CN"/>
                    </w:rPr>
                    <w:t>/台</w:t>
                  </w:r>
                </w:p>
              </w:tc>
              <w:tc>
                <w:tcPr>
                  <w:tcW w:w="1835" w:type="pct"/>
                  <w:noWrap w:val="0"/>
                  <w:vAlign w:val="center"/>
                </w:tcPr>
                <w:p w14:paraId="6BA0F5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使用</w:t>
                  </w:r>
                  <w:r>
                    <w:rPr>
                      <w:rFonts w:hint="eastAsia" w:cs="Times New Roman"/>
                      <w:color w:val="000000"/>
                      <w:sz w:val="21"/>
                      <w:szCs w:val="21"/>
                      <w:lang w:val="en-US" w:eastAsia="zh-CN"/>
                    </w:rPr>
                    <w:t>工序</w:t>
                  </w:r>
                </w:p>
              </w:tc>
            </w:tr>
            <w:tr w14:paraId="2EE7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10D85D96">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970" w:type="pct"/>
                  <w:noWrap w:val="0"/>
                  <w:vAlign w:val="center"/>
                </w:tcPr>
                <w:p w14:paraId="7A440BF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织布机</w:t>
                  </w:r>
                </w:p>
              </w:tc>
              <w:tc>
                <w:tcPr>
                  <w:tcW w:w="1800" w:type="dxa"/>
                  <w:noWrap w:val="0"/>
                  <w:vAlign w:val="center"/>
                </w:tcPr>
                <w:p w14:paraId="708104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BZB-001</w:t>
                  </w:r>
                </w:p>
              </w:tc>
              <w:tc>
                <w:tcPr>
                  <w:tcW w:w="657" w:type="pct"/>
                  <w:noWrap w:val="0"/>
                  <w:vAlign w:val="center"/>
                </w:tcPr>
                <w:p w14:paraId="252BEEE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49AFA12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针刺复合</w:t>
                  </w:r>
                </w:p>
              </w:tc>
            </w:tr>
            <w:tr w14:paraId="278E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7BB63E5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970" w:type="pct"/>
                  <w:noWrap w:val="0"/>
                  <w:vAlign w:val="center"/>
                </w:tcPr>
                <w:p w14:paraId="28E16E4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裁切机</w:t>
                  </w:r>
                </w:p>
              </w:tc>
              <w:tc>
                <w:tcPr>
                  <w:tcW w:w="1800" w:type="dxa"/>
                  <w:noWrap w:val="0"/>
                  <w:vAlign w:val="center"/>
                </w:tcPr>
                <w:p w14:paraId="7128F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BCQ-001</w:t>
                  </w:r>
                </w:p>
              </w:tc>
              <w:tc>
                <w:tcPr>
                  <w:tcW w:w="657" w:type="pct"/>
                  <w:noWrap w:val="0"/>
                  <w:vAlign w:val="center"/>
                </w:tcPr>
                <w:p w14:paraId="24FDA69E">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2</w:t>
                  </w:r>
                </w:p>
              </w:tc>
              <w:tc>
                <w:tcPr>
                  <w:tcW w:w="1835" w:type="pct"/>
                  <w:noWrap w:val="0"/>
                  <w:vAlign w:val="center"/>
                </w:tcPr>
                <w:p w14:paraId="297125A6">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针刺复合</w:t>
                  </w:r>
                </w:p>
              </w:tc>
            </w:tr>
            <w:tr w14:paraId="1DA6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357D379">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970" w:type="pct"/>
                  <w:noWrap w:val="0"/>
                  <w:vAlign w:val="center"/>
                </w:tcPr>
                <w:p w14:paraId="4C04B3C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喷涂-烘干线</w:t>
                  </w:r>
                </w:p>
              </w:tc>
              <w:tc>
                <w:tcPr>
                  <w:tcW w:w="1800" w:type="dxa"/>
                  <w:noWrap w:val="0"/>
                  <w:vAlign w:val="center"/>
                </w:tcPr>
                <w:p w14:paraId="7C23CD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BPT-001</w:t>
                  </w:r>
                </w:p>
              </w:tc>
              <w:tc>
                <w:tcPr>
                  <w:tcW w:w="657" w:type="pct"/>
                  <w:noWrap w:val="0"/>
                  <w:vAlign w:val="center"/>
                </w:tcPr>
                <w:p w14:paraId="36EF6DF4">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670CAB65">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碳纤维改性</w:t>
                  </w:r>
                  <w:r>
                    <w:rPr>
                      <w:rFonts w:hint="default" w:ascii="Times New Roman" w:hAnsi="Times New Roman" w:cs="Times New Roman"/>
                      <w:color w:val="000000"/>
                      <w:sz w:val="21"/>
                      <w:szCs w:val="21"/>
                      <w:lang w:val="en-US" w:eastAsia="zh-CN"/>
                    </w:rPr>
                    <w:t>1</w:t>
                  </w:r>
                  <w:r>
                    <w:rPr>
                      <w:rFonts w:hint="eastAsia" w:ascii="Times New Roman" w:hAnsi="Times New Roman" w:cs="Times New Roman"/>
                      <w:color w:val="000000"/>
                      <w:sz w:val="21"/>
                      <w:szCs w:val="21"/>
                      <w:lang w:val="en-US" w:eastAsia="zh-CN"/>
                    </w:rPr>
                    <w:t>和</w:t>
                  </w:r>
                  <w:r>
                    <w:rPr>
                      <w:rFonts w:hint="default" w:ascii="Times New Roman" w:hAnsi="Times New Roman" w:cs="Times New Roman"/>
                      <w:color w:val="000000"/>
                      <w:sz w:val="21"/>
                      <w:szCs w:val="21"/>
                      <w:lang w:val="en-US" w:eastAsia="zh-CN"/>
                    </w:rPr>
                    <w:t>2</w:t>
                  </w:r>
                </w:p>
              </w:tc>
            </w:tr>
            <w:tr w14:paraId="52AA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5963F98F">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970" w:type="pct"/>
                  <w:noWrap w:val="0"/>
                  <w:vAlign w:val="center"/>
                </w:tcPr>
                <w:p w14:paraId="6DA8696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烘箱</w:t>
                  </w:r>
                </w:p>
              </w:tc>
              <w:tc>
                <w:tcPr>
                  <w:tcW w:w="1800" w:type="dxa"/>
                  <w:noWrap w:val="0"/>
                  <w:vAlign w:val="center"/>
                </w:tcPr>
                <w:p w14:paraId="34CC17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BHX-001</w:t>
                  </w:r>
                </w:p>
              </w:tc>
              <w:tc>
                <w:tcPr>
                  <w:tcW w:w="657" w:type="pct"/>
                  <w:noWrap w:val="0"/>
                  <w:vAlign w:val="center"/>
                </w:tcPr>
                <w:p w14:paraId="503BBCEF">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2</w:t>
                  </w:r>
                </w:p>
              </w:tc>
              <w:tc>
                <w:tcPr>
                  <w:tcW w:w="1835" w:type="pct"/>
                  <w:noWrap w:val="0"/>
                  <w:vAlign w:val="center"/>
                </w:tcPr>
                <w:p w14:paraId="3213CE15">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碳纤维改性</w:t>
                  </w:r>
                  <w:r>
                    <w:rPr>
                      <w:rFonts w:hint="default" w:ascii="Times New Roman" w:hAnsi="Times New Roman" w:cs="Times New Roman"/>
                      <w:color w:val="000000"/>
                      <w:sz w:val="21"/>
                      <w:szCs w:val="21"/>
                      <w:lang w:val="en-US" w:eastAsia="zh-CN"/>
                    </w:rPr>
                    <w:t>1</w:t>
                  </w:r>
                  <w:r>
                    <w:rPr>
                      <w:rFonts w:hint="eastAsia" w:ascii="Times New Roman" w:hAnsi="Times New Roman" w:cs="Times New Roman"/>
                      <w:color w:val="000000"/>
                      <w:sz w:val="21"/>
                      <w:szCs w:val="21"/>
                      <w:lang w:val="en-US" w:eastAsia="zh-CN"/>
                    </w:rPr>
                    <w:t>和</w:t>
                  </w:r>
                  <w:r>
                    <w:rPr>
                      <w:rFonts w:hint="default" w:ascii="Times New Roman" w:hAnsi="Times New Roman" w:cs="Times New Roman"/>
                      <w:color w:val="000000"/>
                      <w:sz w:val="21"/>
                      <w:szCs w:val="21"/>
                      <w:lang w:val="en-US" w:eastAsia="zh-CN"/>
                    </w:rPr>
                    <w:t>2</w:t>
                  </w:r>
                </w:p>
              </w:tc>
            </w:tr>
            <w:tr w14:paraId="4B0E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3ADCAFEB">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970" w:type="pct"/>
                  <w:noWrap w:val="0"/>
                  <w:vAlign w:val="center"/>
                </w:tcPr>
                <w:p w14:paraId="60BBB5D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针刺机</w:t>
                  </w:r>
                </w:p>
              </w:tc>
              <w:tc>
                <w:tcPr>
                  <w:tcW w:w="1800" w:type="dxa"/>
                  <w:noWrap w:val="0"/>
                  <w:vAlign w:val="center"/>
                </w:tcPr>
                <w:p w14:paraId="441FF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BZC-001</w:t>
                  </w:r>
                </w:p>
              </w:tc>
              <w:tc>
                <w:tcPr>
                  <w:tcW w:w="657" w:type="pct"/>
                  <w:noWrap w:val="0"/>
                  <w:vAlign w:val="center"/>
                </w:tcPr>
                <w:p w14:paraId="61B779E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44BAE03A">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针刺复合</w:t>
                  </w:r>
                </w:p>
              </w:tc>
            </w:tr>
            <w:tr w14:paraId="6A82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7E202CA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970" w:type="pct"/>
                  <w:noWrap w:val="0"/>
                  <w:vAlign w:val="center"/>
                </w:tcPr>
                <w:p w14:paraId="2EDB353C">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切料机</w:t>
                  </w:r>
                </w:p>
              </w:tc>
              <w:tc>
                <w:tcPr>
                  <w:tcW w:w="1800" w:type="dxa"/>
                  <w:noWrap w:val="0"/>
                  <w:vAlign w:val="center"/>
                </w:tcPr>
                <w:p w14:paraId="414E03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BQL-001</w:t>
                  </w:r>
                </w:p>
              </w:tc>
              <w:tc>
                <w:tcPr>
                  <w:tcW w:w="657" w:type="pct"/>
                  <w:noWrap w:val="0"/>
                  <w:vAlign w:val="center"/>
                </w:tcPr>
                <w:p w14:paraId="6A17BC5E">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3C4FAAD9">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碳纤维改性</w:t>
                  </w:r>
                  <w:r>
                    <w:rPr>
                      <w:rFonts w:hint="default" w:ascii="Times New Roman" w:hAnsi="Times New Roman" w:cs="Times New Roman"/>
                      <w:color w:val="000000"/>
                      <w:sz w:val="21"/>
                      <w:szCs w:val="21"/>
                      <w:lang w:val="en-US" w:eastAsia="zh-CN"/>
                    </w:rPr>
                    <w:t>1</w:t>
                  </w:r>
                </w:p>
              </w:tc>
            </w:tr>
            <w:tr w14:paraId="1980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113D655E">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970" w:type="pct"/>
                  <w:noWrap w:val="0"/>
                  <w:vAlign w:val="center"/>
                </w:tcPr>
                <w:p w14:paraId="1527E6E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混合机</w:t>
                  </w:r>
                </w:p>
              </w:tc>
              <w:tc>
                <w:tcPr>
                  <w:tcW w:w="1800" w:type="dxa"/>
                  <w:noWrap w:val="0"/>
                  <w:vAlign w:val="center"/>
                </w:tcPr>
                <w:p w14:paraId="16E98E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BHH-001</w:t>
                  </w:r>
                </w:p>
              </w:tc>
              <w:tc>
                <w:tcPr>
                  <w:tcW w:w="657" w:type="pct"/>
                  <w:noWrap w:val="0"/>
                  <w:vAlign w:val="center"/>
                </w:tcPr>
                <w:p w14:paraId="10F75B3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29217364">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碳纤维改性</w:t>
                  </w:r>
                  <w:r>
                    <w:rPr>
                      <w:rFonts w:hint="default" w:ascii="Times New Roman" w:hAnsi="Times New Roman" w:cs="Times New Roman"/>
                      <w:color w:val="000000"/>
                      <w:sz w:val="21"/>
                      <w:szCs w:val="21"/>
                      <w:lang w:val="en-US" w:eastAsia="zh-CN"/>
                    </w:rPr>
                    <w:t>1</w:t>
                  </w:r>
                </w:p>
              </w:tc>
            </w:tr>
            <w:tr w14:paraId="0653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6CD9D6B9">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970" w:type="pct"/>
                  <w:noWrap w:val="0"/>
                  <w:vAlign w:val="center"/>
                </w:tcPr>
                <w:p w14:paraId="4A377EC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热压机</w:t>
                  </w:r>
                </w:p>
              </w:tc>
              <w:tc>
                <w:tcPr>
                  <w:tcW w:w="1800" w:type="dxa"/>
                  <w:noWrap w:val="0"/>
                  <w:vAlign w:val="center"/>
                </w:tcPr>
                <w:p w14:paraId="380BF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BRY-001</w:t>
                  </w:r>
                </w:p>
              </w:tc>
              <w:tc>
                <w:tcPr>
                  <w:tcW w:w="657" w:type="pct"/>
                  <w:noWrap w:val="0"/>
                  <w:vAlign w:val="center"/>
                </w:tcPr>
                <w:p w14:paraId="730D4C86">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2</w:t>
                  </w:r>
                </w:p>
              </w:tc>
              <w:tc>
                <w:tcPr>
                  <w:tcW w:w="1835" w:type="pct"/>
                  <w:noWrap w:val="0"/>
                  <w:vAlign w:val="center"/>
                </w:tcPr>
                <w:p w14:paraId="072C17E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碳纤维改性</w:t>
                  </w:r>
                  <w:r>
                    <w:rPr>
                      <w:rFonts w:hint="default" w:ascii="Times New Roman" w:hAnsi="Times New Roman" w:cs="Times New Roman"/>
                      <w:color w:val="000000"/>
                      <w:sz w:val="21"/>
                      <w:szCs w:val="21"/>
                      <w:lang w:val="en-US" w:eastAsia="zh-CN"/>
                    </w:rPr>
                    <w:t>1</w:t>
                  </w:r>
                </w:p>
              </w:tc>
            </w:tr>
            <w:tr w14:paraId="3F21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0BF22A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w:t>
                  </w:r>
                </w:p>
              </w:tc>
              <w:tc>
                <w:tcPr>
                  <w:tcW w:w="970" w:type="pct"/>
                  <w:noWrap w:val="0"/>
                  <w:vAlign w:val="center"/>
                </w:tcPr>
                <w:p w14:paraId="5A9D69EB">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压延机</w:t>
                  </w:r>
                </w:p>
              </w:tc>
              <w:tc>
                <w:tcPr>
                  <w:tcW w:w="1800" w:type="dxa"/>
                  <w:noWrap w:val="0"/>
                  <w:vAlign w:val="center"/>
                </w:tcPr>
                <w:p w14:paraId="44730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BYY-001</w:t>
                  </w:r>
                </w:p>
              </w:tc>
              <w:tc>
                <w:tcPr>
                  <w:tcW w:w="657" w:type="pct"/>
                  <w:noWrap w:val="0"/>
                  <w:vAlign w:val="center"/>
                </w:tcPr>
                <w:p w14:paraId="5CB2433E">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346CB12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涂层处理</w:t>
                  </w:r>
                </w:p>
              </w:tc>
            </w:tr>
            <w:tr w14:paraId="7542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083CB10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970" w:type="pct"/>
                  <w:noWrap w:val="0"/>
                  <w:vAlign w:val="center"/>
                </w:tcPr>
                <w:p w14:paraId="0ECD3653">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V混机</w:t>
                  </w:r>
                </w:p>
              </w:tc>
              <w:tc>
                <w:tcPr>
                  <w:tcW w:w="1800" w:type="dxa"/>
                  <w:noWrap w:val="0"/>
                  <w:vAlign w:val="center"/>
                </w:tcPr>
                <w:p w14:paraId="0E9AE5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BVH-001</w:t>
                  </w:r>
                </w:p>
              </w:tc>
              <w:tc>
                <w:tcPr>
                  <w:tcW w:w="657" w:type="pct"/>
                  <w:noWrap w:val="0"/>
                  <w:vAlign w:val="center"/>
                </w:tcPr>
                <w:p w14:paraId="2A19A79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3D1EEF83">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涂层处理</w:t>
                  </w:r>
                </w:p>
              </w:tc>
            </w:tr>
            <w:tr w14:paraId="1722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691A4E1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p>
              </w:tc>
              <w:tc>
                <w:tcPr>
                  <w:tcW w:w="970" w:type="pct"/>
                  <w:noWrap w:val="0"/>
                  <w:vAlign w:val="center"/>
                </w:tcPr>
                <w:p w14:paraId="5473666A">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动力混合机</w:t>
                  </w:r>
                </w:p>
              </w:tc>
              <w:tc>
                <w:tcPr>
                  <w:tcW w:w="1800" w:type="dxa"/>
                  <w:noWrap w:val="0"/>
                  <w:vAlign w:val="center"/>
                </w:tcPr>
                <w:p w14:paraId="0EFC43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BDL-001</w:t>
                  </w:r>
                </w:p>
              </w:tc>
              <w:tc>
                <w:tcPr>
                  <w:tcW w:w="657" w:type="pct"/>
                  <w:noWrap w:val="0"/>
                  <w:vAlign w:val="center"/>
                </w:tcPr>
                <w:p w14:paraId="277EDDE2">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715A8849">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涂层处理</w:t>
                  </w:r>
                </w:p>
              </w:tc>
            </w:tr>
            <w:tr w14:paraId="4734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3DBCFAD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w:t>
                  </w:r>
                </w:p>
              </w:tc>
              <w:tc>
                <w:tcPr>
                  <w:tcW w:w="970" w:type="pct"/>
                  <w:noWrap w:val="0"/>
                  <w:vAlign w:val="center"/>
                </w:tcPr>
                <w:p w14:paraId="2F496D6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捏合机</w:t>
                  </w:r>
                </w:p>
              </w:tc>
              <w:tc>
                <w:tcPr>
                  <w:tcW w:w="1800" w:type="dxa"/>
                  <w:noWrap w:val="0"/>
                  <w:vAlign w:val="center"/>
                </w:tcPr>
                <w:p w14:paraId="3CB83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BNH-001</w:t>
                  </w:r>
                </w:p>
              </w:tc>
              <w:tc>
                <w:tcPr>
                  <w:tcW w:w="657" w:type="pct"/>
                  <w:noWrap w:val="0"/>
                  <w:vAlign w:val="center"/>
                </w:tcPr>
                <w:p w14:paraId="41FAFF7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7CD5AF6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涂层处理</w:t>
                  </w:r>
                </w:p>
              </w:tc>
            </w:tr>
            <w:tr w14:paraId="57C7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374602F">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w:t>
                  </w:r>
                </w:p>
              </w:tc>
              <w:tc>
                <w:tcPr>
                  <w:tcW w:w="970" w:type="pct"/>
                  <w:noWrap w:val="0"/>
                  <w:vAlign w:val="center"/>
                </w:tcPr>
                <w:p w14:paraId="7F87492C">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热压罐</w:t>
                  </w:r>
                </w:p>
              </w:tc>
              <w:tc>
                <w:tcPr>
                  <w:tcW w:w="1800" w:type="dxa"/>
                  <w:noWrap w:val="0"/>
                  <w:vAlign w:val="center"/>
                </w:tcPr>
                <w:p w14:paraId="53E75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BRYG-001</w:t>
                  </w:r>
                </w:p>
              </w:tc>
              <w:tc>
                <w:tcPr>
                  <w:tcW w:w="657" w:type="pct"/>
                  <w:noWrap w:val="0"/>
                  <w:vAlign w:val="center"/>
                </w:tcPr>
                <w:p w14:paraId="663B0C28">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197D0D6F">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涂层处理</w:t>
                  </w:r>
                </w:p>
              </w:tc>
            </w:tr>
            <w:tr w14:paraId="49BB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55DA9DB5">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p>
              </w:tc>
              <w:tc>
                <w:tcPr>
                  <w:tcW w:w="970" w:type="pct"/>
                  <w:noWrap w:val="0"/>
                  <w:vAlign w:val="center"/>
                </w:tcPr>
                <w:p w14:paraId="2D3FAFDF">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碳化炉</w:t>
                  </w:r>
                </w:p>
              </w:tc>
              <w:tc>
                <w:tcPr>
                  <w:tcW w:w="1800" w:type="dxa"/>
                  <w:noWrap w:val="0"/>
                  <w:vAlign w:val="center"/>
                </w:tcPr>
                <w:p w14:paraId="7ED64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BDHL-001</w:t>
                  </w:r>
                </w:p>
              </w:tc>
              <w:tc>
                <w:tcPr>
                  <w:tcW w:w="657" w:type="pct"/>
                  <w:noWrap w:val="0"/>
                  <w:vAlign w:val="center"/>
                </w:tcPr>
                <w:p w14:paraId="2F773A75">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5FAB5D7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碳化处理</w:t>
                  </w:r>
                </w:p>
              </w:tc>
            </w:tr>
            <w:tr w14:paraId="3104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593F6D0C">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970" w:type="pct"/>
                  <w:noWrap w:val="0"/>
                  <w:vAlign w:val="center"/>
                </w:tcPr>
                <w:p w14:paraId="2800005D">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CVI炉</w:t>
                  </w:r>
                </w:p>
              </w:tc>
              <w:tc>
                <w:tcPr>
                  <w:tcW w:w="1800" w:type="dxa"/>
                  <w:noWrap w:val="0"/>
                  <w:vAlign w:val="center"/>
                </w:tcPr>
                <w:p w14:paraId="48834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BCVIL-001</w:t>
                  </w:r>
                </w:p>
              </w:tc>
              <w:tc>
                <w:tcPr>
                  <w:tcW w:w="657" w:type="pct"/>
                  <w:noWrap w:val="0"/>
                  <w:vAlign w:val="center"/>
                </w:tcPr>
                <w:p w14:paraId="79DF79B3">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3F54CE34">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气相沉积</w:t>
                  </w:r>
                </w:p>
              </w:tc>
            </w:tr>
            <w:tr w14:paraId="61CE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3FFC66E2">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w:t>
                  </w:r>
                </w:p>
              </w:tc>
              <w:tc>
                <w:tcPr>
                  <w:tcW w:w="970" w:type="pct"/>
                  <w:noWrap w:val="0"/>
                  <w:vAlign w:val="center"/>
                </w:tcPr>
                <w:p w14:paraId="5659A682">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渗硅炉</w:t>
                  </w:r>
                </w:p>
              </w:tc>
              <w:tc>
                <w:tcPr>
                  <w:tcW w:w="1800" w:type="dxa"/>
                  <w:noWrap w:val="0"/>
                  <w:vAlign w:val="center"/>
                </w:tcPr>
                <w:p w14:paraId="1CB422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BSGL-001</w:t>
                  </w:r>
                </w:p>
              </w:tc>
              <w:tc>
                <w:tcPr>
                  <w:tcW w:w="657" w:type="pct"/>
                  <w:noWrap w:val="0"/>
                  <w:vAlign w:val="center"/>
                </w:tcPr>
                <w:p w14:paraId="0E28A74A">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563930D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熔融渗硅（陶瓷化处理）</w:t>
                  </w:r>
                </w:p>
              </w:tc>
            </w:tr>
            <w:tr w14:paraId="75FF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7B0167AE">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17</w:t>
                  </w:r>
                </w:p>
              </w:tc>
              <w:tc>
                <w:tcPr>
                  <w:tcW w:w="970" w:type="pct"/>
                  <w:noWrap w:val="0"/>
                  <w:vAlign w:val="center"/>
                </w:tcPr>
                <w:p w14:paraId="40CAB92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高温炉</w:t>
                  </w:r>
                </w:p>
              </w:tc>
              <w:tc>
                <w:tcPr>
                  <w:tcW w:w="1800" w:type="dxa"/>
                  <w:noWrap w:val="0"/>
                  <w:vAlign w:val="center"/>
                </w:tcPr>
                <w:p w14:paraId="5A74329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BGWL-001</w:t>
                  </w:r>
                </w:p>
              </w:tc>
              <w:tc>
                <w:tcPr>
                  <w:tcW w:w="657" w:type="pct"/>
                  <w:noWrap w:val="0"/>
                  <w:vAlign w:val="center"/>
                </w:tcPr>
                <w:p w14:paraId="1FB5EBA6">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5F74470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高温处理</w:t>
                  </w:r>
                </w:p>
              </w:tc>
            </w:tr>
            <w:tr w14:paraId="366B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677C1AA5">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w:t>
                  </w:r>
                </w:p>
              </w:tc>
              <w:tc>
                <w:tcPr>
                  <w:tcW w:w="970" w:type="pct"/>
                  <w:noWrap w:val="0"/>
                  <w:vAlign w:val="center"/>
                </w:tcPr>
                <w:p w14:paraId="6C9026D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圆台磨</w:t>
                  </w:r>
                </w:p>
              </w:tc>
              <w:tc>
                <w:tcPr>
                  <w:tcW w:w="1800" w:type="dxa"/>
                  <w:noWrap w:val="0"/>
                  <w:vAlign w:val="center"/>
                </w:tcPr>
                <w:p w14:paraId="511C20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BYMT-001</w:t>
                  </w:r>
                </w:p>
              </w:tc>
              <w:tc>
                <w:tcPr>
                  <w:tcW w:w="657" w:type="pct"/>
                  <w:noWrap w:val="0"/>
                  <w:vAlign w:val="center"/>
                </w:tcPr>
                <w:p w14:paraId="1FCDC796">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p>
              </w:tc>
              <w:tc>
                <w:tcPr>
                  <w:tcW w:w="1835" w:type="pct"/>
                  <w:noWrap w:val="0"/>
                  <w:vAlign w:val="center"/>
                </w:tcPr>
                <w:p w14:paraId="08231D1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加工</w:t>
                  </w:r>
                </w:p>
              </w:tc>
            </w:tr>
            <w:tr w14:paraId="3DC1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72018DBC">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w:t>
                  </w:r>
                </w:p>
              </w:tc>
              <w:tc>
                <w:tcPr>
                  <w:tcW w:w="970" w:type="pct"/>
                  <w:noWrap w:val="0"/>
                  <w:vAlign w:val="center"/>
                </w:tcPr>
                <w:p w14:paraId="04B0B34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CNC</w:t>
                  </w:r>
                </w:p>
              </w:tc>
              <w:tc>
                <w:tcPr>
                  <w:tcW w:w="1800" w:type="dxa"/>
                  <w:noWrap w:val="0"/>
                  <w:vAlign w:val="center"/>
                </w:tcPr>
                <w:p w14:paraId="7AFA4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BCNC-001</w:t>
                  </w:r>
                </w:p>
              </w:tc>
              <w:tc>
                <w:tcPr>
                  <w:tcW w:w="657" w:type="pct"/>
                  <w:noWrap w:val="0"/>
                  <w:vAlign w:val="center"/>
                </w:tcPr>
                <w:p w14:paraId="1C6951C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10</w:t>
                  </w:r>
                </w:p>
              </w:tc>
              <w:tc>
                <w:tcPr>
                  <w:tcW w:w="1835" w:type="pct"/>
                  <w:noWrap w:val="0"/>
                  <w:vAlign w:val="center"/>
                </w:tcPr>
                <w:p w14:paraId="7EA08FD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加工</w:t>
                  </w:r>
                </w:p>
              </w:tc>
            </w:tr>
            <w:tr w14:paraId="41B2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3FE065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w:t>
                  </w:r>
                </w:p>
              </w:tc>
              <w:tc>
                <w:tcPr>
                  <w:tcW w:w="970" w:type="pct"/>
                  <w:noWrap w:val="0"/>
                  <w:vAlign w:val="center"/>
                </w:tcPr>
                <w:p w14:paraId="6EDEB3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真空泵</w:t>
                  </w:r>
                </w:p>
              </w:tc>
              <w:tc>
                <w:tcPr>
                  <w:tcW w:w="1075" w:type="pct"/>
                  <w:noWrap w:val="0"/>
                  <w:vAlign w:val="center"/>
                </w:tcPr>
                <w:p w14:paraId="4CBD8E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657" w:type="pct"/>
                  <w:noWrap w:val="0"/>
                  <w:vAlign w:val="center"/>
                </w:tcPr>
                <w:p w14:paraId="286C43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1835" w:type="pct"/>
                  <w:noWrap w:val="0"/>
                  <w:vAlign w:val="center"/>
                </w:tcPr>
                <w:p w14:paraId="401312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抽真空</w:t>
                  </w:r>
                </w:p>
              </w:tc>
            </w:tr>
            <w:tr w14:paraId="7C35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82A1098">
                  <w:pPr>
                    <w:keepNext w:val="0"/>
                    <w:keepLines w:val="0"/>
                    <w:suppressLineNumbers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21</w:t>
                  </w:r>
                </w:p>
              </w:tc>
              <w:tc>
                <w:tcPr>
                  <w:tcW w:w="1692" w:type="dxa"/>
                  <w:noWrap w:val="0"/>
                  <w:vAlign w:val="center"/>
                </w:tcPr>
                <w:p w14:paraId="63F167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螺杆式空压机</w:t>
                  </w:r>
                </w:p>
              </w:tc>
              <w:tc>
                <w:tcPr>
                  <w:tcW w:w="1800" w:type="dxa"/>
                  <w:noWrap w:val="0"/>
                  <w:vAlign w:val="center"/>
                </w:tcPr>
                <w:p w14:paraId="6A974A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BLGS-001</w:t>
                  </w:r>
                </w:p>
              </w:tc>
              <w:tc>
                <w:tcPr>
                  <w:tcW w:w="1146" w:type="dxa"/>
                  <w:noWrap w:val="0"/>
                  <w:vAlign w:val="center"/>
                </w:tcPr>
                <w:p w14:paraId="42A0C06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3200" w:type="dxa"/>
                  <w:noWrap w:val="0"/>
                  <w:vAlign w:val="top"/>
                </w:tcPr>
                <w:p w14:paraId="33CD08F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放置室外配套设备</w:t>
                  </w:r>
                </w:p>
              </w:tc>
            </w:tr>
            <w:tr w14:paraId="77C2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2E69F82D">
                  <w:pPr>
                    <w:keepNext w:val="0"/>
                    <w:keepLines w:val="0"/>
                    <w:suppressLineNumbers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22</w:t>
                  </w:r>
                </w:p>
              </w:tc>
              <w:tc>
                <w:tcPr>
                  <w:tcW w:w="1692" w:type="dxa"/>
                  <w:noWrap w:val="0"/>
                  <w:vAlign w:val="center"/>
                </w:tcPr>
                <w:p w14:paraId="14BC70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制氮机+干燥机</w:t>
                  </w:r>
                </w:p>
              </w:tc>
              <w:tc>
                <w:tcPr>
                  <w:tcW w:w="1800" w:type="dxa"/>
                  <w:noWrap w:val="0"/>
                  <w:vAlign w:val="center"/>
                </w:tcPr>
                <w:p w14:paraId="3997F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BZD-001</w:t>
                  </w:r>
                </w:p>
              </w:tc>
              <w:tc>
                <w:tcPr>
                  <w:tcW w:w="1146" w:type="dxa"/>
                  <w:noWrap w:val="0"/>
                  <w:vAlign w:val="center"/>
                </w:tcPr>
                <w:p w14:paraId="4D3ABA3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3200" w:type="dxa"/>
                  <w:noWrap w:val="0"/>
                  <w:vAlign w:val="top"/>
                </w:tcPr>
                <w:p w14:paraId="36ECCE7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放置室外配套设备</w:t>
                  </w:r>
                </w:p>
              </w:tc>
            </w:tr>
            <w:tr w14:paraId="76CE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5AA106A1">
                  <w:pPr>
                    <w:keepNext w:val="0"/>
                    <w:keepLines w:val="0"/>
                    <w:suppressLineNumbers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23</w:t>
                  </w:r>
                </w:p>
              </w:tc>
              <w:tc>
                <w:tcPr>
                  <w:tcW w:w="1692" w:type="dxa"/>
                  <w:noWrap w:val="0"/>
                  <w:vAlign w:val="center"/>
                </w:tcPr>
                <w:p w14:paraId="1671BEB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发电机组</w:t>
                  </w:r>
                </w:p>
              </w:tc>
              <w:tc>
                <w:tcPr>
                  <w:tcW w:w="1800" w:type="dxa"/>
                  <w:noWrap w:val="0"/>
                  <w:vAlign w:val="center"/>
                </w:tcPr>
                <w:p w14:paraId="4E9AC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BFD-001</w:t>
                  </w:r>
                </w:p>
              </w:tc>
              <w:tc>
                <w:tcPr>
                  <w:tcW w:w="1146" w:type="dxa"/>
                  <w:noWrap w:val="0"/>
                  <w:vAlign w:val="center"/>
                </w:tcPr>
                <w:p w14:paraId="60473E7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3200" w:type="dxa"/>
                  <w:noWrap w:val="0"/>
                  <w:vAlign w:val="top"/>
                </w:tcPr>
                <w:p w14:paraId="48ADF4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放置室外配套设备</w:t>
                  </w:r>
                </w:p>
              </w:tc>
            </w:tr>
            <w:tr w14:paraId="382D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F60D3F7">
                  <w:pPr>
                    <w:keepNext w:val="0"/>
                    <w:keepLines w:val="0"/>
                    <w:suppressLineNumbers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24</w:t>
                  </w:r>
                </w:p>
              </w:tc>
              <w:tc>
                <w:tcPr>
                  <w:tcW w:w="1692" w:type="dxa"/>
                  <w:noWrap w:val="0"/>
                  <w:vAlign w:val="center"/>
                </w:tcPr>
                <w:p w14:paraId="37FE7B4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循环冷却塔</w:t>
                  </w:r>
                </w:p>
              </w:tc>
              <w:tc>
                <w:tcPr>
                  <w:tcW w:w="1800" w:type="dxa"/>
                  <w:noWrap w:val="0"/>
                  <w:vAlign w:val="center"/>
                </w:tcPr>
                <w:p w14:paraId="7DCE73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BLQT-001</w:t>
                  </w:r>
                </w:p>
              </w:tc>
              <w:tc>
                <w:tcPr>
                  <w:tcW w:w="1146" w:type="dxa"/>
                  <w:noWrap w:val="0"/>
                  <w:vAlign w:val="center"/>
                </w:tcPr>
                <w:p w14:paraId="7C1534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3200" w:type="dxa"/>
                  <w:noWrap w:val="0"/>
                  <w:vAlign w:val="top"/>
                </w:tcPr>
                <w:p w14:paraId="288E17A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放置室外配套设备</w:t>
                  </w:r>
                </w:p>
              </w:tc>
            </w:tr>
          </w:tbl>
          <w:p w14:paraId="407B99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outlineLvl w:val="2"/>
              <w:rPr>
                <w:rFonts w:hint="eastAsia" w:ascii="宋体" w:hAnsi="宋体" w:cs="Times New Roman"/>
                <w:b/>
                <w:sz w:val="24"/>
              </w:rPr>
            </w:pPr>
            <w:r>
              <w:rPr>
                <w:rFonts w:hint="eastAsia" w:ascii="宋体" w:hAnsi="宋体" w:cs="Times New Roman"/>
                <w:b/>
                <w:sz w:val="24"/>
                <w:lang w:val="en-US" w:eastAsia="zh-CN"/>
              </w:rPr>
              <w:t>五、</w:t>
            </w:r>
            <w:r>
              <w:rPr>
                <w:rFonts w:hint="eastAsia" w:ascii="宋体" w:hAnsi="宋体" w:cs="Times New Roman"/>
                <w:b/>
                <w:sz w:val="24"/>
              </w:rPr>
              <w:t>原辅材料用量</w:t>
            </w:r>
          </w:p>
          <w:p w14:paraId="1AB06C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both"/>
              <w:textAlignment w:val="auto"/>
              <w:outlineLvl w:val="2"/>
              <w:rPr>
                <w:rFonts w:hint="eastAsia" w:ascii="Times New Roman" w:hAnsi="Times New Roman" w:eastAsia="宋体" w:cs="Times New Roman"/>
                <w:b/>
                <w:sz w:val="24"/>
                <w:szCs w:val="22"/>
                <w:lang w:val="en-US" w:eastAsia="zh-CN"/>
              </w:rPr>
            </w:pPr>
            <w:r>
              <w:rPr>
                <w:rFonts w:hint="default" w:ascii="Times New Roman" w:hAnsi="Times New Roman" w:cs="Times New Roman"/>
                <w:b/>
                <w:sz w:val="24"/>
                <w:szCs w:val="22"/>
              </w:rPr>
              <w:t>主要原辅材料消耗</w:t>
            </w:r>
          </w:p>
          <w:p w14:paraId="075AEBB0">
            <w:pPr>
              <w:keepNext w:val="0"/>
              <w:keepLines w:val="0"/>
              <w:suppressLineNumbers w:val="0"/>
              <w:spacing w:before="0" w:beforeAutospacing="0" w:after="0" w:afterAutospacing="0" w:line="360" w:lineRule="auto"/>
              <w:ind w:left="0" w:right="0" w:firstLine="480" w:firstLineChars="200"/>
              <w:rPr>
                <w:rFonts w:hint="eastAsia" w:ascii="宋体" w:hAnsi="宋体" w:cs="Times New Roman"/>
                <w:b/>
                <w:sz w:val="24"/>
              </w:rPr>
            </w:pPr>
            <w:r>
              <w:rPr>
                <w:rFonts w:hint="default" w:ascii="Times New Roman" w:hAnsi="Times New Roman" w:cs="Times New Roman"/>
                <w:sz w:val="24"/>
                <w:szCs w:val="24"/>
              </w:rPr>
              <w:t>本项目原辅材料均在国内市场采购，主要原辅材料消耗见下表：</w:t>
            </w:r>
          </w:p>
          <w:p w14:paraId="51A6209A">
            <w:pPr>
              <w:keepNext w:val="0"/>
              <w:keepLines w:val="0"/>
              <w:suppressLineNumbers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表2</w:t>
            </w:r>
            <w:r>
              <w:rPr>
                <w:rFonts w:hint="default"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3  项目</w:t>
            </w:r>
            <w:r>
              <w:rPr>
                <w:rFonts w:hint="default" w:ascii="Times New Roman" w:hAnsi="Times New Roman" w:eastAsia="宋体" w:cs="Times New Roman"/>
                <w:b/>
                <w:bCs/>
                <w:sz w:val="21"/>
                <w:szCs w:val="21"/>
                <w:lang w:val="en-US" w:eastAsia="zh-CN"/>
              </w:rPr>
              <w:t>主要原辅材料</w:t>
            </w:r>
            <w:r>
              <w:rPr>
                <w:rFonts w:hint="default" w:ascii="Times New Roman" w:hAnsi="Times New Roman" w:eastAsia="宋体" w:cs="Times New Roman"/>
                <w:b/>
                <w:bCs/>
                <w:sz w:val="21"/>
                <w:szCs w:val="21"/>
              </w:rPr>
              <w:t>消耗情况一览表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082"/>
              <w:gridCol w:w="696"/>
              <w:gridCol w:w="906"/>
              <w:gridCol w:w="847"/>
              <w:gridCol w:w="616"/>
              <w:gridCol w:w="696"/>
              <w:gridCol w:w="877"/>
              <w:gridCol w:w="696"/>
              <w:gridCol w:w="1439"/>
            </w:tblGrid>
            <w:tr w14:paraId="0040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exact"/>
              </w:trPr>
              <w:tc>
                <w:tcPr>
                  <w:tcW w:w="0" w:type="auto"/>
                  <w:noWrap w:val="0"/>
                  <w:vAlign w:val="center"/>
                </w:tcPr>
                <w:p w14:paraId="4B12C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序号</w:t>
                  </w:r>
                </w:p>
              </w:tc>
              <w:tc>
                <w:tcPr>
                  <w:tcW w:w="0" w:type="auto"/>
                  <w:noWrap w:val="0"/>
                  <w:vAlign w:val="center"/>
                </w:tcPr>
                <w:p w14:paraId="5E23D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原辅料名称</w:t>
                  </w:r>
                </w:p>
              </w:tc>
              <w:tc>
                <w:tcPr>
                  <w:tcW w:w="0" w:type="auto"/>
                  <w:noWrap w:val="0"/>
                  <w:vAlign w:val="center"/>
                </w:tcPr>
                <w:p w14:paraId="69FE0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物料形态</w:t>
                  </w:r>
                </w:p>
              </w:tc>
              <w:tc>
                <w:tcPr>
                  <w:tcW w:w="0" w:type="auto"/>
                  <w:noWrap w:val="0"/>
                  <w:vAlign w:val="center"/>
                </w:tcPr>
                <w:p w14:paraId="174CD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最大储存量</w:t>
                  </w:r>
                </w:p>
              </w:tc>
              <w:tc>
                <w:tcPr>
                  <w:tcW w:w="0" w:type="auto"/>
                  <w:noWrap w:val="0"/>
                  <w:vAlign w:val="center"/>
                </w:tcPr>
                <w:p w14:paraId="278E3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年用量</w:t>
                  </w:r>
                </w:p>
              </w:tc>
              <w:tc>
                <w:tcPr>
                  <w:tcW w:w="0" w:type="auto"/>
                  <w:noWrap w:val="0"/>
                  <w:vAlign w:val="center"/>
                </w:tcPr>
                <w:p w14:paraId="7FC23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单位</w:t>
                  </w:r>
                </w:p>
              </w:tc>
              <w:tc>
                <w:tcPr>
                  <w:tcW w:w="0" w:type="auto"/>
                  <w:noWrap w:val="0"/>
                  <w:vAlign w:val="center"/>
                </w:tcPr>
                <w:p w14:paraId="43FAD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包装形式</w:t>
                  </w:r>
                </w:p>
              </w:tc>
              <w:tc>
                <w:tcPr>
                  <w:tcW w:w="0" w:type="auto"/>
                  <w:noWrap w:val="0"/>
                  <w:vAlign w:val="center"/>
                </w:tcPr>
                <w:p w14:paraId="6467A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包装规格</w:t>
                  </w:r>
                </w:p>
              </w:tc>
              <w:tc>
                <w:tcPr>
                  <w:tcW w:w="0" w:type="auto"/>
                  <w:noWrap w:val="0"/>
                  <w:vAlign w:val="center"/>
                </w:tcPr>
                <w:p w14:paraId="03D15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储存位置</w:t>
                  </w:r>
                </w:p>
              </w:tc>
              <w:tc>
                <w:tcPr>
                  <w:tcW w:w="0" w:type="auto"/>
                  <w:noWrap w:val="0"/>
                  <w:vAlign w:val="center"/>
                </w:tcPr>
                <w:p w14:paraId="40457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使用工序</w:t>
                  </w:r>
                </w:p>
              </w:tc>
            </w:tr>
            <w:tr w14:paraId="1BE8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0" w:type="auto"/>
                  <w:noWrap w:val="0"/>
                  <w:vAlign w:val="center"/>
                </w:tcPr>
                <w:p w14:paraId="4352E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0" w:type="auto"/>
                  <w:noWrap w:val="0"/>
                  <w:vAlign w:val="center"/>
                </w:tcPr>
                <w:p w14:paraId="278F8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碳纤维</w:t>
                  </w:r>
                </w:p>
              </w:tc>
              <w:tc>
                <w:tcPr>
                  <w:tcW w:w="0" w:type="auto"/>
                  <w:noWrap w:val="0"/>
                  <w:vAlign w:val="center"/>
                </w:tcPr>
                <w:p w14:paraId="11CFC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卷</w:t>
                  </w:r>
                </w:p>
              </w:tc>
              <w:tc>
                <w:tcPr>
                  <w:tcW w:w="0" w:type="auto"/>
                  <w:noWrap w:val="0"/>
                  <w:vAlign w:val="center"/>
                </w:tcPr>
                <w:p w14:paraId="6D318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w:t>
                  </w:r>
                </w:p>
              </w:tc>
              <w:tc>
                <w:tcPr>
                  <w:tcW w:w="0" w:type="auto"/>
                  <w:noWrap w:val="0"/>
                  <w:vAlign w:val="center"/>
                </w:tcPr>
                <w:p w14:paraId="6BACE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60</w:t>
                  </w:r>
                </w:p>
              </w:tc>
              <w:tc>
                <w:tcPr>
                  <w:tcW w:w="0" w:type="auto"/>
                  <w:noWrap w:val="0"/>
                  <w:vAlign w:val="center"/>
                </w:tcPr>
                <w:p w14:paraId="12548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t</w:t>
                  </w:r>
                </w:p>
              </w:tc>
              <w:tc>
                <w:tcPr>
                  <w:tcW w:w="0" w:type="auto"/>
                  <w:noWrap w:val="0"/>
                  <w:vAlign w:val="center"/>
                </w:tcPr>
                <w:p w14:paraId="7B87E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筒</w:t>
                  </w:r>
                </w:p>
              </w:tc>
              <w:tc>
                <w:tcPr>
                  <w:tcW w:w="0" w:type="auto"/>
                  <w:noWrap w:val="0"/>
                  <w:vAlign w:val="center"/>
                </w:tcPr>
                <w:p w14:paraId="7C11D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w:t>
                  </w:r>
                  <w:r>
                    <w:rPr>
                      <w:rFonts w:hint="eastAsia" w:cs="Times New Roman"/>
                      <w:bCs/>
                      <w:sz w:val="21"/>
                      <w:szCs w:val="21"/>
                      <w:lang w:val="en-US" w:eastAsia="zh-CN"/>
                    </w:rPr>
                    <w:t>kg</w:t>
                  </w:r>
                </w:p>
              </w:tc>
              <w:tc>
                <w:tcPr>
                  <w:tcW w:w="0" w:type="auto"/>
                  <w:noWrap w:val="0"/>
                  <w:vAlign w:val="center"/>
                </w:tcPr>
                <w:p w14:paraId="5F456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7B584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碳纤维原材料</w:t>
                  </w:r>
                </w:p>
              </w:tc>
            </w:tr>
            <w:tr w14:paraId="29D1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0" w:type="auto"/>
                  <w:noWrap w:val="0"/>
                  <w:vAlign w:val="center"/>
                </w:tcPr>
                <w:p w14:paraId="1D93F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w:t>
                  </w:r>
                </w:p>
              </w:tc>
              <w:tc>
                <w:tcPr>
                  <w:tcW w:w="0" w:type="auto"/>
                  <w:noWrap w:val="0"/>
                  <w:vAlign w:val="center"/>
                </w:tcPr>
                <w:p w14:paraId="302C2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陶瓷粉</w:t>
                  </w:r>
                </w:p>
              </w:tc>
              <w:tc>
                <w:tcPr>
                  <w:tcW w:w="0" w:type="auto"/>
                  <w:noWrap w:val="0"/>
                  <w:vAlign w:val="center"/>
                </w:tcPr>
                <w:p w14:paraId="5080C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粉体</w:t>
                  </w:r>
                </w:p>
              </w:tc>
              <w:tc>
                <w:tcPr>
                  <w:tcW w:w="0" w:type="auto"/>
                  <w:noWrap w:val="0"/>
                  <w:vAlign w:val="center"/>
                </w:tcPr>
                <w:p w14:paraId="210EB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0" w:type="auto"/>
                  <w:noWrap w:val="0"/>
                  <w:vAlign w:val="center"/>
                </w:tcPr>
                <w:p w14:paraId="17B27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c>
                <w:tcPr>
                  <w:tcW w:w="0" w:type="auto"/>
                  <w:noWrap w:val="0"/>
                  <w:vAlign w:val="center"/>
                </w:tcPr>
                <w:p w14:paraId="5CA09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t</w:t>
                  </w:r>
                </w:p>
              </w:tc>
              <w:tc>
                <w:tcPr>
                  <w:tcW w:w="0" w:type="auto"/>
                  <w:noWrap w:val="0"/>
                  <w:vAlign w:val="center"/>
                </w:tcPr>
                <w:p w14:paraId="6F493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袋装</w:t>
                  </w:r>
                </w:p>
              </w:tc>
              <w:tc>
                <w:tcPr>
                  <w:tcW w:w="0" w:type="auto"/>
                  <w:noWrap w:val="0"/>
                  <w:vAlign w:val="center"/>
                </w:tcPr>
                <w:p w14:paraId="258A3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r>
                    <w:rPr>
                      <w:rFonts w:hint="eastAsia" w:cs="Times New Roman"/>
                      <w:bCs/>
                      <w:sz w:val="21"/>
                      <w:szCs w:val="21"/>
                      <w:lang w:val="en-US" w:eastAsia="zh-CN"/>
                    </w:rPr>
                    <w:t>kg</w:t>
                  </w:r>
                </w:p>
              </w:tc>
              <w:tc>
                <w:tcPr>
                  <w:tcW w:w="0" w:type="auto"/>
                  <w:noWrap w:val="0"/>
                  <w:vAlign w:val="center"/>
                </w:tcPr>
                <w:p w14:paraId="5B6AD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13A01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涂层处理</w:t>
                  </w:r>
                </w:p>
              </w:tc>
            </w:tr>
            <w:tr w14:paraId="5EF8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0" w:type="auto"/>
                  <w:noWrap w:val="0"/>
                  <w:vAlign w:val="center"/>
                </w:tcPr>
                <w:p w14:paraId="6F630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w:t>
                  </w:r>
                </w:p>
              </w:tc>
              <w:tc>
                <w:tcPr>
                  <w:tcW w:w="0" w:type="auto"/>
                  <w:noWrap w:val="0"/>
                  <w:vAlign w:val="center"/>
                </w:tcPr>
                <w:p w14:paraId="7D347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碳粉</w:t>
                  </w:r>
                </w:p>
              </w:tc>
              <w:tc>
                <w:tcPr>
                  <w:tcW w:w="0" w:type="auto"/>
                  <w:noWrap w:val="0"/>
                  <w:vAlign w:val="center"/>
                </w:tcPr>
                <w:p w14:paraId="4DDD0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颗粒</w:t>
                  </w:r>
                </w:p>
              </w:tc>
              <w:tc>
                <w:tcPr>
                  <w:tcW w:w="0" w:type="auto"/>
                  <w:noWrap w:val="0"/>
                  <w:vAlign w:val="center"/>
                </w:tcPr>
                <w:p w14:paraId="4CC7F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w:t>
                  </w:r>
                </w:p>
              </w:tc>
              <w:tc>
                <w:tcPr>
                  <w:tcW w:w="0" w:type="auto"/>
                  <w:noWrap w:val="0"/>
                  <w:vAlign w:val="center"/>
                </w:tcPr>
                <w:p w14:paraId="4726A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10</w:t>
                  </w:r>
                </w:p>
              </w:tc>
              <w:tc>
                <w:tcPr>
                  <w:tcW w:w="0" w:type="auto"/>
                  <w:noWrap w:val="0"/>
                  <w:vAlign w:val="center"/>
                </w:tcPr>
                <w:p w14:paraId="3192F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t</w:t>
                  </w:r>
                </w:p>
              </w:tc>
              <w:tc>
                <w:tcPr>
                  <w:tcW w:w="0" w:type="auto"/>
                  <w:noWrap w:val="0"/>
                  <w:vAlign w:val="center"/>
                </w:tcPr>
                <w:p w14:paraId="2DC49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桶装</w:t>
                  </w:r>
                </w:p>
              </w:tc>
              <w:tc>
                <w:tcPr>
                  <w:tcW w:w="0" w:type="auto"/>
                  <w:noWrap w:val="0"/>
                  <w:vAlign w:val="center"/>
                </w:tcPr>
                <w:p w14:paraId="23186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25kg</w:t>
                  </w:r>
                </w:p>
              </w:tc>
              <w:tc>
                <w:tcPr>
                  <w:tcW w:w="0" w:type="auto"/>
                  <w:noWrap w:val="0"/>
                  <w:vAlign w:val="center"/>
                </w:tcPr>
                <w:p w14:paraId="1B1CB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3862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改性</w:t>
                  </w:r>
                </w:p>
              </w:tc>
            </w:tr>
            <w:tr w14:paraId="1D60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exact"/>
              </w:trPr>
              <w:tc>
                <w:tcPr>
                  <w:tcW w:w="0" w:type="auto"/>
                  <w:noWrap w:val="0"/>
                  <w:vAlign w:val="center"/>
                </w:tcPr>
                <w:p w14:paraId="39737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w:t>
                  </w:r>
                </w:p>
              </w:tc>
              <w:tc>
                <w:tcPr>
                  <w:tcW w:w="0" w:type="auto"/>
                  <w:noWrap w:val="0"/>
                  <w:vAlign w:val="center"/>
                </w:tcPr>
                <w:p w14:paraId="77D81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酚醛树脂</w:t>
                  </w:r>
                </w:p>
              </w:tc>
              <w:tc>
                <w:tcPr>
                  <w:tcW w:w="0" w:type="auto"/>
                  <w:noWrap w:val="0"/>
                  <w:vAlign w:val="center"/>
                </w:tcPr>
                <w:p w14:paraId="1FD8E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粒</w:t>
                  </w:r>
                  <w:r>
                    <w:rPr>
                      <w:rFonts w:hint="eastAsia" w:ascii="Times New Roman" w:hAnsi="Times New Roman" w:eastAsia="宋体" w:cs="Times New Roman"/>
                      <w:bCs/>
                      <w:sz w:val="21"/>
                      <w:szCs w:val="21"/>
                      <w:lang w:val="en-US" w:eastAsia="zh-CN"/>
                    </w:rPr>
                    <w:t>状</w:t>
                  </w:r>
                </w:p>
              </w:tc>
              <w:tc>
                <w:tcPr>
                  <w:tcW w:w="0" w:type="auto"/>
                  <w:noWrap w:val="0"/>
                  <w:vAlign w:val="center"/>
                </w:tcPr>
                <w:p w14:paraId="60728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0" w:type="auto"/>
                  <w:noWrap w:val="0"/>
                  <w:vAlign w:val="center"/>
                </w:tcPr>
                <w:p w14:paraId="0817A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0" w:type="auto"/>
                  <w:noWrap w:val="0"/>
                  <w:vAlign w:val="center"/>
                </w:tcPr>
                <w:p w14:paraId="43058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t</w:t>
                  </w:r>
                </w:p>
              </w:tc>
              <w:tc>
                <w:tcPr>
                  <w:tcW w:w="0" w:type="auto"/>
                  <w:noWrap w:val="0"/>
                  <w:vAlign w:val="center"/>
                </w:tcPr>
                <w:p w14:paraId="28AE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袋装</w:t>
                  </w:r>
                </w:p>
              </w:tc>
              <w:tc>
                <w:tcPr>
                  <w:tcW w:w="0" w:type="auto"/>
                  <w:noWrap w:val="0"/>
                  <w:vAlign w:val="center"/>
                </w:tcPr>
                <w:p w14:paraId="4D2AF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r>
                    <w:rPr>
                      <w:rFonts w:hint="eastAsia" w:cs="Times New Roman"/>
                      <w:bCs/>
                      <w:sz w:val="21"/>
                      <w:szCs w:val="21"/>
                      <w:lang w:val="en-US" w:eastAsia="zh-CN"/>
                    </w:rPr>
                    <w:t>kg</w:t>
                  </w:r>
                </w:p>
              </w:tc>
              <w:tc>
                <w:tcPr>
                  <w:tcW w:w="0" w:type="auto"/>
                  <w:noWrap w:val="0"/>
                  <w:vAlign w:val="center"/>
                </w:tcPr>
                <w:p w14:paraId="587B8A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6C8D6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涂层处理</w:t>
                  </w:r>
                  <w:r>
                    <w:rPr>
                      <w:rFonts w:hint="eastAsia" w:cs="Times New Roman"/>
                      <w:bCs/>
                      <w:sz w:val="21"/>
                      <w:szCs w:val="21"/>
                      <w:lang w:val="en-US" w:eastAsia="zh-CN"/>
                    </w:rPr>
                    <w:t>、改性</w:t>
                  </w:r>
                </w:p>
              </w:tc>
            </w:tr>
            <w:tr w14:paraId="22B7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0" w:type="auto"/>
                  <w:noWrap w:val="0"/>
                  <w:vAlign w:val="center"/>
                </w:tcPr>
                <w:p w14:paraId="72832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w:t>
                  </w:r>
                </w:p>
              </w:tc>
              <w:tc>
                <w:tcPr>
                  <w:tcW w:w="0" w:type="auto"/>
                  <w:noWrap w:val="0"/>
                  <w:vAlign w:val="center"/>
                </w:tcPr>
                <w:p w14:paraId="06DD4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液压油</w:t>
                  </w:r>
                </w:p>
              </w:tc>
              <w:tc>
                <w:tcPr>
                  <w:tcW w:w="0" w:type="auto"/>
                  <w:noWrap w:val="0"/>
                  <w:vAlign w:val="center"/>
                </w:tcPr>
                <w:p w14:paraId="4C2DE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液态</w:t>
                  </w:r>
                </w:p>
              </w:tc>
              <w:tc>
                <w:tcPr>
                  <w:tcW w:w="0" w:type="auto"/>
                  <w:noWrap w:val="0"/>
                  <w:vAlign w:val="center"/>
                </w:tcPr>
                <w:p w14:paraId="54516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100</w:t>
                  </w:r>
                </w:p>
              </w:tc>
              <w:tc>
                <w:tcPr>
                  <w:tcW w:w="0" w:type="auto"/>
                  <w:noWrap w:val="0"/>
                  <w:vAlign w:val="center"/>
                </w:tcPr>
                <w:p w14:paraId="6FB7B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400</w:t>
                  </w:r>
                </w:p>
              </w:tc>
              <w:tc>
                <w:tcPr>
                  <w:tcW w:w="0" w:type="auto"/>
                  <w:noWrap w:val="0"/>
                  <w:vAlign w:val="center"/>
                </w:tcPr>
                <w:p w14:paraId="57C20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L</w:t>
                  </w:r>
                </w:p>
              </w:tc>
              <w:tc>
                <w:tcPr>
                  <w:tcW w:w="0" w:type="auto"/>
                  <w:noWrap w:val="0"/>
                  <w:vAlign w:val="center"/>
                </w:tcPr>
                <w:p w14:paraId="021F5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桶装</w:t>
                  </w:r>
                </w:p>
              </w:tc>
              <w:tc>
                <w:tcPr>
                  <w:tcW w:w="0" w:type="auto"/>
                  <w:noWrap w:val="0"/>
                  <w:vAlign w:val="center"/>
                </w:tcPr>
                <w:p w14:paraId="603D8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200</w:t>
                  </w:r>
                  <w:r>
                    <w:rPr>
                      <w:rFonts w:hint="eastAsia" w:cs="Times New Roman"/>
                      <w:bCs/>
                      <w:sz w:val="21"/>
                      <w:szCs w:val="21"/>
                      <w:lang w:val="en-US" w:eastAsia="zh-CN"/>
                    </w:rPr>
                    <w:t>kg</w:t>
                  </w:r>
                </w:p>
              </w:tc>
              <w:tc>
                <w:tcPr>
                  <w:tcW w:w="0" w:type="auto"/>
                  <w:noWrap w:val="0"/>
                  <w:vAlign w:val="center"/>
                </w:tcPr>
                <w:p w14:paraId="29246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6A5D3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涂层处理</w:t>
                  </w:r>
                </w:p>
              </w:tc>
            </w:tr>
            <w:tr w14:paraId="72A1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exact"/>
              </w:trPr>
              <w:tc>
                <w:tcPr>
                  <w:tcW w:w="0" w:type="auto"/>
                  <w:noWrap w:val="0"/>
                  <w:vAlign w:val="center"/>
                </w:tcPr>
                <w:p w14:paraId="191DE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w:t>
                  </w:r>
                </w:p>
              </w:tc>
              <w:tc>
                <w:tcPr>
                  <w:tcW w:w="0" w:type="auto"/>
                  <w:noWrap w:val="0"/>
                  <w:vAlign w:val="center"/>
                </w:tcPr>
                <w:p w14:paraId="4098F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真空泵油</w:t>
                  </w:r>
                </w:p>
              </w:tc>
              <w:tc>
                <w:tcPr>
                  <w:tcW w:w="0" w:type="auto"/>
                  <w:noWrap w:val="0"/>
                  <w:vAlign w:val="center"/>
                </w:tcPr>
                <w:p w14:paraId="0E640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液态</w:t>
                  </w:r>
                </w:p>
              </w:tc>
              <w:tc>
                <w:tcPr>
                  <w:tcW w:w="0" w:type="auto"/>
                  <w:noWrap w:val="0"/>
                  <w:vAlign w:val="center"/>
                </w:tcPr>
                <w:p w14:paraId="6ECF3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100</w:t>
                  </w:r>
                </w:p>
              </w:tc>
              <w:tc>
                <w:tcPr>
                  <w:tcW w:w="0" w:type="auto"/>
                  <w:noWrap w:val="0"/>
                  <w:vAlign w:val="center"/>
                </w:tcPr>
                <w:p w14:paraId="284F5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1200</w:t>
                  </w:r>
                </w:p>
              </w:tc>
              <w:tc>
                <w:tcPr>
                  <w:tcW w:w="0" w:type="auto"/>
                  <w:noWrap w:val="0"/>
                  <w:vAlign w:val="center"/>
                </w:tcPr>
                <w:p w14:paraId="567919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L</w:t>
                  </w:r>
                </w:p>
              </w:tc>
              <w:tc>
                <w:tcPr>
                  <w:tcW w:w="0" w:type="auto"/>
                  <w:noWrap w:val="0"/>
                  <w:vAlign w:val="center"/>
                </w:tcPr>
                <w:p w14:paraId="42D36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桶装</w:t>
                  </w:r>
                </w:p>
              </w:tc>
              <w:tc>
                <w:tcPr>
                  <w:tcW w:w="0" w:type="auto"/>
                  <w:noWrap w:val="0"/>
                  <w:vAlign w:val="center"/>
                </w:tcPr>
                <w:p w14:paraId="26CB7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200</w:t>
                  </w:r>
                  <w:r>
                    <w:rPr>
                      <w:rFonts w:hint="eastAsia" w:cs="Times New Roman"/>
                      <w:bCs/>
                      <w:sz w:val="21"/>
                      <w:szCs w:val="21"/>
                      <w:lang w:val="en-US" w:eastAsia="zh-CN"/>
                    </w:rPr>
                    <w:t>kg</w:t>
                  </w:r>
                </w:p>
              </w:tc>
              <w:tc>
                <w:tcPr>
                  <w:tcW w:w="0" w:type="auto"/>
                  <w:noWrap w:val="0"/>
                  <w:vAlign w:val="center"/>
                </w:tcPr>
                <w:p w14:paraId="62F3C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2F3B2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碳化、气相沉积、陶瓷化</w:t>
                  </w:r>
                </w:p>
              </w:tc>
            </w:tr>
            <w:tr w14:paraId="7E8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0" w:type="auto"/>
                  <w:noWrap w:val="0"/>
                  <w:vAlign w:val="center"/>
                </w:tcPr>
                <w:p w14:paraId="1628E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0" w:type="auto"/>
                  <w:noWrap w:val="0"/>
                  <w:vAlign w:val="center"/>
                </w:tcPr>
                <w:p w14:paraId="350D2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氩气（保护气）</w:t>
                  </w:r>
                </w:p>
              </w:tc>
              <w:tc>
                <w:tcPr>
                  <w:tcW w:w="0" w:type="auto"/>
                  <w:noWrap w:val="0"/>
                  <w:vAlign w:val="center"/>
                </w:tcPr>
                <w:p w14:paraId="25B33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气体</w:t>
                  </w:r>
                </w:p>
              </w:tc>
              <w:tc>
                <w:tcPr>
                  <w:tcW w:w="0" w:type="auto"/>
                  <w:noWrap w:val="0"/>
                  <w:vAlign w:val="center"/>
                </w:tcPr>
                <w:p w14:paraId="2325C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200</w:t>
                  </w:r>
                </w:p>
              </w:tc>
              <w:tc>
                <w:tcPr>
                  <w:tcW w:w="0" w:type="auto"/>
                  <w:noWrap w:val="0"/>
                  <w:vAlign w:val="center"/>
                </w:tcPr>
                <w:p w14:paraId="5C908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800</w:t>
                  </w:r>
                </w:p>
              </w:tc>
              <w:tc>
                <w:tcPr>
                  <w:tcW w:w="0" w:type="auto"/>
                  <w:noWrap w:val="0"/>
                  <w:vAlign w:val="center"/>
                </w:tcPr>
                <w:p w14:paraId="5D22A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kg</w:t>
                  </w:r>
                </w:p>
              </w:tc>
              <w:tc>
                <w:tcPr>
                  <w:tcW w:w="0" w:type="auto"/>
                  <w:noWrap w:val="0"/>
                  <w:vAlign w:val="center"/>
                </w:tcPr>
                <w:p w14:paraId="2D76E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瓶装</w:t>
                  </w:r>
                </w:p>
              </w:tc>
              <w:tc>
                <w:tcPr>
                  <w:tcW w:w="0" w:type="auto"/>
                  <w:noWrap w:val="0"/>
                  <w:vAlign w:val="center"/>
                </w:tcPr>
                <w:p w14:paraId="145EC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40L</w:t>
                  </w:r>
                </w:p>
              </w:tc>
              <w:tc>
                <w:tcPr>
                  <w:tcW w:w="0" w:type="auto"/>
                  <w:noWrap w:val="0"/>
                  <w:vAlign w:val="center"/>
                </w:tcPr>
                <w:p w14:paraId="43610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526A2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陶瓷化</w:t>
                  </w:r>
                </w:p>
              </w:tc>
            </w:tr>
            <w:tr w14:paraId="76D4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0" w:type="auto"/>
                  <w:noWrap w:val="0"/>
                  <w:vAlign w:val="center"/>
                </w:tcPr>
                <w:p w14:paraId="3A299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0" w:type="auto"/>
                  <w:noWrap w:val="0"/>
                  <w:vAlign w:val="center"/>
                </w:tcPr>
                <w:p w14:paraId="31643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氮气（保护气）</w:t>
                  </w:r>
                </w:p>
              </w:tc>
              <w:tc>
                <w:tcPr>
                  <w:tcW w:w="0" w:type="auto"/>
                  <w:noWrap w:val="0"/>
                  <w:vAlign w:val="center"/>
                </w:tcPr>
                <w:p w14:paraId="637B1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气体</w:t>
                  </w:r>
                </w:p>
              </w:tc>
              <w:tc>
                <w:tcPr>
                  <w:tcW w:w="0" w:type="auto"/>
                  <w:noWrap w:val="0"/>
                  <w:vAlign w:val="center"/>
                </w:tcPr>
                <w:p w14:paraId="3F605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1000</w:t>
                  </w:r>
                </w:p>
              </w:tc>
              <w:tc>
                <w:tcPr>
                  <w:tcW w:w="0" w:type="auto"/>
                  <w:noWrap w:val="0"/>
                  <w:vAlign w:val="center"/>
                </w:tcPr>
                <w:p w14:paraId="03982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4000</w:t>
                  </w:r>
                </w:p>
              </w:tc>
              <w:tc>
                <w:tcPr>
                  <w:tcW w:w="0" w:type="auto"/>
                  <w:noWrap w:val="0"/>
                  <w:vAlign w:val="center"/>
                </w:tcPr>
                <w:p w14:paraId="56145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kg</w:t>
                  </w:r>
                </w:p>
              </w:tc>
              <w:tc>
                <w:tcPr>
                  <w:tcW w:w="0" w:type="auto"/>
                  <w:noWrap w:val="0"/>
                  <w:vAlign w:val="center"/>
                </w:tcPr>
                <w:p w14:paraId="21304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瓶装</w:t>
                  </w:r>
                </w:p>
              </w:tc>
              <w:tc>
                <w:tcPr>
                  <w:tcW w:w="0" w:type="auto"/>
                  <w:noWrap w:val="0"/>
                  <w:vAlign w:val="center"/>
                </w:tcPr>
                <w:p w14:paraId="0C08C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40L</w:t>
                  </w:r>
                </w:p>
              </w:tc>
              <w:tc>
                <w:tcPr>
                  <w:tcW w:w="0" w:type="auto"/>
                  <w:noWrap w:val="0"/>
                  <w:vAlign w:val="center"/>
                </w:tcPr>
                <w:p w14:paraId="625F1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564CD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碳化、气相沉积、陶瓷化</w:t>
                  </w:r>
                </w:p>
              </w:tc>
            </w:tr>
            <w:tr w14:paraId="7026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0" w:type="auto"/>
                  <w:noWrap w:val="0"/>
                  <w:vAlign w:val="center"/>
                </w:tcPr>
                <w:p w14:paraId="6AF50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w:t>
                  </w:r>
                </w:p>
              </w:tc>
              <w:tc>
                <w:tcPr>
                  <w:tcW w:w="0" w:type="auto"/>
                  <w:noWrap w:val="0"/>
                  <w:vAlign w:val="center"/>
                </w:tcPr>
                <w:p w14:paraId="1BF47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天然气</w:t>
                  </w:r>
                </w:p>
              </w:tc>
              <w:tc>
                <w:tcPr>
                  <w:tcW w:w="0" w:type="auto"/>
                  <w:noWrap w:val="0"/>
                  <w:vAlign w:val="center"/>
                </w:tcPr>
                <w:p w14:paraId="4B932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气体</w:t>
                  </w:r>
                </w:p>
              </w:tc>
              <w:tc>
                <w:tcPr>
                  <w:tcW w:w="0" w:type="auto"/>
                  <w:noWrap w:val="0"/>
                  <w:vAlign w:val="center"/>
                </w:tcPr>
                <w:p w14:paraId="6304B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0" w:type="auto"/>
                  <w:noWrap w:val="0"/>
                  <w:vAlign w:val="center"/>
                </w:tcPr>
                <w:p w14:paraId="3733EE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100000</w:t>
                  </w:r>
                </w:p>
              </w:tc>
              <w:tc>
                <w:tcPr>
                  <w:tcW w:w="0" w:type="auto"/>
                  <w:noWrap w:val="0"/>
                  <w:vAlign w:val="center"/>
                </w:tcPr>
                <w:p w14:paraId="4F919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Nm</w:t>
                  </w:r>
                  <w:r>
                    <w:rPr>
                      <w:rFonts w:hint="eastAsia" w:cs="Times New Roman"/>
                      <w:bCs/>
                      <w:sz w:val="21"/>
                      <w:szCs w:val="21"/>
                      <w:vertAlign w:val="superscript"/>
                      <w:lang w:val="en-US" w:eastAsia="zh-CN"/>
                    </w:rPr>
                    <w:t>3</w:t>
                  </w:r>
                </w:p>
              </w:tc>
              <w:tc>
                <w:tcPr>
                  <w:tcW w:w="0" w:type="auto"/>
                  <w:noWrap w:val="0"/>
                  <w:vAlign w:val="center"/>
                </w:tcPr>
                <w:p w14:paraId="10C53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0" w:type="auto"/>
                  <w:noWrap w:val="0"/>
                  <w:vAlign w:val="center"/>
                </w:tcPr>
                <w:p w14:paraId="5B4AB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0" w:type="auto"/>
                  <w:noWrap w:val="0"/>
                  <w:vAlign w:val="center"/>
                </w:tcPr>
                <w:p w14:paraId="5CAFC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0" w:type="auto"/>
                  <w:noWrap w:val="0"/>
                  <w:vAlign w:val="center"/>
                </w:tcPr>
                <w:p w14:paraId="40A6A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气相沉积</w:t>
                  </w:r>
                </w:p>
              </w:tc>
            </w:tr>
            <w:tr w14:paraId="1D26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0" w:type="auto"/>
                  <w:noWrap w:val="0"/>
                  <w:vAlign w:val="center"/>
                </w:tcPr>
                <w:p w14:paraId="2BE51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p>
              </w:tc>
              <w:tc>
                <w:tcPr>
                  <w:tcW w:w="0" w:type="auto"/>
                  <w:noWrap w:val="0"/>
                  <w:vAlign w:val="center"/>
                </w:tcPr>
                <w:p w14:paraId="3C614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硅单质</w:t>
                  </w:r>
                </w:p>
              </w:tc>
              <w:tc>
                <w:tcPr>
                  <w:tcW w:w="0" w:type="auto"/>
                  <w:noWrap w:val="0"/>
                  <w:vAlign w:val="center"/>
                </w:tcPr>
                <w:p w14:paraId="1149D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颗粒</w:t>
                  </w:r>
                </w:p>
              </w:tc>
              <w:tc>
                <w:tcPr>
                  <w:tcW w:w="0" w:type="auto"/>
                  <w:noWrap w:val="0"/>
                  <w:vAlign w:val="center"/>
                </w:tcPr>
                <w:p w14:paraId="4FBDD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15.6</w:t>
                  </w:r>
                </w:p>
              </w:tc>
              <w:tc>
                <w:tcPr>
                  <w:tcW w:w="0" w:type="auto"/>
                  <w:noWrap w:val="0"/>
                  <w:vAlign w:val="center"/>
                </w:tcPr>
                <w:p w14:paraId="005D3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60</w:t>
                  </w:r>
                </w:p>
              </w:tc>
              <w:tc>
                <w:tcPr>
                  <w:tcW w:w="0" w:type="auto"/>
                  <w:shd w:val="clear" w:color="auto" w:fill="auto"/>
                  <w:noWrap w:val="0"/>
                  <w:vAlign w:val="center"/>
                </w:tcPr>
                <w:p w14:paraId="0B579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t</w:t>
                  </w:r>
                </w:p>
              </w:tc>
              <w:tc>
                <w:tcPr>
                  <w:tcW w:w="0" w:type="auto"/>
                  <w:noWrap w:val="0"/>
                  <w:vAlign w:val="center"/>
                </w:tcPr>
                <w:p w14:paraId="7D2AF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袋装</w:t>
                  </w:r>
                </w:p>
              </w:tc>
              <w:tc>
                <w:tcPr>
                  <w:tcW w:w="0" w:type="auto"/>
                  <w:noWrap w:val="0"/>
                  <w:vAlign w:val="center"/>
                </w:tcPr>
                <w:p w14:paraId="5BB57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r>
                    <w:rPr>
                      <w:rFonts w:hint="eastAsia" w:cs="Times New Roman"/>
                      <w:bCs/>
                      <w:sz w:val="21"/>
                      <w:szCs w:val="21"/>
                      <w:lang w:val="en-US" w:eastAsia="zh-CN"/>
                    </w:rPr>
                    <w:t>kg</w:t>
                  </w:r>
                </w:p>
              </w:tc>
              <w:tc>
                <w:tcPr>
                  <w:tcW w:w="0" w:type="auto"/>
                  <w:noWrap w:val="0"/>
                  <w:vAlign w:val="center"/>
                </w:tcPr>
                <w:p w14:paraId="61F63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68122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熔融渗硅</w:t>
                  </w:r>
                </w:p>
              </w:tc>
            </w:tr>
            <w:tr w14:paraId="0131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0" w:type="auto"/>
                  <w:noWrap w:val="0"/>
                  <w:vAlign w:val="center"/>
                </w:tcPr>
                <w:p w14:paraId="6528E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11</w:t>
                  </w:r>
                </w:p>
              </w:tc>
              <w:tc>
                <w:tcPr>
                  <w:tcW w:w="0" w:type="auto"/>
                  <w:noWrap w:val="0"/>
                  <w:vAlign w:val="center"/>
                </w:tcPr>
                <w:p w14:paraId="222F9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切削液</w:t>
                  </w:r>
                </w:p>
              </w:tc>
              <w:tc>
                <w:tcPr>
                  <w:tcW w:w="0" w:type="auto"/>
                  <w:noWrap w:val="0"/>
                  <w:vAlign w:val="center"/>
                </w:tcPr>
                <w:p w14:paraId="4B12C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液体</w:t>
                  </w:r>
                </w:p>
              </w:tc>
              <w:tc>
                <w:tcPr>
                  <w:tcW w:w="0" w:type="auto"/>
                  <w:noWrap w:val="0"/>
                  <w:vAlign w:val="center"/>
                </w:tcPr>
                <w:p w14:paraId="4CB26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500</w:t>
                  </w:r>
                </w:p>
              </w:tc>
              <w:tc>
                <w:tcPr>
                  <w:tcW w:w="0" w:type="auto"/>
                  <w:noWrap w:val="0"/>
                  <w:vAlign w:val="center"/>
                </w:tcPr>
                <w:p w14:paraId="26CCC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4000</w:t>
                  </w:r>
                </w:p>
              </w:tc>
              <w:tc>
                <w:tcPr>
                  <w:tcW w:w="0" w:type="auto"/>
                  <w:noWrap w:val="0"/>
                  <w:vAlign w:val="center"/>
                </w:tcPr>
                <w:p w14:paraId="6EE89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kg</w:t>
                  </w:r>
                </w:p>
              </w:tc>
              <w:tc>
                <w:tcPr>
                  <w:tcW w:w="0" w:type="auto"/>
                  <w:noWrap w:val="0"/>
                  <w:vAlign w:val="center"/>
                </w:tcPr>
                <w:p w14:paraId="4272D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桶装</w:t>
                  </w:r>
                </w:p>
              </w:tc>
              <w:tc>
                <w:tcPr>
                  <w:tcW w:w="0" w:type="auto"/>
                  <w:noWrap w:val="0"/>
                  <w:vAlign w:val="center"/>
                </w:tcPr>
                <w:p w14:paraId="5FA77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200</w:t>
                  </w:r>
                  <w:r>
                    <w:rPr>
                      <w:rFonts w:hint="eastAsia" w:cs="Times New Roman"/>
                      <w:bCs/>
                      <w:sz w:val="21"/>
                      <w:szCs w:val="21"/>
                      <w:lang w:val="en-US" w:eastAsia="zh-CN"/>
                    </w:rPr>
                    <w:t>kg</w:t>
                  </w:r>
                </w:p>
              </w:tc>
              <w:tc>
                <w:tcPr>
                  <w:tcW w:w="0" w:type="auto"/>
                  <w:noWrap w:val="0"/>
                  <w:vAlign w:val="center"/>
                </w:tcPr>
                <w:p w14:paraId="0B4DF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车间</w:t>
                  </w:r>
                </w:p>
              </w:tc>
              <w:tc>
                <w:tcPr>
                  <w:tcW w:w="0" w:type="auto"/>
                  <w:noWrap w:val="0"/>
                  <w:vAlign w:val="center"/>
                </w:tcPr>
                <w:p w14:paraId="16553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加工</w:t>
                  </w:r>
                </w:p>
              </w:tc>
            </w:tr>
          </w:tbl>
          <w:p w14:paraId="23662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原辅材料物料化学性质：</w:t>
            </w:r>
          </w:p>
          <w:p w14:paraId="6DC7FA30">
            <w:pPr>
              <w:keepNext w:val="0"/>
              <w:keepLines w:val="0"/>
              <w:suppressLineNumbers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表2</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主要原辅材料理化性质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18"/>
              <w:gridCol w:w="6461"/>
            </w:tblGrid>
            <w:tr w14:paraId="6E7E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2EC62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序号</w:t>
                  </w:r>
                </w:p>
              </w:tc>
              <w:tc>
                <w:tcPr>
                  <w:tcW w:w="668" w:type="pct"/>
                  <w:noWrap w:val="0"/>
                  <w:vAlign w:val="center"/>
                </w:tcPr>
                <w:p w14:paraId="48FA7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名称</w:t>
                  </w:r>
                </w:p>
              </w:tc>
              <w:tc>
                <w:tcPr>
                  <w:tcW w:w="3859" w:type="pct"/>
                  <w:noWrap w:val="0"/>
                  <w:vAlign w:val="center"/>
                </w:tcPr>
                <w:p w14:paraId="0D729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理化性质</w:t>
                  </w:r>
                </w:p>
              </w:tc>
            </w:tr>
            <w:tr w14:paraId="44DB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41FC4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1</w:t>
                  </w:r>
                </w:p>
              </w:tc>
              <w:tc>
                <w:tcPr>
                  <w:tcW w:w="668" w:type="pct"/>
                  <w:noWrap w:val="0"/>
                  <w:vAlign w:val="center"/>
                </w:tcPr>
                <w:p w14:paraId="1297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碳纤维</w:t>
                  </w:r>
                </w:p>
              </w:tc>
              <w:tc>
                <w:tcPr>
                  <w:tcW w:w="3859" w:type="pct"/>
                  <w:noWrap w:val="0"/>
                  <w:vAlign w:val="center"/>
                </w:tcPr>
                <w:p w14:paraId="3AB0B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由碳元素组成的一种特种纤维。具有耐高温、抗摩擦、导电、导热及耐腐蚀等特性 外形呈纤维状、柔软、可加工成各种织物，由于其石墨微晶结构沿纤维轴择优取向，因此沿纤维轴方向有很高的强度和模量。碳纤维的密度小，因此比强度和比模量高。碳纤维的主要用途是作为增强材料与树脂、金属、陶瓷及炭等复合,制造先进复合材料。碳纤维增强环氧树脂复合材料，其比强度及比模量在工程材料中是最高的。</w:t>
                  </w:r>
                </w:p>
              </w:tc>
            </w:tr>
            <w:tr w14:paraId="370A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72" w:type="pct"/>
                  <w:noWrap w:val="0"/>
                  <w:vAlign w:val="center"/>
                </w:tcPr>
                <w:p w14:paraId="45ECB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2</w:t>
                  </w:r>
                </w:p>
              </w:tc>
              <w:tc>
                <w:tcPr>
                  <w:tcW w:w="668" w:type="pct"/>
                  <w:noWrap w:val="0"/>
                  <w:vAlign w:val="center"/>
                </w:tcPr>
                <w:p w14:paraId="7A795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酚醛树脂</w:t>
                  </w:r>
                </w:p>
              </w:tc>
              <w:tc>
                <w:tcPr>
                  <w:tcW w:w="3859" w:type="pct"/>
                  <w:noWrap w:val="0"/>
                  <w:vAlign w:val="center"/>
                </w:tcPr>
                <w:p w14:paraId="3B1DA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固体酚醛树脂为黄色、透明、无定形块状物质，因含有游离酚而呈微红色，实体的比重平均1.7左右，易溶于醇，对水、弱酸、弱碱溶液稳定。由苯酚和甲醛在催化剂条件下缩聚、经中和、水洗而制成的树脂。因选用催化剂的不同，可分为热固性和热塑性两类。酚醛树脂具有良好的耐酸性能、力学性能、耐热性能，广泛应用于防腐蚀工程、胶粘剂、阻燃材料、砂轮片制造等行业。</w:t>
                  </w:r>
                </w:p>
              </w:tc>
            </w:tr>
            <w:tr w14:paraId="4A16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72" w:type="pct"/>
                  <w:noWrap w:val="0"/>
                  <w:vAlign w:val="center"/>
                </w:tcPr>
                <w:p w14:paraId="02DE5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eastAsia="zh-CN"/>
                    </w:rPr>
                  </w:pPr>
                  <w:r>
                    <w:rPr>
                      <w:rFonts w:hint="eastAsia" w:cs="Times New Roman"/>
                      <w:bCs/>
                      <w:sz w:val="21"/>
                      <w:szCs w:val="21"/>
                      <w:lang w:val="en-US" w:eastAsia="zh-CN"/>
                    </w:rPr>
                    <w:t>3</w:t>
                  </w:r>
                </w:p>
              </w:tc>
              <w:tc>
                <w:tcPr>
                  <w:tcW w:w="668" w:type="pct"/>
                  <w:noWrap w:val="0"/>
                  <w:vAlign w:val="center"/>
                </w:tcPr>
                <w:p w14:paraId="40469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液压油</w:t>
                  </w:r>
                </w:p>
              </w:tc>
              <w:tc>
                <w:tcPr>
                  <w:tcW w:w="3859" w:type="pct"/>
                  <w:noWrap w:val="0"/>
                  <w:vAlign w:val="center"/>
                </w:tcPr>
                <w:p w14:paraId="19E90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eastAsia="zh-CN"/>
                    </w:rPr>
                  </w:pPr>
                  <w:r>
                    <w:rPr>
                      <w:rFonts w:hint="default"/>
                      <w:color w:val="000000"/>
                      <w:kern w:val="0"/>
                    </w:rPr>
                    <w:t>琥珀色液体，沸点＞290℃，闪点：222℃，密度：869</w:t>
                  </w:r>
                  <w:r>
                    <w:rPr>
                      <w:rFonts w:hint="eastAsia"/>
                      <w:color w:val="000000"/>
                      <w:kern w:val="0"/>
                      <w:lang w:eastAsia="zh-CN"/>
                    </w:rPr>
                    <w:t>kg</w:t>
                  </w:r>
                  <w:r>
                    <w:rPr>
                      <w:rFonts w:hint="default"/>
                      <w:color w:val="000000"/>
                      <w:kern w:val="0"/>
                    </w:rPr>
                    <w:t>/m</w:t>
                  </w:r>
                  <w:r>
                    <w:rPr>
                      <w:rFonts w:hint="default"/>
                      <w:color w:val="000000"/>
                      <w:kern w:val="0"/>
                      <w:vertAlign w:val="superscript"/>
                    </w:rPr>
                    <w:t>3</w:t>
                  </w:r>
                  <w:r>
                    <w:rPr>
                      <w:rFonts w:hint="default"/>
                      <w:color w:val="000000"/>
                      <w:kern w:val="0"/>
                    </w:rPr>
                    <w:t>。</w:t>
                  </w:r>
                </w:p>
              </w:tc>
            </w:tr>
            <w:tr w14:paraId="1D2D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58DE2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4</w:t>
                  </w:r>
                </w:p>
              </w:tc>
              <w:tc>
                <w:tcPr>
                  <w:tcW w:w="668" w:type="pct"/>
                  <w:noWrap w:val="0"/>
                  <w:vAlign w:val="center"/>
                </w:tcPr>
                <w:p w14:paraId="5A943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真空泵油</w:t>
                  </w:r>
                </w:p>
              </w:tc>
              <w:tc>
                <w:tcPr>
                  <w:tcW w:w="3859" w:type="pct"/>
                  <w:noWrap w:val="0"/>
                  <w:vAlign w:val="center"/>
                </w:tcPr>
                <w:p w14:paraId="2A6EA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真空泵内起到润滑、密封作用的润滑油，可分为矿物油与合成油两大类，为满足真空泵工作需要，此类润滑油通常具备氧化稳定性高，防锈防腐蚀性强，油水分离迅速、蒸汽压低等特点。</w:t>
                  </w:r>
                </w:p>
              </w:tc>
            </w:tr>
            <w:tr w14:paraId="12EB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20DB7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5</w:t>
                  </w:r>
                </w:p>
              </w:tc>
              <w:tc>
                <w:tcPr>
                  <w:tcW w:w="668" w:type="pct"/>
                  <w:noWrap w:val="0"/>
                  <w:vAlign w:val="center"/>
                </w:tcPr>
                <w:p w14:paraId="48849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氩气</w:t>
                  </w:r>
                </w:p>
              </w:tc>
              <w:tc>
                <w:tcPr>
                  <w:tcW w:w="3859" w:type="pct"/>
                  <w:noWrap w:val="0"/>
                  <w:vAlign w:val="center"/>
                </w:tcPr>
                <w:p w14:paraId="3D23F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氩气是一种无色、无味的单原子气体，相对原子质量为39.948。一般由空气液化后，用分馏法制取氩气。氩气的密度是空气的1.4倍，是氦气的10倍。氩气是一种惰性气体。</w:t>
                  </w:r>
                </w:p>
              </w:tc>
            </w:tr>
            <w:tr w14:paraId="2D30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47A4D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6</w:t>
                  </w:r>
                </w:p>
              </w:tc>
              <w:tc>
                <w:tcPr>
                  <w:tcW w:w="668" w:type="pct"/>
                  <w:noWrap w:val="0"/>
                  <w:vAlign w:val="center"/>
                </w:tcPr>
                <w:p w14:paraId="2A94E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氮气</w:t>
                  </w:r>
                </w:p>
              </w:tc>
              <w:tc>
                <w:tcPr>
                  <w:tcW w:w="3859" w:type="pct"/>
                  <w:noWrap w:val="0"/>
                  <w:vAlign w:val="center"/>
                </w:tcPr>
                <w:p w14:paraId="46B1B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无色无味气体。熔点-209.8°C，本相对密度(水=1)0.81，相对密度(空气=1)0.97，沸点-195.6℃℃，饱和蒸汽压(kPa)1026.421-1739C溶 解性:微溶于水、乙醇。</w:t>
                  </w:r>
                </w:p>
              </w:tc>
            </w:tr>
            <w:tr w14:paraId="3871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6C1AB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7</w:t>
                  </w:r>
                </w:p>
              </w:tc>
              <w:tc>
                <w:tcPr>
                  <w:tcW w:w="668" w:type="pct"/>
                  <w:noWrap w:val="0"/>
                  <w:vAlign w:val="center"/>
                </w:tcPr>
                <w:p w14:paraId="24C22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天然气</w:t>
                  </w:r>
                </w:p>
              </w:tc>
              <w:tc>
                <w:tcPr>
                  <w:tcW w:w="3859" w:type="pct"/>
                  <w:noWrap w:val="0"/>
                  <w:vAlign w:val="center"/>
                </w:tcPr>
                <w:p w14:paraId="35F3E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主要成分烷烃，其中甲烷占绝大多数，另有少量的乙烷、丙烷和丁烷，此外一般有二氧化碳、氮和水气和少量一氧化碳及微量的稀有气体，如氮和氩等。天然气不溶于水，密度为0.7</w:t>
                  </w:r>
                  <w:r>
                    <w:rPr>
                      <w:rFonts w:hint="eastAsia" w:cs="Times New Roman"/>
                      <w:bCs/>
                      <w:sz w:val="21"/>
                      <w:szCs w:val="21"/>
                      <w:lang w:val="en-US" w:eastAsia="zh-CN"/>
                    </w:rPr>
                    <w:t>kg</w:t>
                  </w:r>
                  <w:r>
                    <w:rPr>
                      <w:rFonts w:hint="eastAsia" w:ascii="Times New Roman" w:hAnsi="Times New Roman" w:eastAsia="宋体" w:cs="Times New Roman"/>
                      <w:bCs/>
                      <w:sz w:val="21"/>
                      <w:szCs w:val="21"/>
                      <w:lang w:val="en-US" w:eastAsia="zh-CN"/>
                    </w:rPr>
                    <w:t>/Nm</w:t>
                  </w:r>
                  <w:r>
                    <w:rPr>
                      <w:rFonts w:hint="eastAsia" w:cs="Times New Roman"/>
                      <w:bCs/>
                      <w:sz w:val="21"/>
                      <w:szCs w:val="21"/>
                      <w:vertAlign w:val="superscript"/>
                      <w:lang w:val="en-US" w:eastAsia="zh-CN"/>
                    </w:rPr>
                    <w:t>3</w:t>
                  </w:r>
                  <w:r>
                    <w:rPr>
                      <w:rFonts w:hint="eastAsia" w:ascii="Times New Roman" w:hAnsi="Times New Roman" w:eastAsia="宋体" w:cs="Times New Roman"/>
                      <w:bCs/>
                      <w:sz w:val="21"/>
                      <w:szCs w:val="21"/>
                      <w:lang w:val="en-US" w:eastAsia="zh-CN"/>
                    </w:rPr>
                    <w:t>，相对密度(水)为0.45（液化）燃点（℃）为650，爆炸极限（V%）为5-15。本项目利用天然气中甲烷作为碳源，在碳纤维预制坯构成的骨架上沉积碳单质，形成碳复合材料。</w:t>
                  </w:r>
                </w:p>
              </w:tc>
            </w:tr>
            <w:tr w14:paraId="47F1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35312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8</w:t>
                  </w:r>
                </w:p>
              </w:tc>
              <w:tc>
                <w:tcPr>
                  <w:tcW w:w="668" w:type="pct"/>
                  <w:noWrap w:val="0"/>
                  <w:vAlign w:val="center"/>
                </w:tcPr>
                <w:p w14:paraId="7CA97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硅单质</w:t>
                  </w:r>
                </w:p>
              </w:tc>
              <w:tc>
                <w:tcPr>
                  <w:tcW w:w="3859" w:type="pct"/>
                  <w:noWrap w:val="0"/>
                  <w:vAlign w:val="center"/>
                </w:tcPr>
                <w:p w14:paraId="686AD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外观为白色，灰色，黑色、耐火度&gt;1600℃。容重:200~250千克/立方米。也可加密到 300-750 千克每立方。</w:t>
                  </w:r>
                </w:p>
              </w:tc>
            </w:tr>
            <w:tr w14:paraId="4137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3271C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eastAsia="zh-CN"/>
                    </w:rPr>
                    <w:t>9</w:t>
                  </w:r>
                </w:p>
              </w:tc>
              <w:tc>
                <w:tcPr>
                  <w:tcW w:w="668" w:type="pct"/>
                  <w:noWrap w:val="0"/>
                  <w:vAlign w:val="center"/>
                </w:tcPr>
                <w:p w14:paraId="4DB9F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切削液</w:t>
                  </w:r>
                </w:p>
              </w:tc>
              <w:tc>
                <w:tcPr>
                  <w:tcW w:w="3859" w:type="pct"/>
                  <w:noWrap w:val="0"/>
                  <w:vAlign w:val="center"/>
                </w:tcPr>
                <w:p w14:paraId="495B1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bCs/>
                      <w:sz w:val="21"/>
                      <w:szCs w:val="21"/>
                      <w:lang w:val="en-US" w:eastAsia="zh-CN"/>
                    </w:rPr>
                  </w:pPr>
                  <w:r>
                    <w:rPr>
                      <w:rFonts w:hint="eastAsia"/>
                      <w:color w:val="auto"/>
                      <w:szCs w:val="21"/>
                    </w:rPr>
                    <w:t>切削液</w:t>
                  </w:r>
                  <w:r>
                    <w:rPr>
                      <w:rFonts w:hint="default"/>
                      <w:color w:val="auto"/>
                      <w:szCs w:val="21"/>
                    </w:rPr>
                    <w:t>是一种用在切削、磨加工过程中，用来冷却和润滑</w:t>
                  </w:r>
                  <w:r>
                    <w:rPr>
                      <w:rFonts w:hint="default"/>
                      <w:color w:val="auto"/>
                      <w:szCs w:val="21"/>
                    </w:rPr>
                    <w:fldChar w:fldCharType="begin"/>
                  </w:r>
                  <w:r>
                    <w:rPr>
                      <w:rFonts w:hint="default"/>
                      <w:color w:val="auto"/>
                      <w:szCs w:val="21"/>
                    </w:rPr>
                    <w:instrText xml:space="preserve"> HYPERLINK "http://baike.baidu.com/view/26232.htm" </w:instrText>
                  </w:r>
                  <w:r>
                    <w:rPr>
                      <w:rFonts w:hint="default"/>
                      <w:color w:val="auto"/>
                      <w:szCs w:val="21"/>
                    </w:rPr>
                    <w:fldChar w:fldCharType="separate"/>
                  </w:r>
                  <w:r>
                    <w:rPr>
                      <w:rFonts w:hint="default"/>
                      <w:color w:val="auto"/>
                      <w:szCs w:val="21"/>
                    </w:rPr>
                    <w:t>刀具</w:t>
                  </w:r>
                  <w:r>
                    <w:rPr>
                      <w:rFonts w:hint="default"/>
                      <w:color w:val="auto"/>
                      <w:szCs w:val="21"/>
                    </w:rPr>
                    <w:fldChar w:fldCharType="end"/>
                  </w:r>
                  <w:r>
                    <w:rPr>
                      <w:rFonts w:hint="default"/>
                      <w:color w:val="auto"/>
                      <w:szCs w:val="21"/>
                    </w:rPr>
                    <w:t>和加工件的工业用液体，同时具备良好的冷却</w:t>
                  </w:r>
                  <w:r>
                    <w:rPr>
                      <w:rFonts w:hint="eastAsia"/>
                      <w:color w:val="auto"/>
                      <w:szCs w:val="21"/>
                    </w:rPr>
                    <w:t>、</w:t>
                  </w:r>
                  <w:r>
                    <w:rPr>
                      <w:rFonts w:hint="default"/>
                      <w:color w:val="auto"/>
                      <w:szCs w:val="21"/>
                    </w:rPr>
                    <w:t>润滑、防锈</w:t>
                  </w:r>
                  <w:r>
                    <w:rPr>
                      <w:rFonts w:hint="eastAsia"/>
                      <w:color w:val="auto"/>
                      <w:szCs w:val="21"/>
                    </w:rPr>
                    <w:t>、防腐蚀</w:t>
                  </w:r>
                  <w:r>
                    <w:rPr>
                      <w:rFonts w:hint="default"/>
                      <w:color w:val="auto"/>
                      <w:szCs w:val="21"/>
                    </w:rPr>
                    <w:t>性能</w:t>
                  </w:r>
                  <w:r>
                    <w:rPr>
                      <w:rFonts w:hint="eastAsia"/>
                      <w:color w:val="auto"/>
                      <w:szCs w:val="21"/>
                    </w:rPr>
                    <w:t>等</w:t>
                  </w:r>
                  <w:r>
                    <w:rPr>
                      <w:rFonts w:hint="default"/>
                      <w:color w:val="auto"/>
                      <w:szCs w:val="21"/>
                    </w:rPr>
                    <w:t>特点。本项目切削液为水溶液切削液，颜色为浅绿色，呈液体状，主要成分为水、丙三醇（C</w:t>
                  </w:r>
                  <w:r>
                    <w:rPr>
                      <w:rFonts w:hint="default"/>
                      <w:color w:val="auto"/>
                      <w:szCs w:val="21"/>
                      <w:vertAlign w:val="subscript"/>
                    </w:rPr>
                    <w:t>3</w:t>
                  </w:r>
                  <w:r>
                    <w:rPr>
                      <w:rFonts w:hint="default"/>
                      <w:color w:val="auto"/>
                      <w:szCs w:val="21"/>
                    </w:rPr>
                    <w:t>H</w:t>
                  </w:r>
                  <w:r>
                    <w:rPr>
                      <w:rFonts w:hint="default"/>
                      <w:color w:val="auto"/>
                      <w:szCs w:val="21"/>
                      <w:vertAlign w:val="subscript"/>
                    </w:rPr>
                    <w:t>8</w:t>
                  </w:r>
                  <w:r>
                    <w:rPr>
                      <w:rFonts w:hint="default"/>
                      <w:color w:val="auto"/>
                      <w:szCs w:val="21"/>
                    </w:rPr>
                    <w:t>O</w:t>
                  </w:r>
                  <w:r>
                    <w:rPr>
                      <w:rFonts w:hint="default"/>
                      <w:color w:val="auto"/>
                      <w:szCs w:val="21"/>
                      <w:vertAlign w:val="subscript"/>
                    </w:rPr>
                    <w:t>3</w:t>
                  </w:r>
                  <w:r>
                    <w:rPr>
                      <w:rFonts w:hint="default"/>
                      <w:color w:val="auto"/>
                      <w:szCs w:val="21"/>
                    </w:rPr>
                    <w:t>），常温下稳定</w:t>
                  </w:r>
                  <w:r>
                    <w:rPr>
                      <w:rFonts w:hint="eastAsia"/>
                      <w:color w:val="auto"/>
                      <w:szCs w:val="21"/>
                    </w:rPr>
                    <w:t>，</w:t>
                  </w:r>
                  <w:r>
                    <w:rPr>
                      <w:rFonts w:hint="default"/>
                      <w:color w:val="auto"/>
                      <w:szCs w:val="21"/>
                    </w:rPr>
                    <w:t>密度＞1.0g/m</w:t>
                  </w:r>
                  <w:r>
                    <w:rPr>
                      <w:rFonts w:hint="default"/>
                      <w:color w:val="auto"/>
                      <w:szCs w:val="21"/>
                      <w:vertAlign w:val="superscript"/>
                    </w:rPr>
                    <w:t>3</w:t>
                  </w:r>
                  <w:r>
                    <w:rPr>
                      <w:rFonts w:hint="default"/>
                      <w:color w:val="auto"/>
                      <w:szCs w:val="21"/>
                    </w:rPr>
                    <w:t>，与水完全相容，主要作为冷却和润滑刀具和加工件的工业用液体，</w:t>
                  </w:r>
                  <w:r>
                    <w:rPr>
                      <w:rFonts w:hint="default"/>
                      <w:color w:val="auto"/>
                      <w:spacing w:val="8"/>
                      <w:szCs w:val="21"/>
                    </w:rPr>
                    <w:t>沸点为76℃。</w:t>
                  </w:r>
                </w:p>
              </w:tc>
            </w:tr>
          </w:tbl>
          <w:p w14:paraId="35A33E70">
            <w:pPr>
              <w:keepNext w:val="0"/>
              <w:keepLines w:val="0"/>
              <w:suppressLineNumbers w:val="0"/>
              <w:adjustRightInd w:val="0"/>
              <w:snapToGrid w:val="0"/>
              <w:spacing w:before="0" w:beforeAutospacing="0" w:after="0" w:afterAutospacing="0" w:line="460" w:lineRule="exact"/>
              <w:ind w:left="0" w:right="0" w:firstLine="482" w:firstLineChars="200"/>
              <w:rPr>
                <w:rFonts w:hint="default" w:ascii="Times New Roman" w:hAnsi="Times New Roman" w:eastAsia="宋体" w:cs="Times New Roman"/>
                <w:b/>
                <w:bCs/>
                <w:color w:val="auto"/>
                <w:kern w:val="21"/>
                <w:sz w:val="24"/>
              </w:rPr>
            </w:pPr>
            <w:r>
              <w:rPr>
                <w:rFonts w:hint="eastAsia" w:ascii="Times New Roman" w:hAnsi="Times New Roman" w:eastAsia="宋体" w:cs="Times New Roman"/>
                <w:b/>
                <w:bCs/>
                <w:color w:val="auto"/>
                <w:kern w:val="21"/>
                <w:sz w:val="24"/>
              </w:rPr>
              <w:t>六、水平衡</w:t>
            </w:r>
          </w:p>
          <w:p w14:paraId="4E4530AD">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宋体"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本项目用水环节主要为职工生活用水</w:t>
            </w:r>
            <w:r>
              <w:rPr>
                <w:rFonts w:hint="eastAsia" w:cs="Times New Roman"/>
                <w:color w:val="auto"/>
                <w:kern w:val="21"/>
                <w:sz w:val="24"/>
                <w:lang w:val="en-US" w:eastAsia="zh-CN"/>
              </w:rPr>
              <w:t>与循环冷却塔补充用水</w:t>
            </w:r>
            <w:r>
              <w:rPr>
                <w:rFonts w:hint="default" w:ascii="Times New Roman" w:hAnsi="Times New Roman" w:eastAsia="宋体" w:cs="Times New Roman"/>
                <w:color w:val="auto"/>
                <w:kern w:val="21"/>
                <w:sz w:val="24"/>
                <w:lang w:val="en-US" w:eastAsia="zh-CN"/>
              </w:rPr>
              <w:t>。</w:t>
            </w:r>
          </w:p>
          <w:p w14:paraId="4888BB35">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宋体"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项目用水及排水情况</w:t>
            </w:r>
          </w:p>
          <w:p w14:paraId="3BBD66B7">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宋体"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1、员工生活用水与生活污水</w:t>
            </w:r>
          </w:p>
          <w:p w14:paraId="1E77DAFA">
            <w:pPr>
              <w:keepNext w:val="0"/>
              <w:keepLines w:val="0"/>
              <w:suppressLineNumbers w:val="0"/>
              <w:adjustRightInd w:val="0"/>
              <w:snapToGrid w:val="0"/>
              <w:spacing w:before="0" w:beforeAutospacing="0" w:after="0" w:afterAutospacing="0" w:line="460" w:lineRule="exact"/>
              <w:ind w:left="0" w:right="0" w:firstLine="480" w:firstLineChars="200"/>
              <w:rPr>
                <w:rFonts w:hint="eastAsia"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本项目年工作300天，新增劳动定员</w:t>
            </w:r>
            <w:r>
              <w:rPr>
                <w:rFonts w:hint="eastAsia" w:cs="Times New Roman"/>
                <w:color w:val="auto"/>
                <w:kern w:val="21"/>
                <w:sz w:val="24"/>
                <w:lang w:val="en-US" w:eastAsia="zh-CN"/>
              </w:rPr>
              <w:t>8</w:t>
            </w:r>
            <w:r>
              <w:rPr>
                <w:rFonts w:hint="default" w:ascii="Times New Roman" w:hAnsi="Times New Roman" w:eastAsia="宋体" w:cs="Times New Roman"/>
                <w:color w:val="auto"/>
                <w:kern w:val="21"/>
                <w:sz w:val="24"/>
                <w:lang w:val="en-US" w:eastAsia="zh-CN"/>
              </w:rPr>
              <w:t>0人，不提供食宿，《安徽省行业用水定额》（DB34/T679-20</w:t>
            </w:r>
            <w:r>
              <w:rPr>
                <w:rFonts w:hint="eastAsia" w:cs="Times New Roman"/>
                <w:color w:val="auto"/>
                <w:kern w:val="21"/>
                <w:sz w:val="24"/>
                <w:lang w:val="en-US" w:eastAsia="zh-CN"/>
              </w:rPr>
              <w:t>25</w:t>
            </w:r>
            <w:r>
              <w:rPr>
                <w:rFonts w:hint="default" w:ascii="Times New Roman" w:hAnsi="Times New Roman" w:eastAsia="宋体" w:cs="Times New Roman"/>
                <w:color w:val="auto"/>
                <w:kern w:val="21"/>
                <w:sz w:val="24"/>
                <w:lang w:val="en-US" w:eastAsia="zh-CN"/>
              </w:rPr>
              <w:t>）中的相关规定</w:t>
            </w:r>
            <w:r>
              <w:rPr>
                <w:rFonts w:hint="eastAsia" w:cs="Times New Roman"/>
                <w:color w:val="auto"/>
                <w:kern w:val="21"/>
                <w:sz w:val="24"/>
                <w:lang w:val="en-US" w:eastAsia="zh-CN"/>
              </w:rPr>
              <w:t>，</w:t>
            </w:r>
            <w:r>
              <w:rPr>
                <w:rFonts w:hint="default" w:ascii="Times New Roman" w:hAnsi="Times New Roman" w:eastAsia="宋体" w:cs="Times New Roman"/>
                <w:color w:val="auto"/>
                <w:kern w:val="21"/>
                <w:sz w:val="24"/>
                <w:lang w:val="en-US" w:eastAsia="zh-CN"/>
              </w:rPr>
              <w:t>人均用水量按50 L/人·天计，则项目生活用水量为，</w:t>
            </w:r>
            <w:r>
              <w:rPr>
                <w:rFonts w:hint="eastAsia" w:cs="Times New Roman"/>
                <w:color w:val="auto"/>
                <w:kern w:val="21"/>
                <w:sz w:val="24"/>
                <w:lang w:val="en-US" w:eastAsia="zh-CN"/>
              </w:rPr>
              <w:t>4</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/d，即</w:t>
            </w:r>
            <w:r>
              <w:rPr>
                <w:rFonts w:hint="eastAsia" w:cs="Times New Roman"/>
                <w:color w:val="auto"/>
                <w:kern w:val="21"/>
                <w:sz w:val="24"/>
                <w:lang w:val="en-US" w:eastAsia="zh-CN"/>
              </w:rPr>
              <w:t>12</w:t>
            </w:r>
            <w:r>
              <w:rPr>
                <w:rFonts w:hint="default" w:ascii="Times New Roman" w:hAnsi="Times New Roman" w:eastAsia="宋体" w:cs="Times New Roman"/>
                <w:color w:val="auto"/>
                <w:kern w:val="21"/>
                <w:sz w:val="24"/>
                <w:lang w:val="en-US" w:eastAsia="zh-CN"/>
              </w:rPr>
              <w:t>00m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/a，废水产生量按用水量的80%计，则生活污水产生量为</w:t>
            </w:r>
            <w:r>
              <w:rPr>
                <w:rFonts w:hint="eastAsia" w:cs="Times New Roman"/>
                <w:color w:val="auto"/>
                <w:kern w:val="21"/>
                <w:sz w:val="24"/>
                <w:lang w:val="en-US" w:eastAsia="zh-CN"/>
              </w:rPr>
              <w:t>3.2</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/d，即</w:t>
            </w:r>
            <w:r>
              <w:rPr>
                <w:rFonts w:hint="eastAsia" w:cs="Times New Roman"/>
                <w:color w:val="auto"/>
                <w:kern w:val="21"/>
                <w:sz w:val="24"/>
                <w:lang w:val="en-US" w:eastAsia="zh-CN"/>
              </w:rPr>
              <w:t>96</w:t>
            </w:r>
            <w:r>
              <w:rPr>
                <w:rFonts w:hint="default" w:ascii="Times New Roman" w:hAnsi="Times New Roman" w:eastAsia="宋体" w:cs="Times New Roman"/>
                <w:color w:val="auto"/>
                <w:kern w:val="21"/>
                <w:sz w:val="24"/>
                <w:lang w:val="en-US" w:eastAsia="zh-CN"/>
              </w:rPr>
              <w:t>0m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/a。生活污水经化粪池收集后，排入园区污水管网，进入龙湖污水处理厂集中处理后达标排放</w:t>
            </w:r>
            <w:r>
              <w:rPr>
                <w:rFonts w:hint="eastAsia" w:cs="Times New Roman"/>
                <w:color w:val="auto"/>
                <w:kern w:val="21"/>
                <w:sz w:val="24"/>
                <w:lang w:val="en-US" w:eastAsia="zh-CN"/>
              </w:rPr>
              <w:t>。</w:t>
            </w:r>
          </w:p>
          <w:p w14:paraId="2DA32C77">
            <w:pPr>
              <w:keepNext w:val="0"/>
              <w:keepLines w:val="0"/>
              <w:numPr>
                <w:ilvl w:val="0"/>
                <w:numId w:val="2"/>
              </w:numPr>
              <w:suppressLineNumbers w:val="0"/>
              <w:adjustRightInd w:val="0"/>
              <w:snapToGrid w:val="0"/>
              <w:spacing w:before="0" w:beforeAutospacing="0" w:after="0" w:afterAutospacing="0" w:line="460" w:lineRule="exact"/>
              <w:ind w:left="0" w:right="0" w:firstLine="480" w:firstLineChars="200"/>
              <w:rPr>
                <w:rFonts w:hint="eastAsia" w:cs="Times New Roman"/>
                <w:color w:val="auto"/>
                <w:kern w:val="21"/>
                <w:sz w:val="24"/>
                <w:lang w:val="en-US" w:eastAsia="zh-CN"/>
              </w:rPr>
            </w:pPr>
            <w:r>
              <w:rPr>
                <w:rFonts w:hint="eastAsia" w:cs="Times New Roman"/>
                <w:color w:val="auto"/>
                <w:kern w:val="21"/>
                <w:sz w:val="24"/>
                <w:lang w:val="en-US" w:eastAsia="zh-CN"/>
              </w:rPr>
              <w:t>循环冷却塔补充用水与排水</w:t>
            </w:r>
          </w:p>
          <w:p w14:paraId="74CECB88">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eastAsia" w:ascii="Times New Roman" w:hAnsi="Times New Roman" w:eastAsia="宋体" w:cs="Times New Roman"/>
                <w:color w:val="auto"/>
                <w:kern w:val="21"/>
                <w:sz w:val="24"/>
                <w:lang w:val="zh-CN" w:eastAsia="zh-CN"/>
              </w:rPr>
            </w:pPr>
            <w:r>
              <w:rPr>
                <w:rFonts w:hint="eastAsia" w:cs="Times New Roman"/>
                <w:color w:val="auto"/>
                <w:kern w:val="21"/>
                <w:sz w:val="24"/>
                <w:lang w:val="en-US" w:eastAsia="zh-CN"/>
              </w:rPr>
              <w:t>拟建项目冷却水主要为设备间接冷却水，冷却水循环使用，定期补充，所需循环水量为350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h，根据《</w:t>
            </w:r>
            <w:r>
              <w:rPr>
                <w:rFonts w:hint="eastAsia" w:cs="Times New Roman"/>
                <w:color w:val="auto"/>
                <w:kern w:val="21"/>
                <w:sz w:val="24"/>
                <w:lang w:val="en-US" w:eastAsia="zh-CN"/>
              </w:rPr>
              <w:t>工业循环冷却水处理设计规范》(GB/T50050-2017)，循环水系统补充水量为4.55</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w:t>
            </w:r>
            <w:r>
              <w:rPr>
                <w:rFonts w:hint="eastAsia" w:cs="Times New Roman"/>
                <w:color w:val="auto"/>
                <w:kern w:val="21"/>
                <w:sz w:val="24"/>
                <w:lang w:val="en-US" w:eastAsia="zh-CN"/>
              </w:rPr>
              <w:t>，补充水量为109.2</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d</w:t>
            </w:r>
            <w:r>
              <w:rPr>
                <w:rFonts w:hint="eastAsia" w:cs="Times New Roman"/>
                <w:color w:val="auto"/>
                <w:kern w:val="21"/>
                <w:sz w:val="24"/>
                <w:lang w:val="en-US" w:eastAsia="zh-CN"/>
              </w:rPr>
              <w:t>、32760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a</w:t>
            </w:r>
            <w:r>
              <w:rPr>
                <w:rFonts w:hint="eastAsia" w:cs="Times New Roman"/>
                <w:color w:val="auto"/>
                <w:kern w:val="21"/>
                <w:sz w:val="24"/>
                <w:lang w:val="en-US" w:eastAsia="zh-CN"/>
              </w:rPr>
              <w:t>。根据《工业循环冷却水处理设计规范》(GB/T50050-2017)，循环水系统排水量为0.875</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w:t>
            </w:r>
            <w:r>
              <w:rPr>
                <w:rFonts w:hint="eastAsia" w:cs="Times New Roman"/>
                <w:color w:val="auto"/>
                <w:kern w:val="21"/>
                <w:sz w:val="24"/>
                <w:lang w:val="en-US" w:eastAsia="zh-CN"/>
              </w:rPr>
              <w:t>，排水量为21</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eastAsia" w:cs="Times New Roman"/>
                <w:color w:val="auto"/>
                <w:kern w:val="21"/>
                <w:sz w:val="24"/>
                <w:lang w:val="en-US" w:eastAsia="zh-CN"/>
              </w:rPr>
              <w:t>/d、6300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eastAsia" w:cs="Times New Roman"/>
                <w:color w:val="auto"/>
                <w:kern w:val="21"/>
                <w:sz w:val="24"/>
                <w:lang w:val="en-US" w:eastAsia="zh-CN"/>
              </w:rPr>
              <w:t>/a，循环冷却水排水为清净下水，直接通过市政污水管网进入污水处理厂进行深度处理。</w:t>
            </w:r>
          </w:p>
          <w:p w14:paraId="0A7ED390">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eastAsia" w:cs="Times New Roman"/>
                <w:color w:val="auto"/>
                <w:kern w:val="21"/>
                <w:sz w:val="24"/>
                <w:lang w:val="en-US" w:eastAsia="zh-CN"/>
              </w:rPr>
            </w:pPr>
            <w:r>
              <w:rPr>
                <w:rFonts w:hint="eastAsia" w:cs="Times New Roman"/>
                <w:color w:val="auto"/>
                <w:kern w:val="21"/>
                <w:sz w:val="24"/>
                <w:lang w:val="en-US" w:eastAsia="zh-CN"/>
              </w:rPr>
              <w:t>3、配比用水</w:t>
            </w:r>
          </w:p>
          <w:p w14:paraId="3A20EB0D">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default" w:ascii="Times New Roman" w:hAnsi="Times New Roman" w:eastAsia="宋体" w:cs="Times New Roman"/>
                <w:color w:val="auto"/>
                <w:kern w:val="21"/>
                <w:sz w:val="24"/>
                <w:lang w:eastAsia="zh-CN"/>
              </w:rPr>
            </w:pPr>
            <w:r>
              <w:rPr>
                <w:rFonts w:hint="eastAsia" w:cs="Times New Roman"/>
                <w:color w:val="auto"/>
                <w:kern w:val="21"/>
                <w:sz w:val="24"/>
                <w:lang w:val="en-US" w:eastAsia="zh-CN"/>
              </w:rPr>
              <w:t>项目在生产过程中需要将粒状酚醛树脂和水进行配比，比例为</w:t>
            </w:r>
            <w:r>
              <w:rPr>
                <w:rFonts w:hint="eastAsia" w:ascii="Times New Roman" w:hAnsi="Times New Roman" w:eastAsia="宋体" w:cs="Times New Roman"/>
                <w:snapToGrid/>
                <w:sz w:val="24"/>
                <w:szCs w:val="21"/>
                <w:lang w:val="en-US" w:eastAsia="zh-CN"/>
              </w:rPr>
              <w:t>水：树脂=99：1</w:t>
            </w:r>
            <w:r>
              <w:rPr>
                <w:rFonts w:hint="eastAsia" w:cs="Times New Roman"/>
                <w:color w:val="auto"/>
                <w:kern w:val="21"/>
                <w:sz w:val="24"/>
                <w:lang w:val="en-US" w:eastAsia="zh-CN"/>
              </w:rPr>
              <w:t>，配比使用的酚醛树脂量为0.25t/a，则配比用水量为24.75m</w:t>
            </w:r>
            <w:r>
              <w:rPr>
                <w:rFonts w:hint="eastAsia" w:cs="Times New Roman"/>
                <w:color w:val="auto"/>
                <w:kern w:val="21"/>
                <w:sz w:val="24"/>
                <w:vertAlign w:val="superscript"/>
                <w:lang w:val="en-US" w:eastAsia="zh-CN"/>
              </w:rPr>
              <w:t>3</w:t>
            </w:r>
            <w:r>
              <w:rPr>
                <w:rFonts w:hint="eastAsia" w:cs="Times New Roman"/>
                <w:color w:val="auto"/>
                <w:kern w:val="21"/>
                <w:sz w:val="24"/>
                <w:lang w:val="en-US" w:eastAsia="zh-CN"/>
              </w:rPr>
              <w:t>/a（平均为0.083m</w:t>
            </w:r>
            <w:r>
              <w:rPr>
                <w:rFonts w:hint="eastAsia" w:cs="Times New Roman"/>
                <w:color w:val="auto"/>
                <w:kern w:val="21"/>
                <w:sz w:val="24"/>
                <w:vertAlign w:val="superscript"/>
                <w:lang w:val="en-US" w:eastAsia="zh-CN"/>
              </w:rPr>
              <w:t>3</w:t>
            </w:r>
            <w:r>
              <w:rPr>
                <w:rFonts w:hint="eastAsia" w:cs="Times New Roman"/>
                <w:color w:val="auto"/>
                <w:kern w:val="21"/>
                <w:sz w:val="24"/>
                <w:lang w:val="en-US" w:eastAsia="zh-CN"/>
              </w:rPr>
              <w:t>/d），配比水全部蒸发损耗。</w:t>
            </w:r>
          </w:p>
          <w:p w14:paraId="1A5FAB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100" w:beforeAutospacing="0" w:after="0" w:afterAutospacing="0" w:line="360" w:lineRule="auto"/>
              <w:ind w:left="0" w:right="0" w:firstLine="0" w:firstLineChars="0"/>
              <w:jc w:val="center"/>
              <w:textAlignment w:val="auto"/>
              <w:rPr>
                <w:rFonts w:hint="eastAsia" w:ascii="Times New Roman" w:hAnsi="宋体"/>
                <w:b/>
                <w:bCs/>
                <w:color w:val="FF0000"/>
                <w:sz w:val="24"/>
                <w:szCs w:val="22"/>
                <w:highlight w:val="none"/>
                <w:lang w:val="en-US" w:eastAsia="zh-CN"/>
              </w:rPr>
            </w:pPr>
            <w:r>
              <w:rPr>
                <w:rFonts w:hint="default"/>
              </w:rPr>
              <w:drawing>
                <wp:inline distT="0" distB="0" distL="114300" distR="114300">
                  <wp:extent cx="5102225" cy="2185670"/>
                  <wp:effectExtent l="0" t="0" r="3175" b="508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20"/>
                          <a:stretch>
                            <a:fillRect/>
                          </a:stretch>
                        </pic:blipFill>
                        <pic:spPr>
                          <a:xfrm>
                            <a:off x="0" y="0"/>
                            <a:ext cx="5102225" cy="2185670"/>
                          </a:xfrm>
                          <a:prstGeom prst="rect">
                            <a:avLst/>
                          </a:prstGeom>
                          <a:noFill/>
                          <a:ln>
                            <a:noFill/>
                          </a:ln>
                        </pic:spPr>
                      </pic:pic>
                    </a:graphicData>
                  </a:graphic>
                </wp:inline>
              </w:drawing>
            </w:r>
          </w:p>
          <w:p w14:paraId="1E0390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default" w:ascii="Times New Roman" w:hAnsi="宋体"/>
                <w:b/>
                <w:bCs/>
                <w:color w:val="000000" w:themeColor="text1"/>
                <w:sz w:val="24"/>
                <w:szCs w:val="22"/>
                <w:highlight w:val="none"/>
                <w14:textFill>
                  <w14:solidFill>
                    <w14:schemeClr w14:val="tx1"/>
                  </w14:solidFill>
                </w14:textFill>
              </w:rPr>
              <w:t>图</w:t>
            </w:r>
            <w:r>
              <w:rPr>
                <w:rFonts w:hint="eastAsia" w:ascii="Times New Roman" w:hAnsi="宋体"/>
                <w:b/>
                <w:bCs/>
                <w:color w:val="000000" w:themeColor="text1"/>
                <w:sz w:val="24"/>
                <w:szCs w:val="22"/>
                <w:highlight w:val="none"/>
                <w:lang w:val="en-US" w:eastAsia="zh-CN"/>
                <w14:textFill>
                  <w14:solidFill>
                    <w14:schemeClr w14:val="tx1"/>
                  </w14:solidFill>
                </w14:textFill>
              </w:rPr>
              <w:t>2-</w:t>
            </w:r>
            <w:r>
              <w:rPr>
                <w:rFonts w:hint="eastAsia" w:hAnsi="宋体"/>
                <w:b/>
                <w:bCs/>
                <w:color w:val="000000" w:themeColor="text1"/>
                <w:sz w:val="24"/>
                <w:szCs w:val="22"/>
                <w:highlight w:val="none"/>
                <w:lang w:val="en-US" w:eastAsia="zh-CN"/>
                <w14:textFill>
                  <w14:solidFill>
                    <w14:schemeClr w14:val="tx1"/>
                  </w14:solidFill>
                </w14:textFill>
              </w:rPr>
              <w:t>1</w:t>
            </w:r>
            <w:r>
              <w:rPr>
                <w:rFonts w:hint="eastAsia" w:ascii="Times New Roman" w:hAnsi="宋体"/>
                <w:b/>
                <w:bCs/>
                <w:color w:val="000000" w:themeColor="text1"/>
                <w:sz w:val="24"/>
                <w:szCs w:val="22"/>
                <w:highlight w:val="none"/>
                <w:lang w:val="en-US" w:eastAsia="zh-CN"/>
                <w14:textFill>
                  <w14:solidFill>
                    <w14:schemeClr w14:val="tx1"/>
                  </w14:solidFill>
                </w14:textFill>
              </w:rPr>
              <w:t xml:space="preserve"> </w:t>
            </w:r>
            <w:r>
              <w:rPr>
                <w:rFonts w:hint="eastAsia" w:hAnsi="宋体"/>
                <w:b/>
                <w:bCs/>
                <w:color w:val="000000" w:themeColor="text1"/>
                <w:sz w:val="24"/>
                <w:szCs w:val="22"/>
                <w:highlight w:val="none"/>
                <w:lang w:val="en-US" w:eastAsia="zh-CN"/>
                <w14:textFill>
                  <w14:solidFill>
                    <w14:schemeClr w14:val="tx1"/>
                  </w14:solidFill>
                </w14:textFill>
              </w:rPr>
              <w:t xml:space="preserve"> </w:t>
            </w:r>
            <w:r>
              <w:rPr>
                <w:rFonts w:hint="eastAsia" w:ascii="Times New Roman" w:hAnsi="宋体"/>
                <w:b/>
                <w:bCs/>
                <w:color w:val="000000" w:themeColor="text1"/>
                <w:sz w:val="24"/>
                <w:szCs w:val="22"/>
                <w:highlight w:val="none"/>
                <w:lang w:val="en-US" w:eastAsia="zh-CN"/>
                <w14:textFill>
                  <w14:solidFill>
                    <w14:schemeClr w14:val="tx1"/>
                  </w14:solidFill>
                </w14:textFill>
              </w:rPr>
              <w:t>本项目水平衡图</w:t>
            </w:r>
            <w:r>
              <w:rPr>
                <w:rFonts w:hint="eastAsia" w:hAnsi="宋体"/>
                <w:b/>
                <w:bCs/>
                <w:color w:val="000000" w:themeColor="text1"/>
                <w:sz w:val="24"/>
                <w:szCs w:val="22"/>
                <w:highlight w:val="none"/>
                <w:lang w:val="en-US" w:eastAsia="zh-CN"/>
                <w14:textFill>
                  <w14:solidFill>
                    <w14:schemeClr w14:val="tx1"/>
                  </w14:solidFill>
                </w14:textFill>
              </w:rPr>
              <w:t xml:space="preserve">  m</w:t>
            </w:r>
            <w:r>
              <w:rPr>
                <w:rFonts w:hint="eastAsia" w:hAnsi="宋体"/>
                <w:b/>
                <w:bCs/>
                <w:color w:val="000000" w:themeColor="text1"/>
                <w:sz w:val="24"/>
                <w:szCs w:val="22"/>
                <w:highlight w:val="none"/>
                <w:vertAlign w:val="superscript"/>
                <w:lang w:val="en-US" w:eastAsia="zh-CN"/>
                <w14:textFill>
                  <w14:solidFill>
                    <w14:schemeClr w14:val="tx1"/>
                  </w14:solidFill>
                </w14:textFill>
              </w:rPr>
              <w:t>3</w:t>
            </w:r>
            <w:r>
              <w:rPr>
                <w:rFonts w:hint="eastAsia" w:hAnsi="宋体"/>
                <w:b/>
                <w:bCs/>
                <w:color w:val="000000" w:themeColor="text1"/>
                <w:sz w:val="24"/>
                <w:szCs w:val="22"/>
                <w:highlight w:val="none"/>
                <w:lang w:val="en-US" w:eastAsia="zh-CN"/>
                <w14:textFill>
                  <w14:solidFill>
                    <w14:schemeClr w14:val="tx1"/>
                  </w14:solidFill>
                </w14:textFill>
              </w:rPr>
              <w:t>/d</w:t>
            </w:r>
          </w:p>
          <w:p w14:paraId="45BB5662">
            <w:pPr>
              <w:keepNext w:val="0"/>
              <w:keepLines w:val="0"/>
              <w:suppressLineNumbers w:val="0"/>
              <w:spacing w:before="0" w:beforeAutospacing="0" w:after="0" w:afterAutospacing="0" w:line="500" w:lineRule="exact"/>
              <w:ind w:left="0" w:right="0" w:firstLine="482" w:firstLineChars="200"/>
              <w:rPr>
                <w:rFonts w:hint="eastAsia" w:ascii="宋体" w:hAnsi="宋体" w:cs="Times New Roman"/>
                <w:b/>
                <w:sz w:val="24"/>
              </w:rPr>
            </w:pPr>
            <w:r>
              <w:rPr>
                <w:rFonts w:hint="eastAsia" w:ascii="宋体" w:hAnsi="宋体" w:cs="Times New Roman"/>
                <w:b/>
                <w:sz w:val="24"/>
                <w:lang w:val="en-US" w:eastAsia="zh-CN"/>
              </w:rPr>
              <w:t>七</w:t>
            </w:r>
            <w:r>
              <w:rPr>
                <w:rFonts w:hint="eastAsia" w:ascii="宋体" w:hAnsi="宋体" w:cs="Times New Roman"/>
                <w:b/>
                <w:sz w:val="24"/>
              </w:rPr>
              <w:t>、劳动定员及工作制度</w:t>
            </w:r>
          </w:p>
          <w:p w14:paraId="05A67360">
            <w:pPr>
              <w:keepNext w:val="0"/>
              <w:keepLines w:val="0"/>
              <w:suppressLineNumbers w:val="0"/>
              <w:adjustRightInd w:val="0"/>
              <w:snapToGrid w:val="0"/>
              <w:spacing w:before="0" w:beforeAutospacing="0" w:after="0" w:afterAutospacing="0" w:line="460" w:lineRule="exact"/>
              <w:ind w:left="0" w:right="0" w:firstLine="480" w:firstLineChars="20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（1）工作天数：全年工作300天，</w:t>
            </w:r>
            <w:r>
              <w:rPr>
                <w:rFonts w:hint="eastAsia" w:cs="Times New Roman"/>
                <w:b w:val="0"/>
                <w:bCs w:val="0"/>
                <w:color w:val="auto"/>
                <w:sz w:val="24"/>
                <w:szCs w:val="24"/>
                <w:lang w:val="en-US" w:eastAsia="zh-CN"/>
              </w:rPr>
              <w:t>两</w:t>
            </w:r>
            <w:r>
              <w:rPr>
                <w:rFonts w:hint="default" w:ascii="Times New Roman" w:hAnsi="Times New Roman" w:eastAsia="宋体" w:cs="Times New Roman"/>
                <w:b w:val="0"/>
                <w:bCs w:val="0"/>
                <w:color w:val="auto"/>
                <w:sz w:val="24"/>
                <w:szCs w:val="24"/>
                <w:lang w:eastAsia="zh-CN"/>
              </w:rPr>
              <w:t>班制，每班</w:t>
            </w:r>
            <w:r>
              <w:rPr>
                <w:rFonts w:hint="eastAsia" w:cs="Times New Roman"/>
                <w:b w:val="0"/>
                <w:bCs w:val="0"/>
                <w:color w:val="auto"/>
                <w:sz w:val="24"/>
                <w:szCs w:val="24"/>
                <w:lang w:val="en-US" w:eastAsia="zh-CN"/>
              </w:rPr>
              <w:t>12</w:t>
            </w:r>
            <w:r>
              <w:rPr>
                <w:rFonts w:hint="default" w:ascii="Times New Roman" w:hAnsi="Times New Roman" w:eastAsia="宋体" w:cs="Times New Roman"/>
                <w:b w:val="0"/>
                <w:bCs w:val="0"/>
                <w:color w:val="auto"/>
                <w:sz w:val="24"/>
                <w:szCs w:val="24"/>
                <w:lang w:eastAsia="zh-CN"/>
              </w:rPr>
              <w:t>小时</w:t>
            </w:r>
            <w:r>
              <w:rPr>
                <w:rFonts w:hint="eastAsia"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年工作72</w:t>
            </w:r>
            <w:r>
              <w:rPr>
                <w:rFonts w:hint="eastAsia" w:ascii="Times New Roman" w:hAnsi="Times New Roman" w:eastAsia="宋体" w:cs="Times New Roman"/>
                <w:b w:val="0"/>
                <w:bCs w:val="0"/>
                <w:color w:val="auto"/>
                <w:sz w:val="24"/>
                <w:szCs w:val="24"/>
                <w:lang w:val="en-US" w:eastAsia="zh-CN"/>
              </w:rPr>
              <w:t>00小时</w:t>
            </w:r>
            <w:r>
              <w:rPr>
                <w:rFonts w:hint="default" w:ascii="Times New Roman" w:hAnsi="Times New Roman" w:eastAsia="宋体" w:cs="Times New Roman"/>
                <w:b w:val="0"/>
                <w:bCs w:val="0"/>
                <w:color w:val="auto"/>
                <w:sz w:val="24"/>
                <w:szCs w:val="24"/>
                <w:lang w:eastAsia="zh-CN"/>
              </w:rPr>
              <w:t>。</w:t>
            </w:r>
          </w:p>
          <w:p w14:paraId="3EAC70E0">
            <w:pPr>
              <w:keepNext w:val="0"/>
              <w:keepLines w:val="0"/>
              <w:suppressLineNumbers w:val="0"/>
              <w:adjustRightInd w:val="0"/>
              <w:snapToGrid w:val="0"/>
              <w:spacing w:before="0" w:beforeAutospacing="0" w:after="0" w:afterAutospacing="0" w:line="460" w:lineRule="exact"/>
              <w:ind w:left="0" w:right="0" w:firstLine="480" w:firstLineChars="20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（2）劳动定员：本项目新增劳动定员</w:t>
            </w:r>
            <w:r>
              <w:rPr>
                <w:rFonts w:hint="eastAsia"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eastAsia="zh-CN"/>
              </w:rPr>
              <w:t>0人，不提供食宿。</w:t>
            </w:r>
          </w:p>
          <w:p w14:paraId="03B84091">
            <w:pPr>
              <w:keepNext w:val="0"/>
              <w:keepLines w:val="0"/>
              <w:suppressLineNumbers w:val="0"/>
              <w:adjustRightInd w:val="0"/>
              <w:snapToGrid w:val="0"/>
              <w:spacing w:before="0" w:beforeAutospacing="0" w:after="0" w:afterAutospacing="0" w:line="460" w:lineRule="exact"/>
              <w:ind w:left="0" w:right="0" w:firstLine="482" w:firstLineChars="200"/>
              <w:jc w:val="left"/>
              <w:rPr>
                <w:rFonts w:hint="eastAsia" w:ascii="宋体" w:hAnsi="宋体" w:cs="宋体"/>
                <w:b/>
                <w:bCs/>
                <w:sz w:val="24"/>
              </w:rPr>
            </w:pPr>
            <w:r>
              <w:rPr>
                <w:rFonts w:hint="eastAsia" w:ascii="宋体" w:hAnsi="宋体" w:cs="宋体"/>
                <w:b/>
                <w:bCs/>
                <w:sz w:val="24"/>
                <w:lang w:val="en-US" w:eastAsia="zh-CN"/>
              </w:rPr>
              <w:t>八</w:t>
            </w:r>
            <w:r>
              <w:rPr>
                <w:rFonts w:hint="eastAsia" w:ascii="宋体" w:hAnsi="宋体" w:cs="宋体"/>
                <w:b/>
                <w:bCs/>
                <w:sz w:val="24"/>
              </w:rPr>
              <w:t>、总平面布置</w:t>
            </w:r>
          </w:p>
          <w:p w14:paraId="78EC3732">
            <w:pPr>
              <w:keepNext w:val="0"/>
              <w:keepLines w:val="0"/>
              <w:suppressLineNumbers w:val="0"/>
              <w:adjustRightInd w:val="0"/>
              <w:snapToGrid w:val="0"/>
              <w:spacing w:before="0" w:beforeAutospacing="0" w:after="0" w:afterAutospacing="0" w:line="460" w:lineRule="exact"/>
              <w:ind w:left="0" w:right="0" w:firstLine="480" w:firstLineChars="200"/>
              <w:jc w:val="left"/>
              <w:rPr>
                <w:rFonts w:hint="default"/>
                <w:lang w:val="en-US" w:eastAsia="zh-CN"/>
              </w:rPr>
            </w:pPr>
            <w:r>
              <w:rPr>
                <w:rFonts w:hint="eastAsia" w:ascii="宋体" w:hAnsi="宋体" w:cs="宋体"/>
                <w:bCs/>
                <w:color w:val="auto"/>
                <w:sz w:val="24"/>
              </w:rPr>
              <w:t>本项目位于</w:t>
            </w:r>
            <w:r>
              <w:rPr>
                <w:rFonts w:hint="eastAsia" w:ascii="Times New Roman" w:hAnsi="Times New Roman" w:cs="Times New Roman"/>
                <w:color w:val="auto"/>
                <w:sz w:val="24"/>
                <w:lang w:eastAsia="zh-CN"/>
              </w:rPr>
              <w:t>安徽省</w:t>
            </w:r>
            <w:r>
              <w:rPr>
                <w:rFonts w:hint="eastAsia" w:cs="Times New Roman"/>
                <w:color w:val="auto"/>
                <w:sz w:val="24"/>
                <w:lang w:eastAsia="zh-CN"/>
              </w:rPr>
              <w:t>安徽省淮北市杜集区杜集经济开发产业园二期标准化厂房4号厂房</w:t>
            </w:r>
            <w:r>
              <w:rPr>
                <w:rFonts w:hint="eastAsia" w:cs="Times New Roman"/>
                <w:sz w:val="24"/>
                <w:lang w:val="en-US" w:eastAsia="zh-CN"/>
              </w:rPr>
              <w:t>、2号厂房</w:t>
            </w:r>
            <w:r>
              <w:rPr>
                <w:rFonts w:hint="eastAsia" w:ascii="宋体" w:hAnsi="宋体" w:eastAsia="宋体" w:cs="宋体"/>
                <w:bCs/>
                <w:color w:val="auto"/>
                <w:sz w:val="24"/>
                <w:lang w:val="en-US" w:eastAsia="zh-CN"/>
              </w:rPr>
              <w:t>，</w:t>
            </w:r>
            <w:r>
              <w:rPr>
                <w:rFonts w:hint="eastAsia" w:ascii="宋体" w:hAnsi="宋体" w:cs="宋体"/>
                <w:bCs/>
                <w:color w:val="auto"/>
                <w:sz w:val="24"/>
                <w:lang w:val="en-US" w:eastAsia="zh-CN"/>
              </w:rPr>
              <w:t>一期</w:t>
            </w:r>
            <w:r>
              <w:rPr>
                <w:rFonts w:hint="eastAsia" w:ascii="宋体" w:hAnsi="宋体" w:eastAsia="宋体" w:cs="宋体"/>
                <w:bCs/>
                <w:color w:val="auto"/>
                <w:sz w:val="24"/>
                <w:lang w:eastAsia="zh-CN"/>
              </w:rPr>
              <w:t>项目</w:t>
            </w:r>
            <w:r>
              <w:rPr>
                <w:rFonts w:hint="default" w:ascii="Times New Roman" w:hAnsi="Times New Roman" w:cs="Times New Roman"/>
                <w:bCs/>
                <w:color w:val="auto"/>
                <w:kern w:val="0"/>
                <w:sz w:val="24"/>
                <w:lang w:val="en-US" w:eastAsia="zh-CN"/>
              </w:rPr>
              <w:t>占地面积</w:t>
            </w:r>
            <w:r>
              <w:rPr>
                <w:rFonts w:hint="eastAsia" w:cs="Times New Roman"/>
                <w:bCs/>
                <w:color w:val="auto"/>
                <w:kern w:val="0"/>
                <w:sz w:val="24"/>
                <w:lang w:val="en-US" w:eastAsia="zh-CN"/>
              </w:rPr>
              <w:t>8500</w:t>
            </w:r>
            <w:r>
              <w:rPr>
                <w:rFonts w:hint="default" w:ascii="Times New Roman" w:hAnsi="Times New Roman" w:cs="Times New Roman"/>
                <w:bCs/>
                <w:color w:val="auto"/>
                <w:kern w:val="0"/>
                <w:sz w:val="24"/>
                <w:lang w:val="en-US" w:eastAsia="zh-CN"/>
              </w:rPr>
              <w:t>m</w:t>
            </w:r>
            <w:r>
              <w:rPr>
                <w:rFonts w:hint="default" w:ascii="Times New Roman" w:hAnsi="Times New Roman" w:cs="Times New Roman"/>
                <w:bCs/>
                <w:color w:val="auto"/>
                <w:kern w:val="0"/>
                <w:sz w:val="24"/>
                <w:vertAlign w:val="superscript"/>
                <w:lang w:val="en-US" w:eastAsia="zh-CN"/>
              </w:rPr>
              <w:t>2</w:t>
            </w:r>
            <w:r>
              <w:rPr>
                <w:rFonts w:hint="default" w:ascii="Times New Roman" w:hAnsi="Times New Roman" w:cs="Times New Roman"/>
                <w:bCs/>
                <w:color w:val="auto"/>
                <w:kern w:val="0"/>
                <w:sz w:val="24"/>
                <w:lang w:val="en-US" w:eastAsia="zh-CN"/>
              </w:rPr>
              <w:t>，</w:t>
            </w:r>
            <w:r>
              <w:rPr>
                <w:rFonts w:hint="eastAsia" w:cs="Times New Roman"/>
                <w:bCs/>
                <w:color w:val="auto"/>
                <w:kern w:val="0"/>
                <w:sz w:val="24"/>
                <w:lang w:val="en-US" w:eastAsia="zh-CN"/>
              </w:rPr>
              <w:t>在租赁厂房内建设前处理车间、针刺&amp;裁切车间、加工车间、热处理车间等</w:t>
            </w:r>
            <w:r>
              <w:rPr>
                <w:rFonts w:hint="default" w:ascii="Times New Roman" w:hAnsi="Times New Roman" w:cs="Times New Roman"/>
                <w:bCs/>
                <w:color w:val="auto"/>
                <w:kern w:val="0"/>
                <w:sz w:val="24"/>
                <w:lang w:val="en-US" w:eastAsia="zh-CN"/>
              </w:rPr>
              <w:t>；</w:t>
            </w:r>
            <w:r>
              <w:rPr>
                <w:rFonts w:hint="eastAsia" w:ascii="Times New Roman" w:hAnsi="Times New Roman" w:cs="Times New Roman"/>
                <w:bCs/>
                <w:color w:val="auto"/>
                <w:kern w:val="0"/>
                <w:sz w:val="24"/>
                <w:lang w:val="en-US" w:eastAsia="zh-CN"/>
              </w:rPr>
              <w:t>项目生产车间位于厂区东南侧；办公室位于</w:t>
            </w:r>
            <w:r>
              <w:rPr>
                <w:rFonts w:hint="eastAsia" w:cs="Times New Roman"/>
                <w:bCs/>
                <w:color w:val="auto"/>
                <w:kern w:val="0"/>
                <w:sz w:val="24"/>
                <w:lang w:val="en-US" w:eastAsia="zh-CN"/>
              </w:rPr>
              <w:t>厂房</w:t>
            </w:r>
            <w:r>
              <w:rPr>
                <w:rFonts w:hint="eastAsia" w:ascii="Times New Roman" w:hAnsi="Times New Roman" w:cs="Times New Roman"/>
                <w:bCs/>
                <w:color w:val="auto"/>
                <w:kern w:val="0"/>
                <w:sz w:val="24"/>
                <w:lang w:val="en-US" w:eastAsia="zh-CN"/>
              </w:rPr>
              <w:t>东侧，</w:t>
            </w:r>
            <w:r>
              <w:rPr>
                <w:rFonts w:hint="eastAsia" w:ascii="Times New Roman" w:hAnsi="Times New Roman" w:eastAsia="宋体" w:cs="Times New Roman"/>
                <w:bCs/>
                <w:color w:val="auto"/>
                <w:kern w:val="0"/>
                <w:sz w:val="24"/>
                <w:lang w:val="en-US" w:eastAsia="zh-CN"/>
              </w:rPr>
              <w:t>成品库</w:t>
            </w:r>
            <w:r>
              <w:rPr>
                <w:rFonts w:hint="default" w:ascii="Times New Roman" w:hAnsi="Times New Roman" w:eastAsia="宋体" w:cs="Times New Roman"/>
                <w:bCs/>
                <w:color w:val="auto"/>
                <w:kern w:val="0"/>
                <w:sz w:val="24"/>
                <w:lang w:val="en-US" w:eastAsia="zh-CN"/>
              </w:rPr>
              <w:t>位于</w:t>
            </w:r>
            <w:r>
              <w:rPr>
                <w:rFonts w:hint="eastAsia" w:cs="Times New Roman"/>
                <w:bCs/>
                <w:color w:val="auto"/>
                <w:kern w:val="0"/>
                <w:sz w:val="24"/>
                <w:lang w:val="en-US" w:eastAsia="zh-CN"/>
              </w:rPr>
              <w:t>厂房东南侧</w:t>
            </w:r>
            <w:r>
              <w:rPr>
                <w:rFonts w:hint="eastAsia" w:ascii="Times New Roman" w:hAnsi="Times New Roman" w:eastAsia="宋体" w:cs="Times New Roman"/>
                <w:bCs/>
                <w:color w:val="auto"/>
                <w:kern w:val="0"/>
                <w:sz w:val="24"/>
                <w:lang w:val="en-US" w:eastAsia="zh-CN"/>
              </w:rPr>
              <w:t>，原料库位于</w:t>
            </w:r>
            <w:r>
              <w:rPr>
                <w:rFonts w:hint="eastAsia" w:cs="Times New Roman"/>
                <w:bCs/>
                <w:color w:val="auto"/>
                <w:kern w:val="0"/>
                <w:sz w:val="24"/>
                <w:lang w:val="en-US" w:eastAsia="zh-CN"/>
              </w:rPr>
              <w:t>厂房</w:t>
            </w:r>
            <w:r>
              <w:rPr>
                <w:rFonts w:hint="eastAsia" w:ascii="Times New Roman" w:hAnsi="Times New Roman" w:eastAsia="宋体" w:cs="Times New Roman"/>
                <w:bCs/>
                <w:color w:val="auto"/>
                <w:kern w:val="0"/>
                <w:sz w:val="24"/>
                <w:lang w:val="en-US" w:eastAsia="zh-CN"/>
              </w:rPr>
              <w:t>东北侧。</w:t>
            </w:r>
          </w:p>
        </w:tc>
      </w:tr>
      <w:tr w14:paraId="03CCC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331692D1">
            <w:pPr>
              <w:pStyle w:val="19"/>
              <w:keepNext w:val="0"/>
              <w:keepLines w:val="0"/>
              <w:suppressLineNumbers w:val="0"/>
              <w:adjustRightInd w:val="0"/>
              <w:snapToGrid w:val="0"/>
              <w:spacing w:before="0" w:beforeAutospacing="0" w:after="0" w:afterAutospacing="0" w:line="460" w:lineRule="exact"/>
              <w:ind w:left="0" w:right="0"/>
              <w:jc w:val="center"/>
              <w:rPr>
                <w:rFonts w:hint="default" w:cs="宋体"/>
                <w:szCs w:val="24"/>
              </w:rPr>
            </w:pPr>
            <w:r>
              <w:rPr>
                <w:rFonts w:hint="eastAsia" w:cs="宋体"/>
                <w:szCs w:val="24"/>
              </w:rPr>
              <w:t>工艺流程和产排污环节</w:t>
            </w:r>
          </w:p>
        </w:tc>
        <w:tc>
          <w:tcPr>
            <w:tcW w:w="8161" w:type="dxa"/>
            <w:noWrap w:val="0"/>
            <w:vAlign w:val="top"/>
          </w:tcPr>
          <w:p w14:paraId="3026D1FB">
            <w:pPr>
              <w:keepNext w:val="0"/>
              <w:keepLines w:val="0"/>
              <w:suppressLineNumbers w:val="0"/>
              <w:adjustRightInd w:val="0"/>
              <w:snapToGrid w:val="0"/>
              <w:spacing w:before="0" w:beforeAutospacing="0" w:after="0" w:afterAutospacing="0" w:line="480" w:lineRule="exact"/>
              <w:ind w:left="0" w:right="0" w:firstLine="482" w:firstLineChars="200"/>
              <w:rPr>
                <w:rFonts w:hint="eastAsia" w:ascii="Times New Roman" w:hAnsi="Times New Roman" w:cs="Times New Roman"/>
                <w:b/>
                <w:sz w:val="24"/>
              </w:rPr>
            </w:pPr>
            <w:r>
              <w:rPr>
                <w:rFonts w:hint="eastAsia" w:ascii="Times New Roman" w:hAnsi="Times New Roman" w:cs="Times New Roman"/>
                <w:b/>
                <w:sz w:val="24"/>
                <w:lang w:val="en-US" w:eastAsia="zh-CN"/>
              </w:rPr>
              <w:t>1、</w:t>
            </w:r>
            <w:r>
              <w:rPr>
                <w:rFonts w:hint="eastAsia" w:ascii="Times New Roman" w:hAnsi="Times New Roman" w:cs="Times New Roman"/>
                <w:b/>
                <w:sz w:val="24"/>
              </w:rPr>
              <w:t>工艺流程：</w:t>
            </w:r>
          </w:p>
          <w:p w14:paraId="35DD8D71">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项目具体工艺流程介绍如下：</w:t>
            </w:r>
          </w:p>
          <w:p w14:paraId="3D7177D3">
            <w:pPr>
              <w:keepNext w:val="0"/>
              <w:keepLines w:val="0"/>
              <w:numPr>
                <w:ilvl w:val="0"/>
                <w:numId w:val="0"/>
              </w:numPr>
              <w:suppressLineNumbers w:val="0"/>
              <w:spacing w:before="0" w:beforeAutospacing="0" w:after="0" w:afterAutospacing="0" w:line="480" w:lineRule="exact"/>
              <w:ind w:left="0" w:leftChars="0" w:right="0" w:rightChars="0" w:firstLine="482" w:firstLineChars="200"/>
              <w:jc w:val="left"/>
              <w:rPr>
                <w:rFonts w:hint="eastAsia" w:ascii="Times New Roman" w:hAnsi="宋体" w:cs="Times New Roman"/>
                <w:sz w:val="24"/>
              </w:rPr>
            </w:pPr>
            <w:bookmarkStart w:id="2" w:name="OLE_LINK2"/>
            <w:r>
              <w:rPr>
                <w:rFonts w:hint="default" w:ascii="Times New Roman" w:hAnsi="Times New Roman" w:eastAsia="宋体" w:cs="Times New Roman"/>
                <w:b/>
                <w:bCs/>
                <w:snapToGrid/>
                <w:kern w:val="2"/>
                <w:sz w:val="24"/>
                <w:szCs w:val="24"/>
                <w:lang w:val="en-US" w:eastAsia="zh-CN" w:bidi="ar-SA"/>
              </w:rPr>
              <w:t>生产</w:t>
            </w:r>
            <w:bookmarkEnd w:id="2"/>
            <w:r>
              <w:rPr>
                <w:rFonts w:hint="default" w:ascii="Times New Roman" w:hAnsi="Times New Roman" w:eastAsia="宋体" w:cs="Times New Roman"/>
                <w:b/>
                <w:bCs/>
                <w:snapToGrid/>
                <w:kern w:val="2"/>
                <w:sz w:val="24"/>
                <w:szCs w:val="24"/>
                <w:lang w:val="en-US" w:eastAsia="zh-CN" w:bidi="ar-SA"/>
              </w:rPr>
              <w:t>工艺流程及产污环节见</w:t>
            </w:r>
            <w:r>
              <w:rPr>
                <w:rFonts w:hint="eastAsia" w:ascii="Times New Roman" w:hAnsi="Times New Roman" w:eastAsia="宋体" w:cs="Times New Roman"/>
                <w:b/>
                <w:bCs/>
                <w:snapToGrid/>
                <w:kern w:val="2"/>
                <w:sz w:val="24"/>
                <w:szCs w:val="24"/>
                <w:lang w:val="en-US" w:eastAsia="zh-CN" w:bidi="ar-SA"/>
              </w:rPr>
              <w:t>下图</w:t>
            </w:r>
            <w:r>
              <w:rPr>
                <w:rFonts w:hint="default" w:ascii="Times New Roman" w:hAnsi="Times New Roman" w:eastAsia="宋体" w:cs="Times New Roman"/>
                <w:b/>
                <w:bCs/>
                <w:snapToGrid/>
                <w:kern w:val="2"/>
                <w:sz w:val="24"/>
                <w:szCs w:val="24"/>
                <w:lang w:val="en-US" w:eastAsia="zh-CN" w:bidi="ar-SA"/>
              </w:rPr>
              <w:t>。</w:t>
            </w:r>
            <w:r>
              <w:rPr>
                <w:rFonts w:hint="eastAsia" w:ascii="Times New Roman" w:hAnsi="Times New Roman" w:eastAsia="宋体" w:cs="Times New Roman"/>
                <w:b/>
                <w:bCs/>
                <w:snapToGrid/>
                <w:kern w:val="2"/>
                <w:sz w:val="24"/>
                <w:szCs w:val="24"/>
                <w:lang w:val="en-US" w:eastAsia="zh-CN" w:bidi="ar-SA"/>
              </w:rPr>
              <w:t xml:space="preserve"> </w:t>
            </w:r>
          </w:p>
          <w:p w14:paraId="1438AA56">
            <w:pPr>
              <w:pStyle w:val="5"/>
              <w:keepNext w:val="0"/>
              <w:keepLines w:val="0"/>
              <w:suppressLineNumbers w:val="0"/>
              <w:spacing w:beforeAutospacing="0" w:afterAutospacing="0"/>
              <w:ind w:left="0"/>
              <w:jc w:val="center"/>
              <w:rPr>
                <w:rFonts w:hint="eastAsia" w:ascii="Times New Roman" w:hAnsi="Times New Roman" w:eastAsia="宋体" w:cs="Times New Roman"/>
                <w:b/>
                <w:bCs/>
                <w:szCs w:val="21"/>
                <w:lang w:eastAsia="zh-CN"/>
              </w:rPr>
            </w:pPr>
            <w:r>
              <w:rPr>
                <w:rFonts w:hint="default"/>
              </w:rPr>
              <w:drawing>
                <wp:inline distT="0" distB="0" distL="114300" distR="114300">
                  <wp:extent cx="3465195" cy="6574790"/>
                  <wp:effectExtent l="0" t="0" r="1905" b="1651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21"/>
                          <a:stretch>
                            <a:fillRect/>
                          </a:stretch>
                        </pic:blipFill>
                        <pic:spPr>
                          <a:xfrm>
                            <a:off x="0" y="0"/>
                            <a:ext cx="3465195" cy="6574790"/>
                          </a:xfrm>
                          <a:prstGeom prst="rect">
                            <a:avLst/>
                          </a:prstGeom>
                          <a:noFill/>
                          <a:ln>
                            <a:noFill/>
                          </a:ln>
                        </pic:spPr>
                      </pic:pic>
                    </a:graphicData>
                  </a:graphic>
                </wp:inline>
              </w:drawing>
            </w:r>
          </w:p>
          <w:p w14:paraId="541F06F3">
            <w:pPr>
              <w:pStyle w:val="5"/>
              <w:keepNext w:val="0"/>
              <w:keepLines w:val="0"/>
              <w:suppressLineNumbers w:val="0"/>
              <w:spacing w:beforeAutospacing="0" w:afterAutospacing="0"/>
              <w:ind w:left="0"/>
              <w:jc w:val="center"/>
              <w:rPr>
                <w:rFonts w:hint="eastAsia" w:ascii="Times New Roman" w:hAnsi="Times New Roman" w:cs="Times New Roman"/>
                <w:lang w:val="en-US" w:eastAsia="zh-CN"/>
              </w:rPr>
            </w:pPr>
          </w:p>
          <w:p w14:paraId="2A23D6F5">
            <w:pPr>
              <w:pStyle w:val="13"/>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bCs/>
                <w:snapToGrid/>
                <w:sz w:val="24"/>
                <w:szCs w:val="21"/>
                <w:lang w:val="en-US" w:eastAsia="zh-CN"/>
              </w:rPr>
            </w:pPr>
            <w:r>
              <w:rPr>
                <w:rFonts w:hint="eastAsia" w:ascii="Times New Roman" w:hAnsi="Times New Roman" w:eastAsia="宋体" w:cs="Times New Roman"/>
                <w:b/>
                <w:bCs/>
                <w:snapToGrid/>
                <w:sz w:val="24"/>
                <w:szCs w:val="21"/>
                <w:lang w:val="en-US" w:eastAsia="zh-CN"/>
              </w:rPr>
              <w:t>图2-2  生产工艺流程</w:t>
            </w:r>
            <w:r>
              <w:rPr>
                <w:rFonts w:hint="default" w:ascii="Times New Roman" w:hAnsi="Times New Roman" w:eastAsia="宋体" w:cs="Times New Roman"/>
                <w:b/>
                <w:bCs/>
                <w:snapToGrid/>
                <w:sz w:val="24"/>
                <w:szCs w:val="21"/>
                <w:lang w:val="en-US" w:eastAsia="zh-CN"/>
              </w:rPr>
              <w:t>及产污环节</w:t>
            </w:r>
            <w:r>
              <w:rPr>
                <w:rFonts w:hint="eastAsia" w:ascii="Times New Roman" w:hAnsi="Times New Roman" w:eastAsia="宋体" w:cs="Times New Roman"/>
                <w:b/>
                <w:bCs/>
                <w:snapToGrid/>
                <w:sz w:val="24"/>
                <w:szCs w:val="21"/>
                <w:lang w:val="en-US" w:eastAsia="zh-CN"/>
              </w:rPr>
              <w:t>图</w:t>
            </w:r>
          </w:p>
          <w:p w14:paraId="45198FAF">
            <w:pPr>
              <w:pStyle w:val="13"/>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snapToGrid/>
                <w:sz w:val="24"/>
                <w:szCs w:val="21"/>
                <w:lang w:val="en-US" w:eastAsia="zh-CN"/>
              </w:rPr>
            </w:pPr>
            <w:r>
              <w:rPr>
                <w:rFonts w:hint="default" w:ascii="Times New Roman" w:hAnsi="Times New Roman" w:eastAsia="宋体" w:cs="Times New Roman"/>
                <w:b/>
                <w:bCs/>
                <w:snapToGrid/>
                <w:sz w:val="24"/>
                <w:szCs w:val="21"/>
                <w:lang w:val="en-US" w:eastAsia="zh-CN"/>
              </w:rPr>
              <w:t>生产工艺</w:t>
            </w:r>
            <w:r>
              <w:rPr>
                <w:rFonts w:hint="eastAsia" w:ascii="Times New Roman" w:hAnsi="Times New Roman" w:eastAsia="宋体" w:cs="Times New Roman"/>
                <w:b/>
                <w:bCs/>
                <w:snapToGrid/>
                <w:sz w:val="24"/>
                <w:szCs w:val="21"/>
                <w:lang w:val="en-US" w:eastAsia="zh-CN"/>
              </w:rPr>
              <w:t>说明：</w:t>
            </w:r>
          </w:p>
          <w:p w14:paraId="3E050133">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①碳纤维改性1：以碳纤维原丝为基材，采用酚醛树脂</w:t>
            </w:r>
            <w:r>
              <w:rPr>
                <w:rFonts w:hint="eastAsia" w:ascii="Times New Roman" w:hAnsi="Times New Roman" w:eastAsia="宋体" w:cs="Times New Roman"/>
                <w:snapToGrid/>
                <w:sz w:val="24"/>
                <w:szCs w:val="21"/>
                <w:lang w:val="en-US" w:eastAsia="zh-CN"/>
              </w:rPr>
              <w:t>对其</w:t>
            </w:r>
            <w:r>
              <w:rPr>
                <w:rFonts w:hint="default" w:ascii="Times New Roman" w:hAnsi="Times New Roman" w:eastAsia="宋体" w:cs="Times New Roman"/>
                <w:snapToGrid/>
                <w:sz w:val="24"/>
                <w:szCs w:val="21"/>
                <w:lang w:val="en-US" w:eastAsia="zh-CN"/>
              </w:rPr>
              <w:t>进行改性处理，选用酚醛树脂作为界面层前驱体</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在碳纤维原丝表面形成界面前驱体</w:t>
            </w:r>
            <w:r>
              <w:rPr>
                <w:rFonts w:hint="eastAsia" w:ascii="Times New Roman" w:hAnsi="Times New Roman" w:eastAsia="宋体" w:cs="Times New Roman"/>
                <w:snapToGrid/>
                <w:sz w:val="24"/>
                <w:szCs w:val="21"/>
                <w:lang w:val="en-US" w:eastAsia="zh-CN"/>
              </w:rPr>
              <w:t>。将碳纤维</w:t>
            </w:r>
            <w:r>
              <w:rPr>
                <w:rFonts w:hint="default" w:ascii="Times New Roman" w:hAnsi="Times New Roman" w:eastAsia="宋体" w:cs="Times New Roman"/>
                <w:snapToGrid/>
                <w:sz w:val="24"/>
                <w:szCs w:val="21"/>
                <w:lang w:val="en-US" w:eastAsia="zh-CN"/>
              </w:rPr>
              <w:t>原丝</w:t>
            </w:r>
            <w:r>
              <w:rPr>
                <w:rFonts w:hint="eastAsia" w:ascii="Times New Roman" w:hAnsi="Times New Roman" w:eastAsia="宋体" w:cs="Times New Roman"/>
                <w:snapToGrid/>
                <w:sz w:val="24"/>
                <w:szCs w:val="21"/>
                <w:lang w:val="en-US" w:eastAsia="zh-CN"/>
              </w:rPr>
              <w:t>与配比好的液体酚醛树脂（水：树脂=99：1）进行喷涂挂胶，再通过纤维改性烘干系统对其进行固化，将固化后的挂胶碳纤维采用切料机进行切割，切割后通过管道输送至自动混合机进行混合。将混合后的物料输送至热压机，然后在热压机上进行加热和加压（压力≥350吨）处理，加热温度为100℃，加热加压使树脂固化。在此过程中会产生废气和噪声。</w:t>
            </w:r>
          </w:p>
          <w:p w14:paraId="231ED338">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eastAsia" w:ascii="Times New Roman" w:hAnsi="Times New Roman" w:eastAsia="宋体" w:cs="Times New Roman"/>
                <w:snapToGrid/>
                <w:sz w:val="24"/>
                <w:szCs w:val="21"/>
                <w:lang w:val="en-US" w:eastAsia="zh-CN"/>
              </w:rPr>
              <w:t>此工序</w:t>
            </w:r>
            <w:r>
              <w:rPr>
                <w:rFonts w:hint="default" w:ascii="Times New Roman" w:hAnsi="Times New Roman" w:eastAsia="宋体" w:cs="Times New Roman"/>
                <w:snapToGrid/>
                <w:sz w:val="24"/>
                <w:szCs w:val="21"/>
                <w:lang w:val="en-US" w:eastAsia="zh-CN"/>
              </w:rPr>
              <w:t>为后面的渗硅处理达到界面层且也为后续的碳纤维改性2提供负载基础。</w:t>
            </w:r>
          </w:p>
          <w:p w14:paraId="4C44C31F">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②叠层穿刺：将碳纤维在碳纤维织布机上进行全自动编织成碳纤维布。本工序为物理编织加工，通过将经丝和纬丝交错编织，形成具有特定结构的织物</w:t>
            </w:r>
            <w:r>
              <w:rPr>
                <w:rFonts w:hint="eastAsia" w:ascii="Times New Roman" w:hAnsi="Times New Roman" w:eastAsia="宋体" w:cs="Times New Roman"/>
                <w:snapToGrid/>
                <w:sz w:val="24"/>
                <w:szCs w:val="21"/>
                <w:lang w:val="en-US" w:eastAsia="zh-CN"/>
              </w:rPr>
              <w:t>。将</w:t>
            </w:r>
            <w:r>
              <w:rPr>
                <w:rFonts w:hint="default" w:ascii="Times New Roman" w:hAnsi="Times New Roman" w:eastAsia="宋体" w:cs="Times New Roman"/>
                <w:snapToGrid/>
                <w:sz w:val="24"/>
                <w:szCs w:val="21"/>
                <w:lang w:val="en-US" w:eastAsia="zh-CN"/>
              </w:rPr>
              <w:t>维织</w:t>
            </w:r>
            <w:r>
              <w:rPr>
                <w:rFonts w:hint="eastAsia" w:ascii="Times New Roman" w:hAnsi="Times New Roman" w:eastAsia="宋体" w:cs="Times New Roman"/>
                <w:snapToGrid/>
                <w:sz w:val="24"/>
                <w:szCs w:val="21"/>
                <w:lang w:val="en-US" w:eastAsia="zh-CN"/>
              </w:rPr>
              <w:t>裁切后的碳纤维布送至复合针刺机上进行叠层，本工序为主要依靠刺针对蓬松的碳纤维布进行反复针刺，当成千上万枚刺针刺入碳纤维布时，刺针上的钩带着碳纤维布表面的一些纤维随刺针穿过碳纤维布，同时由于摩擦力的作用，使碳纤维布受到压缩。本工序</w:t>
            </w:r>
            <w:r>
              <w:rPr>
                <w:rFonts w:hint="default" w:ascii="Times New Roman" w:hAnsi="Times New Roman" w:eastAsia="宋体" w:cs="Times New Roman"/>
                <w:snapToGrid/>
                <w:sz w:val="24"/>
                <w:szCs w:val="21"/>
                <w:lang w:val="en-US" w:eastAsia="zh-CN"/>
              </w:rPr>
              <w:t>将碳纤维复合成需要的产品厚度和结构，制备成预制体。</w:t>
            </w:r>
          </w:p>
          <w:p w14:paraId="32F5D017">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③碳纤维改性2：</w:t>
            </w:r>
            <w:r>
              <w:rPr>
                <w:rFonts w:hint="eastAsia" w:ascii="Times New Roman" w:hAnsi="Times New Roman" w:eastAsia="宋体" w:cs="Times New Roman"/>
                <w:snapToGrid/>
                <w:sz w:val="24"/>
                <w:szCs w:val="21"/>
                <w:lang w:val="en-US" w:eastAsia="zh-CN"/>
              </w:rPr>
              <w:t>使用碳粉</w:t>
            </w:r>
            <w:r>
              <w:rPr>
                <w:rFonts w:hint="default" w:ascii="Times New Roman" w:hAnsi="Times New Roman" w:eastAsia="宋体" w:cs="Times New Roman"/>
                <w:snapToGrid/>
                <w:sz w:val="24"/>
                <w:szCs w:val="21"/>
                <w:lang w:val="en-US" w:eastAsia="zh-CN"/>
              </w:rPr>
              <w:t>对碳纤维胚体进行催化改性处理，在原有的改性界面前躯体上进行负载纳米级的催化引导剂，使得在气相沉积时能够快速和均匀地沉积碳。</w:t>
            </w:r>
          </w:p>
          <w:p w14:paraId="4C6DD17B">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④气相沉积：将预制体放入气相沉积炉，对沉积炉持续抽真空（负压100-200Pa），抽真空</w:t>
            </w:r>
            <w:r>
              <w:rPr>
                <w:rFonts w:hint="eastAsia" w:ascii="Times New Roman" w:hAnsi="Times New Roman" w:eastAsia="宋体" w:cs="Times New Roman"/>
                <w:snapToGrid/>
                <w:sz w:val="24"/>
                <w:szCs w:val="21"/>
                <w:lang w:val="en-US" w:eastAsia="zh-CN"/>
              </w:rPr>
              <w:t>后</w:t>
            </w:r>
            <w:r>
              <w:rPr>
                <w:rFonts w:hint="default" w:ascii="Times New Roman" w:hAnsi="Times New Roman" w:eastAsia="宋体" w:cs="Times New Roman"/>
                <w:snapToGrid/>
                <w:sz w:val="24"/>
                <w:szCs w:val="21"/>
                <w:lang w:val="en-US" w:eastAsia="zh-CN"/>
              </w:rPr>
              <w:t>向沉积炉内充入</w:t>
            </w:r>
            <w:r>
              <w:rPr>
                <w:rFonts w:hint="eastAsia" w:ascii="Times New Roman" w:hAnsi="Times New Roman" w:eastAsia="宋体" w:cs="Times New Roman"/>
                <w:snapToGrid/>
                <w:sz w:val="24"/>
                <w:szCs w:val="21"/>
                <w:lang w:val="en-US" w:eastAsia="zh-CN"/>
              </w:rPr>
              <w:t>天然气</w:t>
            </w:r>
            <w:r>
              <w:rPr>
                <w:rFonts w:hint="default" w:ascii="Times New Roman" w:hAnsi="Times New Roman" w:eastAsia="宋体" w:cs="Times New Roman"/>
                <w:snapToGrid/>
                <w:sz w:val="24"/>
                <w:szCs w:val="21"/>
                <w:lang w:val="en-US" w:eastAsia="zh-CN"/>
              </w:rPr>
              <w:t>、</w:t>
            </w:r>
            <w:r>
              <w:rPr>
                <w:rFonts w:hint="eastAsia" w:ascii="Times New Roman" w:hAnsi="Times New Roman" w:eastAsia="宋体" w:cs="Times New Roman"/>
                <w:snapToGrid/>
                <w:sz w:val="24"/>
                <w:szCs w:val="21"/>
                <w:lang w:val="en-US" w:eastAsia="zh-CN"/>
              </w:rPr>
              <w:t>氮气</w:t>
            </w:r>
            <w:r>
              <w:rPr>
                <w:rFonts w:hint="default" w:ascii="Times New Roman" w:hAnsi="Times New Roman" w:eastAsia="宋体" w:cs="Times New Roman"/>
                <w:snapToGrid/>
                <w:sz w:val="24"/>
                <w:szCs w:val="21"/>
                <w:lang w:val="en-US" w:eastAsia="zh-CN"/>
              </w:rPr>
              <w:t>，沉积炉经电加热至</w:t>
            </w:r>
            <w:r>
              <w:rPr>
                <w:rFonts w:hint="default"/>
              </w:rPr>
              <w:commentReference w:id="0"/>
            </w:r>
            <w:r>
              <w:rPr>
                <w:rFonts w:hint="default" w:ascii="Times New Roman" w:hAnsi="Times New Roman" w:eastAsia="宋体" w:cs="Times New Roman"/>
                <w:snapToGrid/>
                <w:sz w:val="24"/>
                <w:szCs w:val="21"/>
                <w:lang w:val="en-US" w:eastAsia="zh-CN"/>
              </w:rPr>
              <w:t>800-1200℃，</w:t>
            </w:r>
            <w:r>
              <w:rPr>
                <w:rFonts w:hint="eastAsia" w:ascii="Times New Roman" w:hAnsi="Times New Roman" w:eastAsia="宋体" w:cs="Times New Roman"/>
                <w:snapToGrid/>
                <w:sz w:val="24"/>
                <w:szCs w:val="21"/>
                <w:lang w:val="en-US" w:eastAsia="zh-CN"/>
              </w:rPr>
              <w:t>此条件下甲烷</w:t>
            </w:r>
            <w:r>
              <w:rPr>
                <w:rFonts w:hint="default" w:ascii="Times New Roman" w:hAnsi="Times New Roman" w:eastAsia="宋体" w:cs="Times New Roman"/>
                <w:snapToGrid/>
                <w:sz w:val="24"/>
                <w:szCs w:val="21"/>
                <w:lang w:val="en-US" w:eastAsia="zh-CN"/>
              </w:rPr>
              <w:t>进行裂解还原产生元素碳和氢气、烃类（长链裂解为短链）等可燃气体，根据建设单位提供的小试实验数据及工艺数据，本项目</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的裂解效率约为70%，剩余30%未完全反应的气体直接进入气相沉积尾气；经过裂解后的碳元素渗入碳纤维的空隙中、增加材料密度，成为碳纤维复合材料，渗入量约为裂解</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量的40%~45%；少量碳元素以炭黑的形式附着于炉体内部，产生量约为裂解</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量的0.15%；剩余以H</w:t>
            </w:r>
            <w:r>
              <w:rPr>
                <w:rFonts w:hint="default" w:ascii="Times New Roman" w:hAnsi="Times New Roman" w:eastAsia="宋体" w:cs="Times New Roman"/>
                <w:snapToGrid/>
                <w:sz w:val="24"/>
                <w:szCs w:val="21"/>
                <w:vertAlign w:val="subscript"/>
                <w:lang w:val="en-US" w:eastAsia="zh-CN"/>
              </w:rPr>
              <w:t>2</w:t>
            </w:r>
            <w:r>
              <w:rPr>
                <w:rFonts w:hint="default" w:ascii="Times New Roman" w:hAnsi="Times New Roman" w:eastAsia="宋体" w:cs="Times New Roman"/>
                <w:snapToGrid/>
                <w:sz w:val="24"/>
                <w:szCs w:val="21"/>
                <w:lang w:val="en-US" w:eastAsia="zh-CN"/>
              </w:rPr>
              <w:t>、VOCs形式进入气相沉积尾气，通过真空泵抽出炉体外。</w:t>
            </w:r>
          </w:p>
          <w:p w14:paraId="31887267">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⑤加工：对产品进行CNC加工，</w:t>
            </w:r>
            <w:r>
              <w:rPr>
                <w:rFonts w:hint="eastAsia" w:ascii="Times New Roman" w:hAnsi="Times New Roman" w:eastAsia="宋体" w:cs="Times New Roman"/>
                <w:snapToGrid/>
                <w:sz w:val="24"/>
                <w:szCs w:val="21"/>
                <w:lang w:val="en-US" w:eastAsia="zh-CN"/>
              </w:rPr>
              <w:t>将</w:t>
            </w:r>
            <w:r>
              <w:rPr>
                <w:rFonts w:hint="default" w:ascii="Times New Roman" w:hAnsi="Times New Roman" w:eastAsia="宋体" w:cs="Times New Roman"/>
                <w:snapToGrid/>
                <w:sz w:val="24"/>
                <w:szCs w:val="21"/>
                <w:lang w:val="en-US" w:eastAsia="zh-CN"/>
              </w:rPr>
              <w:t>产品加工</w:t>
            </w:r>
            <w:r>
              <w:rPr>
                <w:rFonts w:hint="eastAsia" w:ascii="Times New Roman" w:hAnsi="Times New Roman" w:eastAsia="宋体" w:cs="Times New Roman"/>
                <w:snapToGrid/>
                <w:sz w:val="24"/>
                <w:szCs w:val="21"/>
                <w:lang w:val="en-US" w:eastAsia="zh-CN"/>
              </w:rPr>
              <w:t>至</w:t>
            </w:r>
            <w:r>
              <w:rPr>
                <w:rFonts w:hint="default" w:ascii="Times New Roman" w:hAnsi="Times New Roman" w:eastAsia="宋体" w:cs="Times New Roman"/>
                <w:snapToGrid/>
                <w:sz w:val="24"/>
                <w:szCs w:val="21"/>
                <w:lang w:val="en-US" w:eastAsia="zh-CN"/>
              </w:rPr>
              <w:t>需要</w:t>
            </w:r>
            <w:r>
              <w:rPr>
                <w:rFonts w:hint="eastAsia" w:ascii="Times New Roman" w:hAnsi="Times New Roman" w:eastAsia="宋体" w:cs="Times New Roman"/>
                <w:snapToGrid/>
                <w:sz w:val="24"/>
                <w:szCs w:val="21"/>
                <w:lang w:val="en-US" w:eastAsia="zh-CN"/>
              </w:rPr>
              <w:t>的</w:t>
            </w:r>
            <w:r>
              <w:rPr>
                <w:rFonts w:hint="default" w:ascii="Times New Roman" w:hAnsi="Times New Roman" w:eastAsia="宋体" w:cs="Times New Roman"/>
                <w:snapToGrid/>
                <w:sz w:val="24"/>
                <w:szCs w:val="21"/>
                <w:lang w:val="en-US" w:eastAsia="zh-CN"/>
              </w:rPr>
              <w:t>尺寸。</w:t>
            </w:r>
          </w:p>
          <w:p w14:paraId="49222CA0">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eastAsia" w:ascii="Times New Roman" w:hAnsi="Times New Roman" w:eastAsia="宋体" w:cs="Times New Roman"/>
                <w:snapToGrid/>
                <w:sz w:val="24"/>
                <w:szCs w:val="21"/>
                <w:lang w:val="en-US" w:eastAsia="zh-CN"/>
              </w:rPr>
              <w:t>该工序产生加工废气、废切削液及噪声</w:t>
            </w:r>
            <w:r>
              <w:rPr>
                <w:rFonts w:hint="default" w:ascii="Times New Roman" w:hAnsi="Times New Roman" w:eastAsia="宋体" w:cs="Times New Roman"/>
                <w:snapToGrid/>
                <w:sz w:val="24"/>
                <w:szCs w:val="21"/>
                <w:lang w:val="en-US" w:eastAsia="zh-CN"/>
              </w:rPr>
              <w:t>。</w:t>
            </w:r>
          </w:p>
          <w:p w14:paraId="4FDDA4F6">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⑥涂层处理：通过对C/C胚体进行涂层压制处理，在产品表面制备涂层胚体。涂层处理使用配方物料的混合以及进行涂层制备和压制。按照配比人工将</w:t>
            </w:r>
            <w:r>
              <w:rPr>
                <w:rFonts w:hint="eastAsia" w:ascii="Times New Roman" w:hAnsi="Times New Roman" w:eastAsia="宋体" w:cs="Times New Roman"/>
                <w:snapToGrid/>
                <w:sz w:val="24"/>
                <w:szCs w:val="21"/>
                <w:lang w:val="en-US" w:eastAsia="zh-CN"/>
              </w:rPr>
              <w:t>酚醛</w:t>
            </w:r>
            <w:r>
              <w:rPr>
                <w:rFonts w:hint="default" w:ascii="Times New Roman" w:hAnsi="Times New Roman" w:eastAsia="宋体" w:cs="Times New Roman"/>
                <w:snapToGrid/>
                <w:sz w:val="24"/>
                <w:szCs w:val="21"/>
                <w:lang w:val="en-US" w:eastAsia="zh-CN"/>
              </w:rPr>
              <w:t>树脂、</w:t>
            </w:r>
            <w:r>
              <w:rPr>
                <w:rFonts w:hint="eastAsia" w:ascii="Times New Roman" w:hAnsi="Times New Roman" w:eastAsia="宋体" w:cs="Times New Roman"/>
                <w:snapToGrid/>
                <w:sz w:val="24"/>
                <w:szCs w:val="21"/>
                <w:lang w:val="en-US" w:eastAsia="zh-CN"/>
              </w:rPr>
              <w:t>陶瓷</w:t>
            </w:r>
            <w:r>
              <w:rPr>
                <w:rFonts w:hint="default" w:ascii="Times New Roman" w:hAnsi="Times New Roman" w:eastAsia="宋体" w:cs="Times New Roman"/>
                <w:snapToGrid/>
                <w:sz w:val="24"/>
                <w:szCs w:val="21"/>
                <w:lang w:val="en-US" w:eastAsia="zh-CN"/>
              </w:rPr>
              <w:t>粉等按照重量称好然后倒入混料机中混均匀，混料机属于密闭设备</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仅在人工称量</w:t>
            </w:r>
            <w:r>
              <w:rPr>
                <w:rFonts w:hint="eastAsia" w:ascii="Times New Roman" w:hAnsi="Times New Roman" w:eastAsia="宋体" w:cs="Times New Roman"/>
                <w:snapToGrid/>
                <w:sz w:val="24"/>
                <w:szCs w:val="21"/>
                <w:lang w:val="en-US" w:eastAsia="zh-CN"/>
              </w:rPr>
              <w:t>陶瓷</w:t>
            </w:r>
            <w:r>
              <w:rPr>
                <w:rFonts w:hint="default" w:ascii="Times New Roman" w:hAnsi="Times New Roman" w:eastAsia="宋体" w:cs="Times New Roman"/>
                <w:snapToGrid/>
                <w:sz w:val="24"/>
                <w:szCs w:val="21"/>
                <w:lang w:val="en-US" w:eastAsia="zh-CN"/>
              </w:rPr>
              <w:t>粉时有少量粉尘逸散</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C/C胚体放入</w:t>
            </w:r>
            <w:r>
              <w:rPr>
                <w:rFonts w:hint="eastAsia" w:ascii="Times New Roman" w:hAnsi="Times New Roman" w:eastAsia="宋体" w:cs="Times New Roman"/>
                <w:snapToGrid/>
                <w:sz w:val="24"/>
                <w:szCs w:val="21"/>
                <w:lang w:val="en-US" w:eastAsia="zh-CN"/>
              </w:rPr>
              <w:t>捏合机</w:t>
            </w:r>
            <w:r>
              <w:rPr>
                <w:rFonts w:hint="default" w:ascii="Times New Roman" w:hAnsi="Times New Roman" w:eastAsia="宋体" w:cs="Times New Roman"/>
                <w:snapToGrid/>
                <w:sz w:val="24"/>
                <w:szCs w:val="21"/>
                <w:lang w:val="en-US" w:eastAsia="zh-CN"/>
              </w:rPr>
              <w:t>中然后将混合好的物料倒入并进行加压升温到1</w:t>
            </w:r>
            <w:r>
              <w:rPr>
                <w:rFonts w:hint="eastAsia" w:ascii="Times New Roman" w:hAnsi="Times New Roman" w:eastAsia="宋体" w:cs="Times New Roman"/>
                <w:snapToGrid/>
                <w:sz w:val="24"/>
                <w:szCs w:val="21"/>
                <w:lang w:val="en-US" w:eastAsia="zh-CN"/>
              </w:rPr>
              <w:t>2</w:t>
            </w:r>
            <w:r>
              <w:rPr>
                <w:rFonts w:hint="default" w:ascii="Times New Roman" w:hAnsi="Times New Roman" w:eastAsia="宋体" w:cs="Times New Roman"/>
                <w:snapToGrid/>
                <w:sz w:val="24"/>
                <w:szCs w:val="21"/>
                <w:lang w:val="en-US" w:eastAsia="zh-CN"/>
              </w:rPr>
              <w:t>0℃保温 30min 固化后取出，过程中树脂会产生少量挥发气体，按非甲烷总烃计。</w:t>
            </w:r>
          </w:p>
          <w:p w14:paraId="485E4269">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⑦高温碳化：对产品的涂层进行高温碳化处理，对涂层中的少量有机物进行分解。</w:t>
            </w:r>
            <w:r>
              <w:rPr>
                <w:rFonts w:hint="eastAsia" w:ascii="Times New Roman" w:hAnsi="Times New Roman" w:eastAsia="宋体" w:cs="Times New Roman"/>
                <w:snapToGrid/>
                <w:sz w:val="24"/>
                <w:szCs w:val="21"/>
                <w:lang w:val="en-US" w:eastAsia="zh-CN"/>
              </w:rPr>
              <w:t>将</w:t>
            </w:r>
            <w:r>
              <w:rPr>
                <w:rFonts w:hint="default" w:ascii="Times New Roman" w:hAnsi="Times New Roman" w:eastAsia="宋体" w:cs="Times New Roman"/>
                <w:snapToGrid/>
                <w:sz w:val="24"/>
                <w:szCs w:val="21"/>
                <w:lang w:val="en-US" w:eastAsia="zh-CN"/>
              </w:rPr>
              <w:t>碳纤维复合材料运至碳化炉，持续向碳化炉充入氮气，电加热至1000℃，进行碳化。该温度下酚醛树脂发生裂解，裂解的酚醛树脂部分渗入碳纤维复合材料中(渗碳率约为 38%~40%)，剩余碳、氢、氧元素以VOCs形式进入碳化炉尾气。</w:t>
            </w:r>
          </w:p>
          <w:p w14:paraId="5418D993">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⑧陶瓷化处理：使用渗硅炉对产品进行</w:t>
            </w:r>
            <w:r>
              <w:rPr>
                <w:rFonts w:hint="eastAsia" w:ascii="Times New Roman" w:hAnsi="Times New Roman" w:eastAsia="宋体" w:cs="Times New Roman"/>
                <w:snapToGrid/>
                <w:sz w:val="24"/>
                <w:szCs w:val="21"/>
                <w:lang w:val="en-US" w:eastAsia="zh-CN"/>
              </w:rPr>
              <w:t>抽</w:t>
            </w:r>
            <w:r>
              <w:rPr>
                <w:rFonts w:hint="default" w:ascii="Times New Roman" w:hAnsi="Times New Roman" w:eastAsia="宋体" w:cs="Times New Roman"/>
                <w:snapToGrid/>
                <w:sz w:val="24"/>
                <w:szCs w:val="21"/>
                <w:lang w:val="en-US" w:eastAsia="zh-CN"/>
              </w:rPr>
              <w:t>真空处理，并通过硅单质对产品进行陶瓷化，碳和硅反应生成碳化硅，温度1500-2000℃。碳纤维复合材料胚体、硅单质放入渗硅炉中，渗硅炉内持续抽真空、并通入</w:t>
            </w:r>
            <w:r>
              <w:rPr>
                <w:rFonts w:hint="eastAsia" w:ascii="Times New Roman" w:hAnsi="Times New Roman" w:eastAsia="宋体" w:cs="Times New Roman"/>
                <w:snapToGrid/>
                <w:sz w:val="24"/>
                <w:szCs w:val="21"/>
                <w:lang w:val="en-US" w:eastAsia="zh-CN"/>
              </w:rPr>
              <w:t>氩气、</w:t>
            </w:r>
            <w:r>
              <w:rPr>
                <w:rFonts w:hint="default" w:ascii="Times New Roman" w:hAnsi="Times New Roman" w:eastAsia="宋体" w:cs="Times New Roman"/>
                <w:snapToGrid/>
                <w:sz w:val="24"/>
                <w:szCs w:val="21"/>
                <w:lang w:val="en-US" w:eastAsia="zh-CN"/>
              </w:rPr>
              <w:t>氮气，加热至1500-2000℃，进行渗硅。高温下硅以蒸汽的形式存在，渗入胚体中。硅蒸气与碳纤维上的碳质发生碳热反应生成碳化硅，制备碳陶材料，其主要反应方程式为:Si+C</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SiC</w:t>
            </w:r>
            <w:r>
              <w:rPr>
                <w:rFonts w:hint="eastAsia" w:ascii="Times New Roman" w:hAnsi="Times New Roman" w:eastAsia="宋体" w:cs="Times New Roman"/>
                <w:snapToGrid/>
                <w:sz w:val="24"/>
                <w:szCs w:val="21"/>
                <w:lang w:val="en-US" w:eastAsia="zh-CN"/>
              </w:rPr>
              <w:t>。</w:t>
            </w:r>
          </w:p>
          <w:p w14:paraId="7BD8FE53">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⑨精加工：对产品进行CNC或平磨加工，达到</w:t>
            </w:r>
            <w:r>
              <w:rPr>
                <w:rFonts w:hint="eastAsia" w:ascii="Times New Roman" w:hAnsi="Times New Roman" w:eastAsia="宋体" w:cs="Times New Roman"/>
                <w:snapToGrid/>
                <w:sz w:val="24"/>
                <w:szCs w:val="21"/>
                <w:lang w:val="en-US" w:eastAsia="zh-CN"/>
              </w:rPr>
              <w:t>需要的</w:t>
            </w:r>
            <w:r>
              <w:rPr>
                <w:rFonts w:hint="default" w:ascii="Times New Roman" w:hAnsi="Times New Roman" w:eastAsia="宋体" w:cs="Times New Roman"/>
                <w:snapToGrid/>
                <w:sz w:val="24"/>
                <w:szCs w:val="21"/>
                <w:lang w:val="en-US" w:eastAsia="zh-CN"/>
              </w:rPr>
              <w:t>平面度和预定尺寸</w:t>
            </w:r>
            <w:r>
              <w:rPr>
                <w:rFonts w:hint="eastAsia" w:ascii="Times New Roman" w:hAnsi="Times New Roman" w:eastAsia="宋体" w:cs="Times New Roman"/>
                <w:snapToGrid/>
                <w:sz w:val="24"/>
                <w:szCs w:val="21"/>
                <w:lang w:val="en-US" w:eastAsia="zh-CN"/>
              </w:rPr>
              <w:t>该工序产生精加工废气、废切削液及噪声</w:t>
            </w:r>
            <w:r>
              <w:rPr>
                <w:rFonts w:hint="default" w:ascii="Times New Roman" w:hAnsi="Times New Roman" w:eastAsia="宋体" w:cs="Times New Roman"/>
                <w:snapToGrid/>
                <w:sz w:val="24"/>
                <w:szCs w:val="21"/>
                <w:lang w:val="en-US" w:eastAsia="zh-CN"/>
              </w:rPr>
              <w:t>。</w:t>
            </w:r>
          </w:p>
          <w:p w14:paraId="74E70CEC">
            <w:pPr>
              <w:pStyle w:val="5"/>
              <w:keepNext w:val="0"/>
              <w:keepLines w:val="0"/>
              <w:widowControl w:val="0"/>
              <w:suppressLineNumbers w:val="0"/>
              <w:snapToGrid/>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rPr>
              <w:t>、</w:t>
            </w:r>
            <w:r>
              <w:rPr>
                <w:rFonts w:hint="eastAsia" w:ascii="宋体" w:hAnsi="宋体" w:cs="Times New Roman"/>
                <w:b/>
                <w:bCs/>
                <w:color w:val="auto"/>
                <w:sz w:val="24"/>
              </w:rPr>
              <w:t>产污环节汇总</w:t>
            </w:r>
          </w:p>
          <w:p w14:paraId="4AA544F2">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sz w:val="24"/>
                <w:szCs w:val="21"/>
                <w:lang w:val="en-US" w:eastAsia="zh-CN"/>
              </w:rPr>
            </w:pPr>
            <w:r>
              <w:rPr>
                <w:rFonts w:hint="eastAsia" w:ascii="Times New Roman" w:hAnsi="Times New Roman" w:eastAsia="宋体" w:cs="Times New Roman"/>
                <w:snapToGrid/>
                <w:sz w:val="24"/>
                <w:szCs w:val="21"/>
                <w:lang w:val="en-US" w:eastAsia="zh-CN"/>
              </w:rPr>
              <w:t>本项目产污环节汇总如下：</w:t>
            </w:r>
          </w:p>
          <w:p w14:paraId="613495E1">
            <w:pPr>
              <w:pStyle w:val="59"/>
              <w:widowControl/>
              <w:autoSpaceDE w:val="0"/>
              <w:autoSpaceDN w:val="0"/>
              <w:adjustRightInd w:val="0"/>
              <w:snapToGrid w:val="0"/>
              <w:ind w:lef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表2-</w:t>
            </w:r>
            <w:r>
              <w:rPr>
                <w:rFonts w:hint="default" w:ascii="Times New Roman" w:hAnsi="Times New Roman" w:eastAsia="宋体" w:cs="Times New Roman"/>
                <w:b/>
                <w:bCs/>
                <w:kern w:val="2"/>
                <w:sz w:val="21"/>
                <w:szCs w:val="21"/>
                <w:lang w:val="en-US" w:eastAsia="zh-CN"/>
              </w:rPr>
              <w:t>7</w:t>
            </w:r>
            <w:r>
              <w:rPr>
                <w:rFonts w:hint="default" w:ascii="Times New Roman" w:hAnsi="Times New Roman" w:eastAsia="宋体" w:cs="Times New Roman"/>
                <w:b/>
                <w:bCs/>
                <w:kern w:val="2"/>
                <w:sz w:val="21"/>
                <w:szCs w:val="21"/>
              </w:rPr>
              <w:t xml:space="preserve">  本项目产污环节汇总一览表</w:t>
            </w:r>
          </w:p>
          <w:tbl>
            <w:tblPr>
              <w:tblStyle w:val="21"/>
              <w:tblW w:w="8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519"/>
              <w:gridCol w:w="1427"/>
              <w:gridCol w:w="1576"/>
              <w:gridCol w:w="4272"/>
            </w:tblGrid>
            <w:tr w14:paraId="788B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E168C8">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类别</w:t>
                  </w:r>
                </w:p>
              </w:tc>
              <w:tc>
                <w:tcPr>
                  <w:tcW w:w="194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FA567B3">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lang w:val="en-US" w:eastAsia="zh-CN"/>
                    </w:rPr>
                    <w:t>产污环节</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129352">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4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1A6E8B">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治理措施</w:t>
                  </w:r>
                </w:p>
              </w:tc>
            </w:tr>
            <w:tr w14:paraId="7671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78" w:type="dxa"/>
                  <w:vMerge w:val="restart"/>
                  <w:tcBorders>
                    <w:top w:val="single" w:color="auto" w:sz="4" w:space="0"/>
                    <w:left w:val="single" w:color="auto" w:sz="4" w:space="0"/>
                    <w:right w:val="single" w:color="auto" w:sz="4" w:space="0"/>
                    <w:tl2br w:val="nil"/>
                    <w:tr2bl w:val="nil"/>
                  </w:tcBorders>
                  <w:noWrap w:val="0"/>
                  <w:vAlign w:val="center"/>
                </w:tcPr>
                <w:p w14:paraId="08ACB1CB">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w:t>
                  </w:r>
                </w:p>
              </w:tc>
              <w:tc>
                <w:tcPr>
                  <w:tcW w:w="519" w:type="dxa"/>
                  <w:vMerge w:val="restart"/>
                  <w:tcBorders>
                    <w:top w:val="single" w:color="auto" w:sz="4" w:space="0"/>
                    <w:left w:val="single" w:color="auto" w:sz="4" w:space="0"/>
                    <w:right w:val="single" w:color="auto" w:sz="4" w:space="0"/>
                    <w:tl2br w:val="nil"/>
                    <w:tr2bl w:val="nil"/>
                  </w:tcBorders>
                  <w:noWrap w:val="0"/>
                  <w:vAlign w:val="center"/>
                </w:tcPr>
                <w:p w14:paraId="558FB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有</w:t>
                  </w:r>
                  <w:r>
                    <w:rPr>
                      <w:rFonts w:hint="eastAsia" w:ascii="Times New Roman" w:hAnsi="Times New Roman" w:eastAsia="宋体" w:cs="Times New Roman"/>
                      <w:b w:val="0"/>
                      <w:bCs/>
                      <w:color w:val="auto"/>
                      <w:kern w:val="2"/>
                      <w:sz w:val="21"/>
                      <w:szCs w:val="21"/>
                      <w:lang w:val="en-US" w:eastAsia="zh-CN" w:bidi="ar-SA"/>
                    </w:rPr>
                    <w:t>组织</w:t>
                  </w:r>
                </w:p>
              </w:tc>
              <w:tc>
                <w:tcPr>
                  <w:tcW w:w="1427" w:type="dxa"/>
                  <w:tcBorders>
                    <w:top w:val="single" w:color="auto" w:sz="4" w:space="0"/>
                    <w:left w:val="single" w:color="auto" w:sz="4" w:space="0"/>
                    <w:right w:val="single" w:color="auto" w:sz="4" w:space="0"/>
                    <w:tl2br w:val="nil"/>
                    <w:tr2bl w:val="nil"/>
                  </w:tcBorders>
                  <w:noWrap w:val="0"/>
                  <w:vAlign w:val="center"/>
                </w:tcPr>
                <w:p w14:paraId="68AAF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改性废气</w:t>
                  </w:r>
                </w:p>
              </w:tc>
              <w:tc>
                <w:tcPr>
                  <w:tcW w:w="1576" w:type="dxa"/>
                  <w:tcBorders>
                    <w:top w:val="single" w:color="auto" w:sz="4" w:space="0"/>
                    <w:left w:val="single" w:color="auto" w:sz="4" w:space="0"/>
                    <w:right w:val="single" w:color="auto" w:sz="4" w:space="0"/>
                    <w:tl2br w:val="nil"/>
                    <w:tr2bl w:val="nil"/>
                  </w:tcBorders>
                  <w:noWrap w:val="0"/>
                  <w:vAlign w:val="center"/>
                </w:tcPr>
                <w:p w14:paraId="726842E0">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VOCs</w:t>
                  </w:r>
                </w:p>
              </w:tc>
              <w:tc>
                <w:tcPr>
                  <w:tcW w:w="4272" w:type="dxa"/>
                  <w:vMerge w:val="restart"/>
                  <w:tcBorders>
                    <w:top w:val="single" w:color="auto" w:sz="4" w:space="0"/>
                    <w:left w:val="single" w:color="auto" w:sz="4" w:space="0"/>
                    <w:right w:val="single" w:color="auto" w:sz="4" w:space="0"/>
                    <w:tl2br w:val="nil"/>
                    <w:tr2bl w:val="nil"/>
                  </w:tcBorders>
                  <w:noWrap w:val="0"/>
                  <w:vAlign w:val="center"/>
                </w:tcPr>
                <w:p w14:paraId="4C5E907E">
                  <w:pPr>
                    <w:keepNext w:val="0"/>
                    <w:keepLines w:val="0"/>
                    <w:suppressLineNumbers w:val="0"/>
                    <w:spacing w:before="0" w:beforeAutospacing="0" w:after="0" w:afterAutospacing="0" w:line="360" w:lineRule="atLeast"/>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hAnsi="宋体"/>
                      <w:color w:val="auto"/>
                      <w:szCs w:val="21"/>
                    </w:rPr>
                    <w:t>改性废气</w:t>
                  </w:r>
                  <w:r>
                    <w:rPr>
                      <w:rFonts w:hint="eastAsia" w:hAnsi="宋体"/>
                      <w:color w:val="auto"/>
                      <w:szCs w:val="21"/>
                      <w:lang w:eastAsia="zh-CN"/>
                    </w:rPr>
                    <w:t>、</w:t>
                  </w:r>
                  <w:r>
                    <w:rPr>
                      <w:rFonts w:hint="eastAsia" w:hAnsi="宋体"/>
                      <w:color w:val="auto"/>
                      <w:szCs w:val="21"/>
                    </w:rPr>
                    <w:t>涂层废气</w:t>
                  </w:r>
                  <w:r>
                    <w:rPr>
                      <w:rFonts w:hint="eastAsia" w:hAnsi="宋体"/>
                      <w:color w:val="auto"/>
                      <w:szCs w:val="21"/>
                      <w:lang w:eastAsia="zh-CN"/>
                    </w:rPr>
                    <w:t>、</w:t>
                  </w:r>
                  <w:r>
                    <w:rPr>
                      <w:rFonts w:hint="eastAsia" w:hAnsi="宋体"/>
                      <w:color w:val="auto"/>
                      <w:szCs w:val="21"/>
                    </w:rPr>
                    <w:t>沉积废气、碳化废气和真空泵油雾废气经抽风管道收集，收集后通过</w:t>
                  </w:r>
                  <w:r>
                    <w:rPr>
                      <w:rFonts w:hint="eastAsia" w:hAnsi="宋体"/>
                      <w:color w:val="auto"/>
                      <w:szCs w:val="21"/>
                      <w:lang w:eastAsia="zh-CN"/>
                    </w:rPr>
                    <w:t>TO</w:t>
                  </w:r>
                  <w:r>
                    <w:rPr>
                      <w:rFonts w:hint="eastAsia" w:hAnsi="宋体"/>
                      <w:color w:val="auto"/>
                      <w:szCs w:val="21"/>
                    </w:rPr>
                    <w:t>燃烧装置处理后通过一根15m高的排气筒DA001排放</w:t>
                  </w:r>
                </w:p>
              </w:tc>
            </w:tr>
            <w:tr w14:paraId="3E7B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78" w:type="dxa"/>
                  <w:vMerge w:val="continue"/>
                  <w:tcBorders>
                    <w:left w:val="single" w:color="auto" w:sz="4" w:space="0"/>
                    <w:right w:val="single" w:color="auto" w:sz="4" w:space="0"/>
                    <w:tl2br w:val="nil"/>
                    <w:tr2bl w:val="nil"/>
                  </w:tcBorders>
                  <w:noWrap w:val="0"/>
                  <w:vAlign w:val="center"/>
                </w:tcPr>
                <w:p w14:paraId="306CF5C4">
                  <w:pPr>
                    <w:pStyle w:val="18"/>
                    <w:keepNext w:val="0"/>
                    <w:keepLines w:val="0"/>
                    <w:suppressLineNumbers w:val="0"/>
                    <w:spacing w:before="0" w:beforeLines="0" w:beforeAutospacing="0" w:after="0" w:afterLines="0" w:afterAutospacing="0" w:line="240" w:lineRule="auto"/>
                    <w:ind w:left="0" w:right="0"/>
                    <w:jc w:val="center"/>
                    <w:rPr>
                      <w:rFonts w:hint="default"/>
                    </w:rPr>
                  </w:pPr>
                </w:p>
              </w:tc>
              <w:tc>
                <w:tcPr>
                  <w:tcW w:w="519" w:type="dxa"/>
                  <w:vMerge w:val="continue"/>
                  <w:tcBorders>
                    <w:left w:val="single" w:color="auto" w:sz="4" w:space="0"/>
                    <w:right w:val="single" w:color="auto" w:sz="4" w:space="0"/>
                    <w:tl2br w:val="nil"/>
                    <w:tr2bl w:val="nil"/>
                  </w:tcBorders>
                  <w:noWrap w:val="0"/>
                  <w:vAlign w:val="center"/>
                </w:tcPr>
                <w:p w14:paraId="7D085DA9">
                  <w:pPr>
                    <w:pStyle w:val="18"/>
                    <w:keepNext w:val="0"/>
                    <w:keepLines w:val="0"/>
                    <w:suppressLineNumbers w:val="0"/>
                    <w:spacing w:before="0" w:beforeLines="0" w:beforeAutospacing="0" w:after="0" w:afterLines="0" w:afterAutospacing="0" w:line="240" w:lineRule="auto"/>
                    <w:ind w:left="0" w:right="0"/>
                    <w:jc w:val="center"/>
                    <w:rPr>
                      <w:rFonts w:hint="default"/>
                    </w:rPr>
                  </w:pPr>
                </w:p>
              </w:tc>
              <w:tc>
                <w:tcPr>
                  <w:tcW w:w="1427" w:type="dxa"/>
                  <w:tcBorders>
                    <w:top w:val="single" w:color="auto" w:sz="4" w:space="0"/>
                    <w:left w:val="single" w:color="auto" w:sz="4" w:space="0"/>
                    <w:right w:val="single" w:color="auto" w:sz="4" w:space="0"/>
                    <w:tl2br w:val="nil"/>
                    <w:tr2bl w:val="nil"/>
                  </w:tcBorders>
                  <w:noWrap w:val="0"/>
                  <w:vAlign w:val="center"/>
                </w:tcPr>
                <w:p w14:paraId="453B54F4">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沉积废气</w:t>
                  </w:r>
                </w:p>
              </w:tc>
              <w:tc>
                <w:tcPr>
                  <w:tcW w:w="1576" w:type="dxa"/>
                  <w:tcBorders>
                    <w:top w:val="single" w:color="auto" w:sz="4" w:space="0"/>
                    <w:left w:val="single" w:color="auto" w:sz="4" w:space="0"/>
                    <w:right w:val="single" w:color="auto" w:sz="4" w:space="0"/>
                    <w:tl2br w:val="nil"/>
                    <w:tr2bl w:val="nil"/>
                  </w:tcBorders>
                  <w:noWrap w:val="0"/>
                  <w:vAlign w:val="center"/>
                </w:tcPr>
                <w:p w14:paraId="2B200B76">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甲烷、</w:t>
                  </w:r>
                  <w:r>
                    <w:rPr>
                      <w:rFonts w:hint="default" w:ascii="Times New Roman" w:hAnsi="Times New Roman" w:eastAsia="宋体" w:cs="Times New Roman"/>
                      <w:b w:val="0"/>
                      <w:bCs/>
                      <w:color w:val="auto"/>
                      <w:sz w:val="21"/>
                      <w:szCs w:val="21"/>
                      <w:lang w:val="en-US" w:eastAsia="zh-CN"/>
                    </w:rPr>
                    <w:t>H</w:t>
                  </w:r>
                  <w:r>
                    <w:rPr>
                      <w:rFonts w:hint="default" w:ascii="Times New Roman" w:hAnsi="Times New Roman" w:eastAsia="宋体" w:cs="Times New Roman"/>
                      <w:b w:val="0"/>
                      <w:bCs/>
                      <w:color w:val="auto"/>
                      <w:sz w:val="21"/>
                      <w:szCs w:val="21"/>
                      <w:vertAlign w:val="subscript"/>
                      <w:lang w:val="en-US" w:eastAsia="zh-CN"/>
                    </w:rPr>
                    <w:t>2</w:t>
                  </w:r>
                  <w:r>
                    <w:rPr>
                      <w:rFonts w:hint="default" w:ascii="Times New Roman" w:hAnsi="Times New Roman" w:eastAsia="宋体" w:cs="Times New Roman"/>
                      <w:b w:val="0"/>
                      <w:bCs/>
                      <w:color w:val="auto"/>
                      <w:sz w:val="21"/>
                      <w:szCs w:val="21"/>
                      <w:lang w:val="en-US" w:eastAsia="zh-CN"/>
                    </w:rPr>
                    <w:t>、VOCs</w:t>
                  </w:r>
                </w:p>
              </w:tc>
              <w:tc>
                <w:tcPr>
                  <w:tcW w:w="4272" w:type="dxa"/>
                  <w:vMerge w:val="continue"/>
                  <w:tcBorders>
                    <w:left w:val="single" w:color="auto" w:sz="4" w:space="0"/>
                    <w:right w:val="single" w:color="auto" w:sz="4" w:space="0"/>
                    <w:tl2br w:val="nil"/>
                    <w:tr2bl w:val="nil"/>
                  </w:tcBorders>
                  <w:noWrap w:val="0"/>
                  <w:vAlign w:val="center"/>
                </w:tcPr>
                <w:p w14:paraId="3BA5F4FE">
                  <w:pPr>
                    <w:keepNext w:val="0"/>
                    <w:keepLines w:val="0"/>
                    <w:suppressLineNumbers w:val="0"/>
                    <w:spacing w:before="0" w:beforeAutospacing="0" w:after="0" w:afterAutospacing="0" w:line="360" w:lineRule="atLeast"/>
                    <w:ind w:left="0" w:leftChars="0" w:right="0" w:rightChars="0"/>
                    <w:jc w:val="center"/>
                    <w:rPr>
                      <w:rFonts w:hint="default" w:ascii="Times New Roman" w:hAnsi="Times New Roman" w:eastAsia="宋体" w:cs="Times New Roman"/>
                      <w:b w:val="0"/>
                      <w:bCs/>
                      <w:color w:val="auto"/>
                      <w:sz w:val="21"/>
                      <w:szCs w:val="21"/>
                      <w:lang w:val="en-US" w:eastAsia="zh-CN"/>
                    </w:rPr>
                  </w:pPr>
                </w:p>
              </w:tc>
            </w:tr>
            <w:tr w14:paraId="330C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78" w:type="dxa"/>
                  <w:vMerge w:val="continue"/>
                  <w:tcBorders>
                    <w:left w:val="single" w:color="auto" w:sz="4" w:space="0"/>
                    <w:right w:val="single" w:color="auto" w:sz="4" w:space="0"/>
                    <w:tl2br w:val="nil"/>
                    <w:tr2bl w:val="nil"/>
                  </w:tcBorders>
                  <w:noWrap w:val="0"/>
                  <w:vAlign w:val="center"/>
                </w:tcPr>
                <w:p w14:paraId="636DF55E">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c>
                <w:tcPr>
                  <w:tcW w:w="519" w:type="dxa"/>
                  <w:vMerge w:val="continue"/>
                  <w:tcBorders>
                    <w:left w:val="single" w:color="auto" w:sz="4" w:space="0"/>
                    <w:right w:val="single" w:color="auto" w:sz="4" w:space="0"/>
                    <w:tl2br w:val="nil"/>
                    <w:tr2bl w:val="nil"/>
                  </w:tcBorders>
                  <w:noWrap w:val="0"/>
                  <w:vAlign w:val="center"/>
                </w:tcPr>
                <w:p w14:paraId="5051039E">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c>
                <w:tcPr>
                  <w:tcW w:w="1427" w:type="dxa"/>
                  <w:tcBorders>
                    <w:top w:val="single" w:color="auto" w:sz="4" w:space="0"/>
                    <w:left w:val="single" w:color="auto" w:sz="4" w:space="0"/>
                    <w:right w:val="single" w:color="auto" w:sz="4" w:space="0"/>
                    <w:tl2br w:val="nil"/>
                    <w:tr2bl w:val="nil"/>
                  </w:tcBorders>
                  <w:noWrap w:val="0"/>
                  <w:vAlign w:val="center"/>
                </w:tcPr>
                <w:p w14:paraId="4A703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碳化废气</w:t>
                  </w:r>
                </w:p>
              </w:tc>
              <w:tc>
                <w:tcPr>
                  <w:tcW w:w="1576" w:type="dxa"/>
                  <w:tcBorders>
                    <w:top w:val="single" w:color="auto" w:sz="4" w:space="0"/>
                    <w:left w:val="single" w:color="auto" w:sz="4" w:space="0"/>
                    <w:right w:val="single" w:color="auto" w:sz="4" w:space="0"/>
                    <w:tl2br w:val="nil"/>
                    <w:tr2bl w:val="nil"/>
                  </w:tcBorders>
                  <w:noWrap w:val="0"/>
                  <w:vAlign w:val="center"/>
                </w:tcPr>
                <w:p w14:paraId="43FDC24C">
                  <w:pPr>
                    <w:pStyle w:val="18"/>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2"/>
                      <w:sz w:val="21"/>
                      <w:szCs w:val="21"/>
                      <w:lang w:val="en-US" w:eastAsia="zh-CN" w:bidi="ar-SA"/>
                    </w:rPr>
                    <w:t>VOCs</w:t>
                  </w:r>
                </w:p>
              </w:tc>
              <w:tc>
                <w:tcPr>
                  <w:tcW w:w="4272" w:type="dxa"/>
                  <w:vMerge w:val="continue"/>
                  <w:tcBorders>
                    <w:left w:val="single" w:color="auto" w:sz="4" w:space="0"/>
                    <w:right w:val="single" w:color="auto" w:sz="4" w:space="0"/>
                    <w:tl2br w:val="nil"/>
                    <w:tr2bl w:val="nil"/>
                  </w:tcBorders>
                  <w:noWrap w:val="0"/>
                  <w:vAlign w:val="center"/>
                </w:tcPr>
                <w:p w14:paraId="6B0D9793">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r>
            <w:tr w14:paraId="2FC3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78" w:type="dxa"/>
                  <w:vMerge w:val="continue"/>
                  <w:tcBorders>
                    <w:left w:val="single" w:color="auto" w:sz="4" w:space="0"/>
                    <w:right w:val="single" w:color="auto" w:sz="4" w:space="0"/>
                    <w:tl2br w:val="nil"/>
                    <w:tr2bl w:val="nil"/>
                  </w:tcBorders>
                  <w:noWrap w:val="0"/>
                  <w:vAlign w:val="center"/>
                </w:tcPr>
                <w:p w14:paraId="7C0DCE8F">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c>
                <w:tcPr>
                  <w:tcW w:w="519" w:type="dxa"/>
                  <w:vMerge w:val="continue"/>
                  <w:tcBorders>
                    <w:left w:val="single" w:color="auto" w:sz="4" w:space="0"/>
                    <w:right w:val="single" w:color="auto" w:sz="4" w:space="0"/>
                    <w:tl2br w:val="nil"/>
                    <w:tr2bl w:val="nil"/>
                  </w:tcBorders>
                  <w:noWrap w:val="0"/>
                  <w:vAlign w:val="center"/>
                </w:tcPr>
                <w:p w14:paraId="432AAA7A">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c>
                <w:tcPr>
                  <w:tcW w:w="1427" w:type="dxa"/>
                  <w:tcBorders>
                    <w:top w:val="single" w:color="auto" w:sz="4" w:space="0"/>
                    <w:left w:val="single" w:color="auto" w:sz="4" w:space="0"/>
                    <w:right w:val="single" w:color="auto" w:sz="4" w:space="0"/>
                    <w:tl2br w:val="nil"/>
                    <w:tr2bl w:val="nil"/>
                  </w:tcBorders>
                  <w:noWrap w:val="0"/>
                  <w:vAlign w:val="center"/>
                </w:tcPr>
                <w:p w14:paraId="71D8A415">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涂层废气</w:t>
                  </w:r>
                </w:p>
              </w:tc>
              <w:tc>
                <w:tcPr>
                  <w:tcW w:w="1576" w:type="dxa"/>
                  <w:tcBorders>
                    <w:top w:val="single" w:color="auto" w:sz="4" w:space="0"/>
                    <w:left w:val="single" w:color="auto" w:sz="4" w:space="0"/>
                    <w:right w:val="single" w:color="auto" w:sz="4" w:space="0"/>
                    <w:tl2br w:val="nil"/>
                    <w:tr2bl w:val="nil"/>
                  </w:tcBorders>
                  <w:noWrap w:val="0"/>
                  <w:vAlign w:val="center"/>
                </w:tcPr>
                <w:p w14:paraId="071D6FBB">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2"/>
                      <w:sz w:val="21"/>
                      <w:szCs w:val="21"/>
                      <w:lang w:val="en-US" w:eastAsia="zh-CN" w:bidi="ar-SA"/>
                    </w:rPr>
                    <w:t>VOCs</w:t>
                  </w:r>
                </w:p>
              </w:tc>
              <w:tc>
                <w:tcPr>
                  <w:tcW w:w="4272" w:type="dxa"/>
                  <w:vMerge w:val="continue"/>
                  <w:tcBorders>
                    <w:left w:val="single" w:color="auto" w:sz="4" w:space="0"/>
                    <w:right w:val="single" w:color="auto" w:sz="4" w:space="0"/>
                    <w:tl2br w:val="nil"/>
                    <w:tr2bl w:val="nil"/>
                  </w:tcBorders>
                  <w:noWrap w:val="0"/>
                  <w:vAlign w:val="center"/>
                </w:tcPr>
                <w:p w14:paraId="0D376FF8">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r>
            <w:tr w14:paraId="092E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78" w:type="dxa"/>
                  <w:vMerge w:val="continue"/>
                  <w:tcBorders>
                    <w:left w:val="single" w:color="auto" w:sz="4" w:space="0"/>
                    <w:right w:val="single" w:color="auto" w:sz="4" w:space="0"/>
                    <w:tl2br w:val="nil"/>
                    <w:tr2bl w:val="nil"/>
                  </w:tcBorders>
                  <w:noWrap w:val="0"/>
                  <w:vAlign w:val="center"/>
                </w:tcPr>
                <w:p w14:paraId="79F3687C">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c>
                <w:tcPr>
                  <w:tcW w:w="519" w:type="dxa"/>
                  <w:vMerge w:val="continue"/>
                  <w:tcBorders>
                    <w:left w:val="single" w:color="auto" w:sz="4" w:space="0"/>
                    <w:right w:val="single" w:color="auto" w:sz="4" w:space="0"/>
                    <w:tl2br w:val="nil"/>
                    <w:tr2bl w:val="nil"/>
                  </w:tcBorders>
                  <w:noWrap w:val="0"/>
                  <w:vAlign w:val="center"/>
                </w:tcPr>
                <w:p w14:paraId="09334D50">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c>
                <w:tcPr>
                  <w:tcW w:w="1427" w:type="dxa"/>
                  <w:tcBorders>
                    <w:top w:val="single" w:color="auto" w:sz="4" w:space="0"/>
                    <w:left w:val="single" w:color="auto" w:sz="4" w:space="0"/>
                    <w:right w:val="single" w:color="auto" w:sz="4" w:space="0"/>
                    <w:tl2br w:val="nil"/>
                    <w:tr2bl w:val="nil"/>
                  </w:tcBorders>
                  <w:noWrap w:val="0"/>
                  <w:vAlign w:val="center"/>
                </w:tcPr>
                <w:p w14:paraId="62924276">
                  <w:pPr>
                    <w:pStyle w:val="18"/>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真空泵油雾</w:t>
                  </w:r>
                </w:p>
              </w:tc>
              <w:tc>
                <w:tcPr>
                  <w:tcW w:w="1576" w:type="dxa"/>
                  <w:tcBorders>
                    <w:top w:val="single" w:color="auto" w:sz="4" w:space="0"/>
                    <w:left w:val="single" w:color="auto" w:sz="4" w:space="0"/>
                    <w:right w:val="single" w:color="auto" w:sz="4" w:space="0"/>
                    <w:tl2br w:val="nil"/>
                    <w:tr2bl w:val="nil"/>
                  </w:tcBorders>
                  <w:noWrap w:val="0"/>
                  <w:vAlign w:val="center"/>
                </w:tcPr>
                <w:p w14:paraId="473190EA">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VOCs</w:t>
                  </w:r>
                </w:p>
              </w:tc>
              <w:tc>
                <w:tcPr>
                  <w:tcW w:w="4272" w:type="dxa"/>
                  <w:vMerge w:val="continue"/>
                  <w:tcBorders>
                    <w:left w:val="single" w:color="auto" w:sz="4" w:space="0"/>
                    <w:right w:val="single" w:color="auto" w:sz="4" w:space="0"/>
                    <w:tl2br w:val="nil"/>
                    <w:tr2bl w:val="nil"/>
                  </w:tcBorders>
                  <w:noWrap w:val="0"/>
                  <w:vAlign w:val="center"/>
                </w:tcPr>
                <w:p w14:paraId="3367CD56">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r>
            <w:tr w14:paraId="1446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78" w:type="dxa"/>
                  <w:vMerge w:val="continue"/>
                  <w:tcBorders>
                    <w:left w:val="single" w:color="auto" w:sz="4" w:space="0"/>
                    <w:right w:val="single" w:color="auto" w:sz="4" w:space="0"/>
                    <w:tl2br w:val="nil"/>
                    <w:tr2bl w:val="nil"/>
                  </w:tcBorders>
                  <w:noWrap w:val="0"/>
                  <w:vAlign w:val="center"/>
                </w:tcPr>
                <w:p w14:paraId="26316A80">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c>
                <w:tcPr>
                  <w:tcW w:w="519" w:type="dxa"/>
                  <w:vMerge w:val="continue"/>
                  <w:tcBorders>
                    <w:left w:val="single" w:color="auto" w:sz="4" w:space="0"/>
                    <w:right w:val="single" w:color="auto" w:sz="4" w:space="0"/>
                    <w:tl2br w:val="nil"/>
                    <w:tr2bl w:val="nil"/>
                  </w:tcBorders>
                  <w:noWrap w:val="0"/>
                  <w:vAlign w:val="center"/>
                </w:tcPr>
                <w:p w14:paraId="79C79482">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c>
                <w:tcPr>
                  <w:tcW w:w="1427" w:type="dxa"/>
                  <w:tcBorders>
                    <w:top w:val="single" w:color="auto" w:sz="4" w:space="0"/>
                    <w:left w:val="single" w:color="auto" w:sz="4" w:space="0"/>
                    <w:right w:val="single" w:color="auto" w:sz="4" w:space="0"/>
                    <w:tl2br w:val="nil"/>
                    <w:tr2bl w:val="nil"/>
                  </w:tcBorders>
                  <w:noWrap w:val="0"/>
                  <w:vAlign w:val="center"/>
                </w:tcPr>
                <w:p w14:paraId="68A1BF83">
                  <w:pPr>
                    <w:pStyle w:val="18"/>
                    <w:keepNext w:val="0"/>
                    <w:keepLines w:val="0"/>
                    <w:suppressLineNumbers w:val="0"/>
                    <w:spacing w:before="0" w:beforeLines="0" w:beforeAutospacing="0" w:after="0" w:afterLines="0" w:afterAutospacing="0" w:line="240" w:lineRule="auto"/>
                    <w:ind w:left="0" w:right="0"/>
                    <w:jc w:val="center"/>
                    <w:rPr>
                      <w:rFonts w:hint="default" w:cs="Times New Roman"/>
                      <w:b w:val="0"/>
                      <w:bCs/>
                      <w:color w:val="auto"/>
                      <w:sz w:val="21"/>
                      <w:szCs w:val="21"/>
                      <w:lang w:val="en-US" w:eastAsia="zh-CN"/>
                    </w:rPr>
                  </w:pPr>
                  <w:r>
                    <w:rPr>
                      <w:rFonts w:hint="eastAsia" w:hAnsi="宋体"/>
                      <w:b w:val="0"/>
                      <w:bCs/>
                      <w:color w:val="auto"/>
                      <w:sz w:val="21"/>
                      <w:szCs w:val="21"/>
                    </w:rPr>
                    <w:t>混料粉尘</w:t>
                  </w:r>
                </w:p>
              </w:tc>
              <w:tc>
                <w:tcPr>
                  <w:tcW w:w="1576" w:type="dxa"/>
                  <w:tcBorders>
                    <w:top w:val="single" w:color="auto" w:sz="4" w:space="0"/>
                    <w:left w:val="single" w:color="auto" w:sz="4" w:space="0"/>
                    <w:right w:val="single" w:color="auto" w:sz="4" w:space="0"/>
                    <w:tl2br w:val="nil"/>
                    <w:tr2bl w:val="nil"/>
                  </w:tcBorders>
                  <w:noWrap w:val="0"/>
                  <w:vAlign w:val="center"/>
                </w:tcPr>
                <w:p w14:paraId="03BD5F0E">
                  <w:pPr>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4272" w:type="dxa"/>
                  <w:vMerge w:val="restart"/>
                  <w:tcBorders>
                    <w:top w:val="single" w:color="auto" w:sz="4" w:space="0"/>
                    <w:left w:val="single" w:color="auto" w:sz="4" w:space="0"/>
                    <w:right w:val="single" w:color="auto" w:sz="4" w:space="0"/>
                    <w:tl2br w:val="nil"/>
                    <w:tr2bl w:val="nil"/>
                  </w:tcBorders>
                  <w:shd w:val="clear" w:color="auto" w:fill="auto"/>
                  <w:noWrap w:val="0"/>
                  <w:vAlign w:val="center"/>
                </w:tcPr>
                <w:p w14:paraId="340066A4">
                  <w:pPr>
                    <w:keepNext w:val="0"/>
                    <w:keepLines w:val="0"/>
                    <w:suppressLineNumbers w:val="0"/>
                    <w:spacing w:before="0" w:beforeAutospacing="0" w:after="0" w:afterAutospacing="0" w:line="360" w:lineRule="atLeas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Cs w:val="21"/>
                    </w:rPr>
                    <w:t>项目混料粉尘和加工废气经自带集气管道收集后经布袋除尘器处理后通过一根15m高的排气筒（DA002）排放</w:t>
                  </w:r>
                </w:p>
              </w:tc>
            </w:tr>
            <w:tr w14:paraId="71EE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78" w:type="dxa"/>
                  <w:vMerge w:val="continue"/>
                  <w:tcBorders>
                    <w:left w:val="single" w:color="auto" w:sz="4" w:space="0"/>
                    <w:right w:val="single" w:color="auto" w:sz="4" w:space="0"/>
                    <w:tl2br w:val="nil"/>
                    <w:tr2bl w:val="nil"/>
                  </w:tcBorders>
                  <w:noWrap w:val="0"/>
                  <w:vAlign w:val="center"/>
                </w:tcPr>
                <w:p w14:paraId="4C9293A7">
                  <w:pPr>
                    <w:pStyle w:val="18"/>
                    <w:keepNext w:val="0"/>
                    <w:keepLines w:val="0"/>
                    <w:suppressLineNumbers w:val="0"/>
                    <w:spacing w:before="0" w:beforeLines="0" w:beforeAutospacing="0" w:after="0" w:afterLines="0" w:afterAutospacing="0" w:line="240" w:lineRule="auto"/>
                    <w:ind w:left="0" w:right="0"/>
                    <w:jc w:val="center"/>
                    <w:rPr>
                      <w:rFonts w:hint="default"/>
                    </w:rPr>
                  </w:pPr>
                </w:p>
              </w:tc>
              <w:tc>
                <w:tcPr>
                  <w:tcW w:w="519" w:type="dxa"/>
                  <w:vMerge w:val="continue"/>
                  <w:tcBorders>
                    <w:left w:val="single" w:color="auto" w:sz="4" w:space="0"/>
                    <w:right w:val="single" w:color="auto" w:sz="4" w:space="0"/>
                    <w:tl2br w:val="nil"/>
                    <w:tr2bl w:val="nil"/>
                  </w:tcBorders>
                  <w:noWrap w:val="0"/>
                  <w:vAlign w:val="center"/>
                </w:tcPr>
                <w:p w14:paraId="76AF3FD8">
                  <w:pPr>
                    <w:pStyle w:val="18"/>
                    <w:keepNext w:val="0"/>
                    <w:keepLines w:val="0"/>
                    <w:suppressLineNumbers w:val="0"/>
                    <w:spacing w:before="0" w:beforeLines="0" w:beforeAutospacing="0" w:after="0" w:afterLines="0" w:afterAutospacing="0" w:line="240" w:lineRule="auto"/>
                    <w:ind w:left="0" w:right="0"/>
                    <w:jc w:val="center"/>
                    <w:rPr>
                      <w:rFonts w:hint="default"/>
                    </w:rPr>
                  </w:pPr>
                </w:p>
              </w:tc>
              <w:tc>
                <w:tcPr>
                  <w:tcW w:w="1427" w:type="dxa"/>
                  <w:tcBorders>
                    <w:top w:val="single" w:color="auto" w:sz="4" w:space="0"/>
                    <w:left w:val="single" w:color="auto" w:sz="4" w:space="0"/>
                    <w:right w:val="single" w:color="auto" w:sz="4" w:space="0"/>
                    <w:tl2br w:val="nil"/>
                    <w:tr2bl w:val="nil"/>
                  </w:tcBorders>
                  <w:noWrap w:val="0"/>
                  <w:vAlign w:val="center"/>
                </w:tcPr>
                <w:p w14:paraId="50671678">
                  <w:pPr>
                    <w:pStyle w:val="18"/>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加工废气、精加工废气</w:t>
                  </w:r>
                </w:p>
              </w:tc>
              <w:tc>
                <w:tcPr>
                  <w:tcW w:w="1576" w:type="dxa"/>
                  <w:tcBorders>
                    <w:top w:val="single" w:color="auto" w:sz="4" w:space="0"/>
                    <w:left w:val="single" w:color="auto" w:sz="4" w:space="0"/>
                    <w:right w:val="single" w:color="auto" w:sz="4" w:space="0"/>
                    <w:tl2br w:val="nil"/>
                    <w:tr2bl w:val="nil"/>
                  </w:tcBorders>
                  <w:noWrap w:val="0"/>
                  <w:vAlign w:val="center"/>
                </w:tcPr>
                <w:p w14:paraId="792BE21E">
                  <w:pPr>
                    <w:pStyle w:val="18"/>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4272" w:type="dxa"/>
                  <w:vMerge w:val="continue"/>
                  <w:tcBorders>
                    <w:left w:val="single" w:color="auto" w:sz="4" w:space="0"/>
                    <w:right w:val="single" w:color="auto" w:sz="4" w:space="0"/>
                    <w:tl2br w:val="nil"/>
                    <w:tr2bl w:val="nil"/>
                  </w:tcBorders>
                  <w:noWrap w:val="0"/>
                  <w:vAlign w:val="center"/>
                </w:tcPr>
                <w:p w14:paraId="3B89D13B">
                  <w:pPr>
                    <w:pStyle w:val="18"/>
                    <w:keepNext w:val="0"/>
                    <w:keepLines w:val="0"/>
                    <w:suppressLineNumbers w:val="0"/>
                    <w:spacing w:before="0" w:beforeLines="0" w:beforeAutospacing="0" w:after="0" w:afterLines="0" w:afterAutospacing="0" w:line="240" w:lineRule="auto"/>
                    <w:ind w:left="0" w:right="0"/>
                    <w:jc w:val="center"/>
                    <w:rPr>
                      <w:rFonts w:hint="eastAsia" w:cs="Times New Roman"/>
                      <w:b w:val="0"/>
                      <w:bCs/>
                      <w:color w:val="auto"/>
                      <w:sz w:val="21"/>
                      <w:szCs w:val="21"/>
                      <w:lang w:val="en-US" w:eastAsia="zh-CN"/>
                    </w:rPr>
                  </w:pPr>
                </w:p>
              </w:tc>
            </w:tr>
            <w:tr w14:paraId="5726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7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ADA583">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p>
              </w:tc>
              <w:tc>
                <w:tcPr>
                  <w:tcW w:w="519" w:type="dxa"/>
                  <w:vMerge w:val="restart"/>
                  <w:tcBorders>
                    <w:top w:val="single" w:color="auto" w:sz="4" w:space="0"/>
                    <w:left w:val="single" w:color="auto" w:sz="4" w:space="0"/>
                    <w:right w:val="single" w:color="auto" w:sz="4" w:space="0"/>
                    <w:tl2br w:val="nil"/>
                    <w:tr2bl w:val="nil"/>
                  </w:tcBorders>
                  <w:noWrap w:val="0"/>
                  <w:vAlign w:val="center"/>
                </w:tcPr>
                <w:p w14:paraId="47317C3D">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无组织</w:t>
                  </w:r>
                </w:p>
              </w:tc>
              <w:tc>
                <w:tcPr>
                  <w:tcW w:w="14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783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hAnsi="宋体"/>
                      <w:color w:val="auto"/>
                      <w:szCs w:val="21"/>
                    </w:rPr>
                    <w:t>混料粉尘和加工废气</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6EEED6">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4272" w:type="dxa"/>
                  <w:tcBorders>
                    <w:left w:val="single" w:color="auto" w:sz="4" w:space="0"/>
                    <w:bottom w:val="single" w:color="auto" w:sz="4" w:space="0"/>
                    <w:right w:val="single" w:color="auto" w:sz="4" w:space="0"/>
                    <w:tl2br w:val="nil"/>
                    <w:tr2bl w:val="nil"/>
                  </w:tcBorders>
                  <w:noWrap w:val="0"/>
                  <w:vAlign w:val="center"/>
                </w:tcPr>
                <w:p w14:paraId="08B35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定期清扫地面、加强管理</w:t>
                  </w:r>
                </w:p>
              </w:tc>
            </w:tr>
            <w:tr w14:paraId="1123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78" w:type="dxa"/>
                  <w:vMerge w:val="continue"/>
                  <w:tcBorders>
                    <w:left w:val="single" w:color="auto" w:sz="4" w:space="0"/>
                    <w:bottom w:val="single" w:color="auto" w:sz="4" w:space="0"/>
                    <w:right w:val="single" w:color="auto" w:sz="4" w:space="0"/>
                    <w:tl2br w:val="nil"/>
                    <w:tr2bl w:val="nil"/>
                  </w:tcBorders>
                  <w:noWrap w:val="0"/>
                  <w:vAlign w:val="center"/>
                </w:tcPr>
                <w:p w14:paraId="416EF68B">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rPr>
                  </w:pPr>
                </w:p>
              </w:tc>
              <w:tc>
                <w:tcPr>
                  <w:tcW w:w="519" w:type="dxa"/>
                  <w:vMerge w:val="continue"/>
                  <w:tcBorders>
                    <w:left w:val="single" w:color="auto" w:sz="4" w:space="0"/>
                    <w:bottom w:val="single" w:color="auto" w:sz="4" w:space="0"/>
                    <w:right w:val="single" w:color="auto" w:sz="4" w:space="0"/>
                    <w:tl2br w:val="nil"/>
                    <w:tr2bl w:val="nil"/>
                  </w:tcBorders>
                  <w:noWrap w:val="0"/>
                  <w:vAlign w:val="center"/>
                </w:tcPr>
                <w:p w14:paraId="3A07FA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p>
              </w:tc>
              <w:tc>
                <w:tcPr>
                  <w:tcW w:w="14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FBD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hAnsi="宋体"/>
                      <w:color w:val="auto"/>
                      <w:szCs w:val="21"/>
                    </w:rPr>
                    <w:t>改性废气和涂层废气</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BE4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有机废气</w:t>
                  </w:r>
                </w:p>
              </w:tc>
              <w:tc>
                <w:tcPr>
                  <w:tcW w:w="4272" w:type="dxa"/>
                  <w:tcBorders>
                    <w:left w:val="single" w:color="auto" w:sz="4" w:space="0"/>
                    <w:bottom w:val="single" w:color="auto" w:sz="4" w:space="0"/>
                    <w:right w:val="single" w:color="auto" w:sz="4" w:space="0"/>
                    <w:tl2br w:val="nil"/>
                    <w:tr2bl w:val="nil"/>
                  </w:tcBorders>
                  <w:noWrap w:val="0"/>
                  <w:vAlign w:val="center"/>
                </w:tcPr>
                <w:p w14:paraId="32D9B1DF">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设备密闭</w:t>
                  </w:r>
                  <w:r>
                    <w:rPr>
                      <w:rFonts w:hint="eastAsia" w:ascii="Times New Roman" w:hAnsi="Times New Roman" w:eastAsia="宋体" w:cs="Times New Roman"/>
                      <w:b w:val="0"/>
                      <w:bCs/>
                      <w:color w:val="auto"/>
                      <w:sz w:val="21"/>
                      <w:szCs w:val="21"/>
                      <w:lang w:val="en-US" w:eastAsia="zh-CN"/>
                    </w:rPr>
                    <w:t>，车间封闭</w:t>
                  </w:r>
                  <w:r>
                    <w:rPr>
                      <w:rFonts w:hint="eastAsia"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加强废气收集效率</w:t>
                  </w:r>
                </w:p>
              </w:tc>
            </w:tr>
            <w:tr w14:paraId="36C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8" w:type="dxa"/>
                  <w:vMerge w:val="restart"/>
                  <w:tcBorders>
                    <w:top w:val="single" w:color="auto" w:sz="4" w:space="0"/>
                    <w:left w:val="single" w:color="auto" w:sz="4" w:space="0"/>
                    <w:right w:val="single" w:color="auto" w:sz="4" w:space="0"/>
                    <w:tl2br w:val="nil"/>
                    <w:tr2bl w:val="nil"/>
                  </w:tcBorders>
                  <w:noWrap w:val="0"/>
                  <w:vAlign w:val="center"/>
                </w:tcPr>
                <w:p w14:paraId="00281941">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w:t>
                  </w:r>
                </w:p>
              </w:tc>
              <w:tc>
                <w:tcPr>
                  <w:tcW w:w="1946" w:type="dxa"/>
                  <w:gridSpan w:val="2"/>
                  <w:vMerge w:val="restart"/>
                  <w:tcBorders>
                    <w:top w:val="single" w:color="auto" w:sz="4" w:space="0"/>
                    <w:left w:val="single" w:color="auto" w:sz="4" w:space="0"/>
                    <w:right w:val="single" w:color="auto" w:sz="4" w:space="0"/>
                    <w:tl2br w:val="nil"/>
                    <w:tr2bl w:val="nil"/>
                  </w:tcBorders>
                  <w:noWrap w:val="0"/>
                  <w:vAlign w:val="center"/>
                </w:tcPr>
                <w:p w14:paraId="14F7C68D">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员工生活</w:t>
                  </w:r>
                  <w:r>
                    <w:rPr>
                      <w:rFonts w:hint="eastAsia" w:cs="Times New Roman"/>
                      <w:b w:val="0"/>
                      <w:bCs/>
                      <w:color w:val="auto"/>
                      <w:sz w:val="21"/>
                      <w:szCs w:val="21"/>
                      <w:lang w:val="en-US" w:eastAsia="zh-CN"/>
                    </w:rPr>
                    <w:t>、循环冷却水系统</w:t>
                  </w:r>
                </w:p>
              </w:tc>
              <w:tc>
                <w:tcPr>
                  <w:tcW w:w="1576" w:type="dxa"/>
                  <w:vMerge w:val="restart"/>
                  <w:tcBorders>
                    <w:top w:val="single" w:color="auto" w:sz="4" w:space="0"/>
                    <w:left w:val="single" w:color="auto" w:sz="4" w:space="0"/>
                    <w:right w:val="single" w:color="auto" w:sz="4" w:space="0"/>
                    <w:tl2br w:val="nil"/>
                    <w:tr2bl w:val="nil"/>
                  </w:tcBorders>
                  <w:noWrap w:val="0"/>
                  <w:vAlign w:val="center"/>
                </w:tcPr>
                <w:p w14:paraId="2FC0E6D5">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生活</w:t>
                  </w:r>
                  <w:r>
                    <w:rPr>
                      <w:rFonts w:hint="eastAsia" w:ascii="Times New Roman" w:hAnsi="Times New Roman" w:eastAsia="宋体" w:cs="Times New Roman"/>
                      <w:b w:val="0"/>
                      <w:bCs/>
                      <w:color w:val="auto"/>
                      <w:sz w:val="21"/>
                      <w:szCs w:val="21"/>
                      <w:lang w:val="en-US" w:eastAsia="zh-CN"/>
                    </w:rPr>
                    <w:t>污水</w:t>
                  </w:r>
                  <w:r>
                    <w:rPr>
                      <w:rFonts w:hint="eastAsia" w:cs="Times New Roman"/>
                      <w:b w:val="0"/>
                      <w:bCs/>
                      <w:color w:val="auto"/>
                      <w:sz w:val="21"/>
                      <w:szCs w:val="21"/>
                      <w:lang w:val="en-US" w:eastAsia="zh-CN"/>
                    </w:rPr>
                    <w:t>、循环冷却水排水</w:t>
                  </w:r>
                </w:p>
              </w:tc>
              <w:tc>
                <w:tcPr>
                  <w:tcW w:w="4272" w:type="dxa"/>
                  <w:vMerge w:val="restart"/>
                  <w:tcBorders>
                    <w:top w:val="single" w:color="auto" w:sz="4" w:space="0"/>
                    <w:left w:val="single" w:color="auto" w:sz="4" w:space="0"/>
                    <w:right w:val="single" w:color="auto" w:sz="4" w:space="0"/>
                    <w:tl2br w:val="nil"/>
                    <w:tr2bl w:val="nil"/>
                  </w:tcBorders>
                  <w:noWrap w:val="0"/>
                  <w:vAlign w:val="center"/>
                </w:tcPr>
                <w:p w14:paraId="6563A907">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生活污水经产业园现有的化粪池收集后排入园区污水管网，进入龙湖污水处理厂集中处理后达标排放。循环冷却水排水为清净下水，直接通过市政污水管网进入污水处理厂进行深度处理。</w:t>
                  </w:r>
                </w:p>
              </w:tc>
            </w:tr>
            <w:tr w14:paraId="4C50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8" w:type="dxa"/>
                  <w:vMerge w:val="continue"/>
                  <w:tcBorders>
                    <w:left w:val="single" w:color="auto" w:sz="4" w:space="0"/>
                    <w:right w:val="single" w:color="auto" w:sz="4" w:space="0"/>
                    <w:tl2br w:val="nil"/>
                    <w:tr2bl w:val="nil"/>
                  </w:tcBorders>
                  <w:noWrap w:val="0"/>
                  <w:vAlign w:val="center"/>
                </w:tcPr>
                <w:p w14:paraId="58FDCEA4">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p>
              </w:tc>
              <w:tc>
                <w:tcPr>
                  <w:tcW w:w="1946" w:type="dxa"/>
                  <w:gridSpan w:val="2"/>
                  <w:vMerge w:val="continue"/>
                  <w:tcBorders>
                    <w:left w:val="single" w:color="auto" w:sz="4" w:space="0"/>
                    <w:right w:val="single" w:color="auto" w:sz="4" w:space="0"/>
                    <w:tl2br w:val="nil"/>
                    <w:tr2bl w:val="nil"/>
                  </w:tcBorders>
                  <w:noWrap w:val="0"/>
                  <w:vAlign w:val="center"/>
                </w:tcPr>
                <w:p w14:paraId="75830CCD">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1576" w:type="dxa"/>
                  <w:vMerge w:val="continue"/>
                  <w:tcBorders>
                    <w:left w:val="single" w:color="auto" w:sz="4" w:space="0"/>
                    <w:right w:val="single" w:color="auto" w:sz="4" w:space="0"/>
                    <w:tl2br w:val="nil"/>
                    <w:tr2bl w:val="nil"/>
                  </w:tcBorders>
                  <w:noWrap w:val="0"/>
                  <w:vAlign w:val="center"/>
                </w:tcPr>
                <w:p w14:paraId="394005D7">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4272" w:type="dxa"/>
                  <w:vMerge w:val="continue"/>
                  <w:tcBorders>
                    <w:left w:val="single" w:color="auto" w:sz="4" w:space="0"/>
                    <w:right w:val="single" w:color="auto" w:sz="4" w:space="0"/>
                    <w:tl2br w:val="nil"/>
                    <w:tr2bl w:val="nil"/>
                  </w:tcBorders>
                  <w:noWrap w:val="0"/>
                  <w:vAlign w:val="center"/>
                </w:tcPr>
                <w:p w14:paraId="56F35B21">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r>
            <w:tr w14:paraId="4C6A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8" w:type="dxa"/>
                  <w:vMerge w:val="continue"/>
                  <w:tcBorders>
                    <w:left w:val="single" w:color="auto" w:sz="4" w:space="0"/>
                    <w:bottom w:val="single" w:color="auto" w:sz="4" w:space="0"/>
                    <w:right w:val="single" w:color="auto" w:sz="4" w:space="0"/>
                    <w:tl2br w:val="nil"/>
                    <w:tr2bl w:val="nil"/>
                  </w:tcBorders>
                  <w:noWrap w:val="0"/>
                  <w:vAlign w:val="center"/>
                </w:tcPr>
                <w:p w14:paraId="2634F44A">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p>
              </w:tc>
              <w:tc>
                <w:tcPr>
                  <w:tcW w:w="1946" w:type="dxa"/>
                  <w:gridSpan w:val="2"/>
                  <w:vMerge w:val="continue"/>
                  <w:tcBorders>
                    <w:left w:val="single" w:color="auto" w:sz="4" w:space="0"/>
                    <w:bottom w:val="single" w:color="auto" w:sz="4" w:space="0"/>
                    <w:right w:val="single" w:color="auto" w:sz="4" w:space="0"/>
                    <w:tl2br w:val="nil"/>
                    <w:tr2bl w:val="nil"/>
                  </w:tcBorders>
                  <w:noWrap w:val="0"/>
                  <w:vAlign w:val="center"/>
                </w:tcPr>
                <w:p w14:paraId="56572FC6">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1576" w:type="dxa"/>
                  <w:vMerge w:val="continue"/>
                  <w:tcBorders>
                    <w:left w:val="single" w:color="auto" w:sz="4" w:space="0"/>
                    <w:bottom w:val="single" w:color="auto" w:sz="4" w:space="0"/>
                    <w:right w:val="single" w:color="auto" w:sz="4" w:space="0"/>
                    <w:tl2br w:val="nil"/>
                    <w:tr2bl w:val="nil"/>
                  </w:tcBorders>
                  <w:noWrap w:val="0"/>
                  <w:vAlign w:val="center"/>
                </w:tcPr>
                <w:p w14:paraId="2F63849A">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4272" w:type="dxa"/>
                  <w:vMerge w:val="continue"/>
                  <w:tcBorders>
                    <w:left w:val="single" w:color="auto" w:sz="4" w:space="0"/>
                    <w:bottom w:val="single" w:color="auto" w:sz="4" w:space="0"/>
                    <w:right w:val="single" w:color="auto" w:sz="4" w:space="0"/>
                    <w:tl2br w:val="nil"/>
                    <w:tr2bl w:val="nil"/>
                  </w:tcBorders>
                  <w:noWrap w:val="0"/>
                  <w:vAlign w:val="center"/>
                </w:tcPr>
                <w:p w14:paraId="2B4B04BA">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r>
            <w:tr w14:paraId="6163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78" w:type="dxa"/>
                  <w:vMerge w:val="restart"/>
                  <w:tcBorders>
                    <w:top w:val="single" w:color="auto" w:sz="4" w:space="0"/>
                    <w:left w:val="single" w:color="auto" w:sz="4" w:space="0"/>
                    <w:right w:val="single" w:color="auto" w:sz="4" w:space="0"/>
                    <w:tl2br w:val="nil"/>
                    <w:tr2bl w:val="nil"/>
                  </w:tcBorders>
                  <w:noWrap w:val="0"/>
                  <w:vAlign w:val="center"/>
                </w:tcPr>
                <w:p w14:paraId="639D7A59">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固体废物</w:t>
                  </w:r>
                </w:p>
              </w:tc>
              <w:tc>
                <w:tcPr>
                  <w:tcW w:w="194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FE7E455">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一般</w:t>
                  </w:r>
                  <w:r>
                    <w:rPr>
                      <w:rFonts w:hint="default" w:ascii="Times New Roman" w:hAnsi="Times New Roman" w:eastAsia="宋体" w:cs="Times New Roman"/>
                      <w:b w:val="0"/>
                      <w:bCs/>
                      <w:color w:val="auto"/>
                      <w:sz w:val="21"/>
                      <w:szCs w:val="21"/>
                      <w:lang w:val="en-US" w:eastAsia="zh-CN"/>
                    </w:rPr>
                    <w:t>固废</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9F4CB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废弃包装物</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不合格产品、边角料</w:t>
                  </w:r>
                </w:p>
              </w:tc>
              <w:tc>
                <w:tcPr>
                  <w:tcW w:w="4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710D91">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废弃包装物外售废旧物资回收单位综合处理；不合格产品、边角料等外售碳纤维回收公司；</w:t>
                  </w:r>
                </w:p>
              </w:tc>
            </w:tr>
            <w:tr w14:paraId="07E4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Merge w:val="continue"/>
                  <w:tcBorders>
                    <w:left w:val="single" w:color="auto" w:sz="4" w:space="0"/>
                    <w:right w:val="single" w:color="auto" w:sz="4" w:space="0"/>
                    <w:tl2br w:val="nil"/>
                    <w:tr2bl w:val="nil"/>
                  </w:tcBorders>
                  <w:noWrap w:val="0"/>
                  <w:vAlign w:val="center"/>
                </w:tcPr>
                <w:p w14:paraId="5AC17485">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p>
              </w:tc>
              <w:tc>
                <w:tcPr>
                  <w:tcW w:w="194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84D138A">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生活垃圾</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3D26DD">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生活垃圾</w:t>
                  </w:r>
                </w:p>
              </w:tc>
              <w:tc>
                <w:tcPr>
                  <w:tcW w:w="4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1445A7">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生活垃圾收集后由环卫部门统一清理</w:t>
                  </w:r>
                </w:p>
              </w:tc>
            </w:tr>
            <w:tr w14:paraId="350D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578" w:type="dxa"/>
                  <w:tcBorders>
                    <w:left w:val="single" w:color="auto" w:sz="4" w:space="0"/>
                    <w:right w:val="single" w:color="auto" w:sz="4" w:space="0"/>
                    <w:tl2br w:val="nil"/>
                    <w:tr2bl w:val="nil"/>
                  </w:tcBorders>
                  <w:noWrap w:val="0"/>
                  <w:vAlign w:val="center"/>
                </w:tcPr>
                <w:p w14:paraId="5A856B63">
                  <w:pPr>
                    <w:pStyle w:val="18"/>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危险废物</w:t>
                  </w:r>
                </w:p>
              </w:tc>
              <w:tc>
                <w:tcPr>
                  <w:tcW w:w="1946" w:type="dxa"/>
                  <w:gridSpan w:val="2"/>
                  <w:tcBorders>
                    <w:top w:val="single" w:color="auto" w:sz="4" w:space="0"/>
                    <w:left w:val="single" w:color="auto" w:sz="4" w:space="0"/>
                    <w:right w:val="single" w:color="auto" w:sz="4" w:space="0"/>
                    <w:tl2br w:val="nil"/>
                    <w:tr2bl w:val="nil"/>
                  </w:tcBorders>
                  <w:noWrap w:val="0"/>
                  <w:vAlign w:val="center"/>
                </w:tcPr>
                <w:p w14:paraId="6C81F9D5">
                  <w:pPr>
                    <w:pStyle w:val="18"/>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危废</w:t>
                  </w:r>
                </w:p>
              </w:tc>
              <w:tc>
                <w:tcPr>
                  <w:tcW w:w="15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37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润滑油及油桶、废真空泵油、废切削液、废液压油</w:t>
                  </w:r>
                </w:p>
              </w:tc>
              <w:tc>
                <w:tcPr>
                  <w:tcW w:w="4272" w:type="dxa"/>
                  <w:tcBorders>
                    <w:left w:val="single" w:color="auto" w:sz="4" w:space="0"/>
                    <w:right w:val="single" w:color="auto" w:sz="4" w:space="0"/>
                    <w:tl2br w:val="nil"/>
                    <w:tr2bl w:val="nil"/>
                  </w:tcBorders>
                  <w:noWrap w:val="0"/>
                  <w:vAlign w:val="center"/>
                </w:tcPr>
                <w:p w14:paraId="6DC79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收集后暂存于危废暂存间（危废间</w:t>
                  </w:r>
                  <w:r>
                    <w:rPr>
                      <w:rFonts w:hint="eastAsia" w:ascii="Times New Roman" w:hAnsi="Times New Roman" w:eastAsia="宋体" w:cs="Times New Roman"/>
                      <w:b w:val="0"/>
                      <w:bCs/>
                      <w:color w:val="auto"/>
                      <w:sz w:val="21"/>
                      <w:szCs w:val="21"/>
                      <w:lang w:val="en-US" w:eastAsia="zh-CN"/>
                    </w:rPr>
                    <w:t>10m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val="en-US" w:eastAsia="zh-CN"/>
                    </w:rPr>
                    <w:t>），定期交由有资质单位处置</w:t>
                  </w:r>
                </w:p>
              </w:tc>
            </w:tr>
          </w:tbl>
          <w:p w14:paraId="14B31F72">
            <w:pPr>
              <w:pStyle w:val="18"/>
              <w:keepNext w:val="0"/>
              <w:keepLines w:val="0"/>
              <w:suppressLineNumbers w:val="0"/>
              <w:spacing w:before="0" w:beforeAutospacing="0" w:after="0" w:afterAutospacing="0"/>
              <w:ind w:left="0" w:right="0"/>
              <w:rPr>
                <w:rFonts w:hint="default" w:ascii="Times New Roman" w:hAnsi="Times New Roman" w:cs="Times New Roman"/>
              </w:rPr>
            </w:pPr>
          </w:p>
        </w:tc>
      </w:tr>
      <w:tr w14:paraId="514BD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25836335">
            <w:pPr>
              <w:pStyle w:val="19"/>
              <w:keepNext w:val="0"/>
              <w:keepLines w:val="0"/>
              <w:suppressLineNumbers w:val="0"/>
              <w:adjustRightInd w:val="0"/>
              <w:snapToGrid w:val="0"/>
              <w:spacing w:before="0" w:beforeAutospacing="0" w:after="0" w:afterAutospacing="0" w:line="460" w:lineRule="exact"/>
              <w:ind w:left="0" w:right="0"/>
              <w:jc w:val="center"/>
              <w:rPr>
                <w:rFonts w:hint="default" w:cs="宋体"/>
                <w:szCs w:val="24"/>
              </w:rPr>
            </w:pPr>
            <w:r>
              <w:rPr>
                <w:rFonts w:hint="eastAsia" w:cs="宋体"/>
                <w:bCs/>
                <w:kern w:val="2"/>
                <w:szCs w:val="24"/>
              </w:rPr>
              <w:t>与项目有关的原有环境污染问题</w:t>
            </w:r>
          </w:p>
        </w:tc>
        <w:tc>
          <w:tcPr>
            <w:tcW w:w="8161" w:type="dxa"/>
            <w:noWrap w:val="0"/>
            <w:vAlign w:val="top"/>
          </w:tcPr>
          <w:p w14:paraId="6327A0A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本项目为新建项目，租赁杜集经济开发产业园二期标准化厂房，根据现场查看情况，项目厂房为控制厂房不存在原有污染及环境问题。</w:t>
            </w:r>
          </w:p>
          <w:p w14:paraId="0FB76D7C">
            <w:pPr>
              <w:keepNext w:val="0"/>
              <w:keepLines w:val="0"/>
              <w:suppressLineNumbers w:val="0"/>
              <w:adjustRightInd w:val="0"/>
              <w:snapToGrid w:val="0"/>
              <w:spacing w:before="0" w:beforeAutospacing="0" w:after="0" w:afterAutospacing="0" w:line="460" w:lineRule="exact"/>
              <w:ind w:left="0" w:right="0"/>
              <w:rPr>
                <w:rFonts w:hint="default" w:ascii="宋体" w:hAnsi="宋体" w:cs="Times New Roman"/>
                <w:bCs/>
                <w:sz w:val="24"/>
              </w:rPr>
            </w:pPr>
          </w:p>
        </w:tc>
      </w:tr>
    </w:tbl>
    <w:p w14:paraId="4D072015">
      <w:pPr>
        <w:pStyle w:val="19"/>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C0799EC">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1"/>
        <w:tblW w:w="79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45"/>
      </w:tblGrid>
      <w:tr w14:paraId="403A5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9" w:type="dxa"/>
            <w:noWrap w:val="0"/>
            <w:vAlign w:val="center"/>
          </w:tcPr>
          <w:p w14:paraId="326243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14:paraId="7DD18C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14:paraId="7CE613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14:paraId="3CB8F5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3969" w:type="dxa"/>
            <w:noWrap w:val="0"/>
            <w:vAlign w:val="center"/>
          </w:tcPr>
          <w:p w14:paraId="483CE89A">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一、大气</w:t>
            </w:r>
          </w:p>
          <w:p w14:paraId="3C8CAB05">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（1）常规污染物现状数据：</w:t>
            </w:r>
          </w:p>
          <w:p w14:paraId="344C056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default" w:ascii="Times New Roman" w:hAnsi="Times New Roman" w:eastAsia="宋体" w:cs="Times New Roman"/>
                <w:kern w:val="2"/>
                <w:sz w:val="24"/>
                <w:szCs w:val="24"/>
                <w:lang w:val="en-US" w:eastAsia="zh-CN" w:bidi="ar"/>
              </w:rPr>
              <w:t>根据《环境影响评价技术导则</w:t>
            </w:r>
            <w:r>
              <w:rPr>
                <w:rFonts w:hint="default" w:ascii="Times New Roman" w:hAnsi="Times New Roman"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大气环境》（</w:t>
            </w:r>
            <w:r>
              <w:rPr>
                <w:rFonts w:hint="default" w:ascii="Times New Roman" w:hAnsi="Times New Roman" w:cs="Times New Roman"/>
                <w:kern w:val="2"/>
                <w:sz w:val="24"/>
                <w:szCs w:val="24"/>
                <w:lang w:val="en-US" w:eastAsia="zh-CN" w:bidi="ar"/>
              </w:rPr>
              <w:t>HJ2.2-2018</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“6.2.1.1</w:t>
            </w:r>
            <w:r>
              <w:rPr>
                <w:rFonts w:hint="default" w:ascii="Times New Roman" w:hAnsi="Times New Roman" w:eastAsia="宋体" w:cs="Times New Roman"/>
                <w:kern w:val="2"/>
                <w:sz w:val="24"/>
                <w:szCs w:val="24"/>
                <w:lang w:val="en-US" w:eastAsia="zh-CN" w:bidi="ar"/>
              </w:rPr>
              <w:t>项目所在区域达标判定，优先采用国家或地方生态环境主管部门公开发布的评价基准年环境质量公告或环境质量报告中的数据或结论。</w:t>
            </w:r>
            <w:r>
              <w:rPr>
                <w:rFonts w:hint="default" w:ascii="Times New Roman" w:hAnsi="Times New Roman" w:cs="Times New Roman"/>
                <w:kern w:val="2"/>
                <w:sz w:val="24"/>
                <w:szCs w:val="24"/>
                <w:lang w:val="en-US" w:eastAsia="zh-CN" w:bidi="ar"/>
              </w:rPr>
              <w:t>”</w:t>
            </w:r>
          </w:p>
          <w:p w14:paraId="1D8E86A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default" w:ascii="Times New Roman" w:hAnsi="Times New Roman" w:eastAsia="宋体" w:cs="Times New Roman"/>
                <w:kern w:val="2"/>
                <w:sz w:val="24"/>
                <w:szCs w:val="24"/>
                <w:lang w:val="en-US" w:eastAsia="zh-CN" w:bidi="ar"/>
              </w:rPr>
              <w:t>本次评价基准年取</w:t>
            </w:r>
            <w:r>
              <w:rPr>
                <w:rFonts w:hint="default" w:ascii="Times New Roman" w:hAnsi="Times New Roman" w:cs="Times New Roman"/>
                <w:kern w:val="2"/>
                <w:sz w:val="24"/>
                <w:szCs w:val="24"/>
                <w:lang w:val="en-US" w:eastAsia="zh-CN" w:bidi="ar"/>
              </w:rPr>
              <w:t>2024</w:t>
            </w:r>
            <w:r>
              <w:rPr>
                <w:rFonts w:hint="default" w:ascii="Times New Roman" w:hAnsi="Times New Roman" w:eastAsia="宋体" w:cs="Times New Roman"/>
                <w:kern w:val="2"/>
                <w:sz w:val="24"/>
                <w:szCs w:val="24"/>
                <w:lang w:val="en-US" w:eastAsia="zh-CN" w:bidi="ar"/>
              </w:rPr>
              <w:t>年，城市环境空气质量达标情况评价指标中</w:t>
            </w:r>
            <w:r>
              <w:rPr>
                <w:rFonts w:hint="default" w:ascii="Times New Roman" w:hAnsi="Times New Roman" w:cs="Times New Roman"/>
                <w:kern w:val="2"/>
                <w:sz w:val="24"/>
                <w:szCs w:val="24"/>
                <w:lang w:val="en-US" w:eastAsia="zh-CN" w:bidi="ar"/>
              </w:rPr>
              <w:t>SO</w:t>
            </w:r>
            <w:r>
              <w:rPr>
                <w:rFonts w:hint="default" w:ascii="Times New Roman" w:hAnsi="Times New Roman" w:cs="Times New Roman"/>
                <w:kern w:val="2"/>
                <w:sz w:val="24"/>
                <w:szCs w:val="24"/>
                <w:vertAlign w:val="subscript"/>
                <w:lang w:val="en-US" w:eastAsia="zh-CN" w:bidi="ar"/>
              </w:rPr>
              <w:t>2</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NO</w:t>
            </w:r>
            <w:r>
              <w:rPr>
                <w:rFonts w:hint="default" w:ascii="Times New Roman" w:hAnsi="Times New Roman" w:cs="Times New Roman"/>
                <w:kern w:val="2"/>
                <w:sz w:val="24"/>
                <w:szCs w:val="24"/>
                <w:vertAlign w:val="subscript"/>
                <w:lang w:val="en-US" w:eastAsia="zh-CN" w:bidi="ar"/>
              </w:rPr>
              <w:t>2</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PM</w:t>
            </w:r>
            <w:r>
              <w:rPr>
                <w:rFonts w:hint="default" w:ascii="Times New Roman" w:hAnsi="Times New Roman" w:cs="Times New Roman"/>
                <w:kern w:val="2"/>
                <w:sz w:val="24"/>
                <w:szCs w:val="24"/>
                <w:vertAlign w:val="subscript"/>
                <w:lang w:val="en-US" w:eastAsia="zh-CN" w:bidi="ar"/>
              </w:rPr>
              <w:t>10</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PM</w:t>
            </w:r>
            <w:r>
              <w:rPr>
                <w:rFonts w:hint="default" w:ascii="Times New Roman" w:hAnsi="Times New Roman" w:cs="Times New Roman"/>
                <w:kern w:val="2"/>
                <w:sz w:val="24"/>
                <w:szCs w:val="24"/>
                <w:vertAlign w:val="subscript"/>
                <w:lang w:val="en-US" w:eastAsia="zh-CN" w:bidi="ar"/>
              </w:rPr>
              <w:t>2.5</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CO</w:t>
            </w:r>
            <w:r>
              <w:rPr>
                <w:rFonts w:hint="default" w:ascii="Times New Roman" w:hAnsi="Times New Roman" w:eastAsia="宋体" w:cs="Times New Roman"/>
                <w:kern w:val="2"/>
                <w:sz w:val="24"/>
                <w:szCs w:val="24"/>
                <w:lang w:val="en-US" w:eastAsia="zh-CN" w:bidi="ar"/>
              </w:rPr>
              <w:t>和</w:t>
            </w:r>
            <w:r>
              <w:rPr>
                <w:rFonts w:hint="default" w:ascii="Times New Roman" w:hAnsi="Times New Roman" w:cs="Times New Roman"/>
                <w:kern w:val="2"/>
                <w:sz w:val="24"/>
                <w:szCs w:val="24"/>
                <w:lang w:val="en-US" w:eastAsia="zh-CN" w:bidi="ar"/>
              </w:rPr>
              <w:t>O</w:t>
            </w:r>
            <w:r>
              <w:rPr>
                <w:rFonts w:hint="default" w:ascii="Times New Roman" w:hAnsi="Times New Roman"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引用</w:t>
            </w:r>
            <w:r>
              <w:rPr>
                <w:rFonts w:hint="default" w:ascii="Times New Roman" w:hAnsi="Times New Roman" w:cs="Times New Roman"/>
                <w:kern w:val="2"/>
                <w:sz w:val="24"/>
                <w:szCs w:val="24"/>
                <w:lang w:val="en-US" w:eastAsia="zh-CN" w:bidi="ar"/>
              </w:rPr>
              <w:t>2024</w:t>
            </w:r>
            <w:r>
              <w:rPr>
                <w:rFonts w:hint="default" w:ascii="Times New Roman" w:hAnsi="Times New Roman" w:eastAsia="宋体" w:cs="Times New Roman"/>
                <w:kern w:val="2"/>
                <w:sz w:val="24"/>
                <w:szCs w:val="24"/>
                <w:lang w:val="en-US" w:eastAsia="zh-CN" w:bidi="ar"/>
              </w:rPr>
              <w:t>年淮北市环境质量状况公报中数据。项目区域环境空气执行《环境空气质量标准》（</w:t>
            </w:r>
            <w:r>
              <w:rPr>
                <w:rFonts w:hint="default" w:ascii="Times New Roman" w:hAnsi="Times New Roman" w:cs="Times New Roman"/>
                <w:kern w:val="2"/>
                <w:sz w:val="24"/>
                <w:szCs w:val="24"/>
                <w:lang w:val="en-US" w:eastAsia="zh-CN" w:bidi="ar"/>
              </w:rPr>
              <w:t>GB3095-2012</w:t>
            </w:r>
            <w:r>
              <w:rPr>
                <w:rFonts w:hint="default" w:ascii="Times New Roman" w:hAnsi="Times New Roman" w:eastAsia="宋体" w:cs="Times New Roman"/>
                <w:kern w:val="2"/>
                <w:sz w:val="24"/>
                <w:szCs w:val="24"/>
                <w:lang w:val="en-US" w:eastAsia="zh-CN" w:bidi="ar"/>
              </w:rPr>
              <w:t>）中二级标准及修改单。</w:t>
            </w:r>
          </w:p>
          <w:p w14:paraId="7B155752">
            <w:pPr>
              <w:pStyle w:val="19"/>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color w:val="000000"/>
                <w:kern w:val="0"/>
                <w:sz w:val="24"/>
                <w:szCs w:val="24"/>
                <w:lang w:val="en-US" w:eastAsia="zh-CN" w:bidi="ar"/>
              </w:rPr>
              <w:t>淮北市202</w:t>
            </w:r>
            <w:r>
              <w:rPr>
                <w:rFonts w:hint="default"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年环境空气质量现状评价如下表：</w:t>
            </w:r>
          </w:p>
          <w:p w14:paraId="7CFA81C3">
            <w:pPr>
              <w:pStyle w:val="59"/>
              <w:widowControl/>
              <w:autoSpaceDE w:val="0"/>
              <w:autoSpaceDN w:val="0"/>
              <w:adjustRightInd w:val="0"/>
              <w:snapToGrid w:val="0"/>
              <w:ind w:lef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表3-1  区域空气质量现状评价表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3270"/>
              <w:gridCol w:w="1346"/>
              <w:gridCol w:w="1382"/>
              <w:gridCol w:w="1273"/>
            </w:tblGrid>
            <w:tr w14:paraId="527E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75" w:type="pct"/>
                  <w:noWrap w:val="0"/>
                  <w:vAlign w:val="center"/>
                </w:tcPr>
                <w:p w14:paraId="1CB0265F">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污染物</w:t>
                  </w:r>
                </w:p>
              </w:tc>
              <w:tc>
                <w:tcPr>
                  <w:tcW w:w="1989" w:type="pct"/>
                  <w:noWrap w:val="0"/>
                  <w:vAlign w:val="center"/>
                </w:tcPr>
                <w:p w14:paraId="57EF9DC2">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年评价指标</w:t>
                  </w:r>
                </w:p>
              </w:tc>
              <w:tc>
                <w:tcPr>
                  <w:tcW w:w="819" w:type="pct"/>
                  <w:noWrap w:val="0"/>
                  <w:vAlign w:val="center"/>
                </w:tcPr>
                <w:p w14:paraId="6D17716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现状浓度/（μg/m³）</w:t>
                  </w:r>
                </w:p>
              </w:tc>
              <w:tc>
                <w:tcPr>
                  <w:tcW w:w="841" w:type="pct"/>
                  <w:noWrap w:val="0"/>
                  <w:vAlign w:val="center"/>
                </w:tcPr>
                <w:p w14:paraId="1AA6AE2C">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标准值（μg/m³）</w:t>
                  </w:r>
                </w:p>
              </w:tc>
              <w:tc>
                <w:tcPr>
                  <w:tcW w:w="774" w:type="pct"/>
                  <w:noWrap w:val="0"/>
                  <w:vAlign w:val="center"/>
                </w:tcPr>
                <w:p w14:paraId="29136C34">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达标情况</w:t>
                  </w:r>
                </w:p>
              </w:tc>
            </w:tr>
            <w:tr w14:paraId="3744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2E7E2F2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SO</w:t>
                  </w:r>
                  <w:r>
                    <w:rPr>
                      <w:rFonts w:hint="default" w:ascii="Times New Roman" w:hAnsi="Times New Roman" w:eastAsia="宋体" w:cs="Times New Roman"/>
                      <w:color w:val="000000"/>
                      <w:kern w:val="0"/>
                      <w:sz w:val="21"/>
                      <w:szCs w:val="21"/>
                      <w:highlight w:val="none"/>
                      <w:vertAlign w:val="subscript"/>
                      <w:lang w:val="en-US" w:eastAsia="zh-CN" w:bidi="ar-SA"/>
                    </w:rPr>
                    <w:t>2</w:t>
                  </w:r>
                </w:p>
              </w:tc>
              <w:tc>
                <w:tcPr>
                  <w:tcW w:w="1989" w:type="pct"/>
                  <w:noWrap w:val="0"/>
                  <w:vAlign w:val="center"/>
                </w:tcPr>
                <w:p w14:paraId="4EB9C92E">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329F4648">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6</w:t>
                  </w:r>
                </w:p>
              </w:tc>
              <w:tc>
                <w:tcPr>
                  <w:tcW w:w="841" w:type="pct"/>
                  <w:noWrap w:val="0"/>
                  <w:vAlign w:val="center"/>
                </w:tcPr>
                <w:p w14:paraId="5B6EEABA">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60</w:t>
                  </w:r>
                </w:p>
              </w:tc>
              <w:tc>
                <w:tcPr>
                  <w:tcW w:w="774" w:type="pct"/>
                  <w:noWrap w:val="0"/>
                  <w:vAlign w:val="center"/>
                </w:tcPr>
                <w:p w14:paraId="71AFAC12">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340E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7C84F52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NO</w:t>
                  </w:r>
                  <w:r>
                    <w:rPr>
                      <w:rFonts w:hint="default" w:ascii="Times New Roman" w:hAnsi="Times New Roman" w:eastAsia="宋体" w:cs="Times New Roman"/>
                      <w:color w:val="000000"/>
                      <w:kern w:val="0"/>
                      <w:sz w:val="21"/>
                      <w:szCs w:val="21"/>
                      <w:highlight w:val="none"/>
                      <w:vertAlign w:val="subscript"/>
                      <w:lang w:val="en-US" w:eastAsia="zh-CN" w:bidi="ar-SA"/>
                    </w:rPr>
                    <w:t>2</w:t>
                  </w:r>
                </w:p>
              </w:tc>
              <w:tc>
                <w:tcPr>
                  <w:tcW w:w="1989" w:type="pct"/>
                  <w:noWrap w:val="0"/>
                  <w:vAlign w:val="center"/>
                </w:tcPr>
                <w:p w14:paraId="1F09A357">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731ABC7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19</w:t>
                  </w:r>
                </w:p>
              </w:tc>
              <w:tc>
                <w:tcPr>
                  <w:tcW w:w="841" w:type="pct"/>
                  <w:noWrap w:val="0"/>
                  <w:vAlign w:val="center"/>
                </w:tcPr>
                <w:p w14:paraId="3A512000">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40</w:t>
                  </w:r>
                </w:p>
              </w:tc>
              <w:tc>
                <w:tcPr>
                  <w:tcW w:w="774" w:type="pct"/>
                  <w:noWrap w:val="0"/>
                  <w:vAlign w:val="center"/>
                </w:tcPr>
                <w:p w14:paraId="5E796CBF">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3097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64E6F4E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PM</w:t>
                  </w:r>
                  <w:r>
                    <w:rPr>
                      <w:rFonts w:hint="default" w:ascii="Times New Roman" w:hAnsi="Times New Roman" w:eastAsia="宋体" w:cs="Times New Roman"/>
                      <w:color w:val="000000"/>
                      <w:kern w:val="0"/>
                      <w:sz w:val="21"/>
                      <w:szCs w:val="21"/>
                      <w:highlight w:val="none"/>
                      <w:vertAlign w:val="subscript"/>
                      <w:lang w:val="en-US" w:eastAsia="zh-CN" w:bidi="ar-SA"/>
                    </w:rPr>
                    <w:t>10</w:t>
                  </w:r>
                </w:p>
              </w:tc>
              <w:tc>
                <w:tcPr>
                  <w:tcW w:w="1989" w:type="pct"/>
                  <w:noWrap w:val="0"/>
                  <w:vAlign w:val="center"/>
                </w:tcPr>
                <w:p w14:paraId="4B5EFE28">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5C2291EF">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70</w:t>
                  </w:r>
                </w:p>
              </w:tc>
              <w:tc>
                <w:tcPr>
                  <w:tcW w:w="841" w:type="pct"/>
                  <w:noWrap w:val="0"/>
                  <w:vAlign w:val="center"/>
                </w:tcPr>
                <w:p w14:paraId="3716A287">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70</w:t>
                  </w:r>
                </w:p>
              </w:tc>
              <w:tc>
                <w:tcPr>
                  <w:tcW w:w="774" w:type="pct"/>
                  <w:noWrap w:val="0"/>
                  <w:vAlign w:val="center"/>
                </w:tcPr>
                <w:p w14:paraId="7ED782E7">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3FA9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6EC7BC8C">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CO</w:t>
                  </w:r>
                </w:p>
              </w:tc>
              <w:tc>
                <w:tcPr>
                  <w:tcW w:w="1989" w:type="pct"/>
                  <w:noWrap w:val="0"/>
                  <w:vAlign w:val="center"/>
                </w:tcPr>
                <w:p w14:paraId="674E225B">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24h平均浓度第95百分位数</w:t>
                  </w:r>
                </w:p>
              </w:tc>
              <w:tc>
                <w:tcPr>
                  <w:tcW w:w="819" w:type="pct"/>
                  <w:noWrap w:val="0"/>
                  <w:vAlign w:val="center"/>
                </w:tcPr>
                <w:p w14:paraId="017F0B98">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1.0</w:t>
                  </w:r>
                  <w:r>
                    <w:rPr>
                      <w:rFonts w:hint="default" w:ascii="Times New Roman" w:hAnsi="Times New Roman" w:eastAsia="宋体" w:cs="Times New Roman"/>
                      <w:color w:val="000000"/>
                      <w:kern w:val="0"/>
                      <w:sz w:val="21"/>
                      <w:szCs w:val="21"/>
                      <w:highlight w:val="none"/>
                      <w:lang w:val="en-US" w:eastAsia="zh-CN" w:bidi="ar-SA"/>
                    </w:rPr>
                    <w:t>mg/m³</w:t>
                  </w:r>
                </w:p>
              </w:tc>
              <w:tc>
                <w:tcPr>
                  <w:tcW w:w="841" w:type="pct"/>
                  <w:noWrap w:val="0"/>
                  <w:vAlign w:val="center"/>
                </w:tcPr>
                <w:p w14:paraId="5209484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4mg/m³</w:t>
                  </w:r>
                </w:p>
              </w:tc>
              <w:tc>
                <w:tcPr>
                  <w:tcW w:w="774" w:type="pct"/>
                  <w:noWrap w:val="0"/>
                  <w:vAlign w:val="center"/>
                </w:tcPr>
                <w:p w14:paraId="1AE6451B">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5B29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264D5C2C">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O</w:t>
                  </w:r>
                  <w:r>
                    <w:rPr>
                      <w:rFonts w:hint="default" w:ascii="Times New Roman" w:hAnsi="Times New Roman" w:eastAsia="宋体" w:cs="Times New Roman"/>
                      <w:color w:val="000000"/>
                      <w:kern w:val="0"/>
                      <w:sz w:val="21"/>
                      <w:szCs w:val="21"/>
                      <w:highlight w:val="none"/>
                      <w:vertAlign w:val="subscript"/>
                      <w:lang w:val="en-US" w:eastAsia="zh-CN" w:bidi="ar-SA"/>
                    </w:rPr>
                    <w:t>3</w:t>
                  </w:r>
                </w:p>
              </w:tc>
              <w:tc>
                <w:tcPr>
                  <w:tcW w:w="1989" w:type="pct"/>
                  <w:noWrap w:val="0"/>
                  <w:vAlign w:val="center"/>
                </w:tcPr>
                <w:p w14:paraId="3C8D8CE4">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最大8h平均浓度第90百分位数</w:t>
                  </w:r>
                </w:p>
              </w:tc>
              <w:tc>
                <w:tcPr>
                  <w:tcW w:w="819" w:type="pct"/>
                  <w:noWrap w:val="0"/>
                  <w:vAlign w:val="center"/>
                </w:tcPr>
                <w:p w14:paraId="51C8AB21">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175</w:t>
                  </w:r>
                </w:p>
              </w:tc>
              <w:tc>
                <w:tcPr>
                  <w:tcW w:w="841" w:type="pct"/>
                  <w:noWrap w:val="0"/>
                  <w:vAlign w:val="center"/>
                </w:tcPr>
                <w:p w14:paraId="30B21D9A">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160</w:t>
                  </w:r>
                </w:p>
              </w:tc>
              <w:tc>
                <w:tcPr>
                  <w:tcW w:w="774" w:type="pct"/>
                  <w:noWrap w:val="0"/>
                  <w:vAlign w:val="center"/>
                </w:tcPr>
                <w:p w14:paraId="15011C18">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不达标</w:t>
                  </w:r>
                </w:p>
              </w:tc>
            </w:tr>
            <w:tr w14:paraId="76E1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75" w:type="pct"/>
                  <w:noWrap w:val="0"/>
                  <w:vAlign w:val="center"/>
                </w:tcPr>
                <w:p w14:paraId="31A9681B">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PM</w:t>
                  </w:r>
                  <w:r>
                    <w:rPr>
                      <w:rFonts w:hint="default" w:ascii="Times New Roman" w:hAnsi="Times New Roman" w:eastAsia="宋体" w:cs="Times New Roman"/>
                      <w:color w:val="000000"/>
                      <w:kern w:val="0"/>
                      <w:sz w:val="21"/>
                      <w:szCs w:val="21"/>
                      <w:highlight w:val="none"/>
                      <w:vertAlign w:val="subscript"/>
                      <w:lang w:val="en-US" w:eastAsia="zh-CN" w:bidi="ar-SA"/>
                    </w:rPr>
                    <w:t>2.5</w:t>
                  </w:r>
                </w:p>
              </w:tc>
              <w:tc>
                <w:tcPr>
                  <w:tcW w:w="1989" w:type="pct"/>
                  <w:noWrap w:val="0"/>
                  <w:vAlign w:val="center"/>
                </w:tcPr>
                <w:p w14:paraId="30F5B3C3">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02345965">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w:t>
                  </w:r>
                  <w:r>
                    <w:rPr>
                      <w:rFonts w:hint="default" w:ascii="Times New Roman" w:hAnsi="Times New Roman" w:cs="Times New Roman"/>
                      <w:color w:val="000000"/>
                      <w:kern w:val="0"/>
                      <w:sz w:val="21"/>
                      <w:szCs w:val="21"/>
                      <w:highlight w:val="none"/>
                      <w:lang w:val="en-US" w:eastAsia="zh-CN" w:bidi="ar-SA"/>
                    </w:rPr>
                    <w:t>3</w:t>
                  </w:r>
                </w:p>
              </w:tc>
              <w:tc>
                <w:tcPr>
                  <w:tcW w:w="841" w:type="pct"/>
                  <w:noWrap w:val="0"/>
                  <w:vAlign w:val="center"/>
                </w:tcPr>
                <w:p w14:paraId="08057164">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35</w:t>
                  </w:r>
                </w:p>
              </w:tc>
              <w:tc>
                <w:tcPr>
                  <w:tcW w:w="774" w:type="pct"/>
                  <w:noWrap w:val="0"/>
                  <w:vAlign w:val="center"/>
                </w:tcPr>
                <w:p w14:paraId="16408D0B">
                  <w:pPr>
                    <w:keepNext w:val="0"/>
                    <w:keepLines w:val="0"/>
                    <w:pageBreakBefore w:val="0"/>
                    <w:widowControl w:val="0"/>
                    <w:suppressLineNumbers w:val="0"/>
                    <w:tabs>
                      <w:tab w:val="left" w:pos="893"/>
                    </w:tabs>
                    <w:kinsoku/>
                    <w:topLinePunct w:val="0"/>
                    <w:bidi w:val="0"/>
                    <w:adjustRightInd w:val="0"/>
                    <w:snapToGrid w:val="0"/>
                    <w:spacing w:before="60" w:beforeLines="0" w:beforeAutospacing="0" w:after="100" w:afterLines="0" w:afterAutospacing="0" w:line="240" w:lineRule="auto"/>
                    <w:ind w:left="0" w:leftChars="0" w:righ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不达标</w:t>
                  </w:r>
                </w:p>
              </w:tc>
            </w:tr>
          </w:tbl>
          <w:p w14:paraId="7EDC77C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（2）特征污染物现状数据</w:t>
            </w:r>
          </w:p>
          <w:p w14:paraId="432390A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t>本项目运营期排放的主要特征污染物为非甲烷总烃（NMHC）、总悬浮颗粒物（TSP），非甲烷总烃（NMHC）、总悬浮颗粒物（TSP）现状检测值引用</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b w:val="0"/>
                <w:bCs w:val="0"/>
                <w:color w:val="auto"/>
                <w:sz w:val="24"/>
                <w:szCs w:val="24"/>
                <w:lang w:val="en-US" w:eastAsia="zh-CN"/>
              </w:rPr>
              <w:t>安徽淮北杜集经济开发区总体发展规划（2023-2035年）</w:t>
            </w:r>
            <w:r>
              <w:rPr>
                <w:rFonts w:hint="default" w:ascii="Times New Roman" w:hAnsi="Times New Roman" w:eastAsia="宋体" w:cs="Times New Roman"/>
                <w:color w:val="auto"/>
                <w:sz w:val="24"/>
                <w:szCs w:val="24"/>
                <w:lang w:val="en-US" w:eastAsia="zh-CN"/>
              </w:rPr>
              <w:t>环境影响报告书》</w:t>
            </w:r>
            <w:r>
              <w:rPr>
                <w:rFonts w:hint="default" w:ascii="Times New Roman" w:hAnsi="Times New Roman" w:cs="Times New Roman"/>
                <w:b w:val="0"/>
                <w:bCs w:val="0"/>
                <w:color w:val="auto"/>
                <w:sz w:val="24"/>
                <w:szCs w:val="24"/>
                <w:lang w:val="en-US" w:eastAsia="zh-CN"/>
              </w:rPr>
              <w:t>中的检测数据，监测时间为2023年07月16日～2023年07月26日，</w:t>
            </w:r>
            <w:r>
              <w:rPr>
                <w:rFonts w:hint="default" w:ascii="Times New Roman" w:hAnsi="Times New Roman" w:cs="Times New Roman"/>
                <w:color w:val="auto"/>
                <w:sz w:val="24"/>
                <w:szCs w:val="24"/>
              </w:rPr>
              <w:t>引用的检测点位为</w:t>
            </w:r>
            <w:r>
              <w:rPr>
                <w:rFonts w:hint="default" w:ascii="Times New Roman" w:hAnsi="Times New Roman" w:cs="Times New Roman"/>
                <w:color w:val="auto"/>
                <w:sz w:val="24"/>
                <w:szCs w:val="24"/>
                <w:lang w:val="en-US" w:eastAsia="zh-CN"/>
              </w:rPr>
              <w:t>罗里村</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罗里村</w:t>
            </w:r>
            <w:r>
              <w:rPr>
                <w:rFonts w:hint="default" w:ascii="Times New Roman" w:hAnsi="Times New Roman" w:cs="Times New Roman"/>
                <w:color w:val="auto"/>
                <w:sz w:val="24"/>
                <w:szCs w:val="24"/>
              </w:rPr>
              <w:t>位于本项目</w:t>
            </w:r>
            <w:r>
              <w:rPr>
                <w:rFonts w:hint="default" w:ascii="Times New Roman" w:hAnsi="Times New Roman" w:cs="Times New Roman"/>
                <w:color w:val="auto"/>
                <w:sz w:val="24"/>
                <w:szCs w:val="24"/>
                <w:lang w:eastAsia="zh-CN"/>
              </w:rPr>
              <w:t>西</w:t>
            </w:r>
            <w:r>
              <w:rPr>
                <w:rFonts w:hint="default" w:ascii="Times New Roman" w:hAnsi="Times New Roman" w:cs="Times New Roman"/>
                <w:color w:val="auto"/>
                <w:sz w:val="24"/>
                <w:szCs w:val="24"/>
                <w:lang w:val="en-US" w:eastAsia="zh-CN"/>
              </w:rPr>
              <w:t>南方向</w:t>
            </w: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650m</w:t>
            </w:r>
            <w:r>
              <w:rPr>
                <w:rFonts w:hint="default" w:ascii="Times New Roman" w:hAnsi="Times New Roman" w:cs="Times New Roman"/>
                <w:color w:val="auto"/>
                <w:sz w:val="24"/>
                <w:szCs w:val="24"/>
              </w:rPr>
              <w:t>处，引用数据有效</w:t>
            </w:r>
            <w:r>
              <w:rPr>
                <w:rFonts w:hint="default" w:ascii="Times New Roman" w:hAnsi="Times New Roman" w:cs="Times New Roman"/>
                <w:color w:val="auto"/>
                <w:sz w:val="24"/>
                <w:szCs w:val="24"/>
                <w:lang w:eastAsia="zh-CN"/>
              </w:rPr>
              <w:t>性</w:t>
            </w:r>
            <w:r>
              <w:rPr>
                <w:rFonts w:hint="default" w:ascii="Times New Roman" w:hAnsi="Times New Roman" w:cs="Times New Roman"/>
                <w:b w:val="0"/>
                <w:bCs w:val="0"/>
                <w:color w:val="auto"/>
                <w:sz w:val="24"/>
                <w:szCs w:val="24"/>
                <w:lang w:val="en-US" w:eastAsia="zh-CN"/>
              </w:rPr>
              <w:t>满足</w:t>
            </w:r>
            <w:r>
              <w:rPr>
                <w:rFonts w:hint="default" w:ascii="Times New Roman" w:hAnsi="Times New Roman" w:cs="Times New Roman"/>
                <w:color w:val="auto"/>
                <w:sz w:val="24"/>
                <w:szCs w:val="24"/>
                <w:lang w:val="en-US" w:eastAsia="zh-CN"/>
              </w:rPr>
              <w:t>《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无相关数据的选择当季主导风向下风向1个点位补充不少于3天的监测数据。”</w:t>
            </w:r>
          </w:p>
          <w:p w14:paraId="30DDBC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①监测点位</w:t>
            </w:r>
          </w:p>
          <w:p w14:paraId="48392F6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引用的监测点位</w:t>
            </w:r>
            <w:r>
              <w:rPr>
                <w:rFonts w:hint="default" w:ascii="Times New Roman" w:hAnsi="Times New Roman" w:cs="Times New Roman"/>
                <w:b w:val="0"/>
                <w:bCs w:val="0"/>
                <w:color w:val="auto"/>
                <w:sz w:val="24"/>
                <w:szCs w:val="24"/>
              </w:rPr>
              <w:t>具体位置表</w:t>
            </w:r>
            <w:r>
              <w:rPr>
                <w:rFonts w:hint="default" w:ascii="Times New Roman" w:hAnsi="Times New Roman" w:cs="Times New Roman"/>
                <w:b w:val="0"/>
                <w:bCs w:val="0"/>
                <w:color w:val="auto"/>
                <w:sz w:val="24"/>
                <w:szCs w:val="24"/>
                <w:lang w:val="en-US" w:eastAsia="zh-CN"/>
              </w:rPr>
              <w:t>3-2</w:t>
            </w:r>
            <w:r>
              <w:rPr>
                <w:rFonts w:hint="default" w:ascii="Times New Roman" w:hAnsi="Times New Roman" w:cs="Times New Roman"/>
                <w:b w:val="0"/>
                <w:bCs w:val="0"/>
                <w:color w:val="auto"/>
                <w:sz w:val="24"/>
                <w:szCs w:val="24"/>
              </w:rPr>
              <w:t>所示。</w:t>
            </w:r>
          </w:p>
          <w:p w14:paraId="38489E2E">
            <w:pPr>
              <w:pStyle w:val="71"/>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cs="Times New Roman"/>
                <w:b/>
                <w:bCs/>
                <w:color w:val="auto"/>
                <w:sz w:val="21"/>
                <w:szCs w:val="21"/>
                <w:lang w:val="zh-CN"/>
              </w:rPr>
              <w:t>表</w:t>
            </w:r>
            <w:r>
              <w:rPr>
                <w:rFonts w:hint="default" w:ascii="Times New Roman" w:hAnsi="Times New Roman" w:cs="Times New Roman"/>
                <w:b/>
                <w:bCs/>
                <w:color w:val="auto"/>
                <w:sz w:val="21"/>
                <w:szCs w:val="21"/>
              </w:rPr>
              <w:t>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环境空气质量现状监测点布设一览表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2740"/>
              <w:gridCol w:w="2740"/>
            </w:tblGrid>
            <w:tr w14:paraId="5345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left w:val="single" w:color="auto" w:sz="4" w:space="0"/>
                    <w:bottom w:val="single" w:color="auto" w:sz="4" w:space="0"/>
                    <w:right w:val="single" w:color="auto" w:sz="4" w:space="0"/>
                  </w:tcBorders>
                  <w:noWrap w:val="0"/>
                  <w:vAlign w:val="center"/>
                </w:tcPr>
                <w:p w14:paraId="60237400">
                  <w:pPr>
                    <w:pStyle w:val="52"/>
                    <w:suppressLineNumbers w:val="0"/>
                    <w:spacing w:before="0" w:beforeAutospacing="0" w:after="0" w:afterAutospacing="0"/>
                    <w:ind w:left="0" w:right="0"/>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val="en-US" w:eastAsia="zh-CN"/>
                    </w:rPr>
                    <w:t>点位</w:t>
                  </w:r>
                  <w:r>
                    <w:rPr>
                      <w:rFonts w:hint="default" w:ascii="Times New Roman" w:hAnsi="Times New Roman" w:cs="Times New Roman"/>
                      <w:b w:val="0"/>
                      <w:bCs/>
                      <w:color w:val="auto"/>
                      <w:lang w:eastAsia="zh-CN"/>
                    </w:rPr>
                    <w:t>名称</w:t>
                  </w:r>
                </w:p>
              </w:tc>
              <w:tc>
                <w:tcPr>
                  <w:tcW w:w="1666" w:type="pct"/>
                  <w:tcBorders>
                    <w:left w:val="single" w:color="auto" w:sz="4" w:space="0"/>
                    <w:bottom w:val="single" w:color="auto" w:sz="4" w:space="0"/>
                    <w:right w:val="single" w:color="auto" w:sz="4" w:space="0"/>
                  </w:tcBorders>
                  <w:noWrap w:val="0"/>
                  <w:vAlign w:val="center"/>
                </w:tcPr>
                <w:p w14:paraId="391DC4C5">
                  <w:pPr>
                    <w:pStyle w:val="52"/>
                    <w:suppressLineNumbers w:val="0"/>
                    <w:spacing w:before="0" w:beforeAutospacing="0" w:after="0" w:afterAutospacing="0"/>
                    <w:ind w:left="0" w:right="0"/>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方位</w:t>
                  </w:r>
                </w:p>
              </w:tc>
              <w:tc>
                <w:tcPr>
                  <w:tcW w:w="1666" w:type="pct"/>
                  <w:tcBorders>
                    <w:left w:val="single" w:color="auto" w:sz="4" w:space="0"/>
                    <w:bottom w:val="single" w:color="auto" w:sz="4" w:space="0"/>
                    <w:right w:val="single" w:color="auto" w:sz="4" w:space="0"/>
                  </w:tcBorders>
                  <w:noWrap w:val="0"/>
                  <w:vAlign w:val="center"/>
                </w:tcPr>
                <w:p w14:paraId="47C19142">
                  <w:pPr>
                    <w:pStyle w:val="52"/>
                    <w:suppressLineNumbers w:val="0"/>
                    <w:spacing w:before="0" w:beforeAutospacing="0" w:after="0" w:afterAutospacing="0"/>
                    <w:ind w:left="0" w:right="0"/>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距离本项目</w:t>
                  </w:r>
                </w:p>
              </w:tc>
            </w:tr>
            <w:tr w14:paraId="2ED6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left w:val="single" w:color="auto" w:sz="4" w:space="0"/>
                    <w:right w:val="single" w:color="auto" w:sz="4" w:space="0"/>
                  </w:tcBorders>
                  <w:noWrap w:val="0"/>
                  <w:vAlign w:val="center"/>
                </w:tcPr>
                <w:p w14:paraId="1891E7E2">
                  <w:pPr>
                    <w:pStyle w:val="52"/>
                    <w:suppressLineNumbers w:val="0"/>
                    <w:spacing w:before="0" w:beforeAutospacing="0" w:after="0" w:afterAutospacing="0"/>
                    <w:ind w:left="0" w:right="0"/>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罗里村</w:t>
                  </w:r>
                </w:p>
              </w:tc>
              <w:tc>
                <w:tcPr>
                  <w:tcW w:w="1666" w:type="pct"/>
                  <w:tcBorders>
                    <w:left w:val="single" w:color="auto" w:sz="4" w:space="0"/>
                    <w:right w:val="single" w:color="auto" w:sz="4" w:space="0"/>
                  </w:tcBorders>
                  <w:noWrap w:val="0"/>
                  <w:vAlign w:val="center"/>
                </w:tcPr>
                <w:p w14:paraId="6E9AADC1">
                  <w:pPr>
                    <w:pStyle w:val="52"/>
                    <w:suppressLineNumbers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SW</w:t>
                  </w:r>
                </w:p>
              </w:tc>
              <w:tc>
                <w:tcPr>
                  <w:tcW w:w="1666" w:type="pct"/>
                  <w:tcBorders>
                    <w:left w:val="single" w:color="auto" w:sz="4" w:space="0"/>
                    <w:right w:val="single" w:color="auto" w:sz="4" w:space="0"/>
                  </w:tcBorders>
                  <w:noWrap w:val="0"/>
                  <w:vAlign w:val="center"/>
                </w:tcPr>
                <w:p w14:paraId="4DB1E908">
                  <w:pPr>
                    <w:pStyle w:val="52"/>
                    <w:suppressLineNumbers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约650m</w:t>
                  </w:r>
                </w:p>
              </w:tc>
            </w:tr>
          </w:tbl>
          <w:p w14:paraId="13C182B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b w:val="0"/>
                <w:bCs w:val="0"/>
                <w:color w:val="auto"/>
                <w:sz w:val="24"/>
                <w:szCs w:val="24"/>
              </w:rPr>
              <w:t>②</w:t>
            </w:r>
            <w:r>
              <w:rPr>
                <w:rFonts w:hint="default" w:ascii="Times New Roman" w:hAnsi="Times New Roman" w:cs="Times New Roman"/>
                <w:b w:val="0"/>
                <w:bCs w:val="0"/>
                <w:color w:val="auto"/>
                <w:sz w:val="24"/>
                <w:szCs w:val="24"/>
                <w:lang w:eastAsia="zh-CN"/>
              </w:rPr>
              <w:t>监测结果及评价结果</w:t>
            </w:r>
          </w:p>
          <w:p w14:paraId="02D9D0D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非甲烷总烃（NMHC）、总悬浮颗粒物（TSP）</w:t>
            </w:r>
            <w:r>
              <w:rPr>
                <w:rFonts w:hint="default" w:ascii="Times New Roman" w:hAnsi="Times New Roman" w:cs="Times New Roman"/>
                <w:b w:val="0"/>
                <w:bCs w:val="0"/>
                <w:color w:val="auto"/>
                <w:sz w:val="24"/>
                <w:szCs w:val="24"/>
                <w:lang w:eastAsia="zh-CN"/>
              </w:rPr>
              <w:t>现状检测及评价结果见表</w:t>
            </w:r>
            <w:r>
              <w:rPr>
                <w:rFonts w:hint="default" w:ascii="Times New Roman" w:hAnsi="Times New Roman" w:cs="Times New Roman"/>
                <w:b w:val="0"/>
                <w:bCs w:val="0"/>
                <w:color w:val="auto"/>
                <w:sz w:val="24"/>
                <w:szCs w:val="24"/>
                <w:lang w:val="en-US" w:eastAsia="zh-CN"/>
              </w:rPr>
              <w:t>3-3。</w:t>
            </w:r>
          </w:p>
          <w:p w14:paraId="742E1E15">
            <w:pPr>
              <w:keepNext w:val="0"/>
              <w:keepLines w:val="0"/>
              <w:suppressLineNumbers w:val="0"/>
              <w:snapToGrid w:val="0"/>
              <w:spacing w:before="0" w:beforeAutospacing="0" w:after="0" w:afterAutospacing="0" w:line="240" w:lineRule="auto"/>
              <w:ind w:left="0" w:right="0" w:firstLine="482"/>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w:t>
            </w:r>
            <w:r>
              <w:rPr>
                <w:rFonts w:hint="default" w:ascii="Times New Roman" w:hAnsi="Times New Roman" w:cs="Times New Roman"/>
                <w:b/>
                <w:bCs/>
                <w:color w:val="auto"/>
                <w:sz w:val="21"/>
                <w:szCs w:val="21"/>
                <w:lang w:val="en-US" w:eastAsia="zh-CN"/>
              </w:rPr>
              <w:t xml:space="preserve">3-3  </w:t>
            </w:r>
            <w:r>
              <w:rPr>
                <w:rFonts w:hint="default" w:ascii="Times New Roman" w:hAnsi="Times New Roman" w:cs="Times New Roman" w:eastAsiaTheme="minorEastAsia"/>
                <w:b/>
                <w:bCs/>
                <w:color w:val="auto"/>
                <w:sz w:val="21"/>
                <w:szCs w:val="21"/>
              </w:rPr>
              <w:t>环境空气质量现状监测及评价结果</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120"/>
              <w:gridCol w:w="886"/>
              <w:gridCol w:w="929"/>
              <w:gridCol w:w="840"/>
              <w:gridCol w:w="811"/>
              <w:gridCol w:w="855"/>
              <w:gridCol w:w="862"/>
              <w:gridCol w:w="652"/>
              <w:gridCol w:w="812"/>
            </w:tblGrid>
            <w:tr w14:paraId="0624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jc w:val="center"/>
              </w:trPr>
              <w:tc>
                <w:tcPr>
                  <w:tcW w:w="286" w:type="pct"/>
                  <w:vMerge w:val="restart"/>
                  <w:shd w:val="clear" w:color="auto" w:fill="auto"/>
                  <w:vAlign w:val="center"/>
                </w:tcPr>
                <w:p w14:paraId="2845113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监测点位</w:t>
                  </w:r>
                </w:p>
              </w:tc>
              <w:tc>
                <w:tcPr>
                  <w:tcW w:w="692" w:type="pct"/>
                  <w:vMerge w:val="restart"/>
                  <w:shd w:val="clear" w:color="auto" w:fill="auto"/>
                  <w:vAlign w:val="center"/>
                </w:tcPr>
                <w:p w14:paraId="7CB2B2D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监测项目</w:t>
                  </w:r>
                </w:p>
              </w:tc>
              <w:tc>
                <w:tcPr>
                  <w:tcW w:w="2084" w:type="pct"/>
                  <w:gridSpan w:val="4"/>
                  <w:vMerge w:val="restart"/>
                  <w:shd w:val="clear" w:color="auto" w:fill="auto"/>
                  <w:vAlign w:val="center"/>
                </w:tcPr>
                <w:p w14:paraId="6E82C01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时均</w:t>
                  </w:r>
                  <w:r>
                    <w:rPr>
                      <w:rFonts w:hint="default" w:ascii="Times New Roman" w:hAnsi="Times New Roman" w:cs="Times New Roman"/>
                      <w:color w:val="auto"/>
                      <w:kern w:val="0"/>
                      <w:sz w:val="21"/>
                      <w:szCs w:val="21"/>
                      <w:lang w:eastAsia="zh-CN"/>
                    </w:rPr>
                    <w:t>（或一次）</w:t>
                  </w:r>
                  <w:r>
                    <w:rPr>
                      <w:rFonts w:hint="default" w:ascii="Times New Roman" w:hAnsi="Times New Roman" w:cs="Times New Roman" w:eastAsiaTheme="minorEastAsia"/>
                      <w:color w:val="auto"/>
                      <w:kern w:val="0"/>
                      <w:sz w:val="21"/>
                      <w:szCs w:val="21"/>
                    </w:rPr>
                    <w:t>浓度值</w:t>
                  </w:r>
                </w:p>
              </w:tc>
              <w:tc>
                <w:tcPr>
                  <w:tcW w:w="1936" w:type="pct"/>
                  <w:gridSpan w:val="4"/>
                  <w:vMerge w:val="restart"/>
                  <w:shd w:val="clear" w:color="auto" w:fill="auto"/>
                  <w:vAlign w:val="center"/>
                </w:tcPr>
                <w:p w14:paraId="2910D76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日平均浓度值</w:t>
                  </w:r>
                </w:p>
              </w:tc>
            </w:tr>
            <w:tr w14:paraId="1280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86" w:type="pct"/>
                  <w:vMerge w:val="continue"/>
                  <w:vAlign w:val="center"/>
                </w:tcPr>
                <w:p w14:paraId="39B1B17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692" w:type="pct"/>
                  <w:vMerge w:val="continue"/>
                  <w:vAlign w:val="center"/>
                </w:tcPr>
                <w:p w14:paraId="70F2985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2084" w:type="pct"/>
                  <w:gridSpan w:val="4"/>
                  <w:vMerge w:val="continue"/>
                  <w:vAlign w:val="center"/>
                </w:tcPr>
                <w:p w14:paraId="25CC427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1936" w:type="pct"/>
                  <w:gridSpan w:val="4"/>
                  <w:vMerge w:val="continue"/>
                  <w:vAlign w:val="center"/>
                </w:tcPr>
                <w:p w14:paraId="281D98E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r>
            <w:tr w14:paraId="3A9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86" w:type="pct"/>
                  <w:vMerge w:val="continue"/>
                  <w:vAlign w:val="center"/>
                </w:tcPr>
                <w:p w14:paraId="7029431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692" w:type="pct"/>
                  <w:vMerge w:val="continue"/>
                  <w:vAlign w:val="center"/>
                </w:tcPr>
                <w:p w14:paraId="7A00B88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1126" w:type="pct"/>
                  <w:gridSpan w:val="2"/>
                  <w:vMerge w:val="restart"/>
                  <w:shd w:val="clear" w:color="auto" w:fill="auto"/>
                  <w:vAlign w:val="center"/>
                </w:tcPr>
                <w:p w14:paraId="08B3083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浓度范围</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eastAsia="zh-CN"/>
                    </w:rPr>
                    <w:t>）</w:t>
                  </w:r>
                </w:p>
              </w:tc>
              <w:tc>
                <w:tcPr>
                  <w:tcW w:w="522" w:type="pct"/>
                  <w:vMerge w:val="restart"/>
                  <w:shd w:val="clear" w:color="auto" w:fill="auto"/>
                  <w:vAlign w:val="center"/>
                </w:tcPr>
                <w:p w14:paraId="574E768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最大占标率</w:t>
                  </w:r>
                  <w:r>
                    <w:rPr>
                      <w:rFonts w:hint="default" w:ascii="Times New Roman" w:hAnsi="Times New Roman" w:cs="Times New Roman"/>
                      <w:color w:val="auto"/>
                      <w:kern w:val="0"/>
                      <w:sz w:val="21"/>
                      <w:szCs w:val="21"/>
                      <w:lang w:eastAsia="zh-CN"/>
                    </w:rPr>
                    <w:t>（</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color w:val="auto"/>
                      <w:kern w:val="0"/>
                      <w:sz w:val="21"/>
                      <w:szCs w:val="21"/>
                      <w:lang w:eastAsia="zh-CN"/>
                    </w:rPr>
                    <w:t>）</w:t>
                  </w:r>
                </w:p>
              </w:tc>
              <w:tc>
                <w:tcPr>
                  <w:tcW w:w="436" w:type="pct"/>
                  <w:vMerge w:val="restart"/>
                  <w:shd w:val="clear" w:color="auto" w:fill="auto"/>
                  <w:vAlign w:val="center"/>
                </w:tcPr>
                <w:p w14:paraId="7826D9E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超标率</w:t>
                  </w:r>
                  <w:r>
                    <w:rPr>
                      <w:rFonts w:hint="default" w:ascii="Times New Roman" w:hAnsi="Times New Roman" w:cs="Times New Roman"/>
                      <w:color w:val="auto"/>
                      <w:kern w:val="0"/>
                      <w:sz w:val="21"/>
                      <w:szCs w:val="21"/>
                      <w:lang w:eastAsia="zh-CN"/>
                    </w:rPr>
                    <w:t>（</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color w:val="auto"/>
                      <w:kern w:val="0"/>
                      <w:sz w:val="21"/>
                      <w:szCs w:val="21"/>
                      <w:lang w:eastAsia="zh-CN"/>
                    </w:rPr>
                    <w:t>）</w:t>
                  </w:r>
                </w:p>
              </w:tc>
              <w:tc>
                <w:tcPr>
                  <w:tcW w:w="1066" w:type="pct"/>
                  <w:gridSpan w:val="2"/>
                  <w:vMerge w:val="restart"/>
                  <w:shd w:val="clear" w:color="auto" w:fill="auto"/>
                  <w:vAlign w:val="center"/>
                </w:tcPr>
                <w:p w14:paraId="0581AB11">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浓度范围</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eastAsia="zh-CN"/>
                    </w:rPr>
                    <w:t>）</w:t>
                  </w:r>
                </w:p>
              </w:tc>
              <w:tc>
                <w:tcPr>
                  <w:tcW w:w="407" w:type="pct"/>
                  <w:vMerge w:val="restart"/>
                  <w:shd w:val="clear" w:color="auto" w:fill="auto"/>
                  <w:vAlign w:val="center"/>
                </w:tcPr>
                <w:p w14:paraId="5A8C574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最大占标率%</w:t>
                  </w:r>
                </w:p>
              </w:tc>
              <w:tc>
                <w:tcPr>
                  <w:tcW w:w="462" w:type="pct"/>
                  <w:vMerge w:val="restart"/>
                  <w:shd w:val="clear" w:color="auto" w:fill="auto"/>
                  <w:vAlign w:val="center"/>
                </w:tcPr>
                <w:p w14:paraId="54FE4B0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超标率</w:t>
                  </w:r>
                  <w:r>
                    <w:rPr>
                      <w:rFonts w:hint="default" w:ascii="Times New Roman" w:hAnsi="Times New Roman" w:cs="Times New Roman"/>
                      <w:color w:val="auto"/>
                      <w:kern w:val="0"/>
                      <w:sz w:val="21"/>
                      <w:szCs w:val="21"/>
                      <w:lang w:eastAsia="zh-CN"/>
                    </w:rPr>
                    <w:t>（</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color w:val="auto"/>
                      <w:kern w:val="0"/>
                      <w:sz w:val="21"/>
                      <w:szCs w:val="21"/>
                      <w:lang w:eastAsia="zh-CN"/>
                    </w:rPr>
                    <w:t>）</w:t>
                  </w:r>
                </w:p>
              </w:tc>
            </w:tr>
            <w:tr w14:paraId="7673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86" w:type="pct"/>
                  <w:vMerge w:val="continue"/>
                  <w:vAlign w:val="center"/>
                </w:tcPr>
                <w:p w14:paraId="594BD8F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692" w:type="pct"/>
                  <w:vMerge w:val="continue"/>
                  <w:vAlign w:val="center"/>
                </w:tcPr>
                <w:p w14:paraId="4DD053E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1126" w:type="pct"/>
                  <w:gridSpan w:val="2"/>
                  <w:vMerge w:val="continue"/>
                  <w:vAlign w:val="center"/>
                </w:tcPr>
                <w:p w14:paraId="4C2E9CC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522" w:type="pct"/>
                  <w:vMerge w:val="continue"/>
                  <w:vAlign w:val="center"/>
                </w:tcPr>
                <w:p w14:paraId="3341676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436" w:type="pct"/>
                  <w:vMerge w:val="continue"/>
                  <w:vAlign w:val="center"/>
                </w:tcPr>
                <w:p w14:paraId="6F2947A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1066" w:type="pct"/>
                  <w:gridSpan w:val="2"/>
                  <w:vMerge w:val="continue"/>
                  <w:vAlign w:val="center"/>
                </w:tcPr>
                <w:p w14:paraId="1DAE3B4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407" w:type="pct"/>
                  <w:vMerge w:val="continue"/>
                  <w:vAlign w:val="center"/>
                </w:tcPr>
                <w:p w14:paraId="40246DB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462" w:type="pct"/>
                  <w:vMerge w:val="continue"/>
                  <w:vAlign w:val="center"/>
                </w:tcPr>
                <w:p w14:paraId="50916F9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r>
            <w:tr w14:paraId="0E56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86" w:type="pct"/>
                  <w:vMerge w:val="continue"/>
                  <w:vAlign w:val="center"/>
                </w:tcPr>
                <w:p w14:paraId="3E4FB34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692" w:type="pct"/>
                  <w:vMerge w:val="continue"/>
                  <w:vAlign w:val="center"/>
                </w:tcPr>
                <w:p w14:paraId="129D8A0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550" w:type="pct"/>
                  <w:shd w:val="clear" w:color="auto" w:fill="auto"/>
                  <w:vAlign w:val="center"/>
                </w:tcPr>
                <w:p w14:paraId="40C5033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最小值</w:t>
                  </w:r>
                </w:p>
              </w:tc>
              <w:tc>
                <w:tcPr>
                  <w:tcW w:w="576" w:type="pct"/>
                  <w:shd w:val="clear" w:color="auto" w:fill="auto"/>
                  <w:vAlign w:val="center"/>
                </w:tcPr>
                <w:p w14:paraId="6119123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最大值</w:t>
                  </w:r>
                </w:p>
              </w:tc>
              <w:tc>
                <w:tcPr>
                  <w:tcW w:w="522" w:type="pct"/>
                  <w:vMerge w:val="continue"/>
                  <w:vAlign w:val="center"/>
                </w:tcPr>
                <w:p w14:paraId="19DBF15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436" w:type="pct"/>
                  <w:vMerge w:val="continue"/>
                  <w:vAlign w:val="center"/>
                </w:tcPr>
                <w:p w14:paraId="25C7578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531" w:type="pct"/>
                  <w:shd w:val="clear" w:color="auto" w:fill="auto"/>
                  <w:vAlign w:val="center"/>
                </w:tcPr>
                <w:p w14:paraId="6B75883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最小值</w:t>
                  </w:r>
                </w:p>
              </w:tc>
              <w:tc>
                <w:tcPr>
                  <w:tcW w:w="535" w:type="pct"/>
                  <w:shd w:val="clear" w:color="auto" w:fill="auto"/>
                  <w:vAlign w:val="center"/>
                </w:tcPr>
                <w:p w14:paraId="16F8A731">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最大值</w:t>
                  </w:r>
                </w:p>
              </w:tc>
              <w:tc>
                <w:tcPr>
                  <w:tcW w:w="407" w:type="pct"/>
                  <w:vMerge w:val="continue"/>
                  <w:vAlign w:val="center"/>
                </w:tcPr>
                <w:p w14:paraId="5C32AF3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462" w:type="pct"/>
                  <w:vMerge w:val="continue"/>
                  <w:vAlign w:val="center"/>
                </w:tcPr>
                <w:p w14:paraId="1F795FA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r>
            <w:tr w14:paraId="4C9F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86" w:type="pct"/>
                  <w:vMerge w:val="restart"/>
                  <w:vAlign w:val="center"/>
                </w:tcPr>
                <w:p w14:paraId="2EA8201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44"/>
                      <w:sz w:val="21"/>
                      <w:szCs w:val="21"/>
                    </w:rPr>
                    <w:t>罗里村</w:t>
                  </w:r>
                </w:p>
              </w:tc>
              <w:tc>
                <w:tcPr>
                  <w:tcW w:w="692" w:type="pct"/>
                  <w:vAlign w:val="center"/>
                </w:tcPr>
                <w:p w14:paraId="02E44EA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TSP</w:t>
                  </w:r>
                </w:p>
              </w:tc>
              <w:tc>
                <w:tcPr>
                  <w:tcW w:w="550" w:type="pct"/>
                  <w:shd w:val="clear" w:color="auto" w:fill="auto"/>
                  <w:vAlign w:val="center"/>
                </w:tcPr>
                <w:p w14:paraId="0BAA21E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576" w:type="pct"/>
                  <w:shd w:val="clear" w:color="auto" w:fill="auto"/>
                  <w:vAlign w:val="center"/>
                </w:tcPr>
                <w:p w14:paraId="18E36E7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522" w:type="pct"/>
                  <w:vAlign w:val="center"/>
                </w:tcPr>
                <w:p w14:paraId="6811AA01">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436" w:type="pct"/>
                  <w:vAlign w:val="center"/>
                </w:tcPr>
                <w:p w14:paraId="08B3D0B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531" w:type="pct"/>
                  <w:shd w:val="clear" w:color="auto" w:fill="auto"/>
                  <w:vAlign w:val="center"/>
                </w:tcPr>
                <w:p w14:paraId="755A4D9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0.117</w:t>
                  </w:r>
                </w:p>
              </w:tc>
              <w:tc>
                <w:tcPr>
                  <w:tcW w:w="535" w:type="pct"/>
                  <w:shd w:val="clear" w:color="auto" w:fill="auto"/>
                  <w:vAlign w:val="center"/>
                </w:tcPr>
                <w:p w14:paraId="245EE57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0.122</w:t>
                  </w:r>
                </w:p>
              </w:tc>
              <w:tc>
                <w:tcPr>
                  <w:tcW w:w="407" w:type="pct"/>
                  <w:vAlign w:val="center"/>
                </w:tcPr>
                <w:p w14:paraId="67967AD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40.7</w:t>
                  </w:r>
                </w:p>
              </w:tc>
              <w:tc>
                <w:tcPr>
                  <w:tcW w:w="462" w:type="pct"/>
                  <w:vAlign w:val="center"/>
                </w:tcPr>
                <w:p w14:paraId="12F4990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r>
            <w:tr w14:paraId="02D3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vMerge w:val="continue"/>
                  <w:vAlign w:val="center"/>
                </w:tcPr>
                <w:p w14:paraId="5DDFCFD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p>
              </w:tc>
              <w:tc>
                <w:tcPr>
                  <w:tcW w:w="692" w:type="pct"/>
                  <w:vAlign w:val="center"/>
                </w:tcPr>
                <w:p w14:paraId="6E3519C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非甲烷总烃</w:t>
                  </w:r>
                </w:p>
              </w:tc>
              <w:tc>
                <w:tcPr>
                  <w:tcW w:w="550" w:type="pct"/>
                  <w:shd w:val="clear" w:color="auto" w:fill="auto"/>
                  <w:vAlign w:val="center"/>
                </w:tcPr>
                <w:p w14:paraId="062B141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0.41</w:t>
                  </w:r>
                </w:p>
              </w:tc>
              <w:tc>
                <w:tcPr>
                  <w:tcW w:w="576" w:type="pct"/>
                  <w:shd w:val="clear" w:color="auto" w:fill="auto"/>
                  <w:vAlign w:val="center"/>
                </w:tcPr>
                <w:p w14:paraId="3DAE180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0.59</w:t>
                  </w:r>
                </w:p>
              </w:tc>
              <w:tc>
                <w:tcPr>
                  <w:tcW w:w="522" w:type="pct"/>
                  <w:vAlign w:val="center"/>
                </w:tcPr>
                <w:p w14:paraId="5ADBEF4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29.5</w:t>
                  </w:r>
                </w:p>
              </w:tc>
              <w:tc>
                <w:tcPr>
                  <w:tcW w:w="436" w:type="pct"/>
                  <w:vAlign w:val="center"/>
                </w:tcPr>
                <w:p w14:paraId="4277358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31" w:type="pct"/>
                  <w:shd w:val="clear" w:color="auto" w:fill="auto"/>
                  <w:vAlign w:val="center"/>
                </w:tcPr>
                <w:p w14:paraId="724C975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535" w:type="pct"/>
                  <w:shd w:val="clear" w:color="auto" w:fill="auto"/>
                  <w:vAlign w:val="center"/>
                </w:tcPr>
                <w:p w14:paraId="7F56B9A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407" w:type="pct"/>
                  <w:vAlign w:val="center"/>
                </w:tcPr>
                <w:p w14:paraId="3D1CF57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462" w:type="pct"/>
                  <w:vAlign w:val="center"/>
                </w:tcPr>
                <w:p w14:paraId="1B00A55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r>
          </w:tbl>
          <w:p w14:paraId="458A5871">
            <w:pPr>
              <w:pStyle w:val="72"/>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监测期间项目所在区域特征污染因子非甲烷总烃（NMHC）一次值满足《大气污染物综合排放标准详解》中的标准限值；</w:t>
            </w:r>
            <w:r>
              <w:rPr>
                <w:rFonts w:hint="default" w:ascii="Times New Roman" w:hAnsi="Times New Roman" w:cs="Times New Roman"/>
                <w:color w:val="auto"/>
                <w:sz w:val="24"/>
                <w:szCs w:val="24"/>
              </w:rPr>
              <w:t>总悬浮颗粒物（TSP）日均值满足《环境空气质量标准》（GB3095-2012）二级标准及其修改单</w:t>
            </w:r>
            <w:r>
              <w:rPr>
                <w:rFonts w:hint="default" w:ascii="Times New Roman" w:hAnsi="Times New Roman" w:cs="Times New Roman"/>
                <w:color w:val="auto"/>
                <w:sz w:val="24"/>
                <w:szCs w:val="24"/>
                <w:lang w:eastAsia="zh-CN"/>
              </w:rPr>
              <w:t>。</w:t>
            </w:r>
          </w:p>
          <w:p w14:paraId="56B392FF">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地表水环境</w:t>
            </w:r>
          </w:p>
          <w:p w14:paraId="675110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根据《2024年度淮北市生态环境状况公报》：2024年淮北市地表水共监测27个断面，地表水环境质量总体为轻度污染，水质指数为4.8313。水质达到Ⅲ类比例为29.6%（8个），Ⅳ类水质断面占 66.7%（18个），Ⅴ类水质断面占3.7%（1个），无劣Ⅴ类断面，主要污染指标为化学需氧量、氟化物和高锰酸盐指数。</w:t>
            </w:r>
          </w:p>
          <w:p w14:paraId="34EF63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2024年水污染防治考核目标责任书确定的淮北市4个国控地表水考核断面中，扣除氟化物本底值影响后，水质达标率为50%。浍河东坪集断面水质（出境，Ⅲ类）和澥河李大桥闸断面水质（出境，Ⅲ类）达标，萧濉新河符离闸断面水质（出境，Ⅳ类）和沱河后常桥断面水质（出境，Ⅳ类）未达标。</w:t>
            </w:r>
          </w:p>
          <w:p w14:paraId="0B4976B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本项目的纳污水体为龙河，龙河地表水环境质量数据</w:t>
            </w:r>
            <w:r>
              <w:rPr>
                <w:rFonts w:hint="default" w:ascii="Times New Roman" w:hAnsi="Times New Roman" w:eastAsia="宋体" w:cs="Times New Roman"/>
                <w:color w:val="auto"/>
                <w:sz w:val="24"/>
                <w:szCs w:val="24"/>
                <w:lang w:val="en-US" w:eastAsia="zh-CN"/>
              </w:rPr>
              <w:t>引用</w:t>
            </w:r>
            <w:r>
              <w:rPr>
                <w:rFonts w:hint="default" w:ascii="Times New Roman" w:hAnsi="Times New Roman" w:cs="Times New Roman"/>
                <w:b w:val="0"/>
                <w:bCs w:val="0"/>
                <w:color w:val="auto"/>
                <w:sz w:val="24"/>
                <w:szCs w:val="24"/>
                <w:lang w:val="en-US" w:eastAsia="zh-CN"/>
              </w:rPr>
              <w:t>引用《淮北海创循环科技有限责任公司淮北市废旧锂电池资源化绿色循环利用项目环境影响报告书》中的检测数据，监测时间为2023年04月12日～2023年04月14日，满足</w:t>
            </w:r>
            <w:r>
              <w:rPr>
                <w:rFonts w:hint="default" w:ascii="Times New Roman" w:hAnsi="Times New Roman" w:cs="Times New Roman"/>
                <w:color w:val="auto"/>
                <w:sz w:val="24"/>
                <w:szCs w:val="24"/>
                <w:lang w:val="en-US" w:eastAsia="zh-CN"/>
              </w:rPr>
              <w:t>《建设项目环境影响报告表编制技术指南（污染影响类）》：“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cs="Times New Roman"/>
                <w:b w:val="0"/>
                <w:bCs w:val="0"/>
                <w:color w:val="auto"/>
                <w:sz w:val="24"/>
                <w:szCs w:val="24"/>
                <w:lang w:val="en-US" w:eastAsia="zh-CN"/>
              </w:rPr>
              <w:t>。”</w:t>
            </w:r>
          </w:p>
          <w:p w14:paraId="535CF4A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）监测点位</w:t>
            </w:r>
          </w:p>
          <w:p w14:paraId="4B8F05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监测点位见</w:t>
            </w:r>
            <w:r>
              <w:rPr>
                <w:rFonts w:hint="default" w:ascii="Times New Roman" w:hAnsi="Times New Roman" w:cs="Times New Roman"/>
                <w:b w:val="0"/>
                <w:bCs w:val="0"/>
                <w:color w:val="auto"/>
                <w:sz w:val="24"/>
                <w:szCs w:val="24"/>
              </w:rPr>
              <w:t>表</w:t>
            </w:r>
            <w:r>
              <w:rPr>
                <w:rFonts w:hint="default" w:ascii="Times New Roman" w:hAnsi="Times New Roman" w:cs="Times New Roman"/>
                <w:b w:val="0"/>
                <w:bCs w:val="0"/>
                <w:color w:val="auto"/>
                <w:sz w:val="24"/>
                <w:szCs w:val="24"/>
                <w:lang w:val="en-US" w:eastAsia="zh-CN"/>
              </w:rPr>
              <w:t>3-4</w:t>
            </w:r>
            <w:r>
              <w:rPr>
                <w:rFonts w:hint="default" w:ascii="Times New Roman" w:hAnsi="Times New Roman" w:cs="Times New Roman"/>
                <w:b w:val="0"/>
                <w:bCs w:val="0"/>
                <w:color w:val="auto"/>
                <w:sz w:val="24"/>
                <w:szCs w:val="24"/>
              </w:rPr>
              <w:t>所示。</w:t>
            </w:r>
          </w:p>
          <w:p w14:paraId="4382B5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表3-4  地表水环境质量现状监测断面及监测因子</w:t>
            </w:r>
          </w:p>
          <w:tbl>
            <w:tblPr>
              <w:tblStyle w:val="2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126"/>
              <w:gridCol w:w="4062"/>
              <w:gridCol w:w="2111"/>
            </w:tblGrid>
            <w:tr w14:paraId="7301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38" w:type="dxa"/>
                  <w:noWrap w:val="0"/>
                  <w:vAlign w:val="center"/>
                </w:tcPr>
                <w:p w14:paraId="09739E7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河流</w:t>
                  </w:r>
                </w:p>
              </w:tc>
              <w:tc>
                <w:tcPr>
                  <w:tcW w:w="1126" w:type="dxa"/>
                  <w:noWrap w:val="0"/>
                  <w:vAlign w:val="center"/>
                </w:tcPr>
                <w:p w14:paraId="417CBC7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断面编号</w:t>
                  </w:r>
                </w:p>
              </w:tc>
              <w:tc>
                <w:tcPr>
                  <w:tcW w:w="4062" w:type="dxa"/>
                  <w:noWrap w:val="0"/>
                  <w:vAlign w:val="center"/>
                </w:tcPr>
                <w:p w14:paraId="1E5239F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监测断面名称和位置</w:t>
                  </w:r>
                </w:p>
              </w:tc>
              <w:tc>
                <w:tcPr>
                  <w:tcW w:w="2111" w:type="dxa"/>
                  <w:noWrap w:val="0"/>
                  <w:vAlign w:val="center"/>
                </w:tcPr>
                <w:p w14:paraId="6D0340E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监测项目</w:t>
                  </w:r>
                </w:p>
              </w:tc>
            </w:tr>
            <w:tr w14:paraId="1CC5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38" w:type="dxa"/>
                  <w:vMerge w:val="restart"/>
                  <w:noWrap w:val="0"/>
                  <w:vAlign w:val="center"/>
                </w:tcPr>
                <w:p w14:paraId="6D950D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龙河</w:t>
                  </w:r>
                </w:p>
              </w:tc>
              <w:tc>
                <w:tcPr>
                  <w:tcW w:w="1126" w:type="dxa"/>
                  <w:noWrap w:val="0"/>
                  <w:vAlign w:val="center"/>
                </w:tcPr>
                <w:p w14:paraId="5AF09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W1</w:t>
                  </w:r>
                </w:p>
              </w:tc>
              <w:tc>
                <w:tcPr>
                  <w:tcW w:w="4062" w:type="dxa"/>
                  <w:noWrap w:val="0"/>
                  <w:vAlign w:val="center"/>
                </w:tcPr>
                <w:p w14:paraId="7C8934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龙湖污水处理厂入河排污口上游500m</w:t>
                  </w:r>
                </w:p>
              </w:tc>
              <w:tc>
                <w:tcPr>
                  <w:tcW w:w="2111" w:type="dxa"/>
                  <w:vMerge w:val="restart"/>
                  <w:noWrap w:val="0"/>
                  <w:vAlign w:val="center"/>
                </w:tcPr>
                <w:p w14:paraId="3D50EF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pH、COD</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-N、TP</w:t>
                  </w:r>
                  <w:r>
                    <w:rPr>
                      <w:rFonts w:hint="default" w:ascii="Times New Roman" w:hAnsi="Times New Roman" w:eastAsia="宋体" w:cs="Times New Roman"/>
                      <w:color w:val="auto"/>
                      <w:sz w:val="21"/>
                      <w:szCs w:val="21"/>
                      <w:highlight w:val="none"/>
                      <w:lang w:eastAsia="zh-CN"/>
                    </w:rPr>
                    <w:t>、石油类、</w:t>
                  </w:r>
                  <w:r>
                    <w:rPr>
                      <w:rFonts w:hint="default" w:ascii="Times New Roman" w:hAnsi="Times New Roman" w:eastAsia="宋体" w:cs="Times New Roman"/>
                      <w:color w:val="auto"/>
                      <w:sz w:val="21"/>
                      <w:szCs w:val="21"/>
                      <w:highlight w:val="none"/>
                      <w:lang w:val="en-US" w:eastAsia="zh-CN"/>
                    </w:rPr>
                    <w:t>SS</w:t>
                  </w:r>
                </w:p>
              </w:tc>
            </w:tr>
            <w:tr w14:paraId="7060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38" w:type="dxa"/>
                  <w:vMerge w:val="continue"/>
                  <w:noWrap w:val="0"/>
                  <w:vAlign w:val="center"/>
                </w:tcPr>
                <w:p w14:paraId="28C6CE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126" w:type="dxa"/>
                  <w:noWrap w:val="0"/>
                  <w:vAlign w:val="center"/>
                </w:tcPr>
                <w:p w14:paraId="05A195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W2</w:t>
                  </w:r>
                </w:p>
              </w:tc>
              <w:tc>
                <w:tcPr>
                  <w:tcW w:w="4062" w:type="dxa"/>
                  <w:noWrap w:val="0"/>
                  <w:vAlign w:val="center"/>
                </w:tcPr>
                <w:p w14:paraId="552958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龙湖污水处理厂入河排污口下游500m</w:t>
                  </w:r>
                </w:p>
              </w:tc>
              <w:tc>
                <w:tcPr>
                  <w:tcW w:w="2111" w:type="dxa"/>
                  <w:vMerge w:val="continue"/>
                  <w:noWrap w:val="0"/>
                  <w:vAlign w:val="center"/>
                </w:tcPr>
                <w:p w14:paraId="7DD792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C66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8" w:type="dxa"/>
                  <w:vMerge w:val="continue"/>
                  <w:noWrap w:val="0"/>
                  <w:vAlign w:val="center"/>
                </w:tcPr>
                <w:p w14:paraId="1E89B4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126" w:type="dxa"/>
                  <w:noWrap w:val="0"/>
                  <w:vAlign w:val="center"/>
                </w:tcPr>
                <w:p w14:paraId="691BF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W3</w:t>
                  </w:r>
                </w:p>
              </w:tc>
              <w:tc>
                <w:tcPr>
                  <w:tcW w:w="4062" w:type="dxa"/>
                  <w:noWrap w:val="0"/>
                  <w:vAlign w:val="center"/>
                </w:tcPr>
                <w:p w14:paraId="2AF4DE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龙湖污水处理厂</w:t>
                  </w:r>
                  <w:r>
                    <w:rPr>
                      <w:rFonts w:hint="default" w:ascii="Times New Roman" w:hAnsi="Times New Roman" w:cs="Times New Roman"/>
                      <w:color w:val="auto"/>
                      <w:sz w:val="21"/>
                      <w:szCs w:val="21"/>
                    </w:rPr>
                    <w:t>入河排污口下游</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000m</w:t>
                  </w:r>
                </w:p>
              </w:tc>
              <w:tc>
                <w:tcPr>
                  <w:tcW w:w="2111" w:type="dxa"/>
                  <w:vMerge w:val="continue"/>
                  <w:noWrap w:val="0"/>
                  <w:vAlign w:val="center"/>
                </w:tcPr>
                <w:p w14:paraId="7B6BA6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14:paraId="5C6526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）监测结果</w:t>
            </w:r>
          </w:p>
          <w:p w14:paraId="2D5B44E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地表水质量现状检测结果见表</w:t>
            </w:r>
            <w:r>
              <w:rPr>
                <w:rFonts w:hint="default" w:ascii="Times New Roman" w:hAnsi="Times New Roman" w:cs="Times New Roman"/>
                <w:b w:val="0"/>
                <w:bCs w:val="0"/>
                <w:color w:val="auto"/>
                <w:sz w:val="24"/>
                <w:szCs w:val="24"/>
                <w:lang w:val="en-US" w:eastAsia="zh-CN"/>
              </w:rPr>
              <w:t>3-5。</w:t>
            </w:r>
          </w:p>
          <w:p w14:paraId="6BE39ED3">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3-5</w:t>
            </w:r>
            <w:r>
              <w:rPr>
                <w:rFonts w:hint="default" w:ascii="Times New Roman" w:hAnsi="Times New Roman" w:cs="Times New Roman"/>
                <w:b/>
                <w:color w:val="auto"/>
                <w:sz w:val="21"/>
                <w:szCs w:val="21"/>
                <w:highlight w:val="none"/>
              </w:rPr>
              <w:t xml:space="preserve">  地表水环境现状</w:t>
            </w:r>
            <w:r>
              <w:rPr>
                <w:rFonts w:hint="default" w:ascii="Times New Roman" w:hAnsi="Times New Roman" w:cs="Times New Roman"/>
                <w:b/>
                <w:color w:val="auto"/>
                <w:sz w:val="21"/>
                <w:szCs w:val="21"/>
                <w:highlight w:val="none"/>
                <w:lang w:eastAsia="zh-CN"/>
              </w:rPr>
              <w:t>检测</w:t>
            </w:r>
            <w:r>
              <w:rPr>
                <w:rFonts w:hint="default" w:ascii="Times New Roman" w:hAnsi="Times New Roman" w:cs="Times New Roman"/>
                <w:b/>
                <w:color w:val="auto"/>
                <w:sz w:val="21"/>
                <w:szCs w:val="21"/>
                <w:highlight w:val="none"/>
              </w:rPr>
              <w:t>结果一览表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1"/>
              <w:gridCol w:w="878"/>
              <w:gridCol w:w="883"/>
              <w:gridCol w:w="885"/>
              <w:gridCol w:w="885"/>
              <w:gridCol w:w="882"/>
              <w:gridCol w:w="877"/>
              <w:gridCol w:w="887"/>
            </w:tblGrid>
            <w:tr w14:paraId="714B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14:paraId="20C1FB8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监测点位</w:t>
                  </w:r>
                </w:p>
              </w:tc>
              <w:tc>
                <w:tcPr>
                  <w:tcW w:w="620" w:type="pct"/>
                  <w:vAlign w:val="center"/>
                </w:tcPr>
                <w:p w14:paraId="6A428AE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采样日期</w:t>
                  </w:r>
                </w:p>
              </w:tc>
              <w:tc>
                <w:tcPr>
                  <w:tcW w:w="545" w:type="pct"/>
                  <w:vAlign w:val="center"/>
                </w:tcPr>
                <w:p w14:paraId="5E798A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w:t>
                  </w:r>
                </w:p>
              </w:tc>
              <w:tc>
                <w:tcPr>
                  <w:tcW w:w="548" w:type="pct"/>
                  <w:vAlign w:val="center"/>
                </w:tcPr>
                <w:p w14:paraId="21F5A3B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w:t>
                  </w:r>
                </w:p>
              </w:tc>
              <w:tc>
                <w:tcPr>
                  <w:tcW w:w="549" w:type="pct"/>
                  <w:vAlign w:val="center"/>
                </w:tcPr>
                <w:p w14:paraId="1CC8BE2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subscript"/>
                      <w:lang w:val="en-US" w:eastAsia="zh-CN"/>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549" w:type="pct"/>
                  <w:vAlign w:val="center"/>
                </w:tcPr>
                <w:p w14:paraId="4CD4ED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氨氮</w:t>
                  </w:r>
                </w:p>
              </w:tc>
              <w:tc>
                <w:tcPr>
                  <w:tcW w:w="547" w:type="pct"/>
                  <w:vAlign w:val="center"/>
                </w:tcPr>
                <w:p w14:paraId="68EA78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总磷</w:t>
                  </w:r>
                </w:p>
              </w:tc>
              <w:tc>
                <w:tcPr>
                  <w:tcW w:w="544" w:type="pct"/>
                  <w:vAlign w:val="center"/>
                </w:tcPr>
                <w:p w14:paraId="1272112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悬浮物</w:t>
                  </w:r>
                </w:p>
              </w:tc>
              <w:tc>
                <w:tcPr>
                  <w:tcW w:w="550" w:type="pct"/>
                  <w:vAlign w:val="center"/>
                </w:tcPr>
                <w:p w14:paraId="193FD1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石油类</w:t>
                  </w:r>
                </w:p>
              </w:tc>
            </w:tr>
            <w:tr w14:paraId="69D7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restart"/>
                  <w:vAlign w:val="center"/>
                </w:tcPr>
                <w:p w14:paraId="08064A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W1</w:t>
                  </w:r>
                </w:p>
              </w:tc>
              <w:tc>
                <w:tcPr>
                  <w:tcW w:w="620" w:type="pct"/>
                  <w:vAlign w:val="center"/>
                </w:tcPr>
                <w:p w14:paraId="3D240FED">
                  <w:pPr>
                    <w:keepNext w:val="0"/>
                    <w:keepLines w:val="0"/>
                    <w:suppressLineNumbers w:val="0"/>
                    <w:tabs>
                      <w:tab w:val="left" w:pos="279"/>
                    </w:tabs>
                    <w:spacing w:before="0" w:beforeAutospacing="0" w:after="0" w:afterAutospacing="0"/>
                    <w:ind w:left="0" w:right="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2023.04.12</w:t>
                  </w:r>
                </w:p>
              </w:tc>
              <w:tc>
                <w:tcPr>
                  <w:tcW w:w="545" w:type="pct"/>
                  <w:vAlign w:val="center"/>
                </w:tcPr>
                <w:p w14:paraId="21FC228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548" w:type="pct"/>
                  <w:vAlign w:val="center"/>
                </w:tcPr>
                <w:p w14:paraId="71951EE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c>
                <w:tcPr>
                  <w:tcW w:w="549" w:type="pct"/>
                  <w:vAlign w:val="center"/>
                </w:tcPr>
                <w:p w14:paraId="1EEA993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w:t>
                  </w:r>
                </w:p>
              </w:tc>
              <w:tc>
                <w:tcPr>
                  <w:tcW w:w="549" w:type="pct"/>
                  <w:vAlign w:val="center"/>
                </w:tcPr>
                <w:p w14:paraId="0CD389C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0.133</w:t>
                  </w:r>
                </w:p>
              </w:tc>
              <w:tc>
                <w:tcPr>
                  <w:tcW w:w="547" w:type="pct"/>
                  <w:vAlign w:val="center"/>
                </w:tcPr>
                <w:p w14:paraId="422B77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544" w:type="pct"/>
                  <w:vAlign w:val="center"/>
                </w:tcPr>
                <w:p w14:paraId="0A2086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550" w:type="pct"/>
                  <w:vAlign w:val="center"/>
                </w:tcPr>
                <w:p w14:paraId="32E06B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54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1F74A48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45CB8C2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2023.04.13</w:t>
                  </w:r>
                </w:p>
              </w:tc>
              <w:tc>
                <w:tcPr>
                  <w:tcW w:w="545" w:type="pct"/>
                  <w:vAlign w:val="center"/>
                </w:tcPr>
                <w:p w14:paraId="00C8666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7.1</w:t>
                  </w:r>
                </w:p>
              </w:tc>
              <w:tc>
                <w:tcPr>
                  <w:tcW w:w="548" w:type="pct"/>
                  <w:vAlign w:val="center"/>
                </w:tcPr>
                <w:p w14:paraId="155A62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549" w:type="pct"/>
                  <w:vAlign w:val="center"/>
                </w:tcPr>
                <w:p w14:paraId="548367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549" w:type="pct"/>
                  <w:vAlign w:val="center"/>
                </w:tcPr>
                <w:p w14:paraId="145DEBD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0.145</w:t>
                  </w:r>
                </w:p>
              </w:tc>
              <w:tc>
                <w:tcPr>
                  <w:tcW w:w="547" w:type="pct"/>
                  <w:vAlign w:val="center"/>
                </w:tcPr>
                <w:p w14:paraId="369A9FC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544" w:type="pct"/>
                  <w:vAlign w:val="center"/>
                </w:tcPr>
                <w:p w14:paraId="4DED14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550" w:type="pct"/>
                  <w:vAlign w:val="center"/>
                </w:tcPr>
                <w:p w14:paraId="46262B8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5D01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075748F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35AFB35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2023.04.14</w:t>
                  </w:r>
                </w:p>
              </w:tc>
              <w:tc>
                <w:tcPr>
                  <w:tcW w:w="545" w:type="pct"/>
                  <w:vAlign w:val="center"/>
                </w:tcPr>
                <w:p w14:paraId="127BB92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548" w:type="pct"/>
                  <w:vAlign w:val="center"/>
                </w:tcPr>
                <w:p w14:paraId="1802049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549" w:type="pct"/>
                  <w:vAlign w:val="center"/>
                </w:tcPr>
                <w:p w14:paraId="2F8C243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549" w:type="pct"/>
                  <w:vAlign w:val="center"/>
                </w:tcPr>
                <w:p w14:paraId="463C77C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0.138</w:t>
                  </w:r>
                </w:p>
              </w:tc>
              <w:tc>
                <w:tcPr>
                  <w:tcW w:w="547" w:type="pct"/>
                  <w:vAlign w:val="center"/>
                </w:tcPr>
                <w:p w14:paraId="6C59E6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544" w:type="pct"/>
                  <w:vAlign w:val="center"/>
                </w:tcPr>
                <w:p w14:paraId="49B56F4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550" w:type="pct"/>
                  <w:vAlign w:val="center"/>
                </w:tcPr>
                <w:p w14:paraId="7B82F4F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62B1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restart"/>
                  <w:vAlign w:val="center"/>
                </w:tcPr>
                <w:p w14:paraId="0D49DD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w:t>
                  </w:r>
                </w:p>
              </w:tc>
              <w:tc>
                <w:tcPr>
                  <w:tcW w:w="620" w:type="pct"/>
                  <w:vAlign w:val="center"/>
                </w:tcPr>
                <w:p w14:paraId="278AAAAF">
                  <w:pPr>
                    <w:keepNext w:val="0"/>
                    <w:keepLines w:val="0"/>
                    <w:suppressLineNumbers w:val="0"/>
                    <w:tabs>
                      <w:tab w:val="left" w:pos="279"/>
                    </w:tabs>
                    <w:spacing w:before="0" w:beforeAutospacing="0" w:after="0" w:afterAutospacing="0"/>
                    <w:ind w:left="0" w:right="0"/>
                    <w:jc w:val="left"/>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2023.04.12</w:t>
                  </w:r>
                </w:p>
              </w:tc>
              <w:tc>
                <w:tcPr>
                  <w:tcW w:w="545" w:type="pct"/>
                  <w:vAlign w:val="center"/>
                </w:tcPr>
                <w:p w14:paraId="78AC6F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7.5</w:t>
                  </w:r>
                </w:p>
              </w:tc>
              <w:tc>
                <w:tcPr>
                  <w:tcW w:w="548" w:type="pct"/>
                  <w:vAlign w:val="center"/>
                </w:tcPr>
                <w:p w14:paraId="26B059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w:t>
                  </w:r>
                </w:p>
              </w:tc>
              <w:tc>
                <w:tcPr>
                  <w:tcW w:w="549" w:type="pct"/>
                  <w:vAlign w:val="center"/>
                </w:tcPr>
                <w:p w14:paraId="035F0C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w:t>
                  </w:r>
                </w:p>
              </w:tc>
              <w:tc>
                <w:tcPr>
                  <w:tcW w:w="549" w:type="pct"/>
                  <w:vAlign w:val="center"/>
                </w:tcPr>
                <w:p w14:paraId="2C9FB1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0.165</w:t>
                  </w:r>
                </w:p>
              </w:tc>
              <w:tc>
                <w:tcPr>
                  <w:tcW w:w="547" w:type="pct"/>
                  <w:vAlign w:val="center"/>
                </w:tcPr>
                <w:p w14:paraId="203422B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w:t>
                  </w:r>
                </w:p>
              </w:tc>
              <w:tc>
                <w:tcPr>
                  <w:tcW w:w="544" w:type="pct"/>
                  <w:vAlign w:val="center"/>
                </w:tcPr>
                <w:p w14:paraId="3D6F7F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550" w:type="pct"/>
                  <w:vAlign w:val="center"/>
                </w:tcPr>
                <w:p w14:paraId="3AABBD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6E67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4BFF4BF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016C81D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2023.04.13</w:t>
                  </w:r>
                </w:p>
              </w:tc>
              <w:tc>
                <w:tcPr>
                  <w:tcW w:w="545" w:type="pct"/>
                  <w:vAlign w:val="center"/>
                </w:tcPr>
                <w:p w14:paraId="0A321EF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7.4</w:t>
                  </w:r>
                </w:p>
              </w:tc>
              <w:tc>
                <w:tcPr>
                  <w:tcW w:w="548" w:type="pct"/>
                  <w:vAlign w:val="center"/>
                </w:tcPr>
                <w:p w14:paraId="529D70A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w:t>
                  </w:r>
                </w:p>
              </w:tc>
              <w:tc>
                <w:tcPr>
                  <w:tcW w:w="549" w:type="pct"/>
                  <w:vAlign w:val="center"/>
                </w:tcPr>
                <w:p w14:paraId="030A5FF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w:t>
                  </w:r>
                </w:p>
              </w:tc>
              <w:tc>
                <w:tcPr>
                  <w:tcW w:w="549" w:type="pct"/>
                  <w:vAlign w:val="center"/>
                </w:tcPr>
                <w:p w14:paraId="2D7A2AD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0.181</w:t>
                  </w:r>
                </w:p>
              </w:tc>
              <w:tc>
                <w:tcPr>
                  <w:tcW w:w="547" w:type="pct"/>
                  <w:vAlign w:val="center"/>
                </w:tcPr>
                <w:p w14:paraId="4D76E0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w:t>
                  </w:r>
                </w:p>
              </w:tc>
              <w:tc>
                <w:tcPr>
                  <w:tcW w:w="544" w:type="pct"/>
                  <w:vAlign w:val="center"/>
                </w:tcPr>
                <w:p w14:paraId="31FD3F4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550" w:type="pct"/>
                  <w:vAlign w:val="center"/>
                </w:tcPr>
                <w:p w14:paraId="430BE9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0675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05C8478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1AFFA20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2023.04.14</w:t>
                  </w:r>
                </w:p>
              </w:tc>
              <w:tc>
                <w:tcPr>
                  <w:tcW w:w="545" w:type="pct"/>
                  <w:vAlign w:val="center"/>
                </w:tcPr>
                <w:p w14:paraId="6692DA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7.6</w:t>
                  </w:r>
                </w:p>
              </w:tc>
              <w:tc>
                <w:tcPr>
                  <w:tcW w:w="548" w:type="pct"/>
                  <w:vAlign w:val="center"/>
                </w:tcPr>
                <w:p w14:paraId="1881462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w:t>
                  </w:r>
                </w:p>
              </w:tc>
              <w:tc>
                <w:tcPr>
                  <w:tcW w:w="549" w:type="pct"/>
                  <w:vAlign w:val="center"/>
                </w:tcPr>
                <w:p w14:paraId="44144B8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w:t>
                  </w:r>
                </w:p>
              </w:tc>
              <w:tc>
                <w:tcPr>
                  <w:tcW w:w="549" w:type="pct"/>
                  <w:vAlign w:val="center"/>
                </w:tcPr>
                <w:p w14:paraId="39E7D33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0.203</w:t>
                  </w:r>
                </w:p>
              </w:tc>
              <w:tc>
                <w:tcPr>
                  <w:tcW w:w="547" w:type="pct"/>
                  <w:vAlign w:val="center"/>
                </w:tcPr>
                <w:p w14:paraId="64FCF9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w:t>
                  </w:r>
                </w:p>
              </w:tc>
              <w:tc>
                <w:tcPr>
                  <w:tcW w:w="544" w:type="pct"/>
                  <w:vAlign w:val="center"/>
                </w:tcPr>
                <w:p w14:paraId="4B726D8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550" w:type="pct"/>
                  <w:vAlign w:val="center"/>
                </w:tcPr>
                <w:p w14:paraId="1F619BB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641C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restart"/>
                  <w:vAlign w:val="center"/>
                </w:tcPr>
                <w:p w14:paraId="7C57805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W3</w:t>
                  </w:r>
                </w:p>
              </w:tc>
              <w:tc>
                <w:tcPr>
                  <w:tcW w:w="620" w:type="pct"/>
                  <w:vAlign w:val="center"/>
                </w:tcPr>
                <w:p w14:paraId="6BB4C403">
                  <w:pPr>
                    <w:keepNext w:val="0"/>
                    <w:keepLines w:val="0"/>
                    <w:suppressLineNumbers w:val="0"/>
                    <w:tabs>
                      <w:tab w:val="left" w:pos="279"/>
                    </w:tabs>
                    <w:spacing w:before="0" w:beforeAutospacing="0" w:after="0" w:afterAutospacing="0"/>
                    <w:ind w:left="0" w:right="0"/>
                    <w:jc w:val="left"/>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2023.04.12</w:t>
                  </w:r>
                </w:p>
              </w:tc>
              <w:tc>
                <w:tcPr>
                  <w:tcW w:w="545" w:type="pct"/>
                  <w:vAlign w:val="center"/>
                </w:tcPr>
                <w:p w14:paraId="54805E9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548" w:type="pct"/>
                  <w:vAlign w:val="center"/>
                </w:tcPr>
                <w:p w14:paraId="2700C5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549" w:type="pct"/>
                  <w:vAlign w:val="center"/>
                </w:tcPr>
                <w:p w14:paraId="79C1E8F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w:t>
                  </w:r>
                </w:p>
              </w:tc>
              <w:tc>
                <w:tcPr>
                  <w:tcW w:w="549" w:type="pct"/>
                  <w:vAlign w:val="center"/>
                </w:tcPr>
                <w:p w14:paraId="5642EA5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0.141</w:t>
                  </w:r>
                </w:p>
              </w:tc>
              <w:tc>
                <w:tcPr>
                  <w:tcW w:w="547" w:type="pct"/>
                  <w:vAlign w:val="center"/>
                </w:tcPr>
                <w:p w14:paraId="6991F7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544" w:type="pct"/>
                  <w:vAlign w:val="center"/>
                </w:tcPr>
                <w:p w14:paraId="4492216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550" w:type="pct"/>
                  <w:vAlign w:val="center"/>
                </w:tcPr>
                <w:p w14:paraId="692D33D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1656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3B27B91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3C5E61A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2023.04.13</w:t>
                  </w:r>
                </w:p>
              </w:tc>
              <w:tc>
                <w:tcPr>
                  <w:tcW w:w="545" w:type="pct"/>
                  <w:vAlign w:val="center"/>
                </w:tcPr>
                <w:p w14:paraId="63A352F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548" w:type="pct"/>
                  <w:vAlign w:val="center"/>
                </w:tcPr>
                <w:p w14:paraId="6B8AEE6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549" w:type="pct"/>
                  <w:vAlign w:val="center"/>
                </w:tcPr>
                <w:p w14:paraId="71FD1D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w:t>
                  </w:r>
                </w:p>
              </w:tc>
              <w:tc>
                <w:tcPr>
                  <w:tcW w:w="549" w:type="pct"/>
                  <w:vAlign w:val="center"/>
                </w:tcPr>
                <w:p w14:paraId="0DFF056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0.148</w:t>
                  </w:r>
                </w:p>
              </w:tc>
              <w:tc>
                <w:tcPr>
                  <w:tcW w:w="547" w:type="pct"/>
                  <w:vAlign w:val="center"/>
                </w:tcPr>
                <w:p w14:paraId="264D27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544" w:type="pct"/>
                  <w:vAlign w:val="center"/>
                </w:tcPr>
                <w:p w14:paraId="2CA9BAB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550" w:type="pct"/>
                  <w:vAlign w:val="center"/>
                </w:tcPr>
                <w:p w14:paraId="20B8C47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4186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14:paraId="25CB2CF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0" w:type="pct"/>
                  <w:vAlign w:val="center"/>
                </w:tcPr>
                <w:p w14:paraId="4A9D3A7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2023.04.14</w:t>
                  </w:r>
                </w:p>
              </w:tc>
              <w:tc>
                <w:tcPr>
                  <w:tcW w:w="545" w:type="pct"/>
                  <w:vAlign w:val="center"/>
                </w:tcPr>
                <w:p w14:paraId="267CDBA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548" w:type="pct"/>
                  <w:vAlign w:val="center"/>
                </w:tcPr>
                <w:p w14:paraId="7445373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549" w:type="pct"/>
                  <w:vAlign w:val="center"/>
                </w:tcPr>
                <w:p w14:paraId="06D1CD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w:t>
                  </w:r>
                </w:p>
              </w:tc>
              <w:tc>
                <w:tcPr>
                  <w:tcW w:w="549" w:type="pct"/>
                  <w:vAlign w:val="center"/>
                </w:tcPr>
                <w:p w14:paraId="3DD767B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0.165</w:t>
                  </w:r>
                </w:p>
              </w:tc>
              <w:tc>
                <w:tcPr>
                  <w:tcW w:w="547" w:type="pct"/>
                  <w:vAlign w:val="center"/>
                </w:tcPr>
                <w:p w14:paraId="05ACFE1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544" w:type="pct"/>
                  <w:vAlign w:val="center"/>
                </w:tcPr>
                <w:p w14:paraId="5375E8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550" w:type="pct"/>
                  <w:vAlign w:val="center"/>
                </w:tcPr>
                <w:p w14:paraId="2C5CFFC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bl>
          <w:p w14:paraId="59F5A1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）评价结果</w:t>
            </w:r>
          </w:p>
          <w:p w14:paraId="491E68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地表水质量现状评价结果见表</w:t>
            </w:r>
            <w:r>
              <w:rPr>
                <w:rFonts w:hint="default" w:ascii="Times New Roman" w:hAnsi="Times New Roman" w:cs="Times New Roman"/>
                <w:b w:val="0"/>
                <w:bCs w:val="0"/>
                <w:color w:val="auto"/>
                <w:sz w:val="24"/>
                <w:szCs w:val="24"/>
                <w:lang w:val="en-US" w:eastAsia="zh-CN"/>
              </w:rPr>
              <w:t>3-6。</w:t>
            </w:r>
          </w:p>
          <w:p w14:paraId="097329D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
                <w:color w:val="auto"/>
                <w:sz w:val="21"/>
                <w:szCs w:val="21"/>
                <w:highlight w:val="none"/>
                <w:lang w:eastAsia="zh-CN"/>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3-6  地表水</w:t>
            </w:r>
            <w:r>
              <w:rPr>
                <w:rFonts w:hint="default" w:ascii="Times New Roman" w:hAnsi="Times New Roman" w:cs="Times New Roman"/>
                <w:b/>
                <w:color w:val="auto"/>
                <w:sz w:val="21"/>
                <w:szCs w:val="21"/>
                <w:highlight w:val="none"/>
              </w:rPr>
              <w:t>环境</w:t>
            </w:r>
            <w:r>
              <w:rPr>
                <w:rFonts w:hint="default" w:ascii="Times New Roman" w:hAnsi="Times New Roman" w:cs="Times New Roman"/>
                <w:b/>
                <w:color w:val="auto"/>
                <w:sz w:val="21"/>
                <w:szCs w:val="21"/>
                <w:highlight w:val="none"/>
                <w:lang w:eastAsia="zh-CN"/>
              </w:rPr>
              <w:t>质量评价指数一览表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026"/>
              <w:gridCol w:w="1026"/>
              <w:gridCol w:w="1026"/>
              <w:gridCol w:w="1028"/>
              <w:gridCol w:w="1028"/>
              <w:gridCol w:w="1028"/>
              <w:gridCol w:w="1028"/>
            </w:tblGrid>
            <w:tr w14:paraId="4966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gridSpan w:val="2"/>
                  <w:vAlign w:val="center"/>
                </w:tcPr>
                <w:p w14:paraId="2CF924B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编号</w:t>
                  </w:r>
                </w:p>
              </w:tc>
              <w:tc>
                <w:tcPr>
                  <w:tcW w:w="624" w:type="pct"/>
                  <w:vAlign w:val="center"/>
                </w:tcPr>
                <w:p w14:paraId="1E30988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pH</w:t>
                  </w:r>
                </w:p>
              </w:tc>
              <w:tc>
                <w:tcPr>
                  <w:tcW w:w="624" w:type="pct"/>
                  <w:vAlign w:val="center"/>
                </w:tcPr>
                <w:p w14:paraId="6E9A550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COD</w:t>
                  </w:r>
                </w:p>
              </w:tc>
              <w:tc>
                <w:tcPr>
                  <w:tcW w:w="625" w:type="pct"/>
                  <w:vAlign w:val="center"/>
                </w:tcPr>
                <w:p w14:paraId="2E6C2E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625" w:type="pct"/>
                  <w:vAlign w:val="center"/>
                </w:tcPr>
                <w:p w14:paraId="2CCB709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氨氮</w:t>
                  </w:r>
                </w:p>
              </w:tc>
              <w:tc>
                <w:tcPr>
                  <w:tcW w:w="625" w:type="pct"/>
                  <w:vAlign w:val="center"/>
                </w:tcPr>
                <w:p w14:paraId="7E62A5D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总磷</w:t>
                  </w:r>
                </w:p>
              </w:tc>
              <w:tc>
                <w:tcPr>
                  <w:tcW w:w="625" w:type="pct"/>
                  <w:vAlign w:val="center"/>
                </w:tcPr>
                <w:p w14:paraId="43EAC24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石油类</w:t>
                  </w:r>
                </w:p>
              </w:tc>
            </w:tr>
            <w:tr w14:paraId="5980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restart"/>
                  <w:vAlign w:val="center"/>
                </w:tcPr>
                <w:p w14:paraId="2D059EC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W1</w:t>
                  </w:r>
                </w:p>
              </w:tc>
              <w:tc>
                <w:tcPr>
                  <w:tcW w:w="624" w:type="pct"/>
                  <w:vAlign w:val="center"/>
                </w:tcPr>
                <w:p w14:paraId="20D8CFB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最小值</w:t>
                  </w:r>
                </w:p>
              </w:tc>
              <w:tc>
                <w:tcPr>
                  <w:tcW w:w="624" w:type="pct"/>
                  <w:vAlign w:val="center"/>
                </w:tcPr>
                <w:p w14:paraId="3510B51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7.1</w:t>
                  </w:r>
                </w:p>
              </w:tc>
              <w:tc>
                <w:tcPr>
                  <w:tcW w:w="624" w:type="pct"/>
                  <w:vAlign w:val="center"/>
                </w:tcPr>
                <w:p w14:paraId="30CB719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625" w:type="pct"/>
                  <w:vAlign w:val="center"/>
                </w:tcPr>
                <w:p w14:paraId="508DCF5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625" w:type="pct"/>
                  <w:vAlign w:val="center"/>
                </w:tcPr>
                <w:p w14:paraId="4593567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0.133</w:t>
                  </w:r>
                </w:p>
              </w:tc>
              <w:tc>
                <w:tcPr>
                  <w:tcW w:w="625" w:type="pct"/>
                  <w:vAlign w:val="center"/>
                </w:tcPr>
                <w:p w14:paraId="034F78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625" w:type="pct"/>
                  <w:vAlign w:val="center"/>
                </w:tcPr>
                <w:p w14:paraId="1E836A6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1B55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2A5721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21AAB79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最大值</w:t>
                  </w:r>
                </w:p>
              </w:tc>
              <w:tc>
                <w:tcPr>
                  <w:tcW w:w="624" w:type="pct"/>
                  <w:vAlign w:val="center"/>
                </w:tcPr>
                <w:p w14:paraId="3774504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624" w:type="pct"/>
                  <w:vAlign w:val="center"/>
                </w:tcPr>
                <w:p w14:paraId="566B333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c>
                <w:tcPr>
                  <w:tcW w:w="625" w:type="pct"/>
                  <w:vAlign w:val="center"/>
                </w:tcPr>
                <w:p w14:paraId="7F3ABB4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w:t>
                  </w:r>
                </w:p>
              </w:tc>
              <w:tc>
                <w:tcPr>
                  <w:tcW w:w="625" w:type="pct"/>
                  <w:vAlign w:val="center"/>
                </w:tcPr>
                <w:p w14:paraId="76CBFC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0.145</w:t>
                  </w:r>
                </w:p>
              </w:tc>
              <w:tc>
                <w:tcPr>
                  <w:tcW w:w="625" w:type="pct"/>
                  <w:vAlign w:val="center"/>
                </w:tcPr>
                <w:p w14:paraId="4D946E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625" w:type="pct"/>
                  <w:vAlign w:val="center"/>
                </w:tcPr>
                <w:p w14:paraId="2C5054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2991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28F6D15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57FDE53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最大污染指数</w:t>
                  </w:r>
                </w:p>
              </w:tc>
              <w:tc>
                <w:tcPr>
                  <w:tcW w:w="624" w:type="pct"/>
                  <w:vAlign w:val="center"/>
                </w:tcPr>
                <w:p w14:paraId="460B498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0.15</w:t>
                  </w:r>
                </w:p>
              </w:tc>
              <w:tc>
                <w:tcPr>
                  <w:tcW w:w="624" w:type="pct"/>
                  <w:vAlign w:val="center"/>
                </w:tcPr>
                <w:p w14:paraId="7C299F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625" w:type="pct"/>
                  <w:vAlign w:val="center"/>
                </w:tcPr>
                <w:p w14:paraId="661C56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0.333</w:t>
                  </w:r>
                </w:p>
              </w:tc>
              <w:tc>
                <w:tcPr>
                  <w:tcW w:w="625" w:type="pct"/>
                  <w:vAlign w:val="center"/>
                </w:tcPr>
                <w:p w14:paraId="7833C4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0.097</w:t>
                  </w:r>
                </w:p>
              </w:tc>
              <w:tc>
                <w:tcPr>
                  <w:tcW w:w="625" w:type="pct"/>
                  <w:vAlign w:val="center"/>
                </w:tcPr>
                <w:p w14:paraId="21C81F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0.167</w:t>
                  </w:r>
                </w:p>
              </w:tc>
              <w:tc>
                <w:tcPr>
                  <w:tcW w:w="625" w:type="pct"/>
                  <w:vAlign w:val="center"/>
                </w:tcPr>
                <w:p w14:paraId="7750628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w:t>
                  </w:r>
                </w:p>
              </w:tc>
            </w:tr>
            <w:tr w14:paraId="1DED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0603C10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136F7C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达标情况</w:t>
                  </w:r>
                </w:p>
              </w:tc>
              <w:tc>
                <w:tcPr>
                  <w:tcW w:w="624" w:type="pct"/>
                  <w:vAlign w:val="center"/>
                </w:tcPr>
                <w:p w14:paraId="48607D1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4" w:type="pct"/>
                  <w:vAlign w:val="center"/>
                </w:tcPr>
                <w:p w14:paraId="1F10789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76BC202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6B19BEC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0F7EBFF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25FF285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r>
            <w:tr w14:paraId="72EC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restart"/>
                  <w:vAlign w:val="center"/>
                </w:tcPr>
                <w:p w14:paraId="13315FB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w:t>
                  </w:r>
                </w:p>
              </w:tc>
              <w:tc>
                <w:tcPr>
                  <w:tcW w:w="624" w:type="pct"/>
                  <w:vAlign w:val="center"/>
                </w:tcPr>
                <w:p w14:paraId="71D64D8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最小值</w:t>
                  </w:r>
                </w:p>
              </w:tc>
              <w:tc>
                <w:tcPr>
                  <w:tcW w:w="624" w:type="pct"/>
                  <w:vAlign w:val="center"/>
                </w:tcPr>
                <w:p w14:paraId="2BB277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7.4</w:t>
                  </w:r>
                </w:p>
              </w:tc>
              <w:tc>
                <w:tcPr>
                  <w:tcW w:w="624" w:type="pct"/>
                  <w:vAlign w:val="center"/>
                </w:tcPr>
                <w:p w14:paraId="0A0B631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w:t>
                  </w:r>
                </w:p>
              </w:tc>
              <w:tc>
                <w:tcPr>
                  <w:tcW w:w="625" w:type="pct"/>
                  <w:vAlign w:val="center"/>
                </w:tcPr>
                <w:p w14:paraId="32E886B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w:t>
                  </w:r>
                </w:p>
              </w:tc>
              <w:tc>
                <w:tcPr>
                  <w:tcW w:w="625" w:type="pct"/>
                  <w:vAlign w:val="center"/>
                </w:tcPr>
                <w:p w14:paraId="4253075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0.165</w:t>
                  </w:r>
                </w:p>
              </w:tc>
              <w:tc>
                <w:tcPr>
                  <w:tcW w:w="625" w:type="pct"/>
                  <w:vAlign w:val="center"/>
                </w:tcPr>
                <w:p w14:paraId="2512D9F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w:t>
                  </w:r>
                </w:p>
              </w:tc>
              <w:tc>
                <w:tcPr>
                  <w:tcW w:w="625" w:type="pct"/>
                  <w:vAlign w:val="center"/>
                </w:tcPr>
                <w:p w14:paraId="410A47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71BA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297B2F4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3580E55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最大值</w:t>
                  </w:r>
                </w:p>
              </w:tc>
              <w:tc>
                <w:tcPr>
                  <w:tcW w:w="624" w:type="pct"/>
                  <w:vAlign w:val="center"/>
                </w:tcPr>
                <w:p w14:paraId="35E870B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7.6</w:t>
                  </w:r>
                </w:p>
              </w:tc>
              <w:tc>
                <w:tcPr>
                  <w:tcW w:w="624" w:type="pct"/>
                  <w:vAlign w:val="center"/>
                </w:tcPr>
                <w:p w14:paraId="746C544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w:t>
                  </w:r>
                </w:p>
              </w:tc>
              <w:tc>
                <w:tcPr>
                  <w:tcW w:w="625" w:type="pct"/>
                  <w:vAlign w:val="center"/>
                </w:tcPr>
                <w:p w14:paraId="048A63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w:t>
                  </w:r>
                </w:p>
              </w:tc>
              <w:tc>
                <w:tcPr>
                  <w:tcW w:w="625" w:type="pct"/>
                  <w:vAlign w:val="center"/>
                </w:tcPr>
                <w:p w14:paraId="0BF0908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0.203</w:t>
                  </w:r>
                </w:p>
              </w:tc>
              <w:tc>
                <w:tcPr>
                  <w:tcW w:w="625" w:type="pct"/>
                  <w:vAlign w:val="center"/>
                </w:tcPr>
                <w:p w14:paraId="51A473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w:t>
                  </w:r>
                </w:p>
              </w:tc>
              <w:tc>
                <w:tcPr>
                  <w:tcW w:w="625" w:type="pct"/>
                  <w:vAlign w:val="center"/>
                </w:tcPr>
                <w:p w14:paraId="6B14200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0481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0B6CD51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0E6A2B2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最大污染指数</w:t>
                  </w:r>
                </w:p>
              </w:tc>
              <w:tc>
                <w:tcPr>
                  <w:tcW w:w="624" w:type="pct"/>
                  <w:vAlign w:val="center"/>
                </w:tcPr>
                <w:p w14:paraId="3741C59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w:t>
                  </w:r>
                </w:p>
              </w:tc>
              <w:tc>
                <w:tcPr>
                  <w:tcW w:w="624" w:type="pct"/>
                  <w:vAlign w:val="center"/>
                </w:tcPr>
                <w:p w14:paraId="105C83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0.833</w:t>
                  </w:r>
                </w:p>
              </w:tc>
              <w:tc>
                <w:tcPr>
                  <w:tcW w:w="625" w:type="pct"/>
                  <w:vAlign w:val="center"/>
                </w:tcPr>
                <w:p w14:paraId="05699E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0.467</w:t>
                  </w:r>
                </w:p>
              </w:tc>
              <w:tc>
                <w:tcPr>
                  <w:tcW w:w="625" w:type="pct"/>
                  <w:vAlign w:val="center"/>
                </w:tcPr>
                <w:p w14:paraId="23A5013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0.135</w:t>
                  </w:r>
                </w:p>
              </w:tc>
              <w:tc>
                <w:tcPr>
                  <w:tcW w:w="625" w:type="pct"/>
                  <w:vAlign w:val="center"/>
                </w:tcPr>
                <w:p w14:paraId="59851BA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625" w:type="pct"/>
                  <w:vAlign w:val="center"/>
                </w:tcPr>
                <w:p w14:paraId="5B97AE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w:t>
                  </w:r>
                </w:p>
              </w:tc>
            </w:tr>
            <w:tr w14:paraId="215D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1291D5E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2FD0B01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达标情况</w:t>
                  </w:r>
                </w:p>
              </w:tc>
              <w:tc>
                <w:tcPr>
                  <w:tcW w:w="624" w:type="pct"/>
                  <w:vAlign w:val="center"/>
                </w:tcPr>
                <w:p w14:paraId="0EB7B7A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4" w:type="pct"/>
                  <w:vAlign w:val="center"/>
                </w:tcPr>
                <w:p w14:paraId="30CFDA6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2086D9D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4396532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0523635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557DC1A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r>
            <w:tr w14:paraId="2AFB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restart"/>
                  <w:vAlign w:val="center"/>
                </w:tcPr>
                <w:p w14:paraId="1966C84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W3</w:t>
                  </w:r>
                </w:p>
              </w:tc>
              <w:tc>
                <w:tcPr>
                  <w:tcW w:w="624" w:type="pct"/>
                  <w:vAlign w:val="center"/>
                </w:tcPr>
                <w:p w14:paraId="23715A2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最小值</w:t>
                  </w:r>
                </w:p>
              </w:tc>
              <w:tc>
                <w:tcPr>
                  <w:tcW w:w="624" w:type="pct"/>
                  <w:vAlign w:val="center"/>
                </w:tcPr>
                <w:p w14:paraId="039A13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624" w:type="pct"/>
                  <w:vAlign w:val="center"/>
                </w:tcPr>
                <w:p w14:paraId="0F1F79F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625" w:type="pct"/>
                  <w:vAlign w:val="center"/>
                </w:tcPr>
                <w:p w14:paraId="588D21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w:t>
                  </w:r>
                </w:p>
              </w:tc>
              <w:tc>
                <w:tcPr>
                  <w:tcW w:w="625" w:type="pct"/>
                  <w:vAlign w:val="center"/>
                </w:tcPr>
                <w:p w14:paraId="090F36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0.141</w:t>
                  </w:r>
                </w:p>
              </w:tc>
              <w:tc>
                <w:tcPr>
                  <w:tcW w:w="625" w:type="pct"/>
                  <w:vAlign w:val="center"/>
                </w:tcPr>
                <w:p w14:paraId="4CAB932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625" w:type="pct"/>
                  <w:vAlign w:val="center"/>
                </w:tcPr>
                <w:p w14:paraId="12B558E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0ADF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11C410E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39C6D1D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最大值</w:t>
                  </w:r>
                </w:p>
              </w:tc>
              <w:tc>
                <w:tcPr>
                  <w:tcW w:w="624" w:type="pct"/>
                  <w:vAlign w:val="center"/>
                </w:tcPr>
                <w:p w14:paraId="0D109D6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624" w:type="pct"/>
                  <w:vAlign w:val="center"/>
                </w:tcPr>
                <w:p w14:paraId="4AF37F1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625" w:type="pct"/>
                  <w:vAlign w:val="center"/>
                </w:tcPr>
                <w:p w14:paraId="13DF25F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w:t>
                  </w:r>
                </w:p>
              </w:tc>
              <w:tc>
                <w:tcPr>
                  <w:tcW w:w="625" w:type="pct"/>
                  <w:vAlign w:val="center"/>
                </w:tcPr>
                <w:p w14:paraId="4E1FA18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0.165</w:t>
                  </w:r>
                </w:p>
              </w:tc>
              <w:tc>
                <w:tcPr>
                  <w:tcW w:w="625" w:type="pct"/>
                  <w:vAlign w:val="center"/>
                </w:tcPr>
                <w:p w14:paraId="0E1F51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625" w:type="pct"/>
                  <w:vAlign w:val="center"/>
                </w:tcPr>
                <w:p w14:paraId="2546C26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0.01L</w:t>
                  </w:r>
                </w:p>
              </w:tc>
            </w:tr>
            <w:tr w14:paraId="0190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681E11D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10290F5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最大污染指数</w:t>
                  </w:r>
                </w:p>
              </w:tc>
              <w:tc>
                <w:tcPr>
                  <w:tcW w:w="624" w:type="pct"/>
                  <w:vAlign w:val="center"/>
                </w:tcPr>
                <w:p w14:paraId="685E15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0.15</w:t>
                  </w:r>
                </w:p>
              </w:tc>
              <w:tc>
                <w:tcPr>
                  <w:tcW w:w="624" w:type="pct"/>
                  <w:vAlign w:val="center"/>
                </w:tcPr>
                <w:p w14:paraId="254747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0.633</w:t>
                  </w:r>
                </w:p>
              </w:tc>
              <w:tc>
                <w:tcPr>
                  <w:tcW w:w="625" w:type="pct"/>
                  <w:vAlign w:val="center"/>
                </w:tcPr>
                <w:p w14:paraId="0566DB9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0.383</w:t>
                  </w:r>
                </w:p>
              </w:tc>
              <w:tc>
                <w:tcPr>
                  <w:tcW w:w="625" w:type="pct"/>
                  <w:vAlign w:val="center"/>
                </w:tcPr>
                <w:p w14:paraId="47ED4B1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0.110</w:t>
                  </w:r>
                </w:p>
              </w:tc>
              <w:tc>
                <w:tcPr>
                  <w:tcW w:w="625" w:type="pct"/>
                  <w:vAlign w:val="center"/>
                </w:tcPr>
                <w:p w14:paraId="6F1847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0.133</w:t>
                  </w:r>
                </w:p>
              </w:tc>
              <w:tc>
                <w:tcPr>
                  <w:tcW w:w="625" w:type="pct"/>
                  <w:vAlign w:val="center"/>
                </w:tcPr>
                <w:p w14:paraId="0A20AA2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0.01</w:t>
                  </w:r>
                </w:p>
              </w:tc>
            </w:tr>
            <w:tr w14:paraId="2CD5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Merge w:val="continue"/>
                  <w:vAlign w:val="center"/>
                </w:tcPr>
                <w:p w14:paraId="05012F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p>
              </w:tc>
              <w:tc>
                <w:tcPr>
                  <w:tcW w:w="624" w:type="pct"/>
                  <w:vAlign w:val="center"/>
                </w:tcPr>
                <w:p w14:paraId="76987B1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达标情况</w:t>
                  </w:r>
                </w:p>
              </w:tc>
              <w:tc>
                <w:tcPr>
                  <w:tcW w:w="624" w:type="pct"/>
                  <w:vAlign w:val="center"/>
                </w:tcPr>
                <w:p w14:paraId="1A639C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4" w:type="pct"/>
                  <w:vAlign w:val="center"/>
                </w:tcPr>
                <w:p w14:paraId="1EF335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0C9C4B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6E75E2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3339847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c>
                <w:tcPr>
                  <w:tcW w:w="625" w:type="pct"/>
                  <w:vAlign w:val="center"/>
                </w:tcPr>
                <w:p w14:paraId="2B2F8D0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w:t>
                  </w:r>
                </w:p>
              </w:tc>
            </w:tr>
          </w:tbl>
          <w:p w14:paraId="48895BB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default" w:ascii="Times New Roman" w:hAnsi="Times New Roman" w:cs="Times New Roman"/>
                <w:color w:val="auto"/>
                <w:sz w:val="24"/>
                <w:szCs w:val="24"/>
                <w:highlight w:val="none"/>
              </w:rPr>
              <w:t>现状</w:t>
            </w:r>
            <w:r>
              <w:rPr>
                <w:rFonts w:hint="default" w:ascii="Times New Roman" w:hAnsi="Times New Roman" w:cs="Times New Roman"/>
                <w:color w:val="auto"/>
                <w:sz w:val="24"/>
                <w:szCs w:val="24"/>
                <w:highlight w:val="none"/>
                <w:lang w:eastAsia="zh-CN"/>
              </w:rPr>
              <w:t>检测</w:t>
            </w:r>
            <w:r>
              <w:rPr>
                <w:rFonts w:hint="default" w:ascii="Times New Roman" w:hAnsi="Times New Roman" w:cs="Times New Roman"/>
                <w:color w:val="auto"/>
                <w:sz w:val="24"/>
                <w:szCs w:val="24"/>
                <w:highlight w:val="none"/>
              </w:rPr>
              <w:t>结果表明：龙河各断面各因子单项标准指数均小于1，均可满足《地表水环境质量标准》（GB3838-2002）</w:t>
            </w:r>
            <w:r>
              <w:rPr>
                <w:rFonts w:hint="default" w:ascii="Times New Roman" w:hAnsi="Times New Roman" w:eastAsia="宋体" w:cs="Times New Roman"/>
                <w:color w:val="auto"/>
                <w:sz w:val="24"/>
                <w:szCs w:val="24"/>
                <w:highlight w:val="none"/>
              </w:rPr>
              <w:t>中Ⅳ类水质</w:t>
            </w:r>
            <w:r>
              <w:rPr>
                <w:rFonts w:hint="default" w:ascii="Times New Roman" w:hAnsi="Times New Roman" w:cs="Times New Roman"/>
                <w:color w:val="auto"/>
                <w:sz w:val="24"/>
                <w:szCs w:val="24"/>
                <w:highlight w:val="none"/>
              </w:rPr>
              <w:t>标准的要求。</w:t>
            </w:r>
          </w:p>
          <w:p w14:paraId="29E5F3E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kern w:val="2"/>
                <w:sz w:val="24"/>
                <w:szCs w:val="24"/>
              </w:rPr>
            </w:pPr>
            <w:r>
              <w:rPr>
                <w:rFonts w:hint="default" w:ascii="Times New Roman" w:hAnsi="Times New Roman" w:eastAsia="宋体" w:cs="Times New Roman"/>
                <w:b/>
                <w:bCs/>
                <w:kern w:val="2"/>
                <w:sz w:val="24"/>
                <w:szCs w:val="24"/>
                <w:lang w:val="en-US" w:eastAsia="zh-CN" w:bidi="ar"/>
              </w:rPr>
              <w:t>三、土壤、地下水</w:t>
            </w:r>
          </w:p>
          <w:p w14:paraId="084DE302">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cs="Times New Roman"/>
                <w:kern w:val="2"/>
                <w:sz w:val="24"/>
                <w:szCs w:val="24"/>
              </w:rPr>
            </w:pPr>
            <w:r>
              <w:rPr>
                <w:rFonts w:hint="default" w:ascii="Times New Roman" w:hAnsi="Times New Roman" w:eastAsia="宋体" w:cs="Times New Roman"/>
                <w:kern w:val="2"/>
                <w:sz w:val="24"/>
                <w:szCs w:val="24"/>
                <w:lang w:val="en-US" w:eastAsia="zh-CN" w:bidi="ar"/>
              </w:rPr>
              <w:t>本项目区域地下水现状数据引用《淮北市</w:t>
            </w:r>
            <w:r>
              <w:rPr>
                <w:rFonts w:hint="default" w:ascii="Times New Roman" w:hAnsi="Times New Roman" w:cs="Times New Roman"/>
                <w:kern w:val="2"/>
                <w:sz w:val="24"/>
                <w:szCs w:val="24"/>
                <w:lang w:val="en-US" w:eastAsia="zh-CN" w:bidi="ar"/>
              </w:rPr>
              <w:t>2024</w:t>
            </w:r>
            <w:r>
              <w:rPr>
                <w:rFonts w:hint="default" w:ascii="Times New Roman" w:hAnsi="Times New Roman" w:eastAsia="宋体" w:cs="Times New Roman"/>
                <w:kern w:val="2"/>
                <w:sz w:val="24"/>
                <w:szCs w:val="24"/>
                <w:lang w:val="en-US" w:eastAsia="zh-CN" w:bidi="ar"/>
              </w:rPr>
              <w:t>年度生态环境状况公报》，具体数据如下：</w:t>
            </w:r>
          </w:p>
          <w:p w14:paraId="3DF0B112">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eastAsia="宋体" w:cs="Times New Roman"/>
                <w:kern w:val="2"/>
                <w:sz w:val="24"/>
                <w:szCs w:val="24"/>
                <w:lang w:val="en-US" w:eastAsia="zh-CN" w:bidi="ar"/>
              </w:rPr>
            </w:pPr>
            <w:r>
              <w:rPr>
                <w:rFonts w:hint="default" w:ascii="Times New Roman" w:hAnsi="Times New Roman" w:cs="Times New Roman"/>
                <w:kern w:val="2"/>
                <w:sz w:val="24"/>
                <w:szCs w:val="24"/>
                <w:lang w:val="en-US" w:eastAsia="zh-CN" w:bidi="ar"/>
              </w:rPr>
              <w:t>202</w:t>
            </w:r>
            <w:r>
              <w:rPr>
                <w:rFonts w:hint="default" w:ascii="Times New Roman" w:hAnsi="Times New Roman" w:eastAsia="宋体" w:cs="Times New Roman"/>
                <w:kern w:val="2"/>
                <w:sz w:val="24"/>
                <w:szCs w:val="24"/>
                <w:lang w:val="en-US" w:eastAsia="zh-CN" w:bidi="ar"/>
              </w:rPr>
              <w:t>4年，淮北市城市集中式饮用水源地（地下水）监测指标均达到《地下水质量标准》</w:t>
            </w:r>
            <w:r>
              <w:rPr>
                <w:rFonts w:hint="default" w:ascii="Times New Roman" w:hAnsi="Times New Roman" w:cs="Times New Roman"/>
                <w:kern w:val="2"/>
                <w:sz w:val="24"/>
                <w:szCs w:val="24"/>
                <w:lang w:val="en-US" w:eastAsia="zh-CN" w:bidi="ar"/>
              </w:rPr>
              <w:t>GB/T14848-2017</w:t>
            </w:r>
            <w:r>
              <w:rPr>
                <w:rFonts w:hint="default" w:ascii="Times New Roman" w:hAnsi="Times New Roman" w:eastAsia="宋体" w:cs="Times New Roman"/>
                <w:kern w:val="2"/>
                <w:sz w:val="24"/>
                <w:szCs w:val="24"/>
                <w:lang w:val="en-US" w:eastAsia="zh-CN" w:bidi="ar"/>
              </w:rPr>
              <w:t>中</w:t>
            </w:r>
            <w:r>
              <w:rPr>
                <w:rFonts w:hint="default" w:ascii="Times New Roman" w:hAnsi="Times New Roman" w:cs="Times New Roman"/>
                <w:kern w:val="2"/>
                <w:sz w:val="24"/>
                <w:szCs w:val="24"/>
                <w:lang w:val="en-US" w:eastAsia="zh-CN" w:bidi="ar"/>
              </w:rPr>
              <w:t>Ⅲ</w:t>
            </w:r>
            <w:r>
              <w:rPr>
                <w:rFonts w:hint="default" w:ascii="Times New Roman" w:hAnsi="Times New Roman" w:eastAsia="宋体" w:cs="Times New Roman"/>
                <w:kern w:val="2"/>
                <w:sz w:val="24"/>
                <w:szCs w:val="24"/>
                <w:lang w:val="en-US" w:eastAsia="zh-CN" w:bidi="ar"/>
              </w:rPr>
              <w:t>类标准，</w:t>
            </w:r>
            <w:r>
              <w:rPr>
                <w:rFonts w:hint="default" w:ascii="Times New Roman" w:hAnsi="Times New Roman" w:cs="Times New Roman"/>
                <w:kern w:val="2"/>
                <w:sz w:val="24"/>
                <w:szCs w:val="24"/>
                <w:lang w:val="en-US" w:eastAsia="zh-CN" w:bidi="ar"/>
              </w:rPr>
              <w:t>202</w:t>
            </w:r>
            <w:r>
              <w:rPr>
                <w:rFonts w:hint="default" w:ascii="Times New Roman" w:hAnsi="Times New Roman" w:eastAsia="宋体" w:cs="Times New Roman"/>
                <w:kern w:val="2"/>
                <w:sz w:val="24"/>
                <w:szCs w:val="24"/>
                <w:lang w:val="en-US" w:eastAsia="zh-CN" w:bidi="ar"/>
              </w:rPr>
              <w:t>4年，淮北市城市饮用水源地（地下水）取水总量为</w:t>
            </w:r>
            <w:r>
              <w:rPr>
                <w:rFonts w:hint="default" w:ascii="Times New Roman" w:hAnsi="Times New Roman" w:cs="Times New Roman"/>
                <w:kern w:val="2"/>
                <w:sz w:val="24"/>
                <w:szCs w:val="24"/>
                <w:lang w:val="en-US" w:eastAsia="zh-CN" w:bidi="ar"/>
              </w:rPr>
              <w:t>1416</w:t>
            </w:r>
            <w:r>
              <w:rPr>
                <w:rFonts w:hint="default" w:ascii="Times New Roman" w:hAnsi="Times New Roman" w:eastAsia="宋体" w:cs="Times New Roman"/>
                <w:kern w:val="2"/>
                <w:sz w:val="24"/>
                <w:szCs w:val="24"/>
                <w:lang w:val="en-US" w:eastAsia="zh-CN" w:bidi="ar"/>
              </w:rPr>
              <w:t>万立方米，达标率为</w:t>
            </w:r>
            <w:r>
              <w:rPr>
                <w:rFonts w:hint="default" w:ascii="Times New Roman" w:hAnsi="Times New Roman" w:cs="Times New Roman"/>
                <w:kern w:val="2"/>
                <w:sz w:val="24"/>
                <w:szCs w:val="24"/>
                <w:lang w:val="en-US" w:eastAsia="zh-CN" w:bidi="ar"/>
              </w:rPr>
              <w:t>100%</w:t>
            </w:r>
            <w:r>
              <w:rPr>
                <w:rFonts w:hint="default" w:ascii="Times New Roman" w:hAnsi="Times New Roman" w:eastAsia="宋体" w:cs="Times New Roman"/>
                <w:kern w:val="2"/>
                <w:sz w:val="24"/>
                <w:szCs w:val="24"/>
                <w:lang w:val="en-US" w:eastAsia="zh-CN" w:bidi="ar"/>
              </w:rPr>
              <w:t>。</w:t>
            </w:r>
          </w:p>
          <w:p w14:paraId="04B1453A">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本项目厂区进行分区防渗处理，对危险废物暂存间、污水管线、</w:t>
            </w:r>
            <w:r>
              <w:rPr>
                <w:rFonts w:hint="default" w:ascii="Times New Roman" w:hAnsi="Times New Roman" w:cs="Times New Roman"/>
                <w:color w:val="auto"/>
                <w:kern w:val="2"/>
                <w:sz w:val="24"/>
                <w:szCs w:val="24"/>
                <w:lang w:val="en-US" w:eastAsia="zh-CN" w:bidi="ar"/>
              </w:rPr>
              <w:t>原料仓库</w:t>
            </w:r>
            <w:r>
              <w:rPr>
                <w:rFonts w:hint="default" w:ascii="Times New Roman" w:hAnsi="Times New Roman" w:eastAsia="宋体" w:cs="Times New Roman"/>
                <w:color w:val="auto"/>
                <w:kern w:val="2"/>
                <w:sz w:val="24"/>
                <w:szCs w:val="24"/>
                <w:lang w:val="en-US" w:eastAsia="zh-CN" w:bidi="ar"/>
              </w:rPr>
              <w:t>等做重点防渗；</w:t>
            </w:r>
            <w:r>
              <w:rPr>
                <w:rFonts w:hint="default" w:ascii="Times New Roman" w:hAnsi="Times New Roman" w:cs="Times New Roman"/>
                <w:color w:val="auto"/>
                <w:kern w:val="2"/>
                <w:sz w:val="24"/>
                <w:szCs w:val="24"/>
                <w:lang w:val="en-US" w:eastAsia="zh-CN" w:bidi="ar"/>
              </w:rPr>
              <w:t>生产</w:t>
            </w:r>
            <w:r>
              <w:rPr>
                <w:rFonts w:hint="default" w:ascii="Times New Roman" w:hAnsi="Times New Roman" w:eastAsia="宋体" w:cs="Times New Roman"/>
                <w:color w:val="auto"/>
                <w:kern w:val="2"/>
                <w:sz w:val="24"/>
                <w:szCs w:val="24"/>
                <w:lang w:val="en-US" w:eastAsia="zh-CN" w:bidi="ar"/>
              </w:rPr>
              <w:t>车间做一般防渗；除重点、一般外其他区域简单防渗。因此不涉及入渗地下水、土壤的途径。按照《指南》中的要求本项目无需开展土壤、地下水环境质量现状调查。</w:t>
            </w:r>
          </w:p>
          <w:p w14:paraId="210D9E7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四、声环境质量现状监测与评价</w:t>
            </w:r>
          </w:p>
          <w:p w14:paraId="189EE32B">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根据《淮北市声环境功能区划分方案》中划定的声功能区划，本评价项目所在区域为《声环境质量标准》（GB3096-2008）中的</w:t>
            </w:r>
            <w:r>
              <w:rPr>
                <w:rFonts w:hint="default" w:ascii="Times New Roman" w:hAnsi="Times New Roman" w:cs="Times New Roman"/>
                <w:kern w:val="2"/>
                <w:sz w:val="24"/>
                <w:szCs w:val="24"/>
                <w:lang w:val="en-US" w:eastAsia="zh-CN" w:bidi="ar"/>
              </w:rPr>
              <w:t>3类</w:t>
            </w:r>
            <w:r>
              <w:rPr>
                <w:rFonts w:hint="default" w:ascii="Times New Roman" w:hAnsi="Times New Roman" w:eastAsia="宋体" w:cs="Times New Roman"/>
                <w:kern w:val="2"/>
                <w:sz w:val="24"/>
                <w:szCs w:val="24"/>
                <w:lang w:val="en-US" w:eastAsia="zh-CN" w:bidi="ar"/>
              </w:rPr>
              <w:t>区。项目厂界外周边50米范围内无声环境保护目标，根据指南要求，本评价不进行声环境现状评价。</w:t>
            </w:r>
          </w:p>
          <w:p w14:paraId="1C8AF3BA">
            <w:pPr>
              <w:pStyle w:val="5"/>
              <w:keepNext w:val="0"/>
              <w:keepLines w:val="0"/>
              <w:suppressLineNumbers w:val="0"/>
              <w:spacing w:beforeAutospacing="0" w:afterAutospacing="0"/>
              <w:ind w:left="0"/>
              <w:jc w:val="center"/>
              <w:rPr>
                <w:rFonts w:hint="default" w:ascii="Times New Roman" w:hAnsi="Times New Roman" w:cs="Times New Roman"/>
                <w:lang w:val="en-US" w:eastAsia="zh-CN"/>
              </w:rPr>
            </w:pPr>
            <w:r>
              <w:rPr>
                <w:rFonts w:hint="default" w:ascii="Times New Roman" w:hAnsi="Times New Roman" w:eastAsia="宋体" w:cs="Times New Roman"/>
                <w:b w:val="0"/>
                <w:bCs w:val="0"/>
                <w:color w:val="auto"/>
                <w:sz w:val="24"/>
              </w:rPr>
              <mc:AlternateContent>
                <mc:Choice Requires="wps">
                  <w:drawing>
                    <wp:anchor distT="0" distB="0" distL="114300" distR="114300" simplePos="0" relativeHeight="251659264" behindDoc="0" locked="0" layoutInCell="1" allowOverlap="1">
                      <wp:simplePos x="0" y="0"/>
                      <wp:positionH relativeFrom="column">
                        <wp:posOffset>2915285</wp:posOffset>
                      </wp:positionH>
                      <wp:positionV relativeFrom="paragraph">
                        <wp:posOffset>80010</wp:posOffset>
                      </wp:positionV>
                      <wp:extent cx="637540" cy="197485"/>
                      <wp:effectExtent l="156845" t="13970" r="24765" b="302895"/>
                      <wp:wrapNone/>
                      <wp:docPr id="1" name="自选图形 1510"/>
                      <wp:cNvGraphicFramePr/>
                      <a:graphic xmlns:a="http://schemas.openxmlformats.org/drawingml/2006/main">
                        <a:graphicData uri="http://schemas.microsoft.com/office/word/2010/wordprocessingShape">
                          <wps:wsp>
                            <wps:cNvSpPr/>
                            <wps:spPr>
                              <a:xfrm>
                                <a:off x="0" y="0"/>
                                <a:ext cx="637540" cy="197485"/>
                              </a:xfrm>
                              <a:prstGeom prst="wedgeRectCallout">
                                <a:avLst>
                                  <a:gd name="adj1" fmla="val -63333"/>
                                  <a:gd name="adj2" fmla="val 166523"/>
                                </a:avLst>
                              </a:prstGeom>
                              <a:noFill/>
                              <a:ln w="28575" cap="flat" cmpd="sng">
                                <a:solidFill>
                                  <a:srgbClr val="FF0000"/>
                                </a:solidFill>
                                <a:prstDash val="solid"/>
                                <a:miter/>
                                <a:headEnd type="none" w="med" len="med"/>
                                <a:tailEnd type="none" w="med" len="med"/>
                              </a:ln>
                            </wps:spPr>
                            <wps:txbx>
                              <w:txbxContent>
                                <w:p w14:paraId="1318F75E">
                                  <w:pPr>
                                    <w:ind w:firstLine="0" w:firstLineChars="0"/>
                                    <w:rPr>
                                      <w:rFonts w:hint="eastAsia" w:ascii="黑体" w:hAnsi="黑体" w:eastAsia="黑体" w:cs="黑体"/>
                                    </w:rPr>
                                  </w:pPr>
                                  <w:r>
                                    <w:rPr>
                                      <w:rFonts w:hint="eastAsia" w:ascii="黑体" w:hAnsi="黑体" w:eastAsia="黑体" w:cs="黑体"/>
                                      <w:sz w:val="18"/>
                                      <w:szCs w:val="18"/>
                                    </w:rPr>
                                    <w:t>项目所在地</w:t>
                                  </w:r>
                                </w:p>
                              </w:txbxContent>
                            </wps:txbx>
                            <wps:bodyPr wrap="square" lIns="0" tIns="0" rIns="0" bIns="0" upright="1"/>
                          </wps:wsp>
                        </a:graphicData>
                      </a:graphic>
                    </wp:anchor>
                  </w:drawing>
                </mc:Choice>
                <mc:Fallback>
                  <w:pict>
                    <v:shape id="自选图形 1510" o:spid="_x0000_s1026" o:spt="61" type="#_x0000_t61" style="position:absolute;left:0pt;margin-left:229.55pt;margin-top:6.3pt;height:15.55pt;width:50.2pt;z-index:251659264;mso-width-relative:page;mso-height-relative:page;" filled="f" stroked="t" coordsize="21600,21600" o:gfxdata="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7utl3aAAAACQEA&#10;AA8AAAAAAAAAAQAgAAAAIgAAAGRycy9kb3ducmV2LnhtbFBLAQIUABQAAAAIAIdO4kAVNKDWUQIA&#10;AJoEAAAOAAAAAAAAAAEAIAAAACkBAABkcnMvZTJvRG9jLnhtbFBLBQYAAAAABgAGAFkBAADsBQAA&#10;AAA=&#10;" adj="-2880,46769">
                      <v:fill on="f" focussize="0,0"/>
                      <v:stroke weight="2.25pt" color="#FF0000" joinstyle="miter"/>
                      <v:imagedata o:title=""/>
                      <o:lock v:ext="edit" aspectratio="f"/>
                      <v:textbox inset="0mm,0mm,0mm,0mm">
                        <w:txbxContent>
                          <w:p w14:paraId="1318F75E">
                            <w:pPr>
                              <w:ind w:firstLine="0" w:firstLineChars="0"/>
                              <w:rPr>
                                <w:rFonts w:hint="eastAsia" w:ascii="黑体" w:hAnsi="黑体" w:eastAsia="黑体" w:cs="黑体"/>
                              </w:rPr>
                            </w:pPr>
                            <w:r>
                              <w:rPr>
                                <w:rFonts w:hint="eastAsia" w:ascii="黑体" w:hAnsi="黑体" w:eastAsia="黑体" w:cs="黑体"/>
                                <w:sz w:val="18"/>
                                <w:szCs w:val="18"/>
                              </w:rPr>
                              <w:t>项目所在地</w:t>
                            </w:r>
                          </w:p>
                        </w:txbxContent>
                      </v:textbox>
                    </v:shape>
                  </w:pict>
                </mc:Fallback>
              </mc:AlternateContent>
            </w:r>
            <w:r>
              <w:rPr>
                <w:rFonts w:hint="default" w:ascii="Times New Roman" w:hAnsi="Times New Roman" w:eastAsia="仿宋_GB2312" w:cs="Times New Roman"/>
                <w:bCs/>
                <w:kern w:val="0"/>
                <w:sz w:val="28"/>
                <w:szCs w:val="28"/>
              </w:rPr>
              <w:drawing>
                <wp:inline distT="0" distB="0" distL="114300" distR="114300">
                  <wp:extent cx="3459480" cy="4893310"/>
                  <wp:effectExtent l="9525" t="9525" r="17145" b="12065"/>
                  <wp:docPr id="66" name="图片 66" descr="淮北声功能区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淮北声功能区0802"/>
                          <pic:cNvPicPr>
                            <a:picLocks noChangeAspect="1"/>
                          </pic:cNvPicPr>
                        </pic:nvPicPr>
                        <pic:blipFill>
                          <a:blip r:embed="rId22"/>
                          <a:stretch>
                            <a:fillRect/>
                          </a:stretch>
                        </pic:blipFill>
                        <pic:spPr>
                          <a:xfrm>
                            <a:off x="0" y="0"/>
                            <a:ext cx="3459480" cy="4893310"/>
                          </a:xfrm>
                          <a:prstGeom prst="rect">
                            <a:avLst/>
                          </a:prstGeom>
                          <a:ln>
                            <a:solidFill>
                              <a:schemeClr val="tx1"/>
                            </a:solidFill>
                          </a:ln>
                        </pic:spPr>
                      </pic:pic>
                    </a:graphicData>
                  </a:graphic>
                </wp:inline>
              </w:drawing>
            </w:r>
          </w:p>
          <w:p w14:paraId="7227AE41">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eastAsia="宋体" w:cs="Times New Roman"/>
                <w:b/>
                <w:bCs/>
                <w:kern w:val="2"/>
                <w:sz w:val="21"/>
                <w:szCs w:val="21"/>
                <w:lang w:val="en-US" w:eastAsia="zh-CN" w:bidi="ar"/>
              </w:rPr>
              <w:t>图3</w:t>
            </w:r>
            <w:r>
              <w:rPr>
                <w:rFonts w:hint="default" w:ascii="Times New Roman" w:hAnsi="Times New Roman" w:cs="Times New Roman"/>
                <w:b/>
                <w:bCs/>
                <w:kern w:val="2"/>
                <w:sz w:val="21"/>
                <w:szCs w:val="21"/>
                <w:lang w:val="en-US" w:eastAsia="zh-CN" w:bidi="ar"/>
              </w:rPr>
              <w:t>-</w:t>
            </w:r>
            <w:r>
              <w:rPr>
                <w:rFonts w:hint="default" w:ascii="Times New Roman" w:hAnsi="Times New Roman" w:eastAsia="宋体" w:cs="Times New Roman"/>
                <w:b/>
                <w:bCs/>
                <w:kern w:val="2"/>
                <w:sz w:val="21"/>
                <w:szCs w:val="21"/>
                <w:lang w:val="en-US" w:eastAsia="zh-CN" w:bidi="ar"/>
              </w:rPr>
              <w:t>2淮北市声环境功能区划图</w:t>
            </w:r>
          </w:p>
        </w:tc>
      </w:tr>
      <w:tr w14:paraId="19E59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9" w:type="dxa"/>
            <w:noWrap w:val="0"/>
            <w:vAlign w:val="center"/>
          </w:tcPr>
          <w:p w14:paraId="58703D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14:paraId="1D2819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14:paraId="79B85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3969" w:type="dxa"/>
            <w:noWrap w:val="0"/>
            <w:vAlign w:val="center"/>
          </w:tcPr>
          <w:p w14:paraId="586C146E">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eastAsia="宋体" w:cs="Times New Roman"/>
                <w:kern w:val="0"/>
                <w:sz w:val="24"/>
              </w:rPr>
            </w:pPr>
            <w:r>
              <w:rPr>
                <w:rFonts w:hint="default" w:ascii="Times New Roman" w:hAnsi="Times New Roman" w:cs="Times New Roman"/>
                <w:kern w:val="0"/>
                <w:sz w:val="24"/>
              </w:rPr>
              <w:t>项目地处</w:t>
            </w:r>
            <w:r>
              <w:rPr>
                <w:rFonts w:hint="default" w:ascii="Times New Roman" w:hAnsi="Times New Roman" w:cs="Times New Roman"/>
                <w:kern w:val="0"/>
                <w:sz w:val="24"/>
                <w:lang w:val="en-US" w:eastAsia="zh-CN"/>
              </w:rPr>
              <w:t>安徽省淮北市杜集区杜集经济开发产业园二期标准化厂房4号厂房</w:t>
            </w:r>
            <w:r>
              <w:rPr>
                <w:rFonts w:hint="eastAsia" w:cs="Times New Roman"/>
                <w:sz w:val="24"/>
                <w:lang w:val="en-US" w:eastAsia="zh-CN"/>
              </w:rPr>
              <w:t>、2号厂房</w:t>
            </w:r>
            <w:r>
              <w:rPr>
                <w:rFonts w:hint="default" w:ascii="Times New Roman" w:hAnsi="Times New Roman" w:eastAsia="宋体" w:cs="Times New Roman"/>
                <w:kern w:val="0"/>
                <w:sz w:val="24"/>
              </w:rPr>
              <w:t>。</w:t>
            </w:r>
          </w:p>
          <w:p w14:paraId="7909EC88">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1、大气环境</w:t>
            </w:r>
          </w:p>
          <w:p w14:paraId="6C4BD072">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color w:val="auto"/>
                <w:kern w:val="0"/>
                <w:sz w:val="24"/>
              </w:rPr>
              <w:t>本项目厂界外500米范围内</w:t>
            </w:r>
            <w:r>
              <w:rPr>
                <w:rFonts w:hint="default" w:ascii="Times New Roman" w:hAnsi="Times New Roman" w:cs="Times New Roman"/>
                <w:kern w:val="0"/>
                <w:sz w:val="24"/>
              </w:rPr>
              <w:t>无</w:t>
            </w:r>
            <w:r>
              <w:rPr>
                <w:rFonts w:hint="default" w:ascii="Times New Roman" w:hAnsi="Times New Roman" w:cs="Times New Roman"/>
                <w:kern w:val="0"/>
                <w:sz w:val="24"/>
                <w:lang w:val="en-US" w:eastAsia="zh-CN"/>
              </w:rPr>
              <w:t>大气</w:t>
            </w:r>
            <w:r>
              <w:rPr>
                <w:rFonts w:hint="default" w:ascii="Times New Roman" w:hAnsi="Times New Roman" w:cs="Times New Roman"/>
                <w:kern w:val="0"/>
                <w:sz w:val="24"/>
              </w:rPr>
              <w:t>环境保护目标</w:t>
            </w:r>
            <w:r>
              <w:rPr>
                <w:rFonts w:hint="default" w:ascii="Times New Roman" w:hAnsi="Times New Roman" w:cs="Times New Roman"/>
                <w:color w:val="auto"/>
                <w:kern w:val="0"/>
                <w:sz w:val="24"/>
              </w:rPr>
              <w:t>，项目所在区域执行《环境空气质量标准》（GB3095-2012）及其修改单中的二级标准。</w:t>
            </w:r>
          </w:p>
          <w:p w14:paraId="2640BC6D">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2、声环境</w:t>
            </w:r>
          </w:p>
          <w:p w14:paraId="34BB29B1">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项目界外50米范围内无声环境保护目标。</w:t>
            </w:r>
          </w:p>
          <w:p w14:paraId="5189CEC5">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3、地下水环境</w:t>
            </w:r>
          </w:p>
          <w:p w14:paraId="5EB0759B">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项目界外500米范围内无地下水集中式饮用水水源和热水、矿泉水、温泉等特殊地下水资源。</w:t>
            </w:r>
          </w:p>
          <w:p w14:paraId="6068935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 xml:space="preserve">  环境保护目标一览表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99"/>
              <w:gridCol w:w="1217"/>
              <w:gridCol w:w="1080"/>
              <w:gridCol w:w="565"/>
              <w:gridCol w:w="784"/>
              <w:gridCol w:w="2214"/>
              <w:gridCol w:w="595"/>
              <w:gridCol w:w="625"/>
            </w:tblGrid>
            <w:tr w14:paraId="0013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43" w:type="dxa"/>
                  <w:vMerge w:val="restart"/>
                  <w:tcBorders>
                    <w:top w:val="single" w:color="auto" w:sz="4" w:space="0"/>
                    <w:left w:val="single" w:color="auto" w:sz="4" w:space="0"/>
                    <w:bottom w:val="single" w:color="auto" w:sz="4" w:space="0"/>
                    <w:right w:val="single" w:color="auto" w:sz="4" w:space="0"/>
                  </w:tcBorders>
                  <w:noWrap w:val="0"/>
                  <w:vAlign w:val="center"/>
                </w:tcPr>
                <w:p w14:paraId="66B13A77">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类别</w:t>
                  </w: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14:paraId="6BE2F029">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名称</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14:paraId="4874C55E">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坐标</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14:paraId="2727BB41">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保护对象</w:t>
                  </w:r>
                </w:p>
              </w:tc>
              <w:tc>
                <w:tcPr>
                  <w:tcW w:w="1109" w:type="dxa"/>
                  <w:vMerge w:val="restart"/>
                  <w:tcBorders>
                    <w:top w:val="single" w:color="auto" w:sz="4" w:space="0"/>
                    <w:left w:val="single" w:color="auto" w:sz="4" w:space="0"/>
                    <w:bottom w:val="single" w:color="auto" w:sz="4" w:space="0"/>
                    <w:right w:val="single" w:color="auto" w:sz="4" w:space="0"/>
                  </w:tcBorders>
                  <w:noWrap w:val="0"/>
                  <w:vAlign w:val="center"/>
                </w:tcPr>
                <w:p w14:paraId="3FF3CE6B">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保护内容</w:t>
                  </w:r>
                </w:p>
              </w:tc>
              <w:tc>
                <w:tcPr>
                  <w:tcW w:w="2291" w:type="dxa"/>
                  <w:vMerge w:val="restart"/>
                  <w:tcBorders>
                    <w:top w:val="single" w:color="auto" w:sz="4" w:space="0"/>
                    <w:left w:val="single" w:color="auto" w:sz="4" w:space="0"/>
                    <w:bottom w:val="single" w:color="auto" w:sz="4" w:space="0"/>
                    <w:right w:val="single" w:color="auto" w:sz="4" w:space="0"/>
                  </w:tcBorders>
                  <w:noWrap w:val="0"/>
                  <w:vAlign w:val="center"/>
                </w:tcPr>
                <w:p w14:paraId="311B29A6">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环境功能区</w:t>
                  </w:r>
                </w:p>
              </w:tc>
              <w:tc>
                <w:tcPr>
                  <w:tcW w:w="685" w:type="dxa"/>
                  <w:vMerge w:val="restart"/>
                  <w:tcBorders>
                    <w:top w:val="single" w:color="auto" w:sz="4" w:space="0"/>
                    <w:left w:val="single" w:color="auto" w:sz="4" w:space="0"/>
                    <w:bottom w:val="single" w:color="auto" w:sz="4" w:space="0"/>
                    <w:right w:val="single" w:color="auto" w:sz="4" w:space="0"/>
                  </w:tcBorders>
                  <w:noWrap w:val="0"/>
                  <w:vAlign w:val="center"/>
                </w:tcPr>
                <w:p w14:paraId="3E4E8855">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相对厂址方位</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1C0A3D26">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相对厂界距离/m</w:t>
                  </w:r>
                </w:p>
              </w:tc>
            </w:tr>
            <w:tr w14:paraId="3A33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continue"/>
                  <w:tcBorders>
                    <w:top w:val="single" w:color="auto" w:sz="4" w:space="0"/>
                    <w:left w:val="single" w:color="auto" w:sz="4" w:space="0"/>
                    <w:bottom w:val="single" w:color="auto" w:sz="4" w:space="0"/>
                    <w:right w:val="single" w:color="auto" w:sz="4" w:space="0"/>
                  </w:tcBorders>
                  <w:noWrap w:val="0"/>
                  <w:vAlign w:val="center"/>
                </w:tcPr>
                <w:p w14:paraId="3B75C38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14:paraId="663502A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322" w:type="dxa"/>
                  <w:tcBorders>
                    <w:top w:val="single" w:color="auto" w:sz="4" w:space="0"/>
                    <w:left w:val="single" w:color="auto" w:sz="4" w:space="0"/>
                    <w:bottom w:val="single" w:color="auto" w:sz="4" w:space="0"/>
                    <w:right w:val="single" w:color="auto" w:sz="4" w:space="0"/>
                  </w:tcBorders>
                  <w:noWrap w:val="0"/>
                  <w:vAlign w:val="center"/>
                </w:tcPr>
                <w:p w14:paraId="1C4B0E4F">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经度</w:t>
                  </w:r>
                </w:p>
              </w:tc>
              <w:tc>
                <w:tcPr>
                  <w:tcW w:w="1149" w:type="dxa"/>
                  <w:tcBorders>
                    <w:top w:val="single" w:color="auto" w:sz="4" w:space="0"/>
                    <w:left w:val="single" w:color="auto" w:sz="4" w:space="0"/>
                    <w:bottom w:val="single" w:color="auto" w:sz="4" w:space="0"/>
                    <w:right w:val="single" w:color="auto" w:sz="4" w:space="0"/>
                  </w:tcBorders>
                  <w:noWrap w:val="0"/>
                  <w:vAlign w:val="center"/>
                </w:tcPr>
                <w:p w14:paraId="0B4BB212">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纬度</w:t>
                  </w: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14:paraId="6CAED8A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109" w:type="dxa"/>
                  <w:vMerge w:val="continue"/>
                  <w:tcBorders>
                    <w:top w:val="single" w:color="auto" w:sz="4" w:space="0"/>
                    <w:left w:val="single" w:color="auto" w:sz="4" w:space="0"/>
                    <w:bottom w:val="single" w:color="auto" w:sz="4" w:space="0"/>
                    <w:right w:val="single" w:color="auto" w:sz="4" w:space="0"/>
                  </w:tcBorders>
                  <w:noWrap w:val="0"/>
                  <w:vAlign w:val="center"/>
                </w:tcPr>
                <w:p w14:paraId="7448115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2291" w:type="dxa"/>
                  <w:vMerge w:val="continue"/>
                  <w:tcBorders>
                    <w:top w:val="single" w:color="auto" w:sz="4" w:space="0"/>
                    <w:left w:val="single" w:color="auto" w:sz="4" w:space="0"/>
                    <w:bottom w:val="single" w:color="auto" w:sz="4" w:space="0"/>
                    <w:right w:val="single" w:color="auto" w:sz="4" w:space="0"/>
                  </w:tcBorders>
                  <w:noWrap w:val="0"/>
                  <w:vAlign w:val="center"/>
                </w:tcPr>
                <w:p w14:paraId="48E970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685" w:type="dxa"/>
                  <w:vMerge w:val="continue"/>
                  <w:tcBorders>
                    <w:top w:val="single" w:color="auto" w:sz="4" w:space="0"/>
                    <w:left w:val="single" w:color="auto" w:sz="4" w:space="0"/>
                    <w:bottom w:val="single" w:color="auto" w:sz="4" w:space="0"/>
                    <w:right w:val="single" w:color="auto" w:sz="4" w:space="0"/>
                  </w:tcBorders>
                  <w:noWrap w:val="0"/>
                  <w:vAlign w:val="center"/>
                </w:tcPr>
                <w:p w14:paraId="21D0970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658ACE7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r>
            <w:tr w14:paraId="0413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43" w:type="dxa"/>
                  <w:tcBorders>
                    <w:top w:val="nil"/>
                    <w:left w:val="single" w:color="auto" w:sz="4" w:space="0"/>
                    <w:right w:val="single" w:color="auto" w:sz="4" w:space="0"/>
                  </w:tcBorders>
                  <w:noWrap w:val="0"/>
                  <w:vAlign w:val="center"/>
                </w:tcPr>
                <w:p w14:paraId="61D2325E">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大气环境</w:t>
                  </w:r>
                </w:p>
              </w:tc>
              <w:tc>
                <w:tcPr>
                  <w:tcW w:w="756" w:type="dxa"/>
                  <w:tcBorders>
                    <w:top w:val="single" w:color="auto" w:sz="4" w:space="0"/>
                    <w:left w:val="single" w:color="auto" w:sz="4" w:space="0"/>
                    <w:right w:val="single" w:color="auto" w:sz="4" w:space="0"/>
                  </w:tcBorders>
                  <w:noWrap w:val="0"/>
                  <w:vAlign w:val="center"/>
                </w:tcPr>
                <w:p w14:paraId="38A146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2"/>
                      <w:sz w:val="21"/>
                      <w:szCs w:val="21"/>
                      <w:lang w:bidi="ar"/>
                    </w:rPr>
                    <w:t>/</w:t>
                  </w:r>
                </w:p>
              </w:tc>
              <w:tc>
                <w:tcPr>
                  <w:tcW w:w="1322" w:type="dxa"/>
                  <w:tcBorders>
                    <w:top w:val="single" w:color="auto" w:sz="4" w:space="0"/>
                    <w:left w:val="single" w:color="auto" w:sz="4" w:space="0"/>
                    <w:right w:val="single" w:color="auto" w:sz="4" w:space="0"/>
                  </w:tcBorders>
                  <w:noWrap w:val="0"/>
                  <w:vAlign w:val="center"/>
                </w:tcPr>
                <w:p w14:paraId="625D4B3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bidi="ar"/>
                    </w:rPr>
                    <w:t>/</w:t>
                  </w:r>
                </w:p>
              </w:tc>
              <w:tc>
                <w:tcPr>
                  <w:tcW w:w="1149" w:type="dxa"/>
                  <w:tcBorders>
                    <w:top w:val="single" w:color="auto" w:sz="4" w:space="0"/>
                    <w:left w:val="single" w:color="auto" w:sz="4" w:space="0"/>
                    <w:right w:val="single" w:color="auto" w:sz="4" w:space="0"/>
                  </w:tcBorders>
                  <w:noWrap w:val="0"/>
                  <w:vAlign w:val="center"/>
                </w:tcPr>
                <w:p w14:paraId="618F970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bidi="ar"/>
                    </w:rPr>
                    <w:t>/</w:t>
                  </w:r>
                </w:p>
              </w:tc>
              <w:tc>
                <w:tcPr>
                  <w:tcW w:w="690" w:type="dxa"/>
                  <w:tcBorders>
                    <w:top w:val="single" w:color="auto" w:sz="4" w:space="0"/>
                    <w:left w:val="single" w:color="auto" w:sz="4" w:space="0"/>
                    <w:right w:val="single" w:color="auto" w:sz="4" w:space="0"/>
                  </w:tcBorders>
                  <w:noWrap w:val="0"/>
                  <w:vAlign w:val="center"/>
                </w:tcPr>
                <w:p w14:paraId="1FF56627">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bidi="ar"/>
                    </w:rPr>
                    <w:t>/</w:t>
                  </w:r>
                </w:p>
              </w:tc>
              <w:tc>
                <w:tcPr>
                  <w:tcW w:w="1109" w:type="dxa"/>
                  <w:tcBorders>
                    <w:top w:val="single" w:color="auto" w:sz="4" w:space="0"/>
                    <w:left w:val="single" w:color="auto" w:sz="4" w:space="0"/>
                    <w:right w:val="single" w:color="auto" w:sz="4" w:space="0"/>
                  </w:tcBorders>
                  <w:noWrap w:val="0"/>
                  <w:vAlign w:val="center"/>
                </w:tcPr>
                <w:p w14:paraId="51E7351F">
                  <w:pPr>
                    <w:keepNext w:val="0"/>
                    <w:keepLines w:val="0"/>
                    <w:widowControl w:val="0"/>
                    <w:suppressLineNumbers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bidi="ar"/>
                    </w:rPr>
                    <w:t>/</w:t>
                  </w:r>
                </w:p>
              </w:tc>
              <w:tc>
                <w:tcPr>
                  <w:tcW w:w="2291" w:type="dxa"/>
                  <w:tcBorders>
                    <w:top w:val="nil"/>
                    <w:left w:val="single" w:color="auto" w:sz="4" w:space="0"/>
                    <w:right w:val="single" w:color="auto" w:sz="4" w:space="0"/>
                  </w:tcBorders>
                  <w:noWrap w:val="0"/>
                  <w:vAlign w:val="center"/>
                </w:tcPr>
                <w:p w14:paraId="5836DC5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《环境空气质量标准》（GB3095-2012）及其修改单二级标准</w:t>
                  </w:r>
                </w:p>
              </w:tc>
              <w:tc>
                <w:tcPr>
                  <w:tcW w:w="685" w:type="dxa"/>
                  <w:tcBorders>
                    <w:top w:val="single" w:color="auto" w:sz="4" w:space="0"/>
                    <w:left w:val="single" w:color="auto" w:sz="4" w:space="0"/>
                    <w:right w:val="single" w:color="auto" w:sz="4" w:space="0"/>
                  </w:tcBorders>
                  <w:noWrap w:val="0"/>
                  <w:vAlign w:val="center"/>
                </w:tcPr>
                <w:p w14:paraId="116C974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bidi="ar"/>
                    </w:rPr>
                    <w:t>/</w:t>
                  </w:r>
                </w:p>
              </w:tc>
              <w:tc>
                <w:tcPr>
                  <w:tcW w:w="709" w:type="dxa"/>
                  <w:tcBorders>
                    <w:top w:val="single" w:color="auto" w:sz="4" w:space="0"/>
                    <w:left w:val="single" w:color="auto" w:sz="4" w:space="0"/>
                    <w:right w:val="single" w:color="auto" w:sz="4" w:space="0"/>
                  </w:tcBorders>
                  <w:noWrap w:val="0"/>
                  <w:vAlign w:val="center"/>
                </w:tcPr>
                <w:p w14:paraId="66C944C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kern w:val="2"/>
                      <w:sz w:val="21"/>
                      <w:szCs w:val="21"/>
                      <w:lang w:bidi="ar"/>
                    </w:rPr>
                    <w:t>/</w:t>
                  </w:r>
                </w:p>
              </w:tc>
            </w:tr>
            <w:tr w14:paraId="55A9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50AEEDDB">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声环境</w:t>
                  </w:r>
                </w:p>
              </w:tc>
              <w:tc>
                <w:tcPr>
                  <w:tcW w:w="5026" w:type="dxa"/>
                  <w:gridSpan w:val="5"/>
                  <w:tcBorders>
                    <w:top w:val="single" w:color="auto" w:sz="4" w:space="0"/>
                    <w:left w:val="single" w:color="auto" w:sz="4" w:space="0"/>
                    <w:bottom w:val="single" w:color="auto" w:sz="4" w:space="0"/>
                    <w:right w:val="single" w:color="auto" w:sz="4" w:space="0"/>
                  </w:tcBorders>
                  <w:noWrap w:val="0"/>
                  <w:vAlign w:val="center"/>
                </w:tcPr>
                <w:p w14:paraId="2C0512D7">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厂界外50米范围内无声环境保护目标</w:t>
                  </w:r>
                </w:p>
              </w:tc>
              <w:tc>
                <w:tcPr>
                  <w:tcW w:w="2291" w:type="dxa"/>
                  <w:tcBorders>
                    <w:top w:val="single" w:color="auto" w:sz="4" w:space="0"/>
                    <w:left w:val="single" w:color="auto" w:sz="4" w:space="0"/>
                    <w:bottom w:val="single" w:color="auto" w:sz="4" w:space="0"/>
                    <w:right w:val="single" w:color="auto" w:sz="4" w:space="0"/>
                  </w:tcBorders>
                  <w:noWrap w:val="0"/>
                  <w:vAlign w:val="center"/>
                </w:tcPr>
                <w:p w14:paraId="69988A07">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《声环境质量标准》（GB3096-2008）中的</w:t>
                  </w:r>
                  <w:r>
                    <w:rPr>
                      <w:rFonts w:hint="default" w:ascii="Times New Roman" w:hAnsi="Times New Roman" w:cs="Times New Roman"/>
                      <w:color w:val="auto"/>
                      <w:kern w:val="2"/>
                      <w:sz w:val="21"/>
                      <w:szCs w:val="21"/>
                      <w:lang w:val="en-US" w:eastAsia="zh-CN" w:bidi="ar"/>
                    </w:rPr>
                    <w:t>3类</w:t>
                  </w:r>
                  <w:r>
                    <w:rPr>
                      <w:rFonts w:hint="default" w:ascii="Times New Roman" w:hAnsi="Times New Roman" w:cs="Times New Roman"/>
                      <w:color w:val="auto"/>
                      <w:kern w:val="2"/>
                      <w:sz w:val="21"/>
                      <w:szCs w:val="21"/>
                      <w:lang w:bidi="ar"/>
                    </w:rPr>
                    <w:t>标准</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23A1D150">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0963CE">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w:t>
                  </w:r>
                </w:p>
              </w:tc>
            </w:tr>
            <w:tr w14:paraId="5F46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2AA9377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地下水</w:t>
                  </w:r>
                </w:p>
              </w:tc>
              <w:tc>
                <w:tcPr>
                  <w:tcW w:w="5026" w:type="dxa"/>
                  <w:gridSpan w:val="5"/>
                  <w:tcBorders>
                    <w:top w:val="single" w:color="auto" w:sz="4" w:space="0"/>
                    <w:left w:val="single" w:color="auto" w:sz="4" w:space="0"/>
                    <w:bottom w:val="single" w:color="auto" w:sz="4" w:space="0"/>
                    <w:right w:val="single" w:color="auto" w:sz="4" w:space="0"/>
                  </w:tcBorders>
                  <w:noWrap w:val="0"/>
                  <w:vAlign w:val="center"/>
                </w:tcPr>
                <w:p w14:paraId="737FE69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厂界外500米范围内无地下水集中式饮用水水源和热水、矿泉水、温泉等特殊地下水资源</w:t>
                  </w:r>
                </w:p>
              </w:tc>
              <w:tc>
                <w:tcPr>
                  <w:tcW w:w="2291" w:type="dxa"/>
                  <w:tcBorders>
                    <w:top w:val="single" w:color="auto" w:sz="4" w:space="0"/>
                    <w:left w:val="single" w:color="auto" w:sz="4" w:space="0"/>
                    <w:bottom w:val="single" w:color="auto" w:sz="4" w:space="0"/>
                    <w:right w:val="single" w:color="auto" w:sz="4" w:space="0"/>
                  </w:tcBorders>
                  <w:noWrap w:val="0"/>
                  <w:vAlign w:val="center"/>
                </w:tcPr>
                <w:p w14:paraId="2E3E7ADF">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《地下水质量标准》（GB/T14848-2017）Ⅲ类标准</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3A5D8EE4">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703EB2">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w:t>
                  </w:r>
                </w:p>
              </w:tc>
            </w:tr>
            <w:tr w14:paraId="2F5B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3" w:type="dxa"/>
                  <w:tcBorders>
                    <w:top w:val="nil"/>
                    <w:left w:val="single" w:color="auto" w:sz="4" w:space="0"/>
                    <w:right w:val="single" w:color="auto" w:sz="4" w:space="0"/>
                  </w:tcBorders>
                  <w:noWrap w:val="0"/>
                  <w:vAlign w:val="center"/>
                </w:tcPr>
                <w:p w14:paraId="27469C70">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地表水</w:t>
                  </w:r>
                </w:p>
              </w:tc>
              <w:tc>
                <w:tcPr>
                  <w:tcW w:w="756" w:type="dxa"/>
                  <w:tcBorders>
                    <w:top w:val="single" w:color="auto" w:sz="4" w:space="0"/>
                    <w:left w:val="single" w:color="auto" w:sz="4" w:space="0"/>
                    <w:bottom w:val="single" w:color="auto" w:sz="4" w:space="0"/>
                    <w:right w:val="single" w:color="auto" w:sz="4" w:space="0"/>
                  </w:tcBorders>
                  <w:noWrap w:val="0"/>
                  <w:vAlign w:val="center"/>
                </w:tcPr>
                <w:p w14:paraId="595A15FD">
                  <w:pPr>
                    <w:pStyle w:val="19"/>
                    <w:keepNext w:val="0"/>
                    <w:keepLines w:val="0"/>
                    <w:widowControl w:val="0"/>
                    <w:suppressLineNumbers w:val="0"/>
                    <w:spacing w:before="0" w:beforeAutospacing="0" w:line="240" w:lineRule="atLeast"/>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岱河</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3941006A">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116.83144</w:t>
                  </w:r>
                </w:p>
              </w:tc>
              <w:tc>
                <w:tcPr>
                  <w:tcW w:w="1149" w:type="dxa"/>
                  <w:tcBorders>
                    <w:top w:val="single" w:color="auto" w:sz="4" w:space="0"/>
                    <w:left w:val="single" w:color="auto" w:sz="4" w:space="0"/>
                    <w:bottom w:val="single" w:color="auto" w:sz="4" w:space="0"/>
                    <w:right w:val="single" w:color="auto" w:sz="4" w:space="0"/>
                  </w:tcBorders>
                  <w:noWrap w:val="0"/>
                  <w:vAlign w:val="center"/>
                </w:tcPr>
                <w:p w14:paraId="069020E9">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34.05682</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3F9A533">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地表水</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49B30B7">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小型河流</w:t>
                  </w:r>
                </w:p>
              </w:tc>
              <w:tc>
                <w:tcPr>
                  <w:tcW w:w="2291" w:type="dxa"/>
                  <w:tcBorders>
                    <w:top w:val="single" w:color="auto" w:sz="4" w:space="0"/>
                    <w:left w:val="single" w:color="auto" w:sz="4" w:space="0"/>
                    <w:bottom w:val="single" w:color="auto" w:sz="4" w:space="0"/>
                    <w:right w:val="single" w:color="auto" w:sz="4" w:space="0"/>
                  </w:tcBorders>
                  <w:noWrap w:val="0"/>
                  <w:vAlign w:val="center"/>
                </w:tcPr>
                <w:p w14:paraId="5BBDFAC6">
                  <w:pPr>
                    <w:pStyle w:val="19"/>
                    <w:keepNext w:val="0"/>
                    <w:keepLines w:val="0"/>
                    <w:widowControl w:val="0"/>
                    <w:suppressLineNumbers w:val="0"/>
                    <w:spacing w:before="0" w:beforeAutospacing="0" w:line="240" w:lineRule="atLeast"/>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bidi="ar"/>
                    </w:rPr>
                    <w:t>《地表水环境质量标准》（GB3838-2002）</w:t>
                  </w:r>
                  <w:r>
                    <w:rPr>
                      <w:rFonts w:hint="default" w:ascii="Times New Roman" w:hAnsi="Times New Roman" w:eastAsia="宋体" w:cs="Times New Roman"/>
                      <w:color w:val="auto"/>
                      <w:kern w:val="2"/>
                      <w:sz w:val="21"/>
                      <w:szCs w:val="21"/>
                      <w:lang w:bidi="ar"/>
                    </w:rPr>
                    <w:t>Ⅳ</w:t>
                  </w:r>
                  <w:r>
                    <w:rPr>
                      <w:rFonts w:hint="default" w:ascii="Times New Roman" w:hAnsi="Times New Roman" w:cs="Times New Roman"/>
                      <w:color w:val="auto"/>
                      <w:kern w:val="2"/>
                      <w:sz w:val="21"/>
                      <w:szCs w:val="21"/>
                      <w:lang w:bidi="ar"/>
                    </w:rPr>
                    <w:t>类标准</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7CDB5246">
                  <w:pPr>
                    <w:pStyle w:val="19"/>
                    <w:keepNext w:val="0"/>
                    <w:keepLines w:val="0"/>
                    <w:widowControl w:val="0"/>
                    <w:suppressLineNumbers w:val="0"/>
                    <w:spacing w:before="0" w:beforeAutospacing="0" w:line="240" w:lineRule="atLeast"/>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NE</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B4CD9B">
                  <w:pPr>
                    <w:pStyle w:val="19"/>
                    <w:keepNext w:val="0"/>
                    <w:keepLines w:val="0"/>
                    <w:widowControl w:val="0"/>
                    <w:suppressLineNumbers w:val="0"/>
                    <w:spacing w:before="0" w:beforeAutospacing="0" w:line="240" w:lineRule="atLeast"/>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bidi="ar"/>
                    </w:rPr>
                    <w:t>约</w:t>
                  </w:r>
                  <w:r>
                    <w:rPr>
                      <w:rFonts w:hint="default" w:ascii="Times New Roman" w:hAnsi="Times New Roman" w:cs="Times New Roman"/>
                      <w:color w:val="auto"/>
                      <w:kern w:val="2"/>
                      <w:sz w:val="21"/>
                      <w:szCs w:val="21"/>
                      <w:lang w:val="en-US" w:eastAsia="zh-CN" w:bidi="ar"/>
                    </w:rPr>
                    <w:t>350</w:t>
                  </w:r>
                </w:p>
              </w:tc>
            </w:tr>
          </w:tbl>
          <w:p w14:paraId="15889769">
            <w:pPr>
              <w:pStyle w:val="5"/>
              <w:keepNext w:val="0"/>
              <w:keepLines w:val="0"/>
              <w:suppressLineNumbers w:val="0"/>
              <w:spacing w:beforeAutospacing="0" w:afterAutospacing="0"/>
              <w:ind w:left="0"/>
              <w:rPr>
                <w:rFonts w:hint="default" w:ascii="Times New Roman" w:hAnsi="Times New Roman" w:cs="Times New Roman"/>
              </w:rPr>
            </w:pPr>
          </w:p>
        </w:tc>
      </w:tr>
      <w:tr w14:paraId="71715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9" w:type="dxa"/>
            <w:noWrap w:val="0"/>
            <w:tcMar>
              <w:left w:w="28" w:type="dxa"/>
              <w:right w:w="28" w:type="dxa"/>
            </w:tcMar>
            <w:vAlign w:val="center"/>
          </w:tcPr>
          <w:p w14:paraId="626C95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14:paraId="241E5B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14:paraId="3EABEEE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14:paraId="73D1C2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14:paraId="217700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3969" w:type="dxa"/>
            <w:noWrap w:val="0"/>
            <w:vAlign w:val="center"/>
          </w:tcPr>
          <w:p w14:paraId="4989E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1、大气污染物</w:t>
            </w:r>
          </w:p>
          <w:p w14:paraId="1B365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rPr>
            </w:pPr>
            <w:r>
              <w:rPr>
                <w:rFonts w:hint="eastAsia" w:ascii="宋体" w:hAnsi="宋体" w:eastAsia="宋体" w:cs="宋体"/>
                <w:color w:val="000000"/>
                <w:kern w:val="0"/>
                <w:sz w:val="24"/>
                <w:szCs w:val="24"/>
                <w:lang w:val="en-US" w:eastAsia="zh-CN" w:bidi="ar"/>
              </w:rPr>
              <w:t>天然气燃烧废气中污染物主要为NOx、SO</w:t>
            </w:r>
            <w:r>
              <w:rPr>
                <w:rFonts w:hint="eastAsia" w:ascii="宋体" w:hAnsi="宋体" w:eastAsia="宋体" w:cs="宋体"/>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auto"/>
                <w:sz w:val="24"/>
                <w:szCs w:val="24"/>
              </w:rPr>
              <w:t>颗粒物</w:t>
            </w:r>
            <w:r>
              <w:rPr>
                <w:rFonts w:hint="eastAsia" w:ascii="宋体" w:hAnsi="宋体" w:eastAsia="宋体" w:cs="宋体"/>
                <w:color w:val="000000"/>
                <w:kern w:val="0"/>
                <w:sz w:val="24"/>
                <w:szCs w:val="24"/>
                <w:lang w:val="en-US" w:eastAsia="zh-CN" w:bidi="ar"/>
              </w:rPr>
              <w:t>，</w:t>
            </w:r>
            <w:r>
              <w:rPr>
                <w:rFonts w:hint="eastAsia" w:hAnsi="宋体"/>
                <w:color w:val="000000"/>
                <w:sz w:val="24"/>
                <w:szCs w:val="22"/>
              </w:rPr>
              <w:t>排放标准执行《工业炉窑大气污染综合治理方案》（环大气[2019]56 号）中规定的重点区域排放限值</w:t>
            </w:r>
            <w:r>
              <w:rPr>
                <w:rFonts w:hint="eastAsia" w:hAnsi="宋体"/>
                <w:color w:val="000000"/>
                <w:sz w:val="24"/>
                <w:szCs w:val="22"/>
                <w:lang w:eastAsia="zh-CN"/>
              </w:rPr>
              <w:t>；</w:t>
            </w:r>
            <w:r>
              <w:rPr>
                <w:rFonts w:hint="default" w:ascii="Times New Roman" w:hAnsi="Times New Roman" w:eastAsia="宋体" w:cs="Times New Roman"/>
                <w:color w:val="auto"/>
                <w:sz w:val="24"/>
                <w:szCs w:val="24"/>
              </w:rPr>
              <w:t>有组织排放的颗粒物、非甲烷总烃</w:t>
            </w:r>
            <w:r>
              <w:rPr>
                <w:rFonts w:hint="eastAsia" w:ascii="Times New Roman" w:hAnsi="Times New Roman" w:eastAsia="宋体" w:cs="Times New Roman"/>
                <w:color w:val="auto"/>
                <w:sz w:val="24"/>
                <w:szCs w:val="24"/>
                <w:lang w:eastAsia="zh-CN"/>
              </w:rPr>
              <w:t>、苯酚、甲醛</w:t>
            </w:r>
            <w:r>
              <w:rPr>
                <w:rFonts w:hint="default" w:ascii="Times New Roman" w:hAnsi="Times New Roman" w:eastAsia="宋体" w:cs="Times New Roman"/>
                <w:color w:val="auto"/>
                <w:sz w:val="24"/>
                <w:szCs w:val="24"/>
              </w:rPr>
              <w:t>执行《大气污染物综合排放标准》(GB16297-1996)表2中二级标准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厂界颗粒物、非甲烷总烃</w:t>
            </w:r>
            <w:r>
              <w:rPr>
                <w:rFonts w:hint="eastAsia" w:ascii="Times New Roman" w:hAnsi="Times New Roman" w:eastAsia="宋体" w:cs="Times New Roman"/>
                <w:color w:val="auto"/>
                <w:sz w:val="24"/>
                <w:szCs w:val="24"/>
                <w:lang w:eastAsia="zh-CN"/>
              </w:rPr>
              <w:t>、苯酚、甲醛</w:t>
            </w:r>
            <w:r>
              <w:rPr>
                <w:rFonts w:hint="default" w:ascii="Times New Roman" w:hAnsi="Times New Roman" w:eastAsia="宋体" w:cs="Times New Roman"/>
                <w:color w:val="auto"/>
                <w:sz w:val="24"/>
                <w:szCs w:val="24"/>
              </w:rPr>
              <w:t>执行《大气污染物综合排放标准》(GB16297-1996)厂界标准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厂区内无组织非甲烷总烃排放执行《挥发性有机物无组织放控制标准》(GB37822-2019)附录A中的厂区内 VOCs 浓度排放限值。</w:t>
            </w:r>
            <w:r>
              <w:rPr>
                <w:rFonts w:hint="default" w:ascii="Times New Roman" w:hAnsi="Times New Roman" w:eastAsia="宋体" w:cs="Times New Roman"/>
                <w:bCs/>
                <w:kern w:val="0"/>
                <w:sz w:val="24"/>
              </w:rPr>
              <w:t>其排放执行具体见下表。</w:t>
            </w:r>
          </w:p>
          <w:p w14:paraId="53BDA3C6">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16"/>
                <w:lang w:val="en-US" w:eastAsia="zh-CN"/>
              </w:rPr>
            </w:pPr>
            <w:r>
              <w:rPr>
                <w:rFonts w:hint="default" w:ascii="Times New Roman" w:hAnsi="Times New Roman" w:cs="Times New Roman"/>
                <w:b/>
                <w:bCs/>
                <w:color w:val="auto"/>
                <w:sz w:val="21"/>
                <w:szCs w:val="16"/>
              </w:rPr>
              <w:t>表3-</w:t>
            </w:r>
            <w:r>
              <w:rPr>
                <w:rFonts w:hint="default" w:ascii="Times New Roman" w:hAnsi="Times New Roman" w:cs="Times New Roman"/>
                <w:b/>
                <w:bCs/>
                <w:color w:val="auto"/>
                <w:sz w:val="21"/>
                <w:szCs w:val="16"/>
                <w:lang w:val="en-US" w:eastAsia="zh-CN"/>
              </w:rPr>
              <w:t>8</w:t>
            </w:r>
            <w:r>
              <w:rPr>
                <w:rFonts w:hint="default" w:ascii="Times New Roman" w:hAnsi="Times New Roman" w:cs="Times New Roman"/>
                <w:b/>
                <w:bCs/>
                <w:color w:val="auto"/>
                <w:sz w:val="21"/>
                <w:szCs w:val="16"/>
              </w:rPr>
              <w:t xml:space="preserve"> </w:t>
            </w:r>
            <w:r>
              <w:rPr>
                <w:rFonts w:hint="default" w:ascii="Times New Roman" w:hAnsi="Times New Roman" w:cs="Times New Roman"/>
                <w:b/>
                <w:bCs/>
                <w:color w:val="auto"/>
                <w:sz w:val="21"/>
                <w:szCs w:val="16"/>
                <w:lang w:val="en-US" w:eastAsia="zh-CN"/>
              </w:rPr>
              <w:t>运营期废气排放标准</w:t>
            </w:r>
          </w:p>
          <w:tbl>
            <w:tblPr>
              <w:tblStyle w:val="7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29"/>
              <w:gridCol w:w="1141"/>
              <w:gridCol w:w="1216"/>
              <w:gridCol w:w="1956"/>
              <w:gridCol w:w="1174"/>
            </w:tblGrid>
            <w:tr w14:paraId="1624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660" w:type="pct"/>
                  <w:vMerge w:val="restart"/>
                  <w:tcBorders>
                    <w:tl2br w:val="nil"/>
                    <w:tr2bl w:val="nil"/>
                  </w:tcBorders>
                  <w:vAlign w:val="center"/>
                </w:tcPr>
                <w:p w14:paraId="34F85D0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标准名称及类别</w:t>
                  </w:r>
                </w:p>
              </w:tc>
              <w:tc>
                <w:tcPr>
                  <w:tcW w:w="694" w:type="pct"/>
                  <w:vMerge w:val="restart"/>
                  <w:tcBorders>
                    <w:tl2br w:val="nil"/>
                    <w:tr2bl w:val="nil"/>
                  </w:tcBorders>
                  <w:vAlign w:val="center"/>
                </w:tcPr>
                <w:p w14:paraId="4DFB858F">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w:t>
                  </w:r>
                </w:p>
              </w:tc>
              <w:tc>
                <w:tcPr>
                  <w:tcW w:w="2644" w:type="pct"/>
                  <w:gridSpan w:val="3"/>
                  <w:tcBorders>
                    <w:tl2br w:val="nil"/>
                    <w:tr2bl w:val="nil"/>
                  </w:tcBorders>
                  <w:vAlign w:val="center"/>
                </w:tcPr>
                <w:p w14:paraId="1688863C">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标准值</w:t>
                  </w:r>
                </w:p>
              </w:tc>
            </w:tr>
            <w:tr w14:paraId="4BD0D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pct"/>
                  <w:vMerge w:val="continue"/>
                  <w:tcBorders>
                    <w:tl2br w:val="nil"/>
                    <w:tr2bl w:val="nil"/>
                  </w:tcBorders>
                  <w:vAlign w:val="center"/>
                </w:tcPr>
                <w:p w14:paraId="79E81D31">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2E4B44D9">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tcBorders>
                    <w:tl2br w:val="nil"/>
                    <w:tr2bl w:val="nil"/>
                  </w:tcBorders>
                  <w:vAlign w:val="center"/>
                </w:tcPr>
                <w:p w14:paraId="4C29132F">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排放方式</w:t>
                  </w:r>
                </w:p>
              </w:tc>
              <w:tc>
                <w:tcPr>
                  <w:tcW w:w="1904" w:type="pct"/>
                  <w:gridSpan w:val="2"/>
                  <w:tcBorders>
                    <w:tl2br w:val="nil"/>
                    <w:tr2bl w:val="nil"/>
                  </w:tcBorders>
                  <w:vAlign w:val="center"/>
                </w:tcPr>
                <w:p w14:paraId="462F560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排放浓度限值</w:t>
                  </w:r>
                </w:p>
              </w:tc>
            </w:tr>
            <w:tr w14:paraId="7685C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1660" w:type="pct"/>
                  <w:vMerge w:val="restart"/>
                  <w:tcBorders>
                    <w:tl2br w:val="nil"/>
                    <w:tr2bl w:val="nil"/>
                  </w:tcBorders>
                  <w:vAlign w:val="center"/>
                </w:tcPr>
                <w:p w14:paraId="3BDF0CB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《工业炉窑大气污染综合治理方案》(环大气〔2019〕56号)</w:t>
                  </w:r>
                </w:p>
              </w:tc>
              <w:tc>
                <w:tcPr>
                  <w:tcW w:w="694" w:type="pct"/>
                  <w:tcBorders>
                    <w:tl2br w:val="nil"/>
                    <w:tr2bl w:val="nil"/>
                  </w:tcBorders>
                  <w:vAlign w:val="center"/>
                </w:tcPr>
                <w:p w14:paraId="7FC96560">
                  <w:pPr>
                    <w:pStyle w:val="52"/>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rPr>
                    <w:t>颗粒物</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val="0"/>
                      <w:color w:val="auto"/>
                      <w:szCs w:val="21"/>
                      <w:lang w:val="en-US" w:eastAsia="zh-CN"/>
                    </w:rPr>
                    <w:t>燃烧废气</w:t>
                  </w:r>
                  <w:r>
                    <w:rPr>
                      <w:rFonts w:hint="eastAsia" w:ascii="Times New Roman" w:hAnsi="Times New Roman" w:eastAsia="宋体" w:cs="Times New Roman"/>
                      <w:b w:val="0"/>
                      <w:bCs w:val="0"/>
                      <w:color w:val="auto"/>
                      <w:szCs w:val="21"/>
                      <w:lang w:eastAsia="zh-CN"/>
                    </w:rPr>
                    <w:t>）</w:t>
                  </w:r>
                </w:p>
              </w:tc>
              <w:tc>
                <w:tcPr>
                  <w:tcW w:w="740" w:type="pct"/>
                  <w:vMerge w:val="restart"/>
                  <w:tcBorders>
                    <w:tl2br w:val="nil"/>
                    <w:tr2bl w:val="nil"/>
                  </w:tcBorders>
                  <w:vAlign w:val="center"/>
                </w:tcPr>
                <w:p w14:paraId="2BFCFEF0">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有组织</w:t>
                  </w:r>
                </w:p>
              </w:tc>
              <w:tc>
                <w:tcPr>
                  <w:tcW w:w="1904" w:type="pct"/>
                  <w:gridSpan w:val="2"/>
                  <w:tcBorders>
                    <w:tl2br w:val="nil"/>
                    <w:tr2bl w:val="nil"/>
                  </w:tcBorders>
                  <w:vAlign w:val="center"/>
                </w:tcPr>
                <w:p w14:paraId="058D75B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30mg/m³</w:t>
                  </w:r>
                </w:p>
              </w:tc>
            </w:tr>
            <w:tr w14:paraId="6DFFC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pct"/>
                  <w:vMerge w:val="continue"/>
                  <w:tcBorders>
                    <w:tl2br w:val="nil"/>
                    <w:tr2bl w:val="nil"/>
                  </w:tcBorders>
                  <w:vAlign w:val="center"/>
                </w:tcPr>
                <w:p w14:paraId="3A1ED6DB">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tcBorders>
                    <w:tl2br w:val="nil"/>
                    <w:tr2bl w:val="nil"/>
                  </w:tcBorders>
                  <w:vAlign w:val="center"/>
                </w:tcPr>
                <w:p w14:paraId="7A557AD8">
                  <w:pPr>
                    <w:pStyle w:val="52"/>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二氧化硫</w:t>
                  </w:r>
                </w:p>
              </w:tc>
              <w:tc>
                <w:tcPr>
                  <w:tcW w:w="740" w:type="pct"/>
                  <w:vMerge w:val="continue"/>
                  <w:tcBorders>
                    <w:tl2br w:val="nil"/>
                    <w:tr2bl w:val="nil"/>
                  </w:tcBorders>
                  <w:vAlign w:val="center"/>
                </w:tcPr>
                <w:p w14:paraId="4DDC759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1904" w:type="pct"/>
                  <w:gridSpan w:val="2"/>
                  <w:tcBorders>
                    <w:tl2br w:val="nil"/>
                    <w:tr2bl w:val="nil"/>
                  </w:tcBorders>
                  <w:vAlign w:val="center"/>
                </w:tcPr>
                <w:p w14:paraId="439BD232">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lang w:val="en-US" w:eastAsia="zh-CN"/>
                    </w:rPr>
                    <w:t>200</w:t>
                  </w:r>
                  <w:r>
                    <w:rPr>
                      <w:rFonts w:hint="default" w:ascii="Times New Roman" w:hAnsi="Times New Roman" w:eastAsia="宋体" w:cs="Times New Roman"/>
                      <w:b w:val="0"/>
                      <w:bCs w:val="0"/>
                      <w:color w:val="auto"/>
                      <w:szCs w:val="21"/>
                    </w:rPr>
                    <w:t>mg/m³</w:t>
                  </w:r>
                </w:p>
              </w:tc>
            </w:tr>
            <w:tr w14:paraId="47065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pct"/>
                  <w:vMerge w:val="continue"/>
                  <w:tcBorders>
                    <w:tl2br w:val="nil"/>
                    <w:tr2bl w:val="nil"/>
                  </w:tcBorders>
                  <w:vAlign w:val="center"/>
                </w:tcPr>
                <w:p w14:paraId="2BEA493B">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tcBorders>
                    <w:tl2br w:val="nil"/>
                    <w:tr2bl w:val="nil"/>
                  </w:tcBorders>
                  <w:vAlign w:val="center"/>
                </w:tcPr>
                <w:p w14:paraId="7EF11F5E">
                  <w:pPr>
                    <w:pStyle w:val="52"/>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氮氧化物</w:t>
                  </w:r>
                </w:p>
              </w:tc>
              <w:tc>
                <w:tcPr>
                  <w:tcW w:w="740" w:type="pct"/>
                  <w:vMerge w:val="continue"/>
                  <w:tcBorders>
                    <w:tl2br w:val="nil"/>
                    <w:tr2bl w:val="nil"/>
                  </w:tcBorders>
                  <w:vAlign w:val="center"/>
                </w:tcPr>
                <w:p w14:paraId="43805CC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1904" w:type="pct"/>
                  <w:gridSpan w:val="2"/>
                  <w:tcBorders>
                    <w:tl2br w:val="nil"/>
                    <w:tr2bl w:val="nil"/>
                  </w:tcBorders>
                  <w:vAlign w:val="center"/>
                </w:tcPr>
                <w:p w14:paraId="4C11FCF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lang w:val="en-US" w:eastAsia="zh-CN"/>
                    </w:rPr>
                    <w:t>300</w:t>
                  </w:r>
                  <w:r>
                    <w:rPr>
                      <w:rFonts w:hint="default" w:ascii="Times New Roman" w:hAnsi="Times New Roman" w:eastAsia="宋体" w:cs="Times New Roman"/>
                      <w:b w:val="0"/>
                      <w:bCs w:val="0"/>
                      <w:color w:val="auto"/>
                      <w:szCs w:val="21"/>
                    </w:rPr>
                    <w:t>mg/m³</w:t>
                  </w:r>
                </w:p>
              </w:tc>
            </w:tr>
            <w:tr w14:paraId="2F1B5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pct"/>
                  <w:vMerge w:val="restart"/>
                  <w:tcBorders>
                    <w:tl2br w:val="nil"/>
                    <w:tr2bl w:val="nil"/>
                  </w:tcBorders>
                  <w:vAlign w:val="center"/>
                </w:tcPr>
                <w:p w14:paraId="3F87D64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《大气污染物综合排放标准》(GB16297-1996)</w:t>
                  </w:r>
                </w:p>
              </w:tc>
              <w:tc>
                <w:tcPr>
                  <w:tcW w:w="694" w:type="pct"/>
                  <w:vMerge w:val="restart"/>
                  <w:tcBorders>
                    <w:tl2br w:val="nil"/>
                    <w:tr2bl w:val="nil"/>
                  </w:tcBorders>
                  <w:vAlign w:val="center"/>
                </w:tcPr>
                <w:p w14:paraId="3F28958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颗粒物(机加工)</w:t>
                  </w:r>
                </w:p>
              </w:tc>
              <w:tc>
                <w:tcPr>
                  <w:tcW w:w="740" w:type="pct"/>
                  <w:vMerge w:val="restart"/>
                  <w:tcBorders>
                    <w:tl2br w:val="nil"/>
                    <w:tr2bl w:val="nil"/>
                  </w:tcBorders>
                  <w:vAlign w:val="center"/>
                </w:tcPr>
                <w:p w14:paraId="5EDBF8E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有组织</w:t>
                  </w:r>
                </w:p>
              </w:tc>
              <w:tc>
                <w:tcPr>
                  <w:tcW w:w="1190" w:type="pct"/>
                  <w:tcBorders>
                    <w:tl2br w:val="nil"/>
                    <w:tr2bl w:val="nil"/>
                  </w:tcBorders>
                  <w:vAlign w:val="center"/>
                </w:tcPr>
                <w:p w14:paraId="323F0778">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最高允许排放浓度</w:t>
                  </w:r>
                </w:p>
              </w:tc>
              <w:tc>
                <w:tcPr>
                  <w:tcW w:w="714" w:type="pct"/>
                  <w:tcBorders>
                    <w:tl2br w:val="nil"/>
                    <w:tr2bl w:val="nil"/>
                  </w:tcBorders>
                  <w:vAlign w:val="center"/>
                </w:tcPr>
                <w:p w14:paraId="66C7B873">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120mg/m³</w:t>
                  </w:r>
                </w:p>
              </w:tc>
            </w:tr>
            <w:tr w14:paraId="431E6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pct"/>
                  <w:vMerge w:val="continue"/>
                  <w:tcBorders>
                    <w:tl2br w:val="nil"/>
                    <w:tr2bl w:val="nil"/>
                  </w:tcBorders>
                  <w:vAlign w:val="center"/>
                </w:tcPr>
                <w:p w14:paraId="5102F83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0A725A92">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vMerge w:val="continue"/>
                  <w:tcBorders>
                    <w:tl2br w:val="nil"/>
                    <w:tr2bl w:val="nil"/>
                  </w:tcBorders>
                  <w:vAlign w:val="center"/>
                </w:tcPr>
                <w:p w14:paraId="04F37F19">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1190" w:type="pct"/>
                  <w:tcBorders>
                    <w:tl2br w:val="nil"/>
                    <w:tr2bl w:val="nil"/>
                  </w:tcBorders>
                  <w:vAlign w:val="center"/>
                </w:tcPr>
                <w:p w14:paraId="552BB39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最高允许排放速率</w:t>
                  </w:r>
                </w:p>
              </w:tc>
              <w:tc>
                <w:tcPr>
                  <w:tcW w:w="714" w:type="pct"/>
                  <w:tcBorders>
                    <w:tl2br w:val="nil"/>
                    <w:tr2bl w:val="nil"/>
                  </w:tcBorders>
                  <w:vAlign w:val="center"/>
                </w:tcPr>
                <w:p w14:paraId="42D2F6C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3.5kg/h</w:t>
                  </w:r>
                </w:p>
              </w:tc>
            </w:tr>
            <w:tr w14:paraId="581F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660" w:type="pct"/>
                  <w:vMerge w:val="continue"/>
                  <w:tcBorders>
                    <w:tl2br w:val="nil"/>
                    <w:tr2bl w:val="nil"/>
                  </w:tcBorders>
                  <w:vAlign w:val="center"/>
                </w:tcPr>
                <w:p w14:paraId="121D4549">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5DEB268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tcBorders>
                    <w:tl2br w:val="nil"/>
                    <w:tr2bl w:val="nil"/>
                  </w:tcBorders>
                  <w:vAlign w:val="center"/>
                </w:tcPr>
                <w:p w14:paraId="22B42DF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w:t>
                  </w:r>
                </w:p>
              </w:tc>
              <w:tc>
                <w:tcPr>
                  <w:tcW w:w="1190" w:type="pct"/>
                  <w:tcBorders>
                    <w:tl2br w:val="nil"/>
                    <w:tr2bl w:val="nil"/>
                  </w:tcBorders>
                  <w:vAlign w:val="center"/>
                </w:tcPr>
                <w:p w14:paraId="3A887948">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无组织排放监控浓</w:t>
                  </w:r>
                </w:p>
                <w:p w14:paraId="1F399C4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度限值</w:t>
                  </w:r>
                </w:p>
              </w:tc>
              <w:tc>
                <w:tcPr>
                  <w:tcW w:w="714" w:type="pct"/>
                  <w:tcBorders>
                    <w:tl2br w:val="nil"/>
                    <w:tr2bl w:val="nil"/>
                  </w:tcBorders>
                  <w:vAlign w:val="center"/>
                </w:tcPr>
                <w:p w14:paraId="68EB17F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1.0mg/m³</w:t>
                  </w:r>
                </w:p>
              </w:tc>
            </w:tr>
            <w:tr w14:paraId="4012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660" w:type="pct"/>
                  <w:vMerge w:val="continue"/>
                  <w:tcBorders>
                    <w:tl2br w:val="nil"/>
                    <w:tr2bl w:val="nil"/>
                  </w:tcBorders>
                  <w:vAlign w:val="center"/>
                </w:tcPr>
                <w:p w14:paraId="4DDE0E6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restart"/>
                  <w:tcBorders>
                    <w:tl2br w:val="nil"/>
                    <w:tr2bl w:val="nil"/>
                  </w:tcBorders>
                  <w:vAlign w:val="center"/>
                </w:tcPr>
                <w:p w14:paraId="6BB0F520">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非甲烷总烃</w:t>
                  </w:r>
                </w:p>
              </w:tc>
              <w:tc>
                <w:tcPr>
                  <w:tcW w:w="740" w:type="pct"/>
                  <w:vMerge w:val="restart"/>
                  <w:tcBorders>
                    <w:tl2br w:val="nil"/>
                    <w:tr2bl w:val="nil"/>
                  </w:tcBorders>
                  <w:vAlign w:val="center"/>
                </w:tcPr>
                <w:p w14:paraId="481F6CC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有组织</w:t>
                  </w:r>
                </w:p>
              </w:tc>
              <w:tc>
                <w:tcPr>
                  <w:tcW w:w="1190" w:type="pct"/>
                  <w:tcBorders>
                    <w:tl2br w:val="nil"/>
                    <w:tr2bl w:val="nil"/>
                  </w:tcBorders>
                  <w:vAlign w:val="center"/>
                </w:tcPr>
                <w:p w14:paraId="56240F0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最高允许排放浓度</w:t>
                  </w:r>
                </w:p>
              </w:tc>
              <w:tc>
                <w:tcPr>
                  <w:tcW w:w="714" w:type="pct"/>
                  <w:tcBorders>
                    <w:tl2br w:val="nil"/>
                    <w:tr2bl w:val="nil"/>
                  </w:tcBorders>
                  <w:vAlign w:val="center"/>
                </w:tcPr>
                <w:p w14:paraId="7EB25AD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120mg/m³</w:t>
                  </w:r>
                </w:p>
              </w:tc>
            </w:tr>
            <w:tr w14:paraId="13BD4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660" w:type="pct"/>
                  <w:vMerge w:val="continue"/>
                  <w:tcBorders>
                    <w:tl2br w:val="nil"/>
                    <w:tr2bl w:val="nil"/>
                  </w:tcBorders>
                  <w:vAlign w:val="center"/>
                </w:tcPr>
                <w:p w14:paraId="24C02FE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00EFCC4C">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vMerge w:val="continue"/>
                  <w:tcBorders>
                    <w:tl2br w:val="nil"/>
                    <w:tr2bl w:val="nil"/>
                  </w:tcBorders>
                  <w:vAlign w:val="center"/>
                </w:tcPr>
                <w:p w14:paraId="37109B9C">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1190" w:type="pct"/>
                  <w:tcBorders>
                    <w:tl2br w:val="nil"/>
                    <w:tr2bl w:val="nil"/>
                  </w:tcBorders>
                  <w:vAlign w:val="center"/>
                </w:tcPr>
                <w:p w14:paraId="0F7CFA5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最高允许排放速率</w:t>
                  </w:r>
                </w:p>
              </w:tc>
              <w:tc>
                <w:tcPr>
                  <w:tcW w:w="714" w:type="pct"/>
                  <w:tcBorders>
                    <w:tl2br w:val="nil"/>
                    <w:tr2bl w:val="nil"/>
                  </w:tcBorders>
                  <w:vAlign w:val="center"/>
                </w:tcPr>
                <w:p w14:paraId="6290CBD2">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10kg/h</w:t>
                  </w:r>
                </w:p>
              </w:tc>
            </w:tr>
            <w:tr w14:paraId="66F41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2A26ACC5">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7DE4443F">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tcBorders>
                    <w:tl2br w:val="nil"/>
                    <w:tr2bl w:val="nil"/>
                  </w:tcBorders>
                  <w:vAlign w:val="center"/>
                </w:tcPr>
                <w:p w14:paraId="614315C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w:t>
                  </w:r>
                </w:p>
              </w:tc>
              <w:tc>
                <w:tcPr>
                  <w:tcW w:w="1190" w:type="pct"/>
                  <w:tcBorders>
                    <w:tl2br w:val="nil"/>
                    <w:tr2bl w:val="nil"/>
                  </w:tcBorders>
                  <w:vAlign w:val="center"/>
                </w:tcPr>
                <w:p w14:paraId="5C78C51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无组织排放监控浓</w:t>
                  </w:r>
                </w:p>
                <w:p w14:paraId="5797431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度限值</w:t>
                  </w:r>
                </w:p>
              </w:tc>
              <w:tc>
                <w:tcPr>
                  <w:tcW w:w="714" w:type="pct"/>
                  <w:tcBorders>
                    <w:tl2br w:val="nil"/>
                    <w:tr2bl w:val="nil"/>
                  </w:tcBorders>
                  <w:vAlign w:val="center"/>
                </w:tcPr>
                <w:p w14:paraId="7E736490">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4.0mg/m³</w:t>
                  </w:r>
                </w:p>
              </w:tc>
            </w:tr>
            <w:tr w14:paraId="7AE5F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3DE1D015">
                  <w:pPr>
                    <w:pStyle w:val="52"/>
                    <w:keepLines w:val="0"/>
                    <w:suppressLineNumbers w:val="0"/>
                    <w:spacing w:before="0" w:beforeAutospacing="0" w:after="0" w:afterAutospacing="0"/>
                    <w:ind w:left="0" w:right="0"/>
                    <w:jc w:val="center"/>
                  </w:pPr>
                </w:p>
              </w:tc>
              <w:tc>
                <w:tcPr>
                  <w:tcW w:w="694" w:type="pct"/>
                  <w:vMerge w:val="restart"/>
                  <w:tcBorders>
                    <w:tl2br w:val="nil"/>
                    <w:tr2bl w:val="nil"/>
                  </w:tcBorders>
                  <w:vAlign w:val="center"/>
                </w:tcPr>
                <w:p w14:paraId="37AE5D38">
                  <w:pPr>
                    <w:pStyle w:val="52"/>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甲醛</w:t>
                  </w:r>
                </w:p>
              </w:tc>
              <w:tc>
                <w:tcPr>
                  <w:tcW w:w="740" w:type="pct"/>
                  <w:vMerge w:val="restart"/>
                  <w:tcBorders>
                    <w:tl2br w:val="nil"/>
                    <w:tr2bl w:val="nil"/>
                  </w:tcBorders>
                  <w:vAlign w:val="center"/>
                </w:tcPr>
                <w:p w14:paraId="15D81B8D">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有组织</w:t>
                  </w:r>
                </w:p>
              </w:tc>
              <w:tc>
                <w:tcPr>
                  <w:tcW w:w="1190" w:type="pct"/>
                  <w:tcBorders>
                    <w:tl2br w:val="nil"/>
                    <w:tr2bl w:val="nil"/>
                  </w:tcBorders>
                  <w:vAlign w:val="center"/>
                </w:tcPr>
                <w:p w14:paraId="329C3C28">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最高允许排放浓度</w:t>
                  </w:r>
                </w:p>
              </w:tc>
              <w:tc>
                <w:tcPr>
                  <w:tcW w:w="714" w:type="pct"/>
                  <w:tcBorders>
                    <w:tl2br w:val="nil"/>
                    <w:tr2bl w:val="nil"/>
                  </w:tcBorders>
                  <w:vAlign w:val="center"/>
                </w:tcPr>
                <w:p w14:paraId="55204AA3">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25</w:t>
                  </w:r>
                  <w:r>
                    <w:rPr>
                      <w:rFonts w:hint="default" w:ascii="Times New Roman" w:hAnsi="Times New Roman" w:eastAsia="宋体" w:cs="Times New Roman"/>
                      <w:b w:val="0"/>
                      <w:bCs w:val="0"/>
                      <w:color w:val="auto"/>
                      <w:szCs w:val="21"/>
                    </w:rPr>
                    <w:t>mg/m³</w:t>
                  </w:r>
                </w:p>
              </w:tc>
            </w:tr>
            <w:tr w14:paraId="4A0C5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60ABE99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15D8C9C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vMerge w:val="continue"/>
                  <w:tcBorders>
                    <w:tl2br w:val="nil"/>
                    <w:tr2bl w:val="nil"/>
                  </w:tcBorders>
                  <w:vAlign w:val="center"/>
                </w:tcPr>
                <w:p w14:paraId="39693968">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p>
              </w:tc>
              <w:tc>
                <w:tcPr>
                  <w:tcW w:w="1190" w:type="pct"/>
                  <w:tcBorders>
                    <w:tl2br w:val="nil"/>
                    <w:tr2bl w:val="nil"/>
                  </w:tcBorders>
                  <w:vAlign w:val="center"/>
                </w:tcPr>
                <w:p w14:paraId="1CA170FE">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最高允许排放速率</w:t>
                  </w:r>
                </w:p>
              </w:tc>
              <w:tc>
                <w:tcPr>
                  <w:tcW w:w="714" w:type="pct"/>
                  <w:tcBorders>
                    <w:tl2br w:val="nil"/>
                    <w:tr2bl w:val="nil"/>
                  </w:tcBorders>
                  <w:vAlign w:val="center"/>
                </w:tcPr>
                <w:p w14:paraId="619FA5D1">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0.26</w:t>
                  </w:r>
                  <w:r>
                    <w:rPr>
                      <w:rFonts w:hint="default" w:ascii="Times New Roman" w:hAnsi="Times New Roman" w:eastAsia="宋体" w:cs="Times New Roman"/>
                      <w:b w:val="0"/>
                      <w:bCs w:val="0"/>
                      <w:color w:val="auto"/>
                      <w:szCs w:val="21"/>
                    </w:rPr>
                    <w:t>kg/h</w:t>
                  </w:r>
                </w:p>
              </w:tc>
            </w:tr>
            <w:tr w14:paraId="109B5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7603DC3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22BB1A4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tcBorders>
                    <w:tl2br w:val="nil"/>
                    <w:tr2bl w:val="nil"/>
                  </w:tcBorders>
                  <w:vAlign w:val="center"/>
                </w:tcPr>
                <w:p w14:paraId="4C139A6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w:t>
                  </w:r>
                </w:p>
              </w:tc>
              <w:tc>
                <w:tcPr>
                  <w:tcW w:w="1190" w:type="pct"/>
                  <w:tcBorders>
                    <w:tl2br w:val="nil"/>
                    <w:tr2bl w:val="nil"/>
                  </w:tcBorders>
                  <w:vAlign w:val="center"/>
                </w:tcPr>
                <w:p w14:paraId="5A12E6F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无组织排放监控浓</w:t>
                  </w:r>
                </w:p>
                <w:p w14:paraId="41604CC3">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度限值</w:t>
                  </w:r>
                </w:p>
              </w:tc>
              <w:tc>
                <w:tcPr>
                  <w:tcW w:w="714" w:type="pct"/>
                  <w:tcBorders>
                    <w:tl2br w:val="nil"/>
                    <w:tr2bl w:val="nil"/>
                  </w:tcBorders>
                  <w:vAlign w:val="center"/>
                </w:tcPr>
                <w:p w14:paraId="3C9A89FA">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w:t>
                  </w:r>
                  <w:r>
                    <w:rPr>
                      <w:rFonts w:hint="default" w:ascii="Times New Roman" w:hAnsi="Times New Roman" w:eastAsia="宋体" w:cs="Times New Roman"/>
                      <w:b w:val="0"/>
                      <w:bCs w:val="0"/>
                      <w:color w:val="auto"/>
                      <w:szCs w:val="21"/>
                    </w:rPr>
                    <w:t>mg/m³</w:t>
                  </w:r>
                </w:p>
              </w:tc>
            </w:tr>
            <w:tr w14:paraId="685D6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06747C3B">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restart"/>
                  <w:tcBorders>
                    <w:tl2br w:val="nil"/>
                    <w:tr2bl w:val="nil"/>
                  </w:tcBorders>
                  <w:vAlign w:val="center"/>
                </w:tcPr>
                <w:p w14:paraId="3C214422">
                  <w:pPr>
                    <w:pStyle w:val="52"/>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苯酚</w:t>
                  </w:r>
                </w:p>
              </w:tc>
              <w:tc>
                <w:tcPr>
                  <w:tcW w:w="740" w:type="pct"/>
                  <w:vMerge w:val="restart"/>
                  <w:tcBorders>
                    <w:tl2br w:val="nil"/>
                    <w:tr2bl w:val="nil"/>
                  </w:tcBorders>
                  <w:vAlign w:val="center"/>
                </w:tcPr>
                <w:p w14:paraId="22916CB3">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有组织</w:t>
                  </w:r>
                </w:p>
              </w:tc>
              <w:tc>
                <w:tcPr>
                  <w:tcW w:w="1190" w:type="pct"/>
                  <w:tcBorders>
                    <w:tl2br w:val="nil"/>
                    <w:tr2bl w:val="nil"/>
                  </w:tcBorders>
                  <w:vAlign w:val="center"/>
                </w:tcPr>
                <w:p w14:paraId="777095D5">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最高允许排放浓度</w:t>
                  </w:r>
                </w:p>
              </w:tc>
              <w:tc>
                <w:tcPr>
                  <w:tcW w:w="714" w:type="pct"/>
                  <w:tcBorders>
                    <w:tl2br w:val="nil"/>
                    <w:tr2bl w:val="nil"/>
                  </w:tcBorders>
                  <w:vAlign w:val="center"/>
                </w:tcPr>
                <w:p w14:paraId="7BD046AE">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100</w:t>
                  </w:r>
                  <w:r>
                    <w:rPr>
                      <w:rFonts w:hint="default" w:ascii="Times New Roman" w:hAnsi="Times New Roman" w:eastAsia="宋体" w:cs="Times New Roman"/>
                      <w:b w:val="0"/>
                      <w:bCs w:val="0"/>
                      <w:color w:val="auto"/>
                      <w:szCs w:val="21"/>
                    </w:rPr>
                    <w:t>mg/m³</w:t>
                  </w:r>
                </w:p>
              </w:tc>
            </w:tr>
            <w:tr w14:paraId="44527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0749FA8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48B0F7EB">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vMerge w:val="continue"/>
                  <w:tcBorders>
                    <w:tl2br w:val="nil"/>
                    <w:tr2bl w:val="nil"/>
                  </w:tcBorders>
                  <w:vAlign w:val="center"/>
                </w:tcPr>
                <w:p w14:paraId="33B38608">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p>
              </w:tc>
              <w:tc>
                <w:tcPr>
                  <w:tcW w:w="1190" w:type="pct"/>
                  <w:tcBorders>
                    <w:tl2br w:val="nil"/>
                    <w:tr2bl w:val="nil"/>
                  </w:tcBorders>
                  <w:vAlign w:val="center"/>
                </w:tcPr>
                <w:p w14:paraId="050C5410">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最高允许排放速率</w:t>
                  </w:r>
                </w:p>
              </w:tc>
              <w:tc>
                <w:tcPr>
                  <w:tcW w:w="714" w:type="pct"/>
                  <w:tcBorders>
                    <w:tl2br w:val="nil"/>
                    <w:tr2bl w:val="nil"/>
                  </w:tcBorders>
                  <w:vAlign w:val="center"/>
                </w:tcPr>
                <w:p w14:paraId="352CF14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0.10</w:t>
                  </w:r>
                  <w:r>
                    <w:rPr>
                      <w:rFonts w:hint="default" w:ascii="Times New Roman" w:hAnsi="Times New Roman" w:eastAsia="宋体" w:cs="Times New Roman"/>
                      <w:b w:val="0"/>
                      <w:bCs w:val="0"/>
                      <w:color w:val="auto"/>
                      <w:szCs w:val="21"/>
                    </w:rPr>
                    <w:t>kg/h</w:t>
                  </w:r>
                </w:p>
              </w:tc>
            </w:tr>
            <w:tr w14:paraId="38BF8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660" w:type="pct"/>
                  <w:vMerge w:val="continue"/>
                  <w:tcBorders>
                    <w:tl2br w:val="nil"/>
                    <w:tr2bl w:val="nil"/>
                  </w:tcBorders>
                  <w:vAlign w:val="center"/>
                </w:tcPr>
                <w:p w14:paraId="658CCCF3">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30428FE3">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740" w:type="pct"/>
                  <w:tcBorders>
                    <w:tl2br w:val="nil"/>
                    <w:tr2bl w:val="nil"/>
                  </w:tcBorders>
                  <w:vAlign w:val="center"/>
                </w:tcPr>
                <w:p w14:paraId="0BF10E11">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w:t>
                  </w:r>
                </w:p>
              </w:tc>
              <w:tc>
                <w:tcPr>
                  <w:tcW w:w="1190" w:type="pct"/>
                  <w:tcBorders>
                    <w:tl2br w:val="nil"/>
                    <w:tr2bl w:val="nil"/>
                  </w:tcBorders>
                  <w:vAlign w:val="center"/>
                </w:tcPr>
                <w:p w14:paraId="6D607A81">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无组织排放监控浓</w:t>
                  </w:r>
                </w:p>
                <w:p w14:paraId="183DC4FE">
                  <w:pPr>
                    <w:pStyle w:val="52"/>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度限值</w:t>
                  </w:r>
                </w:p>
              </w:tc>
              <w:tc>
                <w:tcPr>
                  <w:tcW w:w="714" w:type="pct"/>
                  <w:tcBorders>
                    <w:tl2br w:val="nil"/>
                    <w:tr2bl w:val="nil"/>
                  </w:tcBorders>
                  <w:vAlign w:val="center"/>
                </w:tcPr>
                <w:p w14:paraId="0C940B8D">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0.08</w:t>
                  </w:r>
                  <w:r>
                    <w:rPr>
                      <w:rFonts w:hint="default" w:ascii="Times New Roman" w:hAnsi="Times New Roman" w:eastAsia="宋体" w:cs="Times New Roman"/>
                      <w:b w:val="0"/>
                      <w:bCs w:val="0"/>
                      <w:color w:val="auto"/>
                      <w:szCs w:val="21"/>
                    </w:rPr>
                    <w:t>mg/m³</w:t>
                  </w:r>
                </w:p>
              </w:tc>
            </w:tr>
            <w:tr w14:paraId="66A1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660" w:type="pct"/>
                  <w:vMerge w:val="restart"/>
                  <w:tcBorders>
                    <w:tl2br w:val="nil"/>
                    <w:tr2bl w:val="nil"/>
                  </w:tcBorders>
                  <w:vAlign w:val="center"/>
                </w:tcPr>
                <w:p w14:paraId="09522D1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《挥发性有机物无组织排放控制标准》(GB37822-2019)</w:t>
                  </w:r>
                </w:p>
              </w:tc>
              <w:tc>
                <w:tcPr>
                  <w:tcW w:w="694" w:type="pct"/>
                  <w:vMerge w:val="restart"/>
                  <w:tcBorders>
                    <w:tl2br w:val="nil"/>
                    <w:tr2bl w:val="nil"/>
                  </w:tcBorders>
                  <w:vAlign w:val="center"/>
                </w:tcPr>
                <w:p w14:paraId="38B0A2EC">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非甲烷总烃</w:t>
                  </w:r>
                </w:p>
              </w:tc>
              <w:tc>
                <w:tcPr>
                  <w:tcW w:w="1930" w:type="pct"/>
                  <w:gridSpan w:val="2"/>
                  <w:tcBorders>
                    <w:tl2br w:val="nil"/>
                    <w:tr2bl w:val="nil"/>
                  </w:tcBorders>
                  <w:vAlign w:val="center"/>
                </w:tcPr>
                <w:p w14:paraId="7B2CACD6">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厂内监控点浓度限值</w:t>
                  </w:r>
                </w:p>
              </w:tc>
              <w:tc>
                <w:tcPr>
                  <w:tcW w:w="714" w:type="pct"/>
                  <w:tcBorders>
                    <w:tl2br w:val="nil"/>
                    <w:tr2bl w:val="nil"/>
                  </w:tcBorders>
                  <w:vAlign w:val="center"/>
                </w:tcPr>
                <w:p w14:paraId="0D940324">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6.0mg/m³</w:t>
                  </w:r>
                </w:p>
              </w:tc>
            </w:tr>
            <w:tr w14:paraId="74211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pct"/>
                  <w:vMerge w:val="continue"/>
                  <w:tcBorders>
                    <w:tl2br w:val="nil"/>
                    <w:tr2bl w:val="nil"/>
                  </w:tcBorders>
                  <w:vAlign w:val="center"/>
                </w:tcPr>
                <w:p w14:paraId="4CB4817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694" w:type="pct"/>
                  <w:vMerge w:val="continue"/>
                  <w:tcBorders>
                    <w:tl2br w:val="nil"/>
                    <w:tr2bl w:val="nil"/>
                  </w:tcBorders>
                  <w:vAlign w:val="center"/>
                </w:tcPr>
                <w:p w14:paraId="094DD6A1">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p>
              </w:tc>
              <w:tc>
                <w:tcPr>
                  <w:tcW w:w="1930" w:type="pct"/>
                  <w:gridSpan w:val="2"/>
                  <w:tcBorders>
                    <w:tl2br w:val="nil"/>
                    <w:tr2bl w:val="nil"/>
                  </w:tcBorders>
                  <w:vAlign w:val="center"/>
                </w:tcPr>
                <w:p w14:paraId="3F7923CB">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任意一次浓度值</w:t>
                  </w:r>
                </w:p>
              </w:tc>
              <w:tc>
                <w:tcPr>
                  <w:tcW w:w="714" w:type="pct"/>
                  <w:tcBorders>
                    <w:tl2br w:val="nil"/>
                    <w:tr2bl w:val="nil"/>
                  </w:tcBorders>
                  <w:vAlign w:val="center"/>
                </w:tcPr>
                <w:p w14:paraId="6D353FC7">
                  <w:pPr>
                    <w:pStyle w:val="52"/>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20.0mg/m³</w:t>
                  </w:r>
                </w:p>
              </w:tc>
            </w:tr>
          </w:tbl>
          <w:p w14:paraId="3CD7C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2、废水污染物排放标准</w:t>
            </w:r>
          </w:p>
          <w:p w14:paraId="6C34183A">
            <w:pPr>
              <w:pStyle w:val="6"/>
              <w:keepNext w:val="0"/>
              <w:keepLines w:val="0"/>
              <w:suppressLineNumbers w:val="0"/>
              <w:spacing w:before="0" w:beforeAutospacing="0" w:afterAutospacing="0" w:line="360" w:lineRule="auto"/>
              <w:ind w:left="0" w:leftChars="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循环冷却水排水为清净下水，直接通过市政污水管网进入污水处理厂进行深度处理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生活污水经化粪池收集后，执行《污水综合排放标准》（GB8978-1996）中表4中的三级标准并满足龙湖污水处理厂的接管限值要求。污水处理厂出水满足《城镇污水处理厂污染物排放标准》(GB18918-2002)一级A标准。具体标准见下表：</w:t>
            </w:r>
          </w:p>
          <w:p w14:paraId="63BC2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bidi="en-US"/>
              </w:rPr>
            </w:pPr>
            <w:r>
              <w:rPr>
                <w:rFonts w:hint="default" w:ascii="Times New Roman" w:hAnsi="Times New Roman" w:cs="Times New Roman"/>
                <w:b/>
                <w:bCs/>
                <w:sz w:val="21"/>
                <w:szCs w:val="21"/>
                <w:lang w:bidi="en-US"/>
              </w:rPr>
              <w:t>表3-</w:t>
            </w:r>
            <w:r>
              <w:rPr>
                <w:rFonts w:hint="default" w:ascii="Times New Roman" w:hAnsi="Times New Roman" w:cs="Times New Roman"/>
                <w:b/>
                <w:bCs/>
                <w:sz w:val="21"/>
                <w:szCs w:val="21"/>
                <w:lang w:val="en-US" w:eastAsia="zh-CN" w:bidi="en-US"/>
              </w:rPr>
              <w:t>9</w:t>
            </w:r>
            <w:r>
              <w:rPr>
                <w:rFonts w:hint="default" w:ascii="Times New Roman" w:hAnsi="Times New Roman" w:cs="Times New Roman"/>
                <w:b/>
                <w:bCs/>
                <w:sz w:val="21"/>
                <w:szCs w:val="21"/>
                <w:lang w:bidi="en-US"/>
              </w:rPr>
              <w:t xml:space="preserve">  污水排放标准   单位：mg/L</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863"/>
              <w:gridCol w:w="958"/>
              <w:gridCol w:w="893"/>
              <w:gridCol w:w="789"/>
              <w:gridCol w:w="937"/>
              <w:gridCol w:w="1156"/>
            </w:tblGrid>
            <w:tr w14:paraId="7A73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noWrap w:val="0"/>
                  <w:vAlign w:val="center"/>
                </w:tcPr>
                <w:p w14:paraId="3B135F71">
                  <w:pPr>
                    <w:pStyle w:val="6"/>
                    <w:keepNext w:val="0"/>
                    <w:keepLines w:val="0"/>
                    <w:suppressLineNumbers w:val="0"/>
                    <w:spacing w:before="0" w:beforeAutospacing="0" w:afterAutospacing="0"/>
                    <w:ind w:right="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污染物</w:t>
                  </w:r>
                </w:p>
              </w:tc>
              <w:tc>
                <w:tcPr>
                  <w:tcW w:w="525" w:type="pct"/>
                  <w:noWrap w:val="0"/>
                  <w:vAlign w:val="center"/>
                </w:tcPr>
                <w:p w14:paraId="0F44BE50">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pH</w:t>
                  </w:r>
                </w:p>
              </w:tc>
              <w:tc>
                <w:tcPr>
                  <w:tcW w:w="583" w:type="pct"/>
                  <w:noWrap w:val="0"/>
                  <w:vAlign w:val="center"/>
                </w:tcPr>
                <w:p w14:paraId="38862DED">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COD</w:t>
                  </w:r>
                </w:p>
              </w:tc>
              <w:tc>
                <w:tcPr>
                  <w:tcW w:w="543" w:type="pct"/>
                  <w:noWrap w:val="0"/>
                  <w:vAlign w:val="center"/>
                </w:tcPr>
                <w:p w14:paraId="4E50681B">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480" w:type="pct"/>
                  <w:noWrap w:val="0"/>
                  <w:vAlign w:val="center"/>
                </w:tcPr>
                <w:p w14:paraId="68AAF852">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SS</w:t>
                  </w:r>
                </w:p>
              </w:tc>
              <w:tc>
                <w:tcPr>
                  <w:tcW w:w="570" w:type="pct"/>
                  <w:noWrap w:val="0"/>
                  <w:vAlign w:val="center"/>
                </w:tcPr>
                <w:p w14:paraId="4D22922A">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氨氮</w:t>
                  </w:r>
                </w:p>
              </w:tc>
              <w:tc>
                <w:tcPr>
                  <w:tcW w:w="703" w:type="pct"/>
                  <w:noWrap w:val="0"/>
                  <w:vAlign w:val="center"/>
                </w:tcPr>
                <w:p w14:paraId="19DE951A">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动植物油</w:t>
                  </w:r>
                </w:p>
              </w:tc>
            </w:tr>
            <w:tr w14:paraId="64C8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noWrap w:val="0"/>
                  <w:vAlign w:val="center"/>
                </w:tcPr>
                <w:p w14:paraId="7B61529D">
                  <w:pPr>
                    <w:pStyle w:val="6"/>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《污水综合排放标准》表4三级标准</w:t>
                  </w:r>
                </w:p>
              </w:tc>
              <w:tc>
                <w:tcPr>
                  <w:tcW w:w="525" w:type="pct"/>
                  <w:noWrap w:val="0"/>
                  <w:vAlign w:val="center"/>
                </w:tcPr>
                <w:p w14:paraId="7C3AAF60">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583" w:type="pct"/>
                  <w:noWrap w:val="0"/>
                  <w:vAlign w:val="center"/>
                </w:tcPr>
                <w:p w14:paraId="3CD6C311">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543" w:type="pct"/>
                  <w:noWrap w:val="0"/>
                  <w:vAlign w:val="center"/>
                </w:tcPr>
                <w:p w14:paraId="373EC8FF">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480" w:type="pct"/>
                  <w:noWrap w:val="0"/>
                  <w:vAlign w:val="center"/>
                </w:tcPr>
                <w:p w14:paraId="545177BD">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570" w:type="pct"/>
                  <w:noWrap w:val="0"/>
                  <w:vAlign w:val="center"/>
                </w:tcPr>
                <w:p w14:paraId="0F86A24F">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703" w:type="pct"/>
                  <w:noWrap w:val="0"/>
                  <w:vAlign w:val="center"/>
                </w:tcPr>
                <w:p w14:paraId="0EA0B258">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14:paraId="53E8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noWrap w:val="0"/>
                  <w:vAlign w:val="center"/>
                </w:tcPr>
                <w:p w14:paraId="6690E627">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污水处理厂的</w:t>
                  </w:r>
                  <w:r>
                    <w:rPr>
                      <w:rFonts w:hint="default" w:ascii="Times New Roman" w:hAnsi="Times New Roman" w:cs="Times New Roman"/>
                      <w:sz w:val="21"/>
                      <w:szCs w:val="21"/>
                      <w:lang w:eastAsia="zh-CN"/>
                    </w:rPr>
                    <w:t>接管限值</w:t>
                  </w:r>
                </w:p>
              </w:tc>
              <w:tc>
                <w:tcPr>
                  <w:tcW w:w="525" w:type="pct"/>
                  <w:noWrap w:val="0"/>
                  <w:vAlign w:val="center"/>
                </w:tcPr>
                <w:p w14:paraId="5600FDCB">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583" w:type="pct"/>
                  <w:noWrap w:val="0"/>
                  <w:vAlign w:val="center"/>
                </w:tcPr>
                <w:p w14:paraId="05032DBD">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543" w:type="pct"/>
                  <w:noWrap w:val="0"/>
                  <w:vAlign w:val="center"/>
                </w:tcPr>
                <w:p w14:paraId="73E7CDF8">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480" w:type="pct"/>
                  <w:noWrap w:val="0"/>
                  <w:vAlign w:val="center"/>
                </w:tcPr>
                <w:p w14:paraId="45D7280F">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570" w:type="pct"/>
                  <w:noWrap w:val="0"/>
                  <w:vAlign w:val="center"/>
                </w:tcPr>
                <w:p w14:paraId="30DB2294">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35</w:t>
                  </w:r>
                </w:p>
              </w:tc>
              <w:tc>
                <w:tcPr>
                  <w:tcW w:w="703" w:type="pct"/>
                  <w:noWrap w:val="0"/>
                  <w:vAlign w:val="center"/>
                </w:tcPr>
                <w:p w14:paraId="017947A0">
                  <w:pPr>
                    <w:pStyle w:val="82"/>
                    <w:keepNext w:val="0"/>
                    <w:keepLines w:val="0"/>
                    <w:suppressLineNumbers w:val="0"/>
                    <w:adjustRightInd/>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bl>
          <w:p w14:paraId="6E238D65">
            <w:pPr>
              <w:pStyle w:val="6"/>
              <w:keepNext w:val="0"/>
              <w:keepLines w:val="0"/>
              <w:suppressLineNumbers w:val="0"/>
              <w:spacing w:before="0" w:beforeAutospacing="0" w:afterAutospacing="0" w:line="360" w:lineRule="auto"/>
              <w:ind w:left="0" w:leftChars="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污水经龙湖污水处理厂处理其出水水质执行《城镇污水处理厂污染物排放标准》(GB18918-2002)一级A标准。</w:t>
            </w:r>
          </w:p>
          <w:p w14:paraId="538E0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bidi="en-US"/>
              </w:rPr>
            </w:pPr>
            <w:r>
              <w:rPr>
                <w:rFonts w:hint="default" w:ascii="Times New Roman" w:hAnsi="Times New Roman" w:cs="Times New Roman"/>
                <w:b/>
                <w:bCs/>
                <w:sz w:val="21"/>
                <w:szCs w:val="21"/>
                <w:lang w:bidi="en-US"/>
              </w:rPr>
              <w:t>表3-</w:t>
            </w:r>
            <w:r>
              <w:rPr>
                <w:rFonts w:hint="default" w:ascii="Times New Roman" w:hAnsi="Times New Roman" w:cs="Times New Roman"/>
                <w:b/>
                <w:bCs/>
                <w:sz w:val="21"/>
                <w:szCs w:val="21"/>
                <w:lang w:val="en-US" w:eastAsia="zh-CN" w:bidi="en-US"/>
              </w:rPr>
              <w:t>10</w:t>
            </w:r>
            <w:r>
              <w:rPr>
                <w:rFonts w:hint="default" w:ascii="Times New Roman" w:hAnsi="Times New Roman" w:cs="Times New Roman"/>
                <w:b/>
                <w:bCs/>
                <w:sz w:val="21"/>
                <w:szCs w:val="21"/>
                <w:lang w:bidi="en-US"/>
              </w:rPr>
              <w:t xml:space="preserve">  城镇污水处理厂污染物排放标准   单位：mg/L</w:t>
            </w:r>
          </w:p>
          <w:tbl>
            <w:tblPr>
              <w:tblStyle w:val="21"/>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3"/>
              <w:gridCol w:w="3287"/>
              <w:gridCol w:w="3217"/>
            </w:tblGrid>
            <w:tr w14:paraId="6339F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5A4895E1">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序号</w:t>
                  </w:r>
                </w:p>
              </w:tc>
              <w:tc>
                <w:tcPr>
                  <w:tcW w:w="3287" w:type="dxa"/>
                  <w:noWrap w:val="0"/>
                  <w:vAlign w:val="center"/>
                </w:tcPr>
                <w:p w14:paraId="3011B26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污染物</w:t>
                  </w:r>
                </w:p>
              </w:tc>
              <w:tc>
                <w:tcPr>
                  <w:tcW w:w="3217" w:type="dxa"/>
                  <w:noWrap w:val="0"/>
                  <w:vAlign w:val="center"/>
                </w:tcPr>
                <w:p w14:paraId="369ABDD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GB18918-2002中一级A标准</w:t>
                  </w:r>
                </w:p>
              </w:tc>
            </w:tr>
            <w:tr w14:paraId="15133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18457B7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3287" w:type="dxa"/>
                  <w:noWrap w:val="0"/>
                  <w:vAlign w:val="center"/>
                </w:tcPr>
                <w:p w14:paraId="1E303A9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COD</w:t>
                  </w:r>
                </w:p>
              </w:tc>
              <w:tc>
                <w:tcPr>
                  <w:tcW w:w="3217" w:type="dxa"/>
                  <w:noWrap w:val="0"/>
                  <w:vAlign w:val="center"/>
                </w:tcPr>
                <w:p w14:paraId="4890A50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50</w:t>
                  </w:r>
                </w:p>
              </w:tc>
            </w:tr>
            <w:tr w14:paraId="7AEC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78A15719">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3287" w:type="dxa"/>
                  <w:noWrap w:val="0"/>
                  <w:vAlign w:val="center"/>
                </w:tcPr>
                <w:p w14:paraId="193D18D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BOD</w:t>
                  </w:r>
                  <w:r>
                    <w:rPr>
                      <w:rFonts w:hint="default" w:ascii="Times New Roman" w:hAnsi="Times New Roman" w:cs="Times New Roman"/>
                      <w:color w:val="000000"/>
                      <w:vertAlign w:val="subscript"/>
                    </w:rPr>
                    <w:t>5</w:t>
                  </w:r>
                </w:p>
              </w:tc>
              <w:tc>
                <w:tcPr>
                  <w:tcW w:w="3217" w:type="dxa"/>
                  <w:noWrap w:val="0"/>
                  <w:vAlign w:val="center"/>
                </w:tcPr>
                <w:p w14:paraId="29A566F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10</w:t>
                  </w:r>
                </w:p>
              </w:tc>
            </w:tr>
            <w:tr w14:paraId="0F7B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3D545864">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3287" w:type="dxa"/>
                  <w:noWrap w:val="0"/>
                  <w:vAlign w:val="center"/>
                </w:tcPr>
                <w:p w14:paraId="3265674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SS</w:t>
                  </w:r>
                </w:p>
              </w:tc>
              <w:tc>
                <w:tcPr>
                  <w:tcW w:w="3217" w:type="dxa"/>
                  <w:noWrap w:val="0"/>
                  <w:vAlign w:val="center"/>
                </w:tcPr>
                <w:p w14:paraId="11C1D70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10</w:t>
                  </w:r>
                </w:p>
              </w:tc>
            </w:tr>
            <w:tr w14:paraId="4B57E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05AFA79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3287" w:type="dxa"/>
                  <w:noWrap w:val="0"/>
                  <w:vAlign w:val="center"/>
                </w:tcPr>
                <w:p w14:paraId="2CB5B9AF">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NH</w:t>
                  </w:r>
                  <w:r>
                    <w:rPr>
                      <w:rFonts w:hint="default" w:ascii="Times New Roman" w:hAnsi="Times New Roman" w:cs="Times New Roman"/>
                      <w:color w:val="000000"/>
                      <w:vertAlign w:val="subscript"/>
                    </w:rPr>
                    <w:t>3</w:t>
                  </w:r>
                  <w:r>
                    <w:rPr>
                      <w:rFonts w:hint="default" w:ascii="Times New Roman" w:hAnsi="Times New Roman" w:cs="Times New Roman"/>
                      <w:color w:val="000000"/>
                    </w:rPr>
                    <w:t>-N</w:t>
                  </w:r>
                </w:p>
              </w:tc>
              <w:tc>
                <w:tcPr>
                  <w:tcW w:w="3217" w:type="dxa"/>
                  <w:noWrap w:val="0"/>
                  <w:vAlign w:val="center"/>
                </w:tcPr>
                <w:p w14:paraId="2FAC9DE0">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5(8)</w:t>
                  </w:r>
                </w:p>
              </w:tc>
            </w:tr>
            <w:tr w14:paraId="358FB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122DB5E1">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3287" w:type="dxa"/>
                  <w:noWrap w:val="0"/>
                  <w:vAlign w:val="center"/>
                </w:tcPr>
                <w:p w14:paraId="59AC06D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石油类</w:t>
                  </w:r>
                </w:p>
              </w:tc>
              <w:tc>
                <w:tcPr>
                  <w:tcW w:w="3217" w:type="dxa"/>
                  <w:noWrap w:val="0"/>
                  <w:vAlign w:val="center"/>
                </w:tcPr>
                <w:p w14:paraId="065A9B9B">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1</w:t>
                  </w:r>
                </w:p>
              </w:tc>
            </w:tr>
            <w:tr w14:paraId="0E106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3" w:type="dxa"/>
                  <w:noWrap w:val="0"/>
                  <w:vAlign w:val="center"/>
                </w:tcPr>
                <w:p w14:paraId="55B4E5D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3287" w:type="dxa"/>
                  <w:noWrap w:val="0"/>
                  <w:vAlign w:val="center"/>
                </w:tcPr>
                <w:p w14:paraId="4282ADA0">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pH</w:t>
                  </w:r>
                </w:p>
              </w:tc>
              <w:tc>
                <w:tcPr>
                  <w:tcW w:w="3217" w:type="dxa"/>
                  <w:noWrap w:val="0"/>
                  <w:vAlign w:val="center"/>
                </w:tcPr>
                <w:p w14:paraId="449D45B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000000"/>
                    </w:rPr>
                  </w:pPr>
                  <w:r>
                    <w:rPr>
                      <w:rFonts w:hint="default" w:ascii="Times New Roman" w:hAnsi="Times New Roman" w:cs="Times New Roman"/>
                      <w:color w:val="000000"/>
                    </w:rPr>
                    <w:t>6-9</w:t>
                  </w:r>
                </w:p>
              </w:tc>
            </w:tr>
          </w:tbl>
          <w:p w14:paraId="2A544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eastAsia="zh-CN"/>
              </w:rPr>
            </w:pPr>
          </w:p>
          <w:p w14:paraId="5DBDB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3、噪声</w:t>
            </w:r>
          </w:p>
          <w:p w14:paraId="64498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项目所在区域厂界噪声执行《工业企业厂界环境噪声排放标准》</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GB12348-2008</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中</w:t>
            </w:r>
            <w:r>
              <w:rPr>
                <w:rFonts w:hint="default" w:ascii="Times New Roman" w:hAnsi="Times New Roman" w:cs="Times New Roman"/>
                <w:b w:val="0"/>
                <w:bCs w:val="0"/>
                <w:sz w:val="24"/>
                <w:szCs w:val="24"/>
                <w:lang w:eastAsia="zh-CN"/>
              </w:rPr>
              <w:t>3类</w:t>
            </w:r>
            <w:r>
              <w:rPr>
                <w:rFonts w:hint="default" w:ascii="Times New Roman" w:hAnsi="Times New Roman" w:eastAsia="宋体" w:cs="Times New Roman"/>
                <w:b w:val="0"/>
                <w:bCs w:val="0"/>
                <w:sz w:val="24"/>
                <w:szCs w:val="24"/>
                <w:lang w:eastAsia="zh-CN"/>
              </w:rPr>
              <w:t>标准</w:t>
            </w:r>
            <w:r>
              <w:rPr>
                <w:rFonts w:hint="default" w:ascii="Times New Roman" w:hAnsi="Times New Roman" w:eastAsia="宋体" w:cs="Times New Roman"/>
                <w:b w:val="0"/>
                <w:bCs w:val="0"/>
                <w:sz w:val="24"/>
                <w:szCs w:val="24"/>
              </w:rPr>
              <w:t>。建筑施工场界噪声执行《建筑施工场界环境噪声排放标准》（GB12523-20</w:t>
            </w:r>
            <w:r>
              <w:rPr>
                <w:rFonts w:hint="default" w:ascii="Times New Roman" w:hAnsi="Times New Roman" w:cs="Times New Roman"/>
                <w:b w:val="0"/>
                <w:bCs w:val="0"/>
                <w:sz w:val="24"/>
                <w:szCs w:val="24"/>
                <w:lang w:val="en-US" w:eastAsia="zh-CN"/>
              </w:rPr>
              <w:t>25</w:t>
            </w:r>
            <w:r>
              <w:rPr>
                <w:rFonts w:hint="default" w:ascii="Times New Roman" w:hAnsi="Times New Roman" w:eastAsia="宋体" w:cs="Times New Roman"/>
                <w:b w:val="0"/>
                <w:bCs w:val="0"/>
                <w:sz w:val="24"/>
                <w:szCs w:val="24"/>
              </w:rPr>
              <w:t>）。</w:t>
            </w:r>
          </w:p>
          <w:p w14:paraId="6DA9BFEE">
            <w:pPr>
              <w:keepNext w:val="0"/>
              <w:keepLines w:val="0"/>
              <w:suppressLineNumbers w:val="0"/>
              <w:spacing w:before="0" w:beforeAutospacing="0" w:after="0" w:afterAutospacing="0" w:line="360" w:lineRule="auto"/>
              <w:ind w:left="0" w:right="0"/>
              <w:jc w:val="center"/>
              <w:outlineLvl w:val="2"/>
              <w:rPr>
                <w:rFonts w:hint="default" w:ascii="Times New Roman" w:hAnsi="Times New Roman" w:cs="Times New Roman"/>
              </w:rPr>
            </w:pPr>
            <w:r>
              <w:rPr>
                <w:rFonts w:hint="default" w:ascii="Times New Roman" w:hAnsi="Times New Roman" w:cs="Times New Roman"/>
                <w:b/>
                <w:bCs/>
                <w:lang w:val="en-US" w:eastAsia="zh-CN"/>
              </w:rPr>
              <w:t>表3-7  工业企业厂界环境噪声排放标准  单位：dB（A）</w:t>
            </w:r>
          </w:p>
          <w:tbl>
            <w:tblPr>
              <w:tblStyle w:val="22"/>
              <w:tblW w:w="8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7"/>
              <w:gridCol w:w="1276"/>
              <w:gridCol w:w="1126"/>
            </w:tblGrid>
            <w:tr w14:paraId="47C3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817" w:type="dxa"/>
                  <w:noWrap w:val="0"/>
                  <w:vAlign w:val="center"/>
                </w:tcPr>
                <w:p w14:paraId="3D38968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标 准 名 称</w:t>
                  </w:r>
                </w:p>
              </w:tc>
              <w:tc>
                <w:tcPr>
                  <w:tcW w:w="1276" w:type="dxa"/>
                  <w:noWrap w:val="0"/>
                  <w:vAlign w:val="center"/>
                </w:tcPr>
                <w:p w14:paraId="3D8452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昼 间</w:t>
                  </w:r>
                </w:p>
              </w:tc>
              <w:tc>
                <w:tcPr>
                  <w:tcW w:w="1126" w:type="dxa"/>
                  <w:noWrap w:val="0"/>
                  <w:vAlign w:val="center"/>
                </w:tcPr>
                <w:p w14:paraId="238A5F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夜 间</w:t>
                  </w:r>
                </w:p>
              </w:tc>
            </w:tr>
            <w:tr w14:paraId="3270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817" w:type="dxa"/>
                  <w:noWrap w:val="0"/>
                  <w:vAlign w:val="center"/>
                </w:tcPr>
                <w:p w14:paraId="47F6C310">
                  <w:pPr>
                    <w:pStyle w:val="56"/>
                    <w:keepNext w:val="0"/>
                    <w:keepLines w:val="0"/>
                    <w:widowControl/>
                    <w:suppressLineNumbers w:val="0"/>
                    <w:adjustRightInd w:val="0"/>
                    <w:snapToGrid w:val="0"/>
                    <w:spacing w:before="0" w:beforeLines="0" w:beforeAutospacing="0" w:after="0" w:afterLines="0" w:afterAutospacing="0" w:line="240" w:lineRule="auto"/>
                    <w:ind w:left="0" w:right="0"/>
                    <w:rPr>
                      <w:rFonts w:hint="default" w:ascii="Times New Roman" w:hAnsi="Times New Roman" w:cs="Times New Roman"/>
                      <w:lang w:val="en-US" w:eastAsia="zh-CN"/>
                    </w:rPr>
                  </w:pPr>
                  <w:r>
                    <w:rPr>
                      <w:rFonts w:hint="default" w:ascii="Times New Roman" w:hAnsi="Times New Roman" w:cs="Times New Roman"/>
                      <w:lang w:val="en-US" w:eastAsia="zh-CN"/>
                    </w:rPr>
                    <w:t>GB12348-2008《工业企业厂界环境噪声排放标准》3类标准</w:t>
                  </w:r>
                </w:p>
              </w:tc>
              <w:tc>
                <w:tcPr>
                  <w:tcW w:w="1276" w:type="dxa"/>
                  <w:noWrap w:val="0"/>
                  <w:vAlign w:val="center"/>
                </w:tcPr>
                <w:p w14:paraId="004F174E">
                  <w:pPr>
                    <w:pStyle w:val="56"/>
                    <w:keepNext w:val="0"/>
                    <w:keepLines w:val="0"/>
                    <w:widowControl/>
                    <w:suppressLineNumbers w:val="0"/>
                    <w:adjustRightInd w:val="0"/>
                    <w:snapToGrid w:val="0"/>
                    <w:spacing w:before="0" w:beforeLines="0" w:beforeAutospacing="0" w:after="0" w:afterLines="0" w:afterAutospacing="0" w:line="240" w:lineRule="auto"/>
                    <w:ind w:left="0" w:right="0"/>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6" w:type="dxa"/>
                  <w:noWrap w:val="0"/>
                  <w:vAlign w:val="center"/>
                </w:tcPr>
                <w:p w14:paraId="14584BC5">
                  <w:pPr>
                    <w:pStyle w:val="56"/>
                    <w:keepNext w:val="0"/>
                    <w:keepLines w:val="0"/>
                    <w:widowControl/>
                    <w:suppressLineNumbers w:val="0"/>
                    <w:adjustRightInd w:val="0"/>
                    <w:snapToGrid w:val="0"/>
                    <w:spacing w:before="0" w:beforeLines="0" w:beforeAutospacing="0" w:after="0" w:afterLines="0" w:afterAutospacing="0" w:line="240" w:lineRule="auto"/>
                    <w:ind w:left="0" w:right="0"/>
                    <w:rPr>
                      <w:rFonts w:hint="default" w:ascii="Times New Roman" w:hAnsi="Times New Roman" w:cs="Times New Roman"/>
                      <w:lang w:val="en-US" w:eastAsia="zh-CN"/>
                    </w:rPr>
                  </w:pPr>
                  <w:r>
                    <w:rPr>
                      <w:rFonts w:hint="default" w:ascii="Times New Roman" w:hAnsi="Times New Roman" w:cs="Times New Roman"/>
                      <w:lang w:val="en-US" w:eastAsia="zh-CN"/>
                    </w:rPr>
                    <w:t>55</w:t>
                  </w:r>
                </w:p>
              </w:tc>
            </w:tr>
          </w:tbl>
          <w:p w14:paraId="7C7D011A">
            <w:pPr>
              <w:keepNext w:val="0"/>
              <w:keepLines w:val="0"/>
              <w:suppressLineNumbers w:val="0"/>
              <w:spacing w:before="0" w:beforeAutospacing="0" w:after="0" w:afterAutospacing="0" w:line="360" w:lineRule="auto"/>
              <w:ind w:left="0" w:right="0"/>
              <w:jc w:val="center"/>
              <w:outlineLvl w:val="2"/>
              <w:rPr>
                <w:rFonts w:hint="default" w:ascii="Times New Roman" w:hAnsi="Times New Roman" w:cs="Times New Roman"/>
                <w:lang w:val="en-US" w:eastAsia="zh-CN"/>
              </w:rPr>
            </w:pPr>
          </w:p>
          <w:p w14:paraId="7F8E05D2">
            <w:pPr>
              <w:keepNext w:val="0"/>
              <w:keepLines w:val="0"/>
              <w:suppressLineNumbers w:val="0"/>
              <w:spacing w:before="0" w:beforeAutospacing="0" w:after="0" w:afterAutospacing="0" w:line="360" w:lineRule="auto"/>
              <w:ind w:left="0" w:right="0"/>
              <w:jc w:val="center"/>
              <w:outlineLvl w:val="2"/>
              <w:rPr>
                <w:rFonts w:hint="default" w:ascii="Times New Roman" w:hAnsi="Times New Roman" w:cs="Times New Roman"/>
                <w:lang w:val="en-US" w:eastAsia="zh-CN"/>
              </w:rPr>
            </w:pPr>
            <w:r>
              <w:rPr>
                <w:rFonts w:hint="default" w:ascii="Times New Roman" w:hAnsi="Times New Roman" w:cs="Times New Roman"/>
                <w:b/>
                <w:bCs/>
                <w:lang w:val="en-US" w:eastAsia="zh-CN"/>
              </w:rPr>
              <w:t>表3-8 建筑施工场界环境噪声排放标准 单位Leq 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0"/>
              <w:gridCol w:w="4090"/>
            </w:tblGrid>
            <w:tr w14:paraId="47C2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090" w:type="dxa"/>
                  <w:noWrap w:val="0"/>
                  <w:vAlign w:val="center"/>
                </w:tcPr>
                <w:p w14:paraId="4E396398">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昼间</w:t>
                  </w:r>
                </w:p>
              </w:tc>
              <w:tc>
                <w:tcPr>
                  <w:tcW w:w="4090" w:type="dxa"/>
                  <w:noWrap w:val="0"/>
                  <w:vAlign w:val="center"/>
                </w:tcPr>
                <w:p w14:paraId="58DD72F9">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夜间</w:t>
                  </w:r>
                </w:p>
              </w:tc>
            </w:tr>
            <w:tr w14:paraId="608A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090" w:type="dxa"/>
                  <w:noWrap w:val="0"/>
                  <w:vAlign w:val="center"/>
                </w:tcPr>
                <w:p w14:paraId="177E23BA">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w:t>
                  </w:r>
                </w:p>
              </w:tc>
              <w:tc>
                <w:tcPr>
                  <w:tcW w:w="4090" w:type="dxa"/>
                  <w:noWrap w:val="0"/>
                  <w:vAlign w:val="center"/>
                </w:tcPr>
                <w:p w14:paraId="3E98056F">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55</w:t>
                  </w:r>
                </w:p>
              </w:tc>
            </w:tr>
          </w:tbl>
          <w:p w14:paraId="4F4A0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4、固废</w:t>
            </w:r>
          </w:p>
          <w:p w14:paraId="5BC27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Cs w:val="21"/>
              </w:rPr>
            </w:pPr>
            <w:r>
              <w:rPr>
                <w:rFonts w:hint="default" w:ascii="Times New Roman" w:hAnsi="Times New Roman" w:cs="Times New Roman"/>
                <w:color w:val="auto"/>
                <w:sz w:val="24"/>
                <w:lang w:val="en-AU"/>
              </w:rPr>
              <w:t>一般工业固体废物的贮存、处置参照执行《一般工业固体废物贮存和填埋污染控制标准》（GB 18599-2020）；</w:t>
            </w:r>
            <w:r>
              <w:rPr>
                <w:rFonts w:hint="default" w:ascii="Times New Roman" w:hAnsi="Times New Roman" w:cs="Times New Roman"/>
                <w:color w:val="auto"/>
                <w:sz w:val="24"/>
              </w:rPr>
              <w:t>危险</w:t>
            </w:r>
            <w:r>
              <w:rPr>
                <w:rFonts w:hint="default" w:ascii="Times New Roman" w:hAnsi="Times New Roman" w:cs="Times New Roman"/>
                <w:color w:val="auto"/>
                <w:sz w:val="24"/>
                <w:lang w:val="en-AU"/>
              </w:rPr>
              <w:t>废物执行《危险废物贮存污染控制标准》（GB18597-20</w:t>
            </w:r>
            <w:r>
              <w:rPr>
                <w:rFonts w:hint="default" w:ascii="Times New Roman" w:hAnsi="Times New Roman" w:cs="Times New Roman"/>
                <w:color w:val="auto"/>
                <w:sz w:val="24"/>
              </w:rPr>
              <w:t>23</w:t>
            </w:r>
            <w:r>
              <w:rPr>
                <w:rFonts w:hint="default" w:ascii="Times New Roman" w:hAnsi="Times New Roman" w:cs="Times New Roman"/>
                <w:color w:val="auto"/>
                <w:sz w:val="24"/>
                <w:lang w:val="en-AU"/>
              </w:rPr>
              <w:t>）的有关规定。</w:t>
            </w:r>
          </w:p>
        </w:tc>
      </w:tr>
      <w:tr w14:paraId="342BA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9" w:type="dxa"/>
            <w:noWrap w:val="0"/>
            <w:tcMar>
              <w:left w:w="28" w:type="dxa"/>
              <w:right w:w="28" w:type="dxa"/>
            </w:tcMar>
            <w:vAlign w:val="center"/>
          </w:tcPr>
          <w:p w14:paraId="699CC38B">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14:paraId="484B3EA7">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14:paraId="096969C8">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3969" w:type="dxa"/>
            <w:noWrap w:val="0"/>
            <w:vAlign w:val="center"/>
          </w:tcPr>
          <w:p w14:paraId="72B173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原安徽省环保厅发布的文件《关于进一步加强建设项目新增大气主要污染物总量指标管理工作的通知》（皖环发〔2017〕19号），大气主要污染物总量指标实行区域内等量或倍量削减替代。上年度空气质量不达标的城市，相应污染物指标应执行“倍量替代”。其中，上年度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不达标的城市，新增SO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、NOx和VOCs指标均要执行“倍量替代”。上年度PM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不达标的城市，新增烟（粉）尘指标要执行“倍量替代”。达到超低排放标准的新建火电项目无需执行“倍量替代”。</w:t>
            </w:r>
          </w:p>
          <w:p w14:paraId="54D003A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项目所在区域为淮北市，上年度PM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达标，新增大气污染物颗粒物的指标不需执行“倍量替代”。</w:t>
            </w:r>
          </w:p>
          <w:p w14:paraId="3740A6A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生活污水经产业园现有的化粪池收集后排入园区污水管网，进入龙湖污水处理厂集中处理后达标排放。循环冷却水排水为清净下水，直接通过市政污水管网进入污水处理厂进行深度处理。</w:t>
            </w:r>
            <w:r>
              <w:rPr>
                <w:rFonts w:hint="default" w:ascii="Times New Roman" w:hAnsi="Times New Roman" w:cs="Times New Roman"/>
                <w:color w:val="auto"/>
                <w:sz w:val="24"/>
                <w:szCs w:val="24"/>
                <w:lang w:val="en-US" w:eastAsia="zh-CN"/>
              </w:rPr>
              <w:t>项目废水污染物指标纳入污水处理厂水污染物指标范围内，</w:t>
            </w:r>
            <w:r>
              <w:rPr>
                <w:rFonts w:hint="default" w:ascii="Times New Roman" w:hAnsi="Times New Roman" w:cs="Times New Roman"/>
                <w:color w:val="auto"/>
                <w:sz w:val="24"/>
                <w:lang w:val="en-US" w:eastAsia="zh-CN"/>
              </w:rPr>
              <w:t>故</w:t>
            </w:r>
            <w:r>
              <w:rPr>
                <w:rFonts w:hint="default" w:ascii="Times New Roman" w:hAnsi="Times New Roman" w:cs="Times New Roman"/>
                <w:color w:val="auto"/>
                <w:sz w:val="24"/>
              </w:rPr>
              <w:t>无需申请水污染物总量指标。</w:t>
            </w:r>
          </w:p>
          <w:p w14:paraId="56AAED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lang w:val="en-US" w:eastAsia="zh-CN"/>
              </w:rPr>
            </w:pPr>
            <w:r>
              <w:rPr>
                <w:rFonts w:hint="default" w:ascii="Times New Roman" w:hAnsi="Times New Roman" w:cs="Times New Roman"/>
                <w:color w:val="auto"/>
                <w:sz w:val="24"/>
                <w:lang w:val="en-AU"/>
              </w:rPr>
              <w:t>本项目有组织废气主要为</w:t>
            </w:r>
            <w:r>
              <w:rPr>
                <w:rFonts w:hint="default" w:ascii="Times New Roman" w:hAnsi="Times New Roman" w:eastAsia="宋体" w:cs="Times New Roman"/>
                <w:bCs/>
                <w:sz w:val="24"/>
                <w:lang w:val="en-US" w:eastAsia="zh-CN"/>
              </w:rPr>
              <w:t>：</w:t>
            </w:r>
            <w:r>
              <w:rPr>
                <w:rFonts w:hint="eastAsia" w:ascii="Times New Roman" w:hAnsi="Times New Roman" w:cs="Times New Roman"/>
                <w:bCs/>
                <w:sz w:val="24"/>
                <w:lang w:val="en-US" w:eastAsia="zh-CN"/>
              </w:rPr>
              <w:t>颗粒物</w:t>
            </w:r>
            <w:r>
              <w:rPr>
                <w:rFonts w:hint="default" w:ascii="Times New Roman" w:hAnsi="Times New Roman" w:eastAsia="宋体" w:cs="Times New Roman"/>
                <w:bCs/>
                <w:sz w:val="24"/>
                <w:lang w:val="en-US" w:eastAsia="zh-CN"/>
              </w:rPr>
              <w:t>：</w:t>
            </w:r>
            <w:r>
              <w:rPr>
                <w:rFonts w:hint="eastAsia" w:ascii="Times New Roman" w:hAnsi="Times New Roman" w:cs="Times New Roman"/>
                <w:bCs/>
                <w:sz w:val="24"/>
                <w:lang w:val="en-US" w:eastAsia="zh-CN"/>
              </w:rPr>
              <w:t>0.017</w:t>
            </w:r>
            <w:r>
              <w:rPr>
                <w:rFonts w:hint="default" w:ascii="Times New Roman" w:hAnsi="Times New Roman" w:eastAsia="宋体" w:cs="Times New Roman"/>
                <w:bCs/>
                <w:sz w:val="24"/>
                <w:lang w:val="en-US" w:eastAsia="zh-CN"/>
              </w:rPr>
              <w:t>t/a，VOCs：</w:t>
            </w:r>
            <w:r>
              <w:rPr>
                <w:rFonts w:hint="eastAsia" w:ascii="Times New Roman" w:hAnsi="Times New Roman" w:cs="Times New Roman"/>
                <w:bCs/>
                <w:sz w:val="24"/>
                <w:lang w:val="en-US" w:eastAsia="zh-CN"/>
              </w:rPr>
              <w:t>0.064</w:t>
            </w:r>
            <w:r>
              <w:rPr>
                <w:rFonts w:hint="default" w:ascii="Times New Roman" w:hAnsi="Times New Roman" w:eastAsia="宋体" w:cs="Times New Roman"/>
                <w:bCs/>
                <w:sz w:val="24"/>
                <w:lang w:val="en-US" w:eastAsia="zh-CN"/>
              </w:rPr>
              <w:t>t/a</w:t>
            </w:r>
            <w:r>
              <w:rPr>
                <w:rFonts w:hint="eastAsia" w:ascii="Times New Roman" w:hAnsi="Times New Roman" w:cs="Times New Roman"/>
                <w:bCs/>
                <w:sz w:val="24"/>
                <w:lang w:val="en-US" w:eastAsia="zh-CN"/>
              </w:rPr>
              <w:t>；</w:t>
            </w:r>
            <w:r>
              <w:rPr>
                <w:rFonts w:hint="eastAsia" w:ascii="Times New Roman" w:hAnsi="Times New Roman" w:eastAsia="宋体" w:cs="Times New Roman"/>
                <w:bCs/>
                <w:kern w:val="0"/>
                <w:sz w:val="24"/>
                <w:szCs w:val="24"/>
                <w:lang w:val="en-US" w:eastAsia="zh-CN" w:bidi="ar"/>
              </w:rPr>
              <w:t>SO</w:t>
            </w:r>
            <w:r>
              <w:rPr>
                <w:rFonts w:hint="eastAsia" w:ascii="Times New Roman" w:hAnsi="Times New Roman" w:eastAsia="宋体" w:cs="Times New Roman"/>
                <w:bCs/>
                <w:kern w:val="0"/>
                <w:sz w:val="24"/>
                <w:szCs w:val="24"/>
                <w:vertAlign w:val="subscript"/>
                <w:lang w:val="en-US" w:eastAsia="zh-CN" w:bidi="ar"/>
              </w:rPr>
              <w:t>2</w:t>
            </w:r>
            <w:r>
              <w:rPr>
                <w:rFonts w:hint="eastAsia" w:ascii="Times New Roman" w:hAnsi="Times New Roman" w:eastAsia="宋体" w:cs="Times New Roman"/>
                <w:bCs/>
                <w:kern w:val="0"/>
                <w:sz w:val="24"/>
                <w:szCs w:val="24"/>
                <w:lang w:val="en-US" w:eastAsia="zh-CN" w:bidi="ar"/>
              </w:rPr>
              <w:t>:0.008t/a；NOx:0.076t/a。</w:t>
            </w:r>
          </w:p>
          <w:p w14:paraId="7C3324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lang w:val="en-US" w:eastAsia="zh-CN"/>
              </w:rPr>
            </w:pPr>
            <w:r>
              <w:rPr>
                <w:rFonts w:hint="default" w:ascii="Times New Roman" w:hAnsi="Times New Roman" w:cs="Times New Roman"/>
                <w:color w:val="auto"/>
                <w:sz w:val="24"/>
              </w:rPr>
              <w:t>则本项目总量申请指标为</w:t>
            </w:r>
            <w:r>
              <w:rPr>
                <w:rFonts w:hint="default" w:ascii="Times New Roman" w:hAnsi="Times New Roman" w:eastAsia="宋体" w:cs="Times New Roman"/>
                <w:bCs/>
                <w:sz w:val="24"/>
                <w:lang w:val="en-US" w:eastAsia="zh-CN"/>
              </w:rPr>
              <w:t>：</w:t>
            </w:r>
            <w:r>
              <w:rPr>
                <w:rFonts w:hint="eastAsia" w:ascii="Times New Roman" w:hAnsi="Times New Roman" w:cs="Times New Roman"/>
                <w:bCs/>
                <w:sz w:val="24"/>
                <w:lang w:val="en-US" w:eastAsia="zh-CN"/>
              </w:rPr>
              <w:t>颗粒物</w:t>
            </w:r>
            <w:r>
              <w:rPr>
                <w:rFonts w:hint="default" w:ascii="Times New Roman" w:hAnsi="Times New Roman" w:eastAsia="宋体" w:cs="Times New Roman"/>
                <w:bCs/>
                <w:sz w:val="24"/>
                <w:lang w:val="en-US" w:eastAsia="zh-CN"/>
              </w:rPr>
              <w:t>：</w:t>
            </w:r>
            <w:r>
              <w:rPr>
                <w:rFonts w:hint="eastAsia" w:ascii="Times New Roman" w:hAnsi="Times New Roman" w:cs="Times New Roman"/>
                <w:bCs/>
                <w:sz w:val="24"/>
                <w:lang w:val="en-US" w:eastAsia="zh-CN"/>
              </w:rPr>
              <w:t>0.017</w:t>
            </w:r>
            <w:r>
              <w:rPr>
                <w:rFonts w:hint="default" w:ascii="Times New Roman" w:hAnsi="Times New Roman" w:eastAsia="宋体" w:cs="Times New Roman"/>
                <w:bCs/>
                <w:sz w:val="24"/>
                <w:lang w:val="en-US" w:eastAsia="zh-CN"/>
              </w:rPr>
              <w:t>t/a，VOCs：</w:t>
            </w:r>
            <w:r>
              <w:rPr>
                <w:rFonts w:hint="eastAsia" w:ascii="Times New Roman" w:hAnsi="Times New Roman" w:cs="Times New Roman"/>
                <w:bCs/>
                <w:sz w:val="24"/>
                <w:lang w:val="en-US" w:eastAsia="zh-CN"/>
              </w:rPr>
              <w:t>0.064</w:t>
            </w:r>
            <w:r>
              <w:rPr>
                <w:rFonts w:hint="default" w:ascii="Times New Roman" w:hAnsi="Times New Roman" w:eastAsia="宋体" w:cs="Times New Roman"/>
                <w:bCs/>
                <w:sz w:val="24"/>
                <w:lang w:val="en-US" w:eastAsia="zh-CN"/>
              </w:rPr>
              <w:t>t/a</w:t>
            </w:r>
            <w:r>
              <w:rPr>
                <w:rFonts w:hint="eastAsia" w:ascii="Times New Roman" w:hAnsi="Times New Roman" w:cs="Times New Roman"/>
                <w:bCs/>
                <w:sz w:val="24"/>
                <w:lang w:val="en-US" w:eastAsia="zh-CN"/>
              </w:rPr>
              <w:t>；</w:t>
            </w:r>
            <w:r>
              <w:rPr>
                <w:rFonts w:hint="eastAsia" w:ascii="Times New Roman" w:hAnsi="Times New Roman" w:eastAsia="宋体" w:cs="Times New Roman"/>
                <w:bCs/>
                <w:kern w:val="0"/>
                <w:sz w:val="24"/>
                <w:szCs w:val="24"/>
                <w:lang w:val="en-US" w:eastAsia="zh-CN" w:bidi="ar"/>
              </w:rPr>
              <w:t>SO</w:t>
            </w:r>
            <w:r>
              <w:rPr>
                <w:rFonts w:hint="eastAsia" w:ascii="Times New Roman" w:hAnsi="Times New Roman" w:eastAsia="宋体" w:cs="Times New Roman"/>
                <w:bCs/>
                <w:kern w:val="0"/>
                <w:sz w:val="24"/>
                <w:szCs w:val="24"/>
                <w:vertAlign w:val="subscript"/>
                <w:lang w:val="en-US" w:eastAsia="zh-CN" w:bidi="ar"/>
              </w:rPr>
              <w:t>2</w:t>
            </w:r>
            <w:r>
              <w:rPr>
                <w:rFonts w:hint="eastAsia" w:ascii="Times New Roman" w:hAnsi="Times New Roman" w:eastAsia="宋体" w:cs="Times New Roman"/>
                <w:bCs/>
                <w:kern w:val="0"/>
                <w:sz w:val="24"/>
                <w:szCs w:val="24"/>
                <w:lang w:val="en-US" w:eastAsia="zh-CN" w:bidi="ar"/>
              </w:rPr>
              <w:t>:0.008t/a；NOx:0.076t/a。</w:t>
            </w:r>
          </w:p>
          <w:p w14:paraId="253F17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4"/>
              </w:rPr>
            </w:pPr>
          </w:p>
        </w:tc>
      </w:tr>
    </w:tbl>
    <w:p w14:paraId="7A1FDE24">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450"/>
      </w:tblGrid>
      <w:tr w14:paraId="1E2A23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58" w:type="dxa"/>
            <w:noWrap w:val="0"/>
            <w:tcMar>
              <w:left w:w="28" w:type="dxa"/>
              <w:right w:w="28" w:type="dxa"/>
            </w:tcMar>
            <w:vAlign w:val="center"/>
          </w:tcPr>
          <w:p w14:paraId="616A5A15">
            <w:pPr>
              <w:pStyle w:val="19"/>
              <w:keepNext w:val="0"/>
              <w:keepLines w:val="0"/>
              <w:suppressLineNumbers w:val="0"/>
              <w:adjustRightInd w:val="0"/>
              <w:snapToGrid w:val="0"/>
              <w:spacing w:before="0" w:beforeAutospacing="0" w:after="0" w:afterAutospacing="0" w:line="460" w:lineRule="exact"/>
              <w:ind w:left="0" w:right="0"/>
              <w:jc w:val="center"/>
              <w:rPr>
                <w:rFonts w:hint="eastAsia" w:cs="宋体"/>
                <w:kern w:val="2"/>
                <w:szCs w:val="24"/>
              </w:rPr>
            </w:pPr>
            <w:r>
              <w:rPr>
                <w:rFonts w:hint="eastAsia" w:cs="宋体"/>
                <w:kern w:val="2"/>
                <w:szCs w:val="24"/>
              </w:rPr>
              <w:t>施工</w:t>
            </w:r>
          </w:p>
          <w:p w14:paraId="626EA6CF">
            <w:pPr>
              <w:pStyle w:val="19"/>
              <w:keepNext w:val="0"/>
              <w:keepLines w:val="0"/>
              <w:suppressLineNumbers w:val="0"/>
              <w:adjustRightInd w:val="0"/>
              <w:snapToGrid w:val="0"/>
              <w:spacing w:before="0" w:beforeAutospacing="0" w:after="0" w:afterAutospacing="0" w:line="460" w:lineRule="exact"/>
              <w:ind w:left="0" w:right="0"/>
              <w:jc w:val="center"/>
              <w:rPr>
                <w:rFonts w:hint="eastAsia" w:cs="宋体"/>
                <w:kern w:val="2"/>
                <w:szCs w:val="24"/>
              </w:rPr>
            </w:pPr>
            <w:r>
              <w:rPr>
                <w:rFonts w:hint="eastAsia" w:cs="宋体"/>
                <w:kern w:val="2"/>
                <w:szCs w:val="24"/>
              </w:rPr>
              <w:t>期环</w:t>
            </w:r>
          </w:p>
          <w:p w14:paraId="467B6BC4">
            <w:pPr>
              <w:pStyle w:val="19"/>
              <w:keepNext w:val="0"/>
              <w:keepLines w:val="0"/>
              <w:suppressLineNumbers w:val="0"/>
              <w:adjustRightInd w:val="0"/>
              <w:snapToGrid w:val="0"/>
              <w:spacing w:before="0" w:beforeAutospacing="0" w:after="0" w:afterAutospacing="0" w:line="460" w:lineRule="exact"/>
              <w:ind w:left="0" w:right="0"/>
              <w:jc w:val="center"/>
              <w:rPr>
                <w:rFonts w:hint="eastAsia" w:cs="宋体"/>
                <w:kern w:val="2"/>
                <w:szCs w:val="24"/>
              </w:rPr>
            </w:pPr>
            <w:r>
              <w:rPr>
                <w:rFonts w:hint="eastAsia" w:cs="宋体"/>
                <w:kern w:val="2"/>
                <w:szCs w:val="24"/>
              </w:rPr>
              <w:t>境保</w:t>
            </w:r>
          </w:p>
          <w:p w14:paraId="7408ADC9">
            <w:pPr>
              <w:pStyle w:val="19"/>
              <w:keepNext w:val="0"/>
              <w:keepLines w:val="0"/>
              <w:suppressLineNumbers w:val="0"/>
              <w:adjustRightInd w:val="0"/>
              <w:snapToGrid w:val="0"/>
              <w:spacing w:before="0" w:beforeAutospacing="0" w:after="0" w:afterAutospacing="0" w:line="460" w:lineRule="exact"/>
              <w:ind w:left="0" w:right="0"/>
              <w:jc w:val="center"/>
              <w:rPr>
                <w:rFonts w:hint="eastAsia" w:cs="宋体"/>
                <w:kern w:val="2"/>
                <w:szCs w:val="24"/>
              </w:rPr>
            </w:pPr>
            <w:r>
              <w:rPr>
                <w:rFonts w:hint="eastAsia" w:cs="宋体"/>
                <w:kern w:val="2"/>
                <w:szCs w:val="24"/>
              </w:rPr>
              <w:t>护措</w:t>
            </w:r>
          </w:p>
          <w:p w14:paraId="5EB125F3">
            <w:pPr>
              <w:pStyle w:val="19"/>
              <w:keepNext w:val="0"/>
              <w:keepLines w:val="0"/>
              <w:suppressLineNumbers w:val="0"/>
              <w:adjustRightInd w:val="0"/>
              <w:snapToGrid w:val="0"/>
              <w:spacing w:before="0" w:beforeAutospacing="0" w:after="0" w:afterAutospacing="0" w:line="460" w:lineRule="exact"/>
              <w:ind w:left="0" w:right="0"/>
              <w:jc w:val="center"/>
              <w:rPr>
                <w:rFonts w:hint="eastAsia" w:cs="宋体"/>
                <w:bCs/>
                <w:kern w:val="2"/>
                <w:sz w:val="21"/>
                <w:szCs w:val="21"/>
              </w:rPr>
            </w:pPr>
            <w:r>
              <w:rPr>
                <w:rFonts w:hint="eastAsia" w:cs="宋体"/>
                <w:kern w:val="2"/>
                <w:szCs w:val="24"/>
              </w:rPr>
              <w:t>施</w:t>
            </w:r>
          </w:p>
        </w:tc>
        <w:tc>
          <w:tcPr>
            <w:tcW w:w="8450" w:type="dxa"/>
            <w:noWrap w:val="0"/>
            <w:vAlign w:val="center"/>
          </w:tcPr>
          <w:p w14:paraId="3E9FA3B8">
            <w:pPr>
              <w:keepNext w:val="0"/>
              <w:keepLines w:val="0"/>
              <w:suppressLineNumbers w:val="0"/>
              <w:spacing w:before="0" w:beforeAutospacing="0" w:after="0" w:afterAutospacing="0" w:line="360" w:lineRule="auto"/>
              <w:ind w:left="0" w:right="0" w:firstLine="480" w:firstLineChars="200"/>
              <w:rPr>
                <w:rFonts w:hint="default" w:ascii="宋体" w:hAnsi="宋体" w:cs="宋体"/>
                <w:bCs/>
                <w:sz w:val="24"/>
              </w:rPr>
            </w:pPr>
            <w:r>
              <w:rPr>
                <w:rFonts w:hint="eastAsia" w:ascii="Times New Roman" w:hAnsi="Times New Roman" w:eastAsia="宋体" w:cs="Times New Roman"/>
                <w:color w:val="auto"/>
                <w:sz w:val="24"/>
              </w:rPr>
              <w:t>本项目</w:t>
            </w:r>
            <w:r>
              <w:rPr>
                <w:rFonts w:hint="eastAsia" w:cs="Times New Roman"/>
                <w:color w:val="auto"/>
                <w:sz w:val="24"/>
                <w:lang w:val="en-US" w:eastAsia="zh-CN"/>
              </w:rPr>
              <w:t>在产业园现有空置</w:t>
            </w:r>
            <w:r>
              <w:rPr>
                <w:rFonts w:hint="eastAsia" w:ascii="Times New Roman" w:hAnsi="Times New Roman" w:eastAsia="宋体" w:cs="Times New Roman"/>
                <w:color w:val="auto"/>
                <w:sz w:val="24"/>
              </w:rPr>
              <w:t>厂房</w:t>
            </w:r>
            <w:r>
              <w:rPr>
                <w:rFonts w:hint="eastAsia" w:cs="Times New Roman"/>
                <w:color w:val="auto"/>
                <w:sz w:val="24"/>
                <w:lang w:val="en-US" w:eastAsia="zh-CN"/>
              </w:rPr>
              <w:t>内</w:t>
            </w:r>
            <w:r>
              <w:rPr>
                <w:rFonts w:hint="eastAsia" w:ascii="Times New Roman" w:hAnsi="Times New Roman" w:eastAsia="宋体" w:cs="Times New Roman"/>
                <w:color w:val="auto"/>
                <w:sz w:val="24"/>
              </w:rPr>
              <w:t>进行生产</w:t>
            </w:r>
            <w:r>
              <w:rPr>
                <w:rFonts w:hint="eastAsia" w:cs="Times New Roman"/>
                <w:color w:val="auto"/>
                <w:sz w:val="24"/>
                <w:lang w:val="en-US" w:eastAsia="zh-CN"/>
              </w:rPr>
              <w:t>线建设</w:t>
            </w:r>
            <w:r>
              <w:rPr>
                <w:rFonts w:hint="eastAsia" w:ascii="Times New Roman" w:hAnsi="Times New Roman" w:eastAsia="宋体" w:cs="Times New Roman"/>
                <w:color w:val="auto"/>
                <w:sz w:val="24"/>
              </w:rPr>
              <w:t>，本项目施工期仅进行设备安装，没有土建施工，不产生土建施工的相关环境影响，如机械噪声和扬尘等污染问题，但在设备安装过程会产生些机械噪声，源强峰值可达 85~100 分贝，因此，为控制设备安装期间的噪声污染，施工单位应尽量采用低噪声的器械，避免夜间进行高噪振动操作，从而减轻对厂界周围声环境的影响。另外设备安装期间产生的生活污水需排入市政污水管网，目前项目地生活污水已接管。生活垃圾应及时收集处理，设备安装期产生的固废应妥善处理，能回用的应回用，不能回用的应根据固废的性质不同交由不同的处理部门处理，从而维护厂区的环境卫生，保证产品质量。设备安装期的影响较短暂，随着安装调试的结束，环境影响随即停止。</w:t>
            </w:r>
          </w:p>
        </w:tc>
      </w:tr>
      <w:tr w14:paraId="3DEBA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58" w:type="dxa"/>
            <w:noWrap w:val="0"/>
            <w:tcMar>
              <w:left w:w="28" w:type="dxa"/>
              <w:right w:w="28" w:type="dxa"/>
            </w:tcMar>
            <w:vAlign w:val="center"/>
          </w:tcPr>
          <w:p w14:paraId="0EE3A49E">
            <w:pPr>
              <w:keepNext w:val="0"/>
              <w:keepLines w:val="0"/>
              <w:suppressLineNumbers w:val="0"/>
              <w:adjustRightInd w:val="0"/>
              <w:snapToGrid w:val="0"/>
              <w:spacing w:before="0" w:beforeAutospacing="0" w:after="0" w:afterAutospacing="0" w:line="460" w:lineRule="exact"/>
              <w:ind w:left="0" w:right="0"/>
              <w:jc w:val="center"/>
              <w:rPr>
                <w:rFonts w:hint="default" w:ascii="宋体" w:hAnsi="宋体" w:cs="宋体"/>
                <w:bCs/>
                <w:szCs w:val="21"/>
              </w:rPr>
            </w:pPr>
            <w:r>
              <w:rPr>
                <w:rFonts w:hint="eastAsia" w:ascii="宋体" w:hAnsi="宋体" w:cs="宋体"/>
                <w:bCs/>
                <w:sz w:val="24"/>
              </w:rPr>
              <w:t>运营期环境影响和保护措施</w:t>
            </w:r>
          </w:p>
        </w:tc>
        <w:tc>
          <w:tcPr>
            <w:tcW w:w="8450" w:type="dxa"/>
            <w:noWrap w:val="0"/>
            <w:vAlign w:val="top"/>
          </w:tcPr>
          <w:p w14:paraId="79B8C96C">
            <w:pPr>
              <w:keepNext w:val="0"/>
              <w:keepLines w:val="0"/>
              <w:suppressLineNumbers w:val="0"/>
              <w:adjustRightInd w:val="0"/>
              <w:snapToGrid w:val="0"/>
              <w:spacing w:before="0" w:beforeAutospacing="0" w:after="0" w:afterAutospacing="0" w:line="460" w:lineRule="exact"/>
              <w:ind w:left="0" w:right="0" w:firstLine="482" w:firstLineChars="200"/>
              <w:rPr>
                <w:rFonts w:hint="eastAsia" w:ascii="宋体" w:hAnsi="宋体" w:eastAsia="宋体" w:cs="宋体"/>
                <w:b/>
                <w:bCs w:val="0"/>
                <w:sz w:val="24"/>
              </w:rPr>
            </w:pPr>
            <w:r>
              <w:rPr>
                <w:rFonts w:hint="eastAsia" w:ascii="宋体" w:hAnsi="宋体" w:eastAsia="宋体" w:cs="宋体"/>
                <w:b/>
                <w:bCs w:val="0"/>
                <w:sz w:val="24"/>
              </w:rPr>
              <w:t>一、运营期废水</w:t>
            </w:r>
          </w:p>
          <w:p w14:paraId="17C5937F">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宋体" w:cs="Times New Roman"/>
                <w:color w:val="auto"/>
                <w:kern w:val="21"/>
                <w:sz w:val="24"/>
                <w:lang w:val="en-US" w:eastAsia="zh-CN"/>
              </w:rPr>
            </w:pPr>
            <w:r>
              <w:rPr>
                <w:rFonts w:hint="eastAsia" w:ascii="Times New Roman" w:hAnsi="Times New Roman" w:eastAsia="宋体" w:cs="Times New Roman"/>
                <w:color w:val="auto"/>
                <w:kern w:val="21"/>
                <w:sz w:val="24"/>
                <w:lang w:val="en-US" w:eastAsia="zh-CN"/>
              </w:rPr>
              <w:t>（一）</w:t>
            </w:r>
            <w:r>
              <w:rPr>
                <w:rFonts w:hint="default" w:ascii="Times New Roman" w:hAnsi="Times New Roman" w:eastAsia="宋体" w:cs="Times New Roman"/>
                <w:color w:val="auto"/>
                <w:kern w:val="21"/>
                <w:sz w:val="24"/>
                <w:lang w:val="en-US" w:eastAsia="zh-CN"/>
              </w:rPr>
              <w:t>项目用水及排水情况</w:t>
            </w:r>
          </w:p>
          <w:p w14:paraId="73ED0B20">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宋体"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1、员工生活用水与生活污水</w:t>
            </w:r>
          </w:p>
          <w:p w14:paraId="6D8FC8DA">
            <w:pPr>
              <w:keepNext w:val="0"/>
              <w:keepLines w:val="0"/>
              <w:suppressLineNumbers w:val="0"/>
              <w:adjustRightInd w:val="0"/>
              <w:snapToGrid w:val="0"/>
              <w:spacing w:before="0" w:beforeAutospacing="0" w:after="0" w:afterAutospacing="0" w:line="460" w:lineRule="exact"/>
              <w:ind w:left="0" w:right="0" w:firstLine="480" w:firstLineChars="200"/>
              <w:rPr>
                <w:rFonts w:hint="eastAsia" w:cs="Times New Roman"/>
                <w:color w:val="auto"/>
                <w:kern w:val="21"/>
                <w:sz w:val="24"/>
                <w:lang w:val="en-US" w:eastAsia="zh-CN"/>
              </w:rPr>
            </w:pPr>
            <w:r>
              <w:rPr>
                <w:rFonts w:hint="default" w:ascii="Times New Roman" w:hAnsi="Times New Roman" w:eastAsia="宋体" w:cs="Times New Roman"/>
                <w:color w:val="auto"/>
                <w:kern w:val="21"/>
                <w:sz w:val="24"/>
                <w:lang w:val="en-US" w:eastAsia="zh-CN"/>
              </w:rPr>
              <w:t>本项目年工作300天，新增劳动定员</w:t>
            </w:r>
            <w:r>
              <w:rPr>
                <w:rFonts w:hint="eastAsia" w:cs="Times New Roman"/>
                <w:color w:val="auto"/>
                <w:kern w:val="21"/>
                <w:sz w:val="24"/>
                <w:lang w:val="en-US" w:eastAsia="zh-CN"/>
              </w:rPr>
              <w:t>8</w:t>
            </w:r>
            <w:r>
              <w:rPr>
                <w:rFonts w:hint="default" w:ascii="Times New Roman" w:hAnsi="Times New Roman" w:eastAsia="宋体" w:cs="Times New Roman"/>
                <w:color w:val="auto"/>
                <w:kern w:val="21"/>
                <w:sz w:val="24"/>
                <w:lang w:val="en-US" w:eastAsia="zh-CN"/>
              </w:rPr>
              <w:t>0人，不提供食宿，《安徽省行业用水定额》（DB34/T679-2019）中的相关规定</w:t>
            </w:r>
            <w:r>
              <w:rPr>
                <w:rFonts w:hint="eastAsia" w:cs="Times New Roman"/>
                <w:color w:val="auto"/>
                <w:kern w:val="21"/>
                <w:sz w:val="24"/>
                <w:lang w:val="en-US" w:eastAsia="zh-CN"/>
              </w:rPr>
              <w:t>，</w:t>
            </w:r>
            <w:r>
              <w:rPr>
                <w:rFonts w:hint="default" w:ascii="Times New Roman" w:hAnsi="Times New Roman" w:eastAsia="宋体" w:cs="Times New Roman"/>
                <w:color w:val="auto"/>
                <w:kern w:val="21"/>
                <w:sz w:val="24"/>
                <w:lang w:val="en-US" w:eastAsia="zh-CN"/>
              </w:rPr>
              <w:t>人均用水量按50 L/人·天计，则项目生活用水量为，</w:t>
            </w:r>
            <w:r>
              <w:rPr>
                <w:rFonts w:hint="eastAsia" w:cs="Times New Roman"/>
                <w:color w:val="auto"/>
                <w:kern w:val="21"/>
                <w:sz w:val="24"/>
                <w:lang w:val="en-US" w:eastAsia="zh-CN"/>
              </w:rPr>
              <w:t>4</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/d，即</w:t>
            </w:r>
            <w:r>
              <w:rPr>
                <w:rFonts w:hint="eastAsia" w:cs="Times New Roman"/>
                <w:color w:val="auto"/>
                <w:kern w:val="21"/>
                <w:sz w:val="24"/>
                <w:lang w:val="en-US" w:eastAsia="zh-CN"/>
              </w:rPr>
              <w:t>12</w:t>
            </w:r>
            <w:r>
              <w:rPr>
                <w:rFonts w:hint="default" w:ascii="Times New Roman" w:hAnsi="Times New Roman" w:eastAsia="宋体" w:cs="Times New Roman"/>
                <w:color w:val="auto"/>
                <w:kern w:val="21"/>
                <w:sz w:val="24"/>
                <w:lang w:val="en-US" w:eastAsia="zh-CN"/>
              </w:rPr>
              <w:t>00m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/a，废水产生量按用水量的80%计，则生活污水产生量为</w:t>
            </w:r>
            <w:r>
              <w:rPr>
                <w:rFonts w:hint="eastAsia" w:cs="Times New Roman"/>
                <w:color w:val="auto"/>
                <w:kern w:val="21"/>
                <w:sz w:val="24"/>
                <w:lang w:val="en-US" w:eastAsia="zh-CN"/>
              </w:rPr>
              <w:t>3.2</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/d，即</w:t>
            </w:r>
            <w:r>
              <w:rPr>
                <w:rFonts w:hint="eastAsia" w:cs="Times New Roman"/>
                <w:color w:val="auto"/>
                <w:kern w:val="21"/>
                <w:sz w:val="24"/>
                <w:lang w:val="en-US" w:eastAsia="zh-CN"/>
              </w:rPr>
              <w:t>96</w:t>
            </w:r>
            <w:r>
              <w:rPr>
                <w:rFonts w:hint="default" w:ascii="Times New Roman" w:hAnsi="Times New Roman" w:eastAsia="宋体" w:cs="Times New Roman"/>
                <w:color w:val="auto"/>
                <w:kern w:val="21"/>
                <w:sz w:val="24"/>
                <w:lang w:val="en-US" w:eastAsia="zh-CN"/>
              </w:rPr>
              <w:t>0m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/a。生活污水经化粪池收集后，排入园区污水管网，进入龙湖污水处理厂集中处理后达标排放</w:t>
            </w:r>
            <w:r>
              <w:rPr>
                <w:rFonts w:hint="eastAsia" w:cs="Times New Roman"/>
                <w:color w:val="auto"/>
                <w:kern w:val="21"/>
                <w:sz w:val="24"/>
                <w:lang w:val="en-US" w:eastAsia="zh-CN"/>
              </w:rPr>
              <w:t>。</w:t>
            </w:r>
          </w:p>
          <w:p w14:paraId="4E135DB5">
            <w:pPr>
              <w:keepNext w:val="0"/>
              <w:keepLines w:val="0"/>
              <w:numPr>
                <w:ilvl w:val="0"/>
                <w:numId w:val="0"/>
              </w:numPr>
              <w:suppressLineNumbers w:val="0"/>
              <w:adjustRightInd w:val="0"/>
              <w:snapToGrid w:val="0"/>
              <w:spacing w:before="0" w:beforeAutospacing="0" w:after="0" w:afterAutospacing="0" w:line="460" w:lineRule="exact"/>
              <w:ind w:left="420" w:leftChars="200" w:right="0" w:rightChars="0"/>
              <w:rPr>
                <w:rFonts w:hint="eastAsia" w:cs="Times New Roman"/>
                <w:color w:val="auto"/>
                <w:kern w:val="21"/>
                <w:sz w:val="24"/>
                <w:lang w:val="en-US" w:eastAsia="zh-CN"/>
              </w:rPr>
            </w:pPr>
            <w:r>
              <w:rPr>
                <w:rFonts w:hint="eastAsia" w:cs="Times New Roman"/>
                <w:color w:val="auto"/>
                <w:kern w:val="21"/>
                <w:sz w:val="24"/>
                <w:lang w:val="en-US" w:eastAsia="zh-CN"/>
              </w:rPr>
              <w:t>2、循环冷却塔补充用水与排水</w:t>
            </w:r>
          </w:p>
          <w:p w14:paraId="48828BCF">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eastAsia" w:cs="Times New Roman"/>
                <w:color w:val="auto"/>
                <w:kern w:val="21"/>
                <w:sz w:val="24"/>
                <w:lang w:val="en-US" w:eastAsia="zh-CN"/>
              </w:rPr>
            </w:pPr>
            <w:r>
              <w:rPr>
                <w:rFonts w:hint="eastAsia" w:cs="Times New Roman"/>
                <w:color w:val="auto"/>
                <w:kern w:val="21"/>
                <w:sz w:val="24"/>
                <w:lang w:val="en-US" w:eastAsia="zh-CN"/>
              </w:rPr>
              <w:t>拟建项目冷却水主要为设备间接冷却水，冷却水循环使用，定期补充，所需循环水量为350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h，根据《</w:t>
            </w:r>
            <w:r>
              <w:rPr>
                <w:rFonts w:hint="eastAsia" w:cs="Times New Roman"/>
                <w:color w:val="auto"/>
                <w:kern w:val="21"/>
                <w:sz w:val="24"/>
                <w:lang w:val="en-US" w:eastAsia="zh-CN"/>
              </w:rPr>
              <w:t>工业循环冷却水处理设计规范》(GB/T50050-2017)，循环水系统补充水量为4.55</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w:t>
            </w:r>
            <w:r>
              <w:rPr>
                <w:rFonts w:hint="eastAsia" w:cs="Times New Roman"/>
                <w:color w:val="auto"/>
                <w:kern w:val="21"/>
                <w:sz w:val="24"/>
                <w:lang w:val="en-US" w:eastAsia="zh-CN"/>
              </w:rPr>
              <w:t>，补充水量为109.2</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d</w:t>
            </w:r>
            <w:r>
              <w:rPr>
                <w:rFonts w:hint="eastAsia" w:cs="Times New Roman"/>
                <w:color w:val="auto"/>
                <w:kern w:val="21"/>
                <w:sz w:val="24"/>
                <w:lang w:val="en-US" w:eastAsia="zh-CN"/>
              </w:rPr>
              <w:t>、32760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a</w:t>
            </w:r>
            <w:r>
              <w:rPr>
                <w:rFonts w:hint="eastAsia" w:cs="Times New Roman"/>
                <w:color w:val="auto"/>
                <w:kern w:val="21"/>
                <w:sz w:val="24"/>
                <w:lang w:val="en-US" w:eastAsia="zh-CN"/>
              </w:rPr>
              <w:t>。根据《工业循环冷却水处理设计规范》(GB/T50050-2017)，循环水系统排水量为0.875</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default" w:ascii="Times New Roman" w:hAnsi="Times New Roman" w:eastAsia="宋体" w:cs="Times New Roman"/>
                <w:color w:val="auto"/>
                <w:kern w:val="21"/>
                <w:sz w:val="24"/>
                <w:lang w:val="en-US" w:eastAsia="zh-CN"/>
              </w:rPr>
              <w:t>/</w:t>
            </w:r>
            <w:r>
              <w:rPr>
                <w:rFonts w:hint="eastAsia" w:ascii="Times New Roman" w:hAnsi="Times New Roman" w:eastAsia="宋体" w:cs="Times New Roman"/>
                <w:color w:val="auto"/>
                <w:kern w:val="21"/>
                <w:sz w:val="24"/>
                <w:lang w:val="en-US" w:eastAsia="zh-CN"/>
              </w:rPr>
              <w:t>h</w:t>
            </w:r>
            <w:r>
              <w:rPr>
                <w:rFonts w:hint="eastAsia" w:cs="Times New Roman"/>
                <w:color w:val="auto"/>
                <w:kern w:val="21"/>
                <w:sz w:val="24"/>
                <w:lang w:val="en-US" w:eastAsia="zh-CN"/>
              </w:rPr>
              <w:t>，排水量为21</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eastAsia" w:cs="Times New Roman"/>
                <w:color w:val="auto"/>
                <w:kern w:val="21"/>
                <w:sz w:val="24"/>
                <w:lang w:val="en-US" w:eastAsia="zh-CN"/>
              </w:rPr>
              <w:t>/d、6300</w:t>
            </w:r>
            <w:r>
              <w:rPr>
                <w:rFonts w:hint="default" w:ascii="Times New Roman" w:hAnsi="Times New Roman" w:eastAsia="宋体" w:cs="Times New Roman"/>
                <w:color w:val="auto"/>
                <w:kern w:val="21"/>
                <w:sz w:val="24"/>
                <w:lang w:val="en-US" w:eastAsia="zh-CN"/>
              </w:rPr>
              <w:t>m</w:t>
            </w:r>
            <w:r>
              <w:rPr>
                <w:rFonts w:hint="default" w:ascii="Times New Roman" w:hAnsi="Times New Roman" w:eastAsia="宋体" w:cs="Times New Roman"/>
                <w:color w:val="auto"/>
                <w:kern w:val="21"/>
                <w:sz w:val="24"/>
                <w:vertAlign w:val="superscript"/>
                <w:lang w:val="en-US" w:eastAsia="zh-CN"/>
              </w:rPr>
              <w:t>3</w:t>
            </w:r>
            <w:r>
              <w:rPr>
                <w:rFonts w:hint="eastAsia" w:cs="Times New Roman"/>
                <w:color w:val="auto"/>
                <w:kern w:val="21"/>
                <w:sz w:val="24"/>
                <w:lang w:val="en-US" w:eastAsia="zh-CN"/>
              </w:rPr>
              <w:t>/a，循环冷却水排水为清净下水，直接通过市政污水管网进入污水处理厂进行深度处理。</w:t>
            </w:r>
          </w:p>
          <w:p w14:paraId="0D720269">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eastAsia" w:cs="Times New Roman"/>
                <w:color w:val="auto"/>
                <w:kern w:val="21"/>
                <w:sz w:val="24"/>
                <w:lang w:val="en-US" w:eastAsia="zh-CN"/>
              </w:rPr>
            </w:pPr>
            <w:r>
              <w:rPr>
                <w:rFonts w:hint="eastAsia" w:cs="Times New Roman"/>
                <w:color w:val="auto"/>
                <w:kern w:val="21"/>
                <w:sz w:val="24"/>
                <w:lang w:val="en-US" w:eastAsia="zh-CN"/>
              </w:rPr>
              <w:t>3、配比用水</w:t>
            </w:r>
          </w:p>
          <w:p w14:paraId="6CA5EAE8">
            <w:pPr>
              <w:keepNext w:val="0"/>
              <w:keepLines w:val="0"/>
              <w:numPr>
                <w:ilvl w:val="0"/>
                <w:numId w:val="0"/>
              </w:numPr>
              <w:suppressLineNumbers w:val="0"/>
              <w:adjustRightInd w:val="0"/>
              <w:snapToGrid w:val="0"/>
              <w:spacing w:before="0" w:beforeAutospacing="0" w:after="0" w:afterAutospacing="0" w:line="460" w:lineRule="exact"/>
              <w:ind w:left="0" w:right="0" w:rightChars="0" w:firstLine="480" w:firstLineChars="200"/>
              <w:rPr>
                <w:rFonts w:hint="default" w:ascii="Times New Roman" w:hAnsi="Times New Roman" w:eastAsia="宋体" w:cs="Times New Roman"/>
                <w:color w:val="auto"/>
                <w:kern w:val="21"/>
                <w:sz w:val="24"/>
                <w:lang w:eastAsia="zh-CN"/>
              </w:rPr>
            </w:pPr>
            <w:r>
              <w:rPr>
                <w:rFonts w:hint="eastAsia" w:cs="Times New Roman"/>
                <w:color w:val="auto"/>
                <w:kern w:val="21"/>
                <w:sz w:val="24"/>
                <w:lang w:val="en-US" w:eastAsia="zh-CN"/>
              </w:rPr>
              <w:t>项目在生产过程中需要将粒状酚醛树脂和水进行配比，比例为</w:t>
            </w:r>
            <w:r>
              <w:rPr>
                <w:rFonts w:hint="eastAsia" w:ascii="Times New Roman" w:hAnsi="Times New Roman" w:eastAsia="宋体" w:cs="Times New Roman"/>
                <w:snapToGrid/>
                <w:sz w:val="24"/>
                <w:szCs w:val="21"/>
                <w:lang w:val="en-US" w:eastAsia="zh-CN"/>
              </w:rPr>
              <w:t>水：树脂=99：1</w:t>
            </w:r>
            <w:r>
              <w:rPr>
                <w:rFonts w:hint="eastAsia" w:cs="Times New Roman"/>
                <w:color w:val="auto"/>
                <w:kern w:val="21"/>
                <w:sz w:val="24"/>
                <w:lang w:val="en-US" w:eastAsia="zh-CN"/>
              </w:rPr>
              <w:t>，配比使用的酚醛树脂量为0.25t/a，则配比用水量为24.75m</w:t>
            </w:r>
            <w:r>
              <w:rPr>
                <w:rFonts w:hint="eastAsia" w:cs="Times New Roman"/>
                <w:color w:val="auto"/>
                <w:kern w:val="21"/>
                <w:sz w:val="24"/>
                <w:vertAlign w:val="superscript"/>
                <w:lang w:val="en-US" w:eastAsia="zh-CN"/>
              </w:rPr>
              <w:t>3</w:t>
            </w:r>
            <w:r>
              <w:rPr>
                <w:rFonts w:hint="eastAsia" w:cs="Times New Roman"/>
                <w:color w:val="auto"/>
                <w:kern w:val="21"/>
                <w:sz w:val="24"/>
                <w:lang w:val="en-US" w:eastAsia="zh-CN"/>
              </w:rPr>
              <w:t>/a（平均为0.083m</w:t>
            </w:r>
            <w:r>
              <w:rPr>
                <w:rFonts w:hint="eastAsia" w:cs="Times New Roman"/>
                <w:color w:val="auto"/>
                <w:kern w:val="21"/>
                <w:sz w:val="24"/>
                <w:vertAlign w:val="superscript"/>
                <w:lang w:val="en-US" w:eastAsia="zh-CN"/>
              </w:rPr>
              <w:t>3</w:t>
            </w:r>
            <w:r>
              <w:rPr>
                <w:rFonts w:hint="eastAsia" w:cs="Times New Roman"/>
                <w:color w:val="auto"/>
                <w:kern w:val="21"/>
                <w:sz w:val="24"/>
                <w:lang w:val="en-US" w:eastAsia="zh-CN"/>
              </w:rPr>
              <w:t>/d），配比水全部蒸发损耗。</w:t>
            </w:r>
          </w:p>
          <w:p w14:paraId="78CBB5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Style w:val="84"/>
                <w:rFonts w:hint="default" w:cs="Times New Roman"/>
                <w:color w:val="000000" w:themeColor="text1"/>
                <w14:textFill>
                  <w14:solidFill>
                    <w14:schemeClr w14:val="tx1"/>
                  </w14:solidFill>
                </w14:textFill>
              </w:rPr>
            </w:pPr>
          </w:p>
          <w:p w14:paraId="69C62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14:textFill>
                  <w14:solidFill>
                    <w14:schemeClr w14:val="tx1"/>
                  </w14:solidFill>
                </w14:textFill>
              </w:rPr>
            </w:pPr>
            <w:r>
              <w:rPr>
                <w:rStyle w:val="84"/>
                <w:rFonts w:hint="default" w:cs="Times New Roman"/>
                <w:color w:val="000000" w:themeColor="text1"/>
                <w14:textFill>
                  <w14:solidFill>
                    <w14:schemeClr w14:val="tx1"/>
                  </w14:solidFill>
                </w14:textFill>
              </w:rPr>
              <w:t>表</w:t>
            </w:r>
            <w:r>
              <w:rPr>
                <w:rStyle w:val="84"/>
                <w:rFonts w:hint="eastAsia" w:cs="Times New Roman"/>
                <w:color w:val="000000" w:themeColor="text1"/>
                <w:lang w:val="en-US" w:eastAsia="zh-CN"/>
                <w14:textFill>
                  <w14:solidFill>
                    <w14:schemeClr w14:val="tx1"/>
                  </w14:solidFill>
                </w14:textFill>
              </w:rPr>
              <w:t>4</w:t>
            </w:r>
            <w:r>
              <w:rPr>
                <w:rStyle w:val="84"/>
                <w:rFonts w:hint="default" w:cs="Times New Roman"/>
                <w:color w:val="000000" w:themeColor="text1"/>
                <w14:textFill>
                  <w14:solidFill>
                    <w14:schemeClr w14:val="tx1"/>
                  </w14:solidFill>
                </w14:textFill>
              </w:rPr>
              <w:t>-</w:t>
            </w:r>
            <w:r>
              <w:rPr>
                <w:rStyle w:val="84"/>
                <w:rFonts w:hint="eastAsia" w:cs="Times New Roman"/>
                <w:color w:val="000000" w:themeColor="text1"/>
                <w:lang w:val="en-US" w:eastAsia="zh-CN"/>
                <w14:textFill>
                  <w14:solidFill>
                    <w14:schemeClr w14:val="tx1"/>
                  </w14:solidFill>
                </w14:textFill>
              </w:rPr>
              <w:t>1</w:t>
            </w:r>
            <w:r>
              <w:rPr>
                <w:rStyle w:val="84"/>
                <w:rFonts w:hint="default" w:cs="Times New Roman"/>
                <w:color w:val="000000" w:themeColor="text1"/>
                <w14:textFill>
                  <w14:solidFill>
                    <w14:schemeClr w14:val="tx1"/>
                  </w14:solidFill>
                </w14:textFill>
              </w:rPr>
              <w:t xml:space="preserve">  </w:t>
            </w:r>
            <w:r>
              <w:rPr>
                <w:rStyle w:val="84"/>
                <w:rFonts w:hint="eastAsia" w:cs="Times New Roman"/>
                <w:color w:val="000000" w:themeColor="text1"/>
                <w:lang w:val="en-US" w:eastAsia="zh-CN"/>
                <w14:textFill>
                  <w14:solidFill>
                    <w14:schemeClr w14:val="tx1"/>
                  </w14:solidFill>
                </w14:textFill>
              </w:rPr>
              <w:t>本</w:t>
            </w:r>
            <w:r>
              <w:rPr>
                <w:rStyle w:val="84"/>
                <w:rFonts w:hint="default" w:cs="Times New Roman"/>
                <w:color w:val="000000" w:themeColor="text1"/>
                <w14:textFill>
                  <w14:solidFill>
                    <w14:schemeClr w14:val="tx1"/>
                  </w14:solidFill>
                </w14:textFill>
              </w:rPr>
              <w:t>项目用水、排水情况一览表单位：t/d</w:t>
            </w:r>
          </w:p>
          <w:tbl>
            <w:tblPr>
              <w:tblStyle w:val="2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021"/>
              <w:gridCol w:w="1021"/>
              <w:gridCol w:w="1021"/>
              <w:gridCol w:w="891"/>
              <w:gridCol w:w="1196"/>
              <w:gridCol w:w="1041"/>
              <w:gridCol w:w="1007"/>
            </w:tblGrid>
            <w:tr w14:paraId="1814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24" w:type="pct"/>
                  <w:vMerge w:val="restart"/>
                  <w:tcBorders>
                    <w:tl2br w:val="nil"/>
                    <w:tr2bl w:val="nil"/>
                  </w:tcBorders>
                  <w:noWrap w:val="0"/>
                  <w:vAlign w:val="center"/>
                </w:tcPr>
                <w:p w14:paraId="04ED57A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序号</w:t>
                  </w:r>
                </w:p>
              </w:tc>
              <w:tc>
                <w:tcPr>
                  <w:tcW w:w="624" w:type="pct"/>
                  <w:vMerge w:val="restart"/>
                  <w:tcBorders>
                    <w:tl2br w:val="nil"/>
                    <w:tr2bl w:val="nil"/>
                  </w:tcBorders>
                  <w:noWrap w:val="0"/>
                  <w:vAlign w:val="center"/>
                </w:tcPr>
                <w:p w14:paraId="29EB1F1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用水项目</w:t>
                  </w:r>
                </w:p>
              </w:tc>
              <w:tc>
                <w:tcPr>
                  <w:tcW w:w="624" w:type="pct"/>
                  <w:vMerge w:val="restart"/>
                  <w:tcBorders>
                    <w:tl2br w:val="nil"/>
                    <w:tr2bl w:val="nil"/>
                  </w:tcBorders>
                  <w:noWrap w:val="0"/>
                  <w:vAlign w:val="center"/>
                </w:tcPr>
                <w:p w14:paraId="26022D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pacing w:val="0"/>
                      <w:kern w:val="2"/>
                      <w:sz w:val="21"/>
                      <w:szCs w:val="24"/>
                    </w:rPr>
                  </w:pPr>
                  <w:r>
                    <w:rPr>
                      <w:rFonts w:hint="default" w:ascii="Times New Roman" w:hAnsi="Times New Roman" w:eastAsia="宋体" w:cs="Times New Roman"/>
                      <w:b/>
                      <w:bCs/>
                      <w:color w:val="auto"/>
                      <w:spacing w:val="0"/>
                      <w:kern w:val="2"/>
                      <w:sz w:val="21"/>
                      <w:szCs w:val="24"/>
                    </w:rPr>
                    <w:t>用水量</w:t>
                  </w:r>
                </w:p>
                <w:p w14:paraId="1F6ABB4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标准</w:t>
                  </w:r>
                </w:p>
              </w:tc>
              <w:tc>
                <w:tcPr>
                  <w:tcW w:w="624" w:type="pct"/>
                  <w:vMerge w:val="restart"/>
                  <w:tcBorders>
                    <w:tl2br w:val="nil"/>
                    <w:tr2bl w:val="nil"/>
                  </w:tcBorders>
                  <w:noWrap w:val="0"/>
                  <w:vAlign w:val="center"/>
                </w:tcPr>
                <w:p w14:paraId="261343B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规模</w:t>
                  </w:r>
                </w:p>
              </w:tc>
              <w:tc>
                <w:tcPr>
                  <w:tcW w:w="1250" w:type="pct"/>
                  <w:gridSpan w:val="2"/>
                  <w:tcBorders>
                    <w:tl2br w:val="nil"/>
                    <w:tr2bl w:val="nil"/>
                  </w:tcBorders>
                  <w:noWrap w:val="0"/>
                  <w:vAlign w:val="center"/>
                </w:tcPr>
                <w:p w14:paraId="31A92DD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用水量</w:t>
                  </w:r>
                </w:p>
              </w:tc>
              <w:tc>
                <w:tcPr>
                  <w:tcW w:w="1251" w:type="pct"/>
                  <w:gridSpan w:val="2"/>
                  <w:tcBorders>
                    <w:tl2br w:val="nil"/>
                    <w:tr2bl w:val="nil"/>
                  </w:tcBorders>
                  <w:noWrap w:val="0"/>
                  <w:vAlign w:val="center"/>
                </w:tcPr>
                <w:p w14:paraId="07D5DC9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排放量</w:t>
                  </w:r>
                </w:p>
              </w:tc>
            </w:tr>
            <w:tr w14:paraId="3AEB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24" w:type="pct"/>
                  <w:vMerge w:val="continue"/>
                  <w:tcBorders>
                    <w:tl2br w:val="nil"/>
                    <w:tr2bl w:val="nil"/>
                  </w:tcBorders>
                  <w:noWrap w:val="0"/>
                  <w:vAlign w:val="center"/>
                </w:tcPr>
                <w:p w14:paraId="456DE55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p>
              </w:tc>
              <w:tc>
                <w:tcPr>
                  <w:tcW w:w="624" w:type="pct"/>
                  <w:vMerge w:val="continue"/>
                  <w:tcBorders>
                    <w:tl2br w:val="nil"/>
                    <w:tr2bl w:val="nil"/>
                  </w:tcBorders>
                  <w:noWrap w:val="0"/>
                  <w:vAlign w:val="center"/>
                </w:tcPr>
                <w:p w14:paraId="0BB58A7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p>
              </w:tc>
              <w:tc>
                <w:tcPr>
                  <w:tcW w:w="624" w:type="pct"/>
                  <w:vMerge w:val="continue"/>
                  <w:tcBorders>
                    <w:tl2br w:val="nil"/>
                    <w:tr2bl w:val="nil"/>
                  </w:tcBorders>
                  <w:noWrap w:val="0"/>
                  <w:vAlign w:val="center"/>
                </w:tcPr>
                <w:p w14:paraId="2318BFF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p>
              </w:tc>
              <w:tc>
                <w:tcPr>
                  <w:tcW w:w="624" w:type="pct"/>
                  <w:vMerge w:val="continue"/>
                  <w:tcBorders>
                    <w:tl2br w:val="nil"/>
                    <w:tr2bl w:val="nil"/>
                  </w:tcBorders>
                  <w:noWrap w:val="0"/>
                  <w:vAlign w:val="center"/>
                </w:tcPr>
                <w:p w14:paraId="5F06BD5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p>
              </w:tc>
              <w:tc>
                <w:tcPr>
                  <w:tcW w:w="520" w:type="pct"/>
                  <w:tcBorders>
                    <w:tl2br w:val="nil"/>
                    <w:tr2bl w:val="nil"/>
                  </w:tcBorders>
                  <w:noWrap w:val="0"/>
                  <w:vAlign w:val="center"/>
                </w:tcPr>
                <w:p w14:paraId="1AC34FC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m</w:t>
                  </w:r>
                  <w:r>
                    <w:rPr>
                      <w:rFonts w:hint="default" w:ascii="Times New Roman" w:hAnsi="Times New Roman" w:eastAsia="宋体" w:cs="Times New Roman"/>
                      <w:b/>
                      <w:bCs/>
                      <w:color w:val="auto"/>
                      <w:spacing w:val="0"/>
                      <w:kern w:val="2"/>
                      <w:sz w:val="21"/>
                      <w:szCs w:val="24"/>
                      <w:vertAlign w:val="superscript"/>
                    </w:rPr>
                    <w:t>3</w:t>
                  </w:r>
                  <w:r>
                    <w:rPr>
                      <w:rFonts w:hint="default" w:ascii="Times New Roman" w:hAnsi="Times New Roman" w:eastAsia="宋体" w:cs="Times New Roman"/>
                      <w:b/>
                      <w:bCs/>
                      <w:color w:val="auto"/>
                      <w:spacing w:val="0"/>
                      <w:kern w:val="2"/>
                      <w:sz w:val="21"/>
                      <w:szCs w:val="24"/>
                    </w:rPr>
                    <w:t>/d</w:t>
                  </w:r>
                </w:p>
              </w:tc>
              <w:tc>
                <w:tcPr>
                  <w:tcW w:w="729" w:type="pct"/>
                  <w:tcBorders>
                    <w:tl2br w:val="nil"/>
                    <w:tr2bl w:val="nil"/>
                  </w:tcBorders>
                  <w:noWrap w:val="0"/>
                  <w:vAlign w:val="center"/>
                </w:tcPr>
                <w:p w14:paraId="5FE76BF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m</w:t>
                  </w:r>
                  <w:r>
                    <w:rPr>
                      <w:rFonts w:hint="default" w:ascii="Times New Roman" w:hAnsi="Times New Roman" w:eastAsia="宋体" w:cs="Times New Roman"/>
                      <w:b/>
                      <w:bCs/>
                      <w:color w:val="auto"/>
                      <w:spacing w:val="0"/>
                      <w:kern w:val="2"/>
                      <w:sz w:val="21"/>
                      <w:szCs w:val="24"/>
                      <w:vertAlign w:val="superscript"/>
                    </w:rPr>
                    <w:t>3</w:t>
                  </w:r>
                  <w:r>
                    <w:rPr>
                      <w:rFonts w:hint="default" w:ascii="Times New Roman" w:hAnsi="Times New Roman" w:eastAsia="宋体" w:cs="Times New Roman"/>
                      <w:b/>
                      <w:bCs/>
                      <w:color w:val="auto"/>
                      <w:spacing w:val="0"/>
                      <w:kern w:val="2"/>
                      <w:sz w:val="21"/>
                      <w:szCs w:val="24"/>
                    </w:rPr>
                    <w:t>/a</w:t>
                  </w:r>
                </w:p>
              </w:tc>
              <w:tc>
                <w:tcPr>
                  <w:tcW w:w="636" w:type="pct"/>
                  <w:tcBorders>
                    <w:tl2br w:val="nil"/>
                    <w:tr2bl w:val="nil"/>
                  </w:tcBorders>
                  <w:noWrap w:val="0"/>
                  <w:vAlign w:val="center"/>
                </w:tcPr>
                <w:p w14:paraId="0B9651A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m</w:t>
                  </w:r>
                  <w:r>
                    <w:rPr>
                      <w:rFonts w:hint="default" w:ascii="Times New Roman" w:hAnsi="Times New Roman" w:eastAsia="宋体" w:cs="Times New Roman"/>
                      <w:b/>
                      <w:bCs/>
                      <w:color w:val="auto"/>
                      <w:spacing w:val="0"/>
                      <w:kern w:val="2"/>
                      <w:sz w:val="21"/>
                      <w:szCs w:val="24"/>
                      <w:vertAlign w:val="superscript"/>
                    </w:rPr>
                    <w:t>3</w:t>
                  </w:r>
                  <w:r>
                    <w:rPr>
                      <w:rFonts w:hint="default" w:ascii="Times New Roman" w:hAnsi="Times New Roman" w:eastAsia="宋体" w:cs="Times New Roman"/>
                      <w:b/>
                      <w:bCs/>
                      <w:color w:val="auto"/>
                      <w:spacing w:val="0"/>
                      <w:kern w:val="2"/>
                      <w:sz w:val="21"/>
                      <w:szCs w:val="24"/>
                    </w:rPr>
                    <w:t>/d</w:t>
                  </w:r>
                </w:p>
              </w:tc>
              <w:tc>
                <w:tcPr>
                  <w:tcW w:w="614" w:type="pct"/>
                  <w:tcBorders>
                    <w:tl2br w:val="nil"/>
                    <w:tr2bl w:val="nil"/>
                  </w:tcBorders>
                  <w:noWrap w:val="0"/>
                  <w:vAlign w:val="center"/>
                </w:tcPr>
                <w:p w14:paraId="2B7C500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pacing w:val="0"/>
                      <w:kern w:val="2"/>
                      <w:sz w:val="21"/>
                      <w:szCs w:val="24"/>
                      <w:lang w:val="zh-CN"/>
                    </w:rPr>
                  </w:pPr>
                  <w:r>
                    <w:rPr>
                      <w:rFonts w:hint="default" w:ascii="Times New Roman" w:hAnsi="Times New Roman" w:eastAsia="宋体" w:cs="Times New Roman"/>
                      <w:b/>
                      <w:bCs/>
                      <w:color w:val="auto"/>
                      <w:spacing w:val="0"/>
                      <w:kern w:val="2"/>
                      <w:sz w:val="21"/>
                      <w:szCs w:val="24"/>
                    </w:rPr>
                    <w:t>m</w:t>
                  </w:r>
                  <w:r>
                    <w:rPr>
                      <w:rFonts w:hint="default" w:ascii="Times New Roman" w:hAnsi="Times New Roman" w:eastAsia="宋体" w:cs="Times New Roman"/>
                      <w:b/>
                      <w:bCs/>
                      <w:color w:val="auto"/>
                      <w:spacing w:val="0"/>
                      <w:kern w:val="2"/>
                      <w:sz w:val="21"/>
                      <w:szCs w:val="24"/>
                      <w:vertAlign w:val="superscript"/>
                    </w:rPr>
                    <w:t>3</w:t>
                  </w:r>
                  <w:r>
                    <w:rPr>
                      <w:rFonts w:hint="default" w:ascii="Times New Roman" w:hAnsi="Times New Roman" w:eastAsia="宋体" w:cs="Times New Roman"/>
                      <w:b/>
                      <w:bCs/>
                      <w:color w:val="auto"/>
                      <w:spacing w:val="0"/>
                      <w:kern w:val="2"/>
                      <w:sz w:val="21"/>
                      <w:szCs w:val="24"/>
                    </w:rPr>
                    <w:t>/a</w:t>
                  </w:r>
                </w:p>
              </w:tc>
            </w:tr>
            <w:tr w14:paraId="64EA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624" w:type="pct"/>
                  <w:tcBorders>
                    <w:tl2br w:val="nil"/>
                    <w:tr2bl w:val="nil"/>
                  </w:tcBorders>
                  <w:noWrap w:val="0"/>
                  <w:vAlign w:val="center"/>
                </w:tcPr>
                <w:p w14:paraId="65F3A76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default" w:ascii="Times New Roman" w:hAnsi="Times New Roman" w:eastAsia="宋体" w:cs="Times New Roman"/>
                      <w:color w:val="auto"/>
                      <w:spacing w:val="0"/>
                      <w:kern w:val="2"/>
                      <w:sz w:val="21"/>
                      <w:szCs w:val="24"/>
                    </w:rPr>
                    <w:t>1</w:t>
                  </w:r>
                </w:p>
              </w:tc>
              <w:tc>
                <w:tcPr>
                  <w:tcW w:w="624" w:type="pct"/>
                  <w:tcBorders>
                    <w:tl2br w:val="nil"/>
                    <w:tr2bl w:val="nil"/>
                  </w:tcBorders>
                  <w:noWrap w:val="0"/>
                  <w:vAlign w:val="center"/>
                </w:tcPr>
                <w:p w14:paraId="5A8698F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default" w:ascii="Times New Roman" w:hAnsi="Times New Roman" w:eastAsia="宋体" w:cs="Times New Roman"/>
                      <w:color w:val="auto"/>
                      <w:spacing w:val="0"/>
                      <w:kern w:val="2"/>
                      <w:sz w:val="21"/>
                      <w:szCs w:val="24"/>
                    </w:rPr>
                    <w:t>员工生活用水</w:t>
                  </w:r>
                </w:p>
              </w:tc>
              <w:tc>
                <w:tcPr>
                  <w:tcW w:w="624" w:type="pct"/>
                  <w:tcBorders>
                    <w:tl2br w:val="nil"/>
                    <w:tr2bl w:val="nil"/>
                  </w:tcBorders>
                  <w:noWrap w:val="0"/>
                  <w:vAlign w:val="center"/>
                </w:tcPr>
                <w:p w14:paraId="481394D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lang w:val="en-US" w:eastAsia="zh-CN"/>
                    </w:rPr>
                    <w:t>50</w:t>
                  </w:r>
                  <w:r>
                    <w:rPr>
                      <w:rFonts w:hint="default" w:ascii="Times New Roman" w:hAnsi="Times New Roman" w:eastAsia="宋体" w:cs="Times New Roman"/>
                      <w:color w:val="auto"/>
                      <w:spacing w:val="0"/>
                      <w:kern w:val="2"/>
                      <w:sz w:val="21"/>
                      <w:szCs w:val="24"/>
                    </w:rPr>
                    <w:t>L/人·日</w:t>
                  </w:r>
                </w:p>
              </w:tc>
              <w:tc>
                <w:tcPr>
                  <w:tcW w:w="624" w:type="pct"/>
                  <w:tcBorders>
                    <w:tl2br w:val="nil"/>
                    <w:tr2bl w:val="nil"/>
                  </w:tcBorders>
                  <w:noWrap w:val="0"/>
                  <w:vAlign w:val="center"/>
                </w:tcPr>
                <w:p w14:paraId="509D0DE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lang w:val="en-US" w:eastAsia="zh-CN"/>
                    </w:rPr>
                    <w:t>8</w:t>
                  </w:r>
                  <w:r>
                    <w:rPr>
                      <w:rFonts w:hint="default" w:ascii="Times New Roman" w:hAnsi="Times New Roman" w:eastAsia="宋体" w:cs="Times New Roman"/>
                      <w:color w:val="auto"/>
                      <w:spacing w:val="0"/>
                      <w:kern w:val="2"/>
                      <w:sz w:val="21"/>
                      <w:szCs w:val="24"/>
                      <w:lang w:val="en-US" w:eastAsia="zh-CN"/>
                    </w:rPr>
                    <w:t>0</w:t>
                  </w:r>
                  <w:r>
                    <w:rPr>
                      <w:rFonts w:hint="default" w:ascii="Times New Roman" w:hAnsi="Times New Roman" w:eastAsia="宋体" w:cs="Times New Roman"/>
                      <w:color w:val="auto"/>
                      <w:spacing w:val="0"/>
                      <w:kern w:val="2"/>
                      <w:sz w:val="21"/>
                      <w:szCs w:val="24"/>
                    </w:rPr>
                    <w:t>人</w:t>
                  </w:r>
                </w:p>
              </w:tc>
              <w:tc>
                <w:tcPr>
                  <w:tcW w:w="520" w:type="pct"/>
                  <w:tcBorders>
                    <w:tl2br w:val="nil"/>
                    <w:tr2bl w:val="nil"/>
                  </w:tcBorders>
                  <w:noWrap w:val="0"/>
                  <w:vAlign w:val="center"/>
                </w:tcPr>
                <w:p w14:paraId="295371BB">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4</w:t>
                  </w:r>
                </w:p>
              </w:tc>
              <w:tc>
                <w:tcPr>
                  <w:tcW w:w="729" w:type="pct"/>
                  <w:tcBorders>
                    <w:tl2br w:val="nil"/>
                    <w:tr2bl w:val="nil"/>
                  </w:tcBorders>
                  <w:noWrap w:val="0"/>
                  <w:vAlign w:val="center"/>
                </w:tcPr>
                <w:p w14:paraId="29DA5788">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1200</w:t>
                  </w:r>
                </w:p>
              </w:tc>
              <w:tc>
                <w:tcPr>
                  <w:tcW w:w="636" w:type="pct"/>
                  <w:tcBorders>
                    <w:tl2br w:val="nil"/>
                    <w:tr2bl w:val="nil"/>
                  </w:tcBorders>
                  <w:noWrap w:val="0"/>
                  <w:vAlign w:val="center"/>
                </w:tcPr>
                <w:p w14:paraId="018C2290">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eastAsia="zh-CN"/>
                    </w:rPr>
                  </w:pPr>
                  <w:r>
                    <w:rPr>
                      <w:rFonts w:hint="eastAsia" w:ascii="Times New Roman" w:hAnsi="Times New Roman" w:eastAsia="宋体" w:cs="Times New Roman"/>
                      <w:color w:val="auto"/>
                      <w:spacing w:val="0"/>
                      <w:kern w:val="2"/>
                      <w:sz w:val="21"/>
                      <w:szCs w:val="24"/>
                      <w:lang w:val="en-US" w:eastAsia="zh-CN"/>
                    </w:rPr>
                    <w:t>3.2</w:t>
                  </w:r>
                </w:p>
              </w:tc>
              <w:tc>
                <w:tcPr>
                  <w:tcW w:w="614" w:type="pct"/>
                  <w:tcBorders>
                    <w:tl2br w:val="nil"/>
                    <w:tr2bl w:val="nil"/>
                  </w:tcBorders>
                  <w:noWrap w:val="0"/>
                  <w:vAlign w:val="center"/>
                </w:tcPr>
                <w:p w14:paraId="05321064">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960</w:t>
                  </w:r>
                </w:p>
              </w:tc>
            </w:tr>
            <w:tr w14:paraId="06F7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24" w:type="pct"/>
                  <w:tcBorders>
                    <w:tl2br w:val="nil"/>
                    <w:tr2bl w:val="nil"/>
                  </w:tcBorders>
                  <w:noWrap w:val="0"/>
                  <w:vAlign w:val="center"/>
                </w:tcPr>
                <w:p w14:paraId="757AD93C">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lang w:val="en-US" w:eastAsia="zh-CN"/>
                    </w:rPr>
                    <w:t>2</w:t>
                  </w:r>
                </w:p>
              </w:tc>
              <w:tc>
                <w:tcPr>
                  <w:tcW w:w="624" w:type="pct"/>
                  <w:tcBorders>
                    <w:tl2br w:val="nil"/>
                    <w:tr2bl w:val="nil"/>
                  </w:tcBorders>
                  <w:noWrap w:val="0"/>
                  <w:vAlign w:val="center"/>
                </w:tcPr>
                <w:p w14:paraId="0AE6F889">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lang w:eastAsia="zh-CN"/>
                    </w:rPr>
                    <w:t>冷却水</w:t>
                  </w:r>
                </w:p>
              </w:tc>
              <w:tc>
                <w:tcPr>
                  <w:tcW w:w="624" w:type="pct"/>
                  <w:tcBorders>
                    <w:tl2br w:val="nil"/>
                    <w:tr2bl w:val="nil"/>
                  </w:tcBorders>
                  <w:noWrap w:val="0"/>
                  <w:vAlign w:val="center"/>
                </w:tcPr>
                <w:p w14:paraId="78694148">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rPr>
                    <w:t>--</w:t>
                  </w:r>
                </w:p>
              </w:tc>
              <w:tc>
                <w:tcPr>
                  <w:tcW w:w="624" w:type="pct"/>
                  <w:tcBorders>
                    <w:tl2br w:val="nil"/>
                    <w:tr2bl w:val="nil"/>
                  </w:tcBorders>
                  <w:noWrap w:val="0"/>
                  <w:vAlign w:val="center"/>
                </w:tcPr>
                <w:p w14:paraId="07CD7659">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rPr>
                    <w:t>--</w:t>
                  </w:r>
                </w:p>
              </w:tc>
              <w:tc>
                <w:tcPr>
                  <w:tcW w:w="520" w:type="pct"/>
                  <w:tcBorders>
                    <w:tl2br w:val="nil"/>
                    <w:tr2bl w:val="nil"/>
                  </w:tcBorders>
                  <w:noWrap w:val="0"/>
                  <w:vAlign w:val="center"/>
                </w:tcPr>
                <w:p w14:paraId="0B326BF7">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109.2</w:t>
                  </w:r>
                </w:p>
              </w:tc>
              <w:tc>
                <w:tcPr>
                  <w:tcW w:w="729" w:type="pct"/>
                  <w:tcBorders>
                    <w:tl2br w:val="nil"/>
                    <w:tr2bl w:val="nil"/>
                  </w:tcBorders>
                  <w:noWrap w:val="0"/>
                  <w:vAlign w:val="center"/>
                </w:tcPr>
                <w:p w14:paraId="4EA2F3BE">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cs="Times New Roman"/>
                      <w:color w:val="auto"/>
                      <w:spacing w:val="0"/>
                      <w:kern w:val="2"/>
                      <w:sz w:val="21"/>
                      <w:szCs w:val="24"/>
                      <w:lang w:val="en-US" w:eastAsia="zh-CN"/>
                    </w:rPr>
                    <w:t>32760</w:t>
                  </w:r>
                </w:p>
              </w:tc>
              <w:tc>
                <w:tcPr>
                  <w:tcW w:w="636" w:type="pct"/>
                  <w:tcBorders>
                    <w:tl2br w:val="nil"/>
                    <w:tr2bl w:val="nil"/>
                  </w:tcBorders>
                  <w:noWrap w:val="0"/>
                  <w:vAlign w:val="center"/>
                </w:tcPr>
                <w:p w14:paraId="002AE576">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21</w:t>
                  </w:r>
                </w:p>
              </w:tc>
              <w:tc>
                <w:tcPr>
                  <w:tcW w:w="614" w:type="pct"/>
                  <w:tcBorders>
                    <w:tl2br w:val="nil"/>
                    <w:tr2bl w:val="nil"/>
                  </w:tcBorders>
                  <w:noWrap w:val="0"/>
                  <w:vAlign w:val="center"/>
                </w:tcPr>
                <w:p w14:paraId="412EFFFB">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lang w:val="en-US" w:eastAsia="zh-CN"/>
                    </w:rPr>
                    <w:t>6300</w:t>
                  </w:r>
                </w:p>
              </w:tc>
            </w:tr>
            <w:tr w14:paraId="7063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24" w:type="pct"/>
                  <w:tcBorders>
                    <w:tl2br w:val="nil"/>
                    <w:tr2bl w:val="nil"/>
                  </w:tcBorders>
                  <w:noWrap w:val="0"/>
                  <w:vAlign w:val="center"/>
                </w:tcPr>
                <w:p w14:paraId="4BEE665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lang w:val="en-US" w:eastAsia="zh-CN"/>
                    </w:rPr>
                    <w:t>3</w:t>
                  </w:r>
                </w:p>
              </w:tc>
              <w:tc>
                <w:tcPr>
                  <w:tcW w:w="624" w:type="pct"/>
                  <w:tcBorders>
                    <w:tl2br w:val="nil"/>
                    <w:tr2bl w:val="nil"/>
                  </w:tcBorders>
                  <w:noWrap w:val="0"/>
                  <w:vAlign w:val="center"/>
                </w:tcPr>
                <w:p w14:paraId="74CA5B3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4"/>
                      <w:lang w:val="en-US" w:eastAsia="zh-CN"/>
                    </w:rPr>
                  </w:pPr>
                  <w:r>
                    <w:rPr>
                      <w:rFonts w:hint="eastAsia" w:ascii="Times New Roman" w:hAnsi="Times New Roman" w:eastAsia="宋体" w:cs="Times New Roman"/>
                      <w:color w:val="auto"/>
                      <w:spacing w:val="0"/>
                      <w:kern w:val="2"/>
                      <w:sz w:val="21"/>
                      <w:szCs w:val="24"/>
                      <w:lang w:val="en-US" w:eastAsia="zh-CN"/>
                    </w:rPr>
                    <w:t>配比用水</w:t>
                  </w:r>
                </w:p>
              </w:tc>
              <w:tc>
                <w:tcPr>
                  <w:tcW w:w="1026" w:type="dxa"/>
                  <w:tcBorders>
                    <w:tl2br w:val="nil"/>
                    <w:tr2bl w:val="nil"/>
                  </w:tcBorders>
                  <w:noWrap w:val="0"/>
                  <w:vAlign w:val="center"/>
                </w:tcPr>
                <w:p w14:paraId="7E1A3E36">
                  <w:pPr>
                    <w:keepNext w:val="0"/>
                    <w:keepLines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lang w:val="en-US" w:eastAsia="zh-CN"/>
                    </w:rPr>
                  </w:pPr>
                  <w:r>
                    <w:rPr>
                      <w:rFonts w:hint="eastAsia" w:ascii="Times New Roman" w:hAnsi="Times New Roman" w:eastAsia="宋体" w:cs="Times New Roman"/>
                      <w:color w:val="auto"/>
                      <w:spacing w:val="0"/>
                      <w:kern w:val="2"/>
                      <w:sz w:val="21"/>
                      <w:szCs w:val="24"/>
                    </w:rPr>
                    <w:t>--</w:t>
                  </w:r>
                </w:p>
              </w:tc>
              <w:tc>
                <w:tcPr>
                  <w:tcW w:w="1026" w:type="dxa"/>
                  <w:tcBorders>
                    <w:tl2br w:val="nil"/>
                    <w:tr2bl w:val="nil"/>
                  </w:tcBorders>
                  <w:noWrap w:val="0"/>
                  <w:vAlign w:val="center"/>
                </w:tcPr>
                <w:p w14:paraId="0AF7322D">
                  <w:pPr>
                    <w:keepNext w:val="0"/>
                    <w:keepLines w:val="0"/>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4"/>
                      <w:lang w:val="zh-CN"/>
                    </w:rPr>
                  </w:pPr>
                  <w:r>
                    <w:rPr>
                      <w:rFonts w:hint="eastAsia" w:ascii="Times New Roman" w:hAnsi="Times New Roman" w:eastAsia="宋体" w:cs="Times New Roman"/>
                      <w:color w:val="auto"/>
                      <w:spacing w:val="0"/>
                      <w:kern w:val="2"/>
                      <w:sz w:val="21"/>
                      <w:szCs w:val="24"/>
                    </w:rPr>
                    <w:t>--</w:t>
                  </w:r>
                </w:p>
              </w:tc>
              <w:tc>
                <w:tcPr>
                  <w:tcW w:w="961" w:type="dxa"/>
                  <w:tcBorders>
                    <w:tl2br w:val="nil"/>
                    <w:tr2bl w:val="nil"/>
                  </w:tcBorders>
                  <w:noWrap w:val="0"/>
                  <w:vAlign w:val="center"/>
                </w:tcPr>
                <w:p w14:paraId="572D1EFA">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cs="Times New Roman"/>
                      <w:color w:val="auto"/>
                      <w:spacing w:val="0"/>
                      <w:kern w:val="2"/>
                      <w:sz w:val="21"/>
                      <w:szCs w:val="24"/>
                      <w:lang w:val="en-US" w:eastAsia="zh-CN"/>
                    </w:rPr>
                    <w:t>0.083</w:t>
                  </w:r>
                </w:p>
              </w:tc>
              <w:tc>
                <w:tcPr>
                  <w:tcW w:w="1349" w:type="dxa"/>
                  <w:tcBorders>
                    <w:tl2br w:val="nil"/>
                    <w:tr2bl w:val="nil"/>
                  </w:tcBorders>
                  <w:noWrap w:val="0"/>
                  <w:vAlign w:val="center"/>
                </w:tcPr>
                <w:p w14:paraId="6F5BA324">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cs="Times New Roman"/>
                      <w:color w:val="auto"/>
                      <w:spacing w:val="0"/>
                      <w:kern w:val="2"/>
                      <w:sz w:val="21"/>
                      <w:szCs w:val="24"/>
                      <w:lang w:val="en-US" w:eastAsia="zh-CN"/>
                    </w:rPr>
                    <w:t>24.75</w:t>
                  </w:r>
                </w:p>
              </w:tc>
              <w:tc>
                <w:tcPr>
                  <w:tcW w:w="1175" w:type="dxa"/>
                  <w:tcBorders>
                    <w:tl2br w:val="nil"/>
                    <w:tr2bl w:val="nil"/>
                  </w:tcBorders>
                  <w:noWrap w:val="0"/>
                  <w:vAlign w:val="center"/>
                </w:tcPr>
                <w:p w14:paraId="29E76D60">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rPr>
                    <w:t>--</w:t>
                  </w:r>
                </w:p>
              </w:tc>
              <w:tc>
                <w:tcPr>
                  <w:tcW w:w="1138" w:type="dxa"/>
                  <w:tcBorders>
                    <w:tl2br w:val="nil"/>
                    <w:tr2bl w:val="nil"/>
                  </w:tcBorders>
                  <w:noWrap w:val="0"/>
                  <w:vAlign w:val="center"/>
                </w:tcPr>
                <w:p w14:paraId="20F02414">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pacing w:val="0"/>
                      <w:kern w:val="2"/>
                      <w:sz w:val="21"/>
                      <w:szCs w:val="24"/>
                      <w:lang w:val="en-US"/>
                    </w:rPr>
                  </w:pPr>
                  <w:r>
                    <w:rPr>
                      <w:rFonts w:hint="eastAsia" w:ascii="Times New Roman" w:hAnsi="Times New Roman" w:eastAsia="宋体" w:cs="Times New Roman"/>
                      <w:color w:val="auto"/>
                      <w:spacing w:val="0"/>
                      <w:kern w:val="2"/>
                      <w:sz w:val="21"/>
                      <w:szCs w:val="24"/>
                    </w:rPr>
                    <w:t>--</w:t>
                  </w:r>
                </w:p>
              </w:tc>
            </w:tr>
            <w:tr w14:paraId="36DB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24" w:type="pct"/>
                  <w:tcBorders>
                    <w:tl2br w:val="nil"/>
                    <w:tr2bl w:val="nil"/>
                  </w:tcBorders>
                  <w:noWrap w:val="0"/>
                  <w:vAlign w:val="center"/>
                </w:tcPr>
                <w:p w14:paraId="07BDE2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2"/>
                      <w:sz w:val="21"/>
                      <w:szCs w:val="24"/>
                      <w:lang w:val="en-US" w:eastAsia="zh-CN"/>
                    </w:rPr>
                  </w:pPr>
                  <w:r>
                    <w:rPr>
                      <w:rFonts w:hint="eastAsia" w:ascii="Times New Roman" w:hAnsi="Times New Roman" w:eastAsia="宋体" w:cs="Times New Roman"/>
                      <w:color w:val="auto"/>
                      <w:spacing w:val="0"/>
                      <w:kern w:val="2"/>
                      <w:sz w:val="21"/>
                      <w:szCs w:val="24"/>
                      <w:lang w:val="en-US" w:eastAsia="zh-CN"/>
                    </w:rPr>
                    <w:t>4</w:t>
                  </w:r>
                </w:p>
              </w:tc>
              <w:tc>
                <w:tcPr>
                  <w:tcW w:w="624" w:type="pct"/>
                  <w:tcBorders>
                    <w:tl2br w:val="nil"/>
                    <w:tr2bl w:val="nil"/>
                  </w:tcBorders>
                  <w:noWrap w:val="0"/>
                  <w:vAlign w:val="center"/>
                </w:tcPr>
                <w:p w14:paraId="16F396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2"/>
                      <w:sz w:val="21"/>
                      <w:szCs w:val="24"/>
                    </w:rPr>
                  </w:pPr>
                  <w:r>
                    <w:rPr>
                      <w:rFonts w:hint="default" w:ascii="Times New Roman" w:hAnsi="Times New Roman" w:eastAsia="宋体" w:cs="Times New Roman"/>
                      <w:color w:val="auto"/>
                      <w:spacing w:val="0"/>
                      <w:kern w:val="2"/>
                      <w:sz w:val="21"/>
                      <w:szCs w:val="24"/>
                    </w:rPr>
                    <w:t>合计</w:t>
                  </w:r>
                </w:p>
              </w:tc>
              <w:tc>
                <w:tcPr>
                  <w:tcW w:w="1026" w:type="dxa"/>
                  <w:tcBorders>
                    <w:tl2br w:val="nil"/>
                    <w:tr2bl w:val="nil"/>
                  </w:tcBorders>
                  <w:noWrap w:val="0"/>
                  <w:vAlign w:val="center"/>
                </w:tcPr>
                <w:p w14:paraId="47C2E84D">
                  <w:pPr>
                    <w:keepNext w:val="0"/>
                    <w:keepLines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rPr>
                  </w:pPr>
                  <w:r>
                    <w:rPr>
                      <w:rFonts w:hint="eastAsia" w:ascii="Times New Roman" w:hAnsi="Times New Roman" w:eastAsia="宋体" w:cs="Times New Roman"/>
                      <w:color w:val="auto"/>
                      <w:spacing w:val="0"/>
                      <w:kern w:val="2"/>
                      <w:sz w:val="21"/>
                      <w:szCs w:val="24"/>
                    </w:rPr>
                    <w:t>--</w:t>
                  </w:r>
                </w:p>
              </w:tc>
              <w:tc>
                <w:tcPr>
                  <w:tcW w:w="1026" w:type="dxa"/>
                  <w:tcBorders>
                    <w:tl2br w:val="nil"/>
                    <w:tr2bl w:val="nil"/>
                  </w:tcBorders>
                  <w:noWrap w:val="0"/>
                  <w:vAlign w:val="center"/>
                </w:tcPr>
                <w:p w14:paraId="6A1EC110">
                  <w:pPr>
                    <w:keepNext w:val="0"/>
                    <w:keepLines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4"/>
                    </w:rPr>
                  </w:pPr>
                  <w:r>
                    <w:rPr>
                      <w:rFonts w:hint="eastAsia" w:ascii="Times New Roman" w:hAnsi="Times New Roman" w:eastAsia="宋体" w:cs="Times New Roman"/>
                      <w:color w:val="auto"/>
                      <w:spacing w:val="0"/>
                      <w:kern w:val="2"/>
                      <w:sz w:val="21"/>
                      <w:szCs w:val="24"/>
                    </w:rPr>
                    <w:t>--</w:t>
                  </w:r>
                </w:p>
              </w:tc>
              <w:tc>
                <w:tcPr>
                  <w:tcW w:w="961" w:type="dxa"/>
                  <w:tcBorders>
                    <w:tl2br w:val="nil"/>
                    <w:tr2bl w:val="nil"/>
                  </w:tcBorders>
                  <w:noWrap w:val="0"/>
                  <w:vAlign w:val="center"/>
                </w:tcPr>
                <w:p w14:paraId="022A8194">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cs="Times New Roman"/>
                      <w:color w:val="auto"/>
                      <w:spacing w:val="0"/>
                      <w:kern w:val="2"/>
                      <w:sz w:val="21"/>
                      <w:szCs w:val="24"/>
                      <w:lang w:val="en-US" w:eastAsia="zh-CN"/>
                    </w:rPr>
                  </w:pPr>
                  <w:r>
                    <w:rPr>
                      <w:rFonts w:hint="eastAsia" w:cs="Times New Roman"/>
                      <w:color w:val="auto"/>
                      <w:spacing w:val="0"/>
                      <w:kern w:val="2"/>
                      <w:sz w:val="21"/>
                      <w:szCs w:val="24"/>
                      <w:lang w:val="en-US" w:eastAsia="zh-CN"/>
                    </w:rPr>
                    <w:t>113.283</w:t>
                  </w:r>
                </w:p>
              </w:tc>
              <w:tc>
                <w:tcPr>
                  <w:tcW w:w="1349" w:type="dxa"/>
                  <w:tcBorders>
                    <w:tl2br w:val="nil"/>
                    <w:tr2bl w:val="nil"/>
                  </w:tcBorders>
                  <w:noWrap w:val="0"/>
                  <w:vAlign w:val="center"/>
                </w:tcPr>
                <w:p w14:paraId="3F08191A">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cs="Times New Roman"/>
                      <w:color w:val="auto"/>
                      <w:spacing w:val="0"/>
                      <w:kern w:val="2"/>
                      <w:sz w:val="21"/>
                      <w:szCs w:val="24"/>
                      <w:lang w:val="en-US" w:eastAsia="zh-CN"/>
                    </w:rPr>
                  </w:pPr>
                  <w:r>
                    <w:rPr>
                      <w:rFonts w:hint="eastAsia" w:cs="Times New Roman"/>
                      <w:color w:val="auto"/>
                      <w:spacing w:val="0"/>
                      <w:kern w:val="2"/>
                      <w:sz w:val="21"/>
                      <w:szCs w:val="24"/>
                      <w:lang w:val="en-US" w:eastAsia="zh-CN"/>
                    </w:rPr>
                    <w:t>33984.75</w:t>
                  </w:r>
                </w:p>
              </w:tc>
              <w:tc>
                <w:tcPr>
                  <w:tcW w:w="1175" w:type="dxa"/>
                  <w:tcBorders>
                    <w:tl2br w:val="nil"/>
                    <w:tr2bl w:val="nil"/>
                  </w:tcBorders>
                  <w:noWrap w:val="0"/>
                  <w:vAlign w:val="center"/>
                </w:tcPr>
                <w:p w14:paraId="4006888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pacing w:val="0"/>
                      <w:kern w:val="2"/>
                      <w:sz w:val="21"/>
                      <w:szCs w:val="24"/>
                      <w:lang w:val="en-US" w:eastAsia="zh-CN"/>
                    </w:rPr>
                  </w:pPr>
                  <w:r>
                    <w:rPr>
                      <w:rFonts w:hint="eastAsia" w:cs="Times New Roman"/>
                      <w:color w:val="auto"/>
                      <w:spacing w:val="0"/>
                      <w:kern w:val="2"/>
                      <w:sz w:val="21"/>
                      <w:szCs w:val="24"/>
                      <w:lang w:val="en-US" w:eastAsia="zh-CN"/>
                    </w:rPr>
                    <w:t>24.2</w:t>
                  </w:r>
                </w:p>
              </w:tc>
              <w:tc>
                <w:tcPr>
                  <w:tcW w:w="1138" w:type="dxa"/>
                  <w:tcBorders>
                    <w:tl2br w:val="nil"/>
                    <w:tr2bl w:val="nil"/>
                  </w:tcBorders>
                  <w:noWrap w:val="0"/>
                  <w:vAlign w:val="center"/>
                </w:tcPr>
                <w:p w14:paraId="3F777C8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pacing w:val="0"/>
                      <w:kern w:val="2"/>
                      <w:sz w:val="21"/>
                      <w:szCs w:val="24"/>
                      <w:lang w:val="en-US" w:eastAsia="zh-CN"/>
                    </w:rPr>
                  </w:pPr>
                  <w:r>
                    <w:rPr>
                      <w:rFonts w:hint="eastAsia" w:ascii="Times New Roman" w:hAnsi="Times New Roman" w:eastAsia="宋体" w:cs="Times New Roman"/>
                      <w:color w:val="auto"/>
                      <w:spacing w:val="0"/>
                      <w:kern w:val="2"/>
                      <w:sz w:val="21"/>
                      <w:szCs w:val="24"/>
                      <w:lang w:val="en-US" w:eastAsia="zh-CN"/>
                    </w:rPr>
                    <w:t>7260</w:t>
                  </w:r>
                </w:p>
              </w:tc>
            </w:tr>
          </w:tbl>
          <w:p w14:paraId="5B35180B">
            <w:pPr>
              <w:keepNext w:val="0"/>
              <w:keepLines w:val="0"/>
              <w:suppressLineNumbers w:val="0"/>
              <w:adjustRightInd/>
              <w:snapToGrid/>
              <w:spacing w:before="0" w:beforeAutospacing="0" w:after="0" w:afterAutospacing="0" w:line="360" w:lineRule="auto"/>
              <w:ind w:left="0" w:right="0" w:firstLine="0" w:firstLineChars="0"/>
              <w:jc w:val="center"/>
              <w:rPr>
                <w:rFonts w:hint="eastAsia" w:ascii="Times New Roman" w:hAnsi="Times New Roman" w:eastAsia="宋体" w:cs="Times New Roman"/>
                <w:b/>
                <w:color w:val="auto"/>
                <w:spacing w:val="0"/>
                <w:kern w:val="2"/>
                <w:sz w:val="21"/>
                <w:szCs w:val="24"/>
              </w:rPr>
            </w:pPr>
          </w:p>
          <w:p w14:paraId="1F80F9FF">
            <w:pPr>
              <w:keepNext w:val="0"/>
              <w:keepLines w:val="0"/>
              <w:suppressLineNumbers w:val="0"/>
              <w:adjustRightInd/>
              <w:snapToGrid/>
              <w:spacing w:before="0" w:beforeAutospacing="0" w:after="0" w:afterAutospacing="0" w:line="360" w:lineRule="auto"/>
              <w:ind w:left="0" w:right="0" w:firstLine="0" w:firstLineChars="0"/>
              <w:jc w:val="center"/>
              <w:rPr>
                <w:rFonts w:hint="eastAsia" w:ascii="Times New Roman" w:hAnsi="Times New Roman" w:eastAsia="宋体" w:cs="Times New Roman"/>
                <w:b/>
                <w:color w:val="auto"/>
                <w:spacing w:val="0"/>
                <w:kern w:val="2"/>
                <w:sz w:val="21"/>
                <w:szCs w:val="24"/>
                <w:lang w:eastAsia="zh-CN"/>
              </w:rPr>
            </w:pPr>
            <w:r>
              <w:rPr>
                <w:rFonts w:hint="eastAsia" w:ascii="Times New Roman" w:hAnsi="Times New Roman" w:eastAsia="宋体" w:cs="Times New Roman"/>
                <w:b/>
                <w:color w:val="auto"/>
                <w:spacing w:val="0"/>
                <w:kern w:val="2"/>
                <w:sz w:val="21"/>
                <w:szCs w:val="24"/>
              </w:rPr>
              <w:t>表</w:t>
            </w:r>
            <w:r>
              <w:rPr>
                <w:rStyle w:val="84"/>
                <w:rFonts w:hint="eastAsia" w:eastAsia="宋体" w:cs="Times New Roman"/>
                <w:color w:val="000000" w:themeColor="text1"/>
                <w:lang w:val="en-US" w:eastAsia="zh-CN"/>
                <w14:textFill>
                  <w14:solidFill>
                    <w14:schemeClr w14:val="tx1"/>
                  </w14:solidFill>
                </w14:textFill>
              </w:rPr>
              <w:t>4</w:t>
            </w:r>
            <w:r>
              <w:rPr>
                <w:rStyle w:val="84"/>
                <w:rFonts w:hint="default" w:cs="Times New Roman"/>
                <w:color w:val="000000" w:themeColor="text1"/>
                <w14:textFill>
                  <w14:solidFill>
                    <w14:schemeClr w14:val="tx1"/>
                  </w14:solidFill>
                </w14:textFill>
              </w:rPr>
              <w:t>-</w:t>
            </w:r>
            <w:r>
              <w:rPr>
                <w:rStyle w:val="84"/>
                <w:rFonts w:hint="eastAsia"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b/>
                <w:color w:val="auto"/>
                <w:spacing w:val="0"/>
                <w:kern w:val="2"/>
                <w:sz w:val="21"/>
                <w:szCs w:val="24"/>
              </w:rPr>
              <w:t xml:space="preserve">  </w:t>
            </w:r>
            <w:r>
              <w:rPr>
                <w:rFonts w:hint="eastAsia" w:ascii="Times New Roman" w:hAnsi="Times New Roman" w:eastAsia="宋体" w:cs="Times New Roman"/>
                <w:b/>
                <w:color w:val="auto"/>
                <w:spacing w:val="0"/>
                <w:kern w:val="2"/>
                <w:sz w:val="21"/>
                <w:szCs w:val="24"/>
                <w:highlight w:val="none"/>
              </w:rPr>
              <w:t>项目废水污染物产生及排放情况</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757"/>
              <w:gridCol w:w="1056"/>
              <w:gridCol w:w="695"/>
              <w:gridCol w:w="689"/>
              <w:gridCol w:w="1309"/>
              <w:gridCol w:w="701"/>
              <w:gridCol w:w="703"/>
              <w:gridCol w:w="1247"/>
            </w:tblGrid>
            <w:tr w14:paraId="6C0A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73" w:type="pct"/>
                  <w:vMerge w:val="restart"/>
                  <w:tcBorders>
                    <w:tl2br w:val="nil"/>
                    <w:tr2bl w:val="nil"/>
                  </w:tcBorders>
                  <w:shd w:val="clear" w:color="000000" w:fill="FFFFFF"/>
                  <w:noWrap/>
                  <w:vAlign w:val="center"/>
                </w:tcPr>
                <w:p w14:paraId="3EC10496">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废水种类</w:t>
                  </w:r>
                </w:p>
              </w:tc>
              <w:tc>
                <w:tcPr>
                  <w:tcW w:w="497" w:type="pct"/>
                  <w:vMerge w:val="restart"/>
                  <w:tcBorders>
                    <w:tl2br w:val="nil"/>
                    <w:tr2bl w:val="nil"/>
                  </w:tcBorders>
                  <w:shd w:val="clear" w:color="000000" w:fill="FFFFFF"/>
                  <w:noWrap w:val="0"/>
                  <w:vAlign w:val="center"/>
                </w:tcPr>
                <w:p w14:paraId="378754A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废水产生量</w:t>
                  </w:r>
                  <w:r>
                    <w:rPr>
                      <w:rFonts w:hint="default" w:ascii="Times New Roman" w:hAnsi="Times New Roman" w:eastAsia="宋体" w:cs="Times New Roman"/>
                      <w:b/>
                      <w:bCs/>
                      <w:color w:val="auto"/>
                      <w:spacing w:val="0"/>
                      <w:kern w:val="0"/>
                      <w:sz w:val="21"/>
                      <w:szCs w:val="21"/>
                    </w:rPr>
                    <w:t>t/a</w:t>
                  </w:r>
                </w:p>
              </w:tc>
              <w:tc>
                <w:tcPr>
                  <w:tcW w:w="571" w:type="pct"/>
                  <w:vMerge w:val="restart"/>
                  <w:tcBorders>
                    <w:tl2br w:val="nil"/>
                    <w:tr2bl w:val="nil"/>
                  </w:tcBorders>
                  <w:shd w:val="clear" w:color="000000" w:fill="FFFFFF"/>
                  <w:noWrap/>
                  <w:vAlign w:val="center"/>
                </w:tcPr>
                <w:p w14:paraId="4C570848">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污染物</w:t>
                  </w:r>
                </w:p>
              </w:tc>
              <w:tc>
                <w:tcPr>
                  <w:tcW w:w="847" w:type="pct"/>
                  <w:gridSpan w:val="2"/>
                  <w:tcBorders>
                    <w:tl2br w:val="nil"/>
                    <w:tr2bl w:val="nil"/>
                  </w:tcBorders>
                  <w:shd w:val="clear" w:color="000000" w:fill="FFFFFF"/>
                  <w:noWrap w:val="0"/>
                  <w:vAlign w:val="center"/>
                </w:tcPr>
                <w:p w14:paraId="7C385F17">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Times New Roman"/>
                      <w:b/>
                      <w:bCs/>
                      <w:color w:val="auto"/>
                      <w:spacing w:val="0"/>
                      <w:kern w:val="0"/>
                      <w:sz w:val="21"/>
                      <w:szCs w:val="21"/>
                    </w:rPr>
                    <w:t>污染物产生情况</w:t>
                  </w:r>
                </w:p>
              </w:tc>
              <w:tc>
                <w:tcPr>
                  <w:tcW w:w="863" w:type="pct"/>
                  <w:vMerge w:val="restart"/>
                  <w:tcBorders>
                    <w:tl2br w:val="nil"/>
                    <w:tr2bl w:val="nil"/>
                  </w:tcBorders>
                  <w:shd w:val="clear" w:color="000000" w:fill="FFFFFF"/>
                  <w:noWrap w:val="0"/>
                  <w:vAlign w:val="center"/>
                </w:tcPr>
                <w:p w14:paraId="6827310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治理措施</w:t>
                  </w:r>
                </w:p>
              </w:tc>
              <w:tc>
                <w:tcPr>
                  <w:tcW w:w="851" w:type="pct"/>
                  <w:gridSpan w:val="2"/>
                  <w:tcBorders>
                    <w:tl2br w:val="nil"/>
                    <w:tr2bl w:val="nil"/>
                  </w:tcBorders>
                  <w:shd w:val="clear" w:color="000000" w:fill="FFFFFF"/>
                  <w:noWrap w:val="0"/>
                  <w:vAlign w:val="center"/>
                </w:tcPr>
                <w:p w14:paraId="03356CE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污染物排放情况</w:t>
                  </w:r>
                </w:p>
              </w:tc>
              <w:tc>
                <w:tcPr>
                  <w:tcW w:w="794" w:type="pct"/>
                  <w:vMerge w:val="restart"/>
                  <w:tcBorders>
                    <w:tl2br w:val="nil"/>
                    <w:tr2bl w:val="nil"/>
                  </w:tcBorders>
                  <w:shd w:val="clear" w:color="000000" w:fill="FFFFFF"/>
                  <w:noWrap/>
                  <w:vAlign w:val="center"/>
                </w:tcPr>
                <w:p w14:paraId="32F5D6EE">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排放去向</w:t>
                  </w:r>
                </w:p>
              </w:tc>
            </w:tr>
            <w:tr w14:paraId="3FD8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73" w:type="pct"/>
                  <w:vMerge w:val="continue"/>
                  <w:tcBorders>
                    <w:tl2br w:val="nil"/>
                    <w:tr2bl w:val="nil"/>
                  </w:tcBorders>
                  <w:shd w:val="clear" w:color="000000" w:fill="FFFFFF"/>
                  <w:noWrap/>
                  <w:vAlign w:val="center"/>
                </w:tcPr>
                <w:p w14:paraId="0AF89AD2">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p>
              </w:tc>
              <w:tc>
                <w:tcPr>
                  <w:tcW w:w="497" w:type="pct"/>
                  <w:vMerge w:val="continue"/>
                  <w:tcBorders>
                    <w:tl2br w:val="nil"/>
                    <w:tr2bl w:val="nil"/>
                  </w:tcBorders>
                  <w:shd w:val="clear" w:color="000000" w:fill="FFFFFF"/>
                  <w:noWrap w:val="0"/>
                  <w:vAlign w:val="center"/>
                </w:tcPr>
                <w:p w14:paraId="32D53332">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p>
              </w:tc>
              <w:tc>
                <w:tcPr>
                  <w:tcW w:w="571" w:type="pct"/>
                  <w:vMerge w:val="continue"/>
                  <w:tcBorders>
                    <w:tl2br w:val="nil"/>
                    <w:tr2bl w:val="nil"/>
                  </w:tcBorders>
                  <w:shd w:val="clear" w:color="000000" w:fill="FFFFFF"/>
                  <w:noWrap/>
                  <w:vAlign w:val="center"/>
                </w:tcPr>
                <w:p w14:paraId="166B093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p>
              </w:tc>
              <w:tc>
                <w:tcPr>
                  <w:tcW w:w="422" w:type="pct"/>
                  <w:tcBorders>
                    <w:tl2br w:val="nil"/>
                    <w:tr2bl w:val="nil"/>
                  </w:tcBorders>
                  <w:shd w:val="clear" w:color="000000" w:fill="FFFFFF"/>
                  <w:noWrap w:val="0"/>
                  <w:vAlign w:val="center"/>
                </w:tcPr>
                <w:p w14:paraId="2F1C7624">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Times New Roman"/>
                      <w:b/>
                      <w:bCs/>
                      <w:color w:val="auto"/>
                      <w:spacing w:val="0"/>
                      <w:kern w:val="0"/>
                      <w:sz w:val="21"/>
                      <w:szCs w:val="21"/>
                    </w:rPr>
                  </w:pPr>
                  <w:r>
                    <w:rPr>
                      <w:rFonts w:hint="eastAsia" w:ascii="宋体" w:hAnsi="宋体" w:eastAsia="宋体" w:cs="Times New Roman"/>
                      <w:b/>
                      <w:bCs/>
                      <w:color w:val="auto"/>
                      <w:spacing w:val="0"/>
                      <w:kern w:val="0"/>
                      <w:sz w:val="21"/>
                      <w:szCs w:val="21"/>
                    </w:rPr>
                    <w:t>浓度</w:t>
                  </w:r>
                  <w:r>
                    <w:rPr>
                      <w:rFonts w:hint="default" w:ascii="Times New Roman" w:hAnsi="Times New Roman" w:eastAsia="宋体" w:cs="Times New Roman"/>
                      <w:b/>
                      <w:bCs/>
                      <w:color w:val="auto"/>
                      <w:spacing w:val="0"/>
                      <w:kern w:val="0"/>
                      <w:sz w:val="21"/>
                      <w:szCs w:val="21"/>
                    </w:rPr>
                    <w:t>mg/L</w:t>
                  </w:r>
                </w:p>
              </w:tc>
              <w:tc>
                <w:tcPr>
                  <w:tcW w:w="425" w:type="pct"/>
                  <w:tcBorders>
                    <w:tl2br w:val="nil"/>
                    <w:tr2bl w:val="nil"/>
                  </w:tcBorders>
                  <w:shd w:val="clear" w:color="000000" w:fill="FFFFFF"/>
                  <w:noWrap w:val="0"/>
                  <w:vAlign w:val="center"/>
                </w:tcPr>
                <w:p w14:paraId="58261D04">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产生量</w:t>
                  </w:r>
                  <w:r>
                    <w:rPr>
                      <w:rFonts w:hint="default" w:ascii="Times New Roman" w:hAnsi="Times New Roman" w:eastAsia="宋体" w:cs="Times New Roman"/>
                      <w:b/>
                      <w:bCs/>
                      <w:color w:val="auto"/>
                      <w:spacing w:val="0"/>
                      <w:kern w:val="0"/>
                      <w:sz w:val="21"/>
                      <w:szCs w:val="21"/>
                    </w:rPr>
                    <w:t>t/a</w:t>
                  </w:r>
                </w:p>
              </w:tc>
              <w:tc>
                <w:tcPr>
                  <w:tcW w:w="863" w:type="pct"/>
                  <w:vMerge w:val="continue"/>
                  <w:tcBorders>
                    <w:tl2br w:val="nil"/>
                    <w:tr2bl w:val="nil"/>
                  </w:tcBorders>
                  <w:shd w:val="clear" w:color="000000" w:fill="FFFFFF"/>
                  <w:noWrap w:val="0"/>
                  <w:vAlign w:val="center"/>
                </w:tcPr>
                <w:p w14:paraId="308C876A">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p>
              </w:tc>
              <w:tc>
                <w:tcPr>
                  <w:tcW w:w="425" w:type="pct"/>
                  <w:tcBorders>
                    <w:tl2br w:val="nil"/>
                    <w:tr2bl w:val="nil"/>
                  </w:tcBorders>
                  <w:shd w:val="clear" w:color="000000" w:fill="FFFFFF"/>
                  <w:noWrap w:val="0"/>
                  <w:vAlign w:val="center"/>
                </w:tcPr>
                <w:p w14:paraId="68FF3782">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Times New Roman"/>
                      <w:b/>
                      <w:bCs/>
                      <w:color w:val="auto"/>
                      <w:spacing w:val="0"/>
                      <w:kern w:val="0"/>
                      <w:sz w:val="21"/>
                      <w:szCs w:val="21"/>
                    </w:rPr>
                    <w:t>浓度</w:t>
                  </w:r>
                  <w:r>
                    <w:rPr>
                      <w:rFonts w:hint="default" w:ascii="Times New Roman" w:hAnsi="Times New Roman" w:eastAsia="宋体" w:cs="Times New Roman"/>
                      <w:b/>
                      <w:bCs/>
                      <w:color w:val="auto"/>
                      <w:spacing w:val="0"/>
                      <w:kern w:val="0"/>
                      <w:sz w:val="21"/>
                      <w:szCs w:val="21"/>
                    </w:rPr>
                    <w:t>mg/L</w:t>
                  </w:r>
                </w:p>
              </w:tc>
              <w:tc>
                <w:tcPr>
                  <w:tcW w:w="426" w:type="pct"/>
                  <w:tcBorders>
                    <w:tl2br w:val="nil"/>
                    <w:tr2bl w:val="nil"/>
                  </w:tcBorders>
                  <w:shd w:val="clear" w:color="000000" w:fill="FFFFFF"/>
                  <w:noWrap w:val="0"/>
                  <w:vAlign w:val="center"/>
                </w:tcPr>
                <w:p w14:paraId="60926E9B">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r>
                    <w:rPr>
                      <w:rFonts w:hint="eastAsia" w:ascii="宋体" w:hAnsi="宋体" w:eastAsia="宋体" w:cs="宋体"/>
                      <w:b/>
                      <w:bCs/>
                      <w:color w:val="auto"/>
                      <w:spacing w:val="0"/>
                      <w:kern w:val="0"/>
                      <w:sz w:val="21"/>
                      <w:szCs w:val="21"/>
                    </w:rPr>
                    <w:t>排放量</w:t>
                  </w:r>
                  <w:r>
                    <w:rPr>
                      <w:rFonts w:hint="default" w:ascii="Times New Roman" w:hAnsi="Times New Roman" w:eastAsia="宋体" w:cs="Times New Roman"/>
                      <w:b/>
                      <w:bCs/>
                      <w:color w:val="auto"/>
                      <w:spacing w:val="0"/>
                      <w:kern w:val="0"/>
                      <w:sz w:val="21"/>
                      <w:szCs w:val="21"/>
                    </w:rPr>
                    <w:t>t/a</w:t>
                  </w:r>
                </w:p>
              </w:tc>
              <w:tc>
                <w:tcPr>
                  <w:tcW w:w="794" w:type="pct"/>
                  <w:vMerge w:val="continue"/>
                  <w:tcBorders>
                    <w:tl2br w:val="nil"/>
                    <w:tr2bl w:val="nil"/>
                  </w:tcBorders>
                  <w:shd w:val="clear" w:color="000000" w:fill="FFFFFF"/>
                  <w:noWrap/>
                  <w:vAlign w:val="center"/>
                </w:tcPr>
                <w:p w14:paraId="0E2E8387">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b/>
                      <w:bCs/>
                      <w:color w:val="auto"/>
                      <w:spacing w:val="0"/>
                      <w:kern w:val="0"/>
                      <w:sz w:val="21"/>
                      <w:szCs w:val="21"/>
                    </w:rPr>
                  </w:pPr>
                </w:p>
              </w:tc>
            </w:tr>
            <w:tr w14:paraId="264D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tcBorders>
                    <w:tl2br w:val="nil"/>
                    <w:tr2bl w:val="nil"/>
                  </w:tcBorders>
                  <w:shd w:val="clear" w:color="000000" w:fill="FFFFFF"/>
                  <w:noWrap/>
                  <w:vAlign w:val="center"/>
                </w:tcPr>
                <w:p w14:paraId="46C17B04">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r>
                    <w:rPr>
                      <w:rFonts w:hint="eastAsia" w:ascii="宋体" w:hAnsi="宋体" w:eastAsia="宋体" w:cs="宋体"/>
                      <w:color w:val="auto"/>
                      <w:spacing w:val="0"/>
                      <w:kern w:val="0"/>
                      <w:sz w:val="21"/>
                      <w:szCs w:val="21"/>
                    </w:rPr>
                    <w:t>生活污水</w:t>
                  </w:r>
                </w:p>
              </w:tc>
              <w:tc>
                <w:tcPr>
                  <w:tcW w:w="497" w:type="pct"/>
                  <w:vMerge w:val="restart"/>
                  <w:tcBorders>
                    <w:tl2br w:val="nil"/>
                    <w:tr2bl w:val="nil"/>
                  </w:tcBorders>
                  <w:shd w:val="clear" w:color="000000" w:fill="FFFFFF"/>
                  <w:noWrap/>
                  <w:vAlign w:val="center"/>
                </w:tcPr>
                <w:p w14:paraId="619D92E7">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960</w:t>
                  </w:r>
                </w:p>
              </w:tc>
              <w:tc>
                <w:tcPr>
                  <w:tcW w:w="571" w:type="pct"/>
                  <w:tcBorders>
                    <w:tl2br w:val="nil"/>
                    <w:tr2bl w:val="nil"/>
                  </w:tcBorders>
                  <w:shd w:val="clear" w:color="auto" w:fill="FFFFFF"/>
                  <w:noWrap/>
                  <w:vAlign w:val="center"/>
                </w:tcPr>
                <w:p w14:paraId="7FAAC93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COD</w:t>
                  </w:r>
                </w:p>
              </w:tc>
              <w:tc>
                <w:tcPr>
                  <w:tcW w:w="422" w:type="pct"/>
                  <w:tcBorders>
                    <w:tl2br w:val="nil"/>
                    <w:tr2bl w:val="nil"/>
                  </w:tcBorders>
                  <w:shd w:val="clear" w:color="auto" w:fill="FFFFFF"/>
                  <w:noWrap/>
                  <w:vAlign w:val="center"/>
                </w:tcPr>
                <w:p w14:paraId="1AB1149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250</w:t>
                  </w:r>
                </w:p>
              </w:tc>
              <w:tc>
                <w:tcPr>
                  <w:tcW w:w="425" w:type="pct"/>
                  <w:tcBorders>
                    <w:tl2br w:val="nil"/>
                    <w:tr2bl w:val="nil"/>
                  </w:tcBorders>
                  <w:shd w:val="clear" w:color="auto" w:fill="FFFFFF"/>
                  <w:noWrap/>
                  <w:vAlign w:val="center"/>
                </w:tcPr>
                <w:p w14:paraId="5DBF903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0.24</w:t>
                  </w:r>
                </w:p>
              </w:tc>
              <w:tc>
                <w:tcPr>
                  <w:tcW w:w="863" w:type="pct"/>
                  <w:vMerge w:val="restart"/>
                  <w:tcBorders>
                    <w:tl2br w:val="nil"/>
                    <w:tr2bl w:val="nil"/>
                  </w:tcBorders>
                  <w:shd w:val="clear" w:color="000000" w:fill="FFFFFF"/>
                  <w:noWrap/>
                  <w:vAlign w:val="center"/>
                </w:tcPr>
                <w:p w14:paraId="2F5CB257">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eastAsia" w:ascii="Times New Roman" w:hAnsi="Times New Roman" w:eastAsia="宋体" w:cs="Times New Roman"/>
                      <w:color w:val="auto"/>
                      <w:spacing w:val="0"/>
                      <w:kern w:val="0"/>
                      <w:sz w:val="21"/>
                      <w:szCs w:val="21"/>
                    </w:rPr>
                    <w:t>化粪池</w:t>
                  </w:r>
                </w:p>
              </w:tc>
              <w:tc>
                <w:tcPr>
                  <w:tcW w:w="700" w:type="dxa"/>
                  <w:tcBorders>
                    <w:tl2br w:val="nil"/>
                    <w:tr2bl w:val="nil"/>
                  </w:tcBorders>
                  <w:shd w:val="clear" w:color="auto" w:fill="FFFFFF"/>
                  <w:noWrap/>
                  <w:vAlign w:val="center"/>
                </w:tcPr>
                <w:p w14:paraId="27CB1FA5">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250</w:t>
                  </w:r>
                </w:p>
              </w:tc>
              <w:tc>
                <w:tcPr>
                  <w:tcW w:w="702" w:type="dxa"/>
                  <w:tcBorders>
                    <w:tl2br w:val="nil"/>
                    <w:tr2bl w:val="nil"/>
                  </w:tcBorders>
                  <w:shd w:val="clear" w:color="auto" w:fill="FFFFFF"/>
                  <w:noWrap/>
                  <w:vAlign w:val="center"/>
                </w:tcPr>
                <w:p w14:paraId="5733FBDE">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0.24</w:t>
                  </w:r>
                </w:p>
              </w:tc>
              <w:tc>
                <w:tcPr>
                  <w:tcW w:w="794" w:type="pct"/>
                  <w:vMerge w:val="restart"/>
                  <w:tcBorders>
                    <w:tl2br w:val="nil"/>
                    <w:tr2bl w:val="nil"/>
                  </w:tcBorders>
                  <w:shd w:val="clear" w:color="000000" w:fill="FFFFFF"/>
                  <w:noWrap w:val="0"/>
                  <w:vAlign w:val="center"/>
                </w:tcPr>
                <w:p w14:paraId="3383617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lang w:val="en-US" w:eastAsia="zh-CN"/>
                    </w:rPr>
                  </w:pPr>
                  <w:r>
                    <w:rPr>
                      <w:rFonts w:hint="eastAsia" w:ascii="Times New Roman" w:hAnsi="Times New Roman" w:eastAsia="宋体" w:cs="Times New Roman"/>
                      <w:color w:val="auto"/>
                      <w:spacing w:val="0"/>
                      <w:kern w:val="2"/>
                      <w:sz w:val="21"/>
                      <w:szCs w:val="21"/>
                      <w:lang w:val="en-US" w:eastAsia="zh-CN" w:bidi="ar-SA"/>
                    </w:rPr>
                    <w:t>污水处理厂</w:t>
                  </w:r>
                </w:p>
              </w:tc>
            </w:tr>
            <w:tr w14:paraId="2C83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Borders>
                    <w:tl2br w:val="nil"/>
                    <w:tr2bl w:val="nil"/>
                  </w:tcBorders>
                  <w:shd w:val="clear" w:color="auto" w:fill="auto"/>
                  <w:noWrap w:val="0"/>
                  <w:vAlign w:val="center"/>
                </w:tcPr>
                <w:p w14:paraId="50EA5E9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c>
                <w:tcPr>
                  <w:tcW w:w="497" w:type="pct"/>
                  <w:vMerge w:val="continue"/>
                  <w:tcBorders>
                    <w:tl2br w:val="nil"/>
                    <w:tr2bl w:val="nil"/>
                  </w:tcBorders>
                  <w:shd w:val="clear" w:color="auto" w:fill="auto"/>
                  <w:noWrap w:val="0"/>
                  <w:vAlign w:val="center"/>
                </w:tcPr>
                <w:p w14:paraId="3714E14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571" w:type="pct"/>
                  <w:tcBorders>
                    <w:tl2br w:val="nil"/>
                    <w:tr2bl w:val="nil"/>
                  </w:tcBorders>
                  <w:shd w:val="clear" w:color="auto" w:fill="FFFFFF"/>
                  <w:noWrap/>
                  <w:vAlign w:val="center"/>
                </w:tcPr>
                <w:p w14:paraId="6B61EED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SS</w:t>
                  </w:r>
                </w:p>
              </w:tc>
              <w:tc>
                <w:tcPr>
                  <w:tcW w:w="422" w:type="pct"/>
                  <w:tcBorders>
                    <w:tl2br w:val="nil"/>
                    <w:tr2bl w:val="nil"/>
                  </w:tcBorders>
                  <w:shd w:val="clear" w:color="auto" w:fill="FFFFFF"/>
                  <w:noWrap/>
                  <w:vAlign w:val="center"/>
                </w:tcPr>
                <w:p w14:paraId="312B68C5">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120</w:t>
                  </w:r>
                </w:p>
              </w:tc>
              <w:tc>
                <w:tcPr>
                  <w:tcW w:w="425" w:type="pct"/>
                  <w:tcBorders>
                    <w:tl2br w:val="nil"/>
                    <w:tr2bl w:val="nil"/>
                  </w:tcBorders>
                  <w:shd w:val="clear" w:color="auto" w:fill="FFFFFF"/>
                  <w:noWrap/>
                  <w:vAlign w:val="center"/>
                </w:tcPr>
                <w:p w14:paraId="0A67F47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0.115</w:t>
                  </w:r>
                </w:p>
              </w:tc>
              <w:tc>
                <w:tcPr>
                  <w:tcW w:w="863" w:type="pct"/>
                  <w:vMerge w:val="continue"/>
                  <w:tcBorders>
                    <w:tl2br w:val="nil"/>
                    <w:tr2bl w:val="nil"/>
                  </w:tcBorders>
                  <w:shd w:val="clear" w:color="auto" w:fill="auto"/>
                  <w:noWrap w:val="0"/>
                  <w:vAlign w:val="center"/>
                </w:tcPr>
                <w:p w14:paraId="6C70C47C">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700" w:type="dxa"/>
                  <w:tcBorders>
                    <w:tl2br w:val="nil"/>
                    <w:tr2bl w:val="nil"/>
                  </w:tcBorders>
                  <w:shd w:val="clear" w:color="auto" w:fill="FFFFFF"/>
                  <w:noWrap/>
                  <w:vAlign w:val="center"/>
                </w:tcPr>
                <w:p w14:paraId="2616A644">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120</w:t>
                  </w:r>
                </w:p>
              </w:tc>
              <w:tc>
                <w:tcPr>
                  <w:tcW w:w="702" w:type="dxa"/>
                  <w:tcBorders>
                    <w:tl2br w:val="nil"/>
                    <w:tr2bl w:val="nil"/>
                  </w:tcBorders>
                  <w:shd w:val="clear" w:color="auto" w:fill="FFFFFF"/>
                  <w:noWrap/>
                  <w:vAlign w:val="center"/>
                </w:tcPr>
                <w:p w14:paraId="51D2A27A">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0.115</w:t>
                  </w:r>
                </w:p>
              </w:tc>
              <w:tc>
                <w:tcPr>
                  <w:tcW w:w="794" w:type="pct"/>
                  <w:vMerge w:val="continue"/>
                  <w:tcBorders>
                    <w:tl2br w:val="nil"/>
                    <w:tr2bl w:val="nil"/>
                  </w:tcBorders>
                  <w:noWrap w:val="0"/>
                  <w:vAlign w:val="center"/>
                </w:tcPr>
                <w:p w14:paraId="0C660849">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r>
            <w:tr w14:paraId="4367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Borders>
                    <w:tl2br w:val="nil"/>
                    <w:tr2bl w:val="nil"/>
                  </w:tcBorders>
                  <w:shd w:val="clear" w:color="auto" w:fill="auto"/>
                  <w:noWrap w:val="0"/>
                  <w:vAlign w:val="center"/>
                </w:tcPr>
                <w:p w14:paraId="0EB95CE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c>
                <w:tcPr>
                  <w:tcW w:w="497" w:type="pct"/>
                  <w:vMerge w:val="continue"/>
                  <w:tcBorders>
                    <w:tl2br w:val="nil"/>
                    <w:tr2bl w:val="nil"/>
                  </w:tcBorders>
                  <w:shd w:val="clear" w:color="auto" w:fill="auto"/>
                  <w:noWrap w:val="0"/>
                  <w:vAlign w:val="center"/>
                </w:tcPr>
                <w:p w14:paraId="731557DB">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571" w:type="pct"/>
                  <w:tcBorders>
                    <w:tl2br w:val="nil"/>
                    <w:tr2bl w:val="nil"/>
                  </w:tcBorders>
                  <w:shd w:val="clear" w:color="auto" w:fill="FFFFFF"/>
                  <w:noWrap/>
                  <w:vAlign w:val="center"/>
                </w:tcPr>
                <w:p w14:paraId="248B96C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2"/>
                      <w:sz w:val="21"/>
                      <w:szCs w:val="21"/>
                    </w:rPr>
                    <w:t>BOD</w:t>
                  </w:r>
                  <w:r>
                    <w:rPr>
                      <w:rFonts w:hint="default" w:ascii="Times New Roman" w:hAnsi="Times New Roman" w:eastAsia="宋体" w:cs="Times New Roman"/>
                      <w:color w:val="auto"/>
                      <w:spacing w:val="0"/>
                      <w:kern w:val="2"/>
                      <w:sz w:val="21"/>
                      <w:szCs w:val="21"/>
                      <w:vertAlign w:val="subscript"/>
                    </w:rPr>
                    <w:t>5</w:t>
                  </w:r>
                </w:p>
              </w:tc>
              <w:tc>
                <w:tcPr>
                  <w:tcW w:w="422" w:type="pct"/>
                  <w:tcBorders>
                    <w:tl2br w:val="nil"/>
                    <w:tr2bl w:val="nil"/>
                  </w:tcBorders>
                  <w:shd w:val="clear" w:color="auto" w:fill="FFFFFF"/>
                  <w:noWrap/>
                  <w:vAlign w:val="center"/>
                </w:tcPr>
                <w:p w14:paraId="51F84E48">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150</w:t>
                  </w:r>
                </w:p>
              </w:tc>
              <w:tc>
                <w:tcPr>
                  <w:tcW w:w="425" w:type="pct"/>
                  <w:tcBorders>
                    <w:tl2br w:val="nil"/>
                    <w:tr2bl w:val="nil"/>
                  </w:tcBorders>
                  <w:shd w:val="clear" w:color="auto" w:fill="FFFFFF"/>
                  <w:noWrap/>
                  <w:vAlign w:val="center"/>
                </w:tcPr>
                <w:p w14:paraId="61579D5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0.144</w:t>
                  </w:r>
                </w:p>
              </w:tc>
              <w:tc>
                <w:tcPr>
                  <w:tcW w:w="863" w:type="pct"/>
                  <w:vMerge w:val="continue"/>
                  <w:tcBorders>
                    <w:tl2br w:val="nil"/>
                    <w:tr2bl w:val="nil"/>
                  </w:tcBorders>
                  <w:shd w:val="clear" w:color="auto" w:fill="auto"/>
                  <w:noWrap w:val="0"/>
                  <w:vAlign w:val="center"/>
                </w:tcPr>
                <w:p w14:paraId="72D2CE01">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700" w:type="dxa"/>
                  <w:tcBorders>
                    <w:tl2br w:val="nil"/>
                    <w:tr2bl w:val="nil"/>
                  </w:tcBorders>
                  <w:shd w:val="clear" w:color="auto" w:fill="FFFFFF"/>
                  <w:noWrap/>
                  <w:vAlign w:val="center"/>
                </w:tcPr>
                <w:p w14:paraId="240BEF62">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150</w:t>
                  </w:r>
                </w:p>
              </w:tc>
              <w:tc>
                <w:tcPr>
                  <w:tcW w:w="702" w:type="dxa"/>
                  <w:tcBorders>
                    <w:tl2br w:val="nil"/>
                    <w:tr2bl w:val="nil"/>
                  </w:tcBorders>
                  <w:shd w:val="clear" w:color="auto" w:fill="FFFFFF"/>
                  <w:noWrap/>
                  <w:vAlign w:val="center"/>
                </w:tcPr>
                <w:p w14:paraId="55ED618A">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0.144</w:t>
                  </w:r>
                </w:p>
              </w:tc>
              <w:tc>
                <w:tcPr>
                  <w:tcW w:w="794" w:type="pct"/>
                  <w:vMerge w:val="continue"/>
                  <w:tcBorders>
                    <w:tl2br w:val="nil"/>
                    <w:tr2bl w:val="nil"/>
                  </w:tcBorders>
                  <w:noWrap w:val="0"/>
                  <w:vAlign w:val="center"/>
                </w:tcPr>
                <w:p w14:paraId="09923E8F">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r>
            <w:tr w14:paraId="608F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Borders>
                    <w:tl2br w:val="nil"/>
                    <w:tr2bl w:val="nil"/>
                  </w:tcBorders>
                  <w:shd w:val="clear" w:color="auto" w:fill="auto"/>
                  <w:noWrap w:val="0"/>
                  <w:vAlign w:val="center"/>
                </w:tcPr>
                <w:p w14:paraId="7CFD72A7">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c>
                <w:tcPr>
                  <w:tcW w:w="497" w:type="pct"/>
                  <w:vMerge w:val="continue"/>
                  <w:tcBorders>
                    <w:tl2br w:val="nil"/>
                    <w:tr2bl w:val="nil"/>
                  </w:tcBorders>
                  <w:shd w:val="clear" w:color="auto" w:fill="auto"/>
                  <w:noWrap w:val="0"/>
                  <w:vAlign w:val="center"/>
                </w:tcPr>
                <w:p w14:paraId="14488C5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571" w:type="pct"/>
                  <w:tcBorders>
                    <w:tl2br w:val="nil"/>
                    <w:tr2bl w:val="nil"/>
                  </w:tcBorders>
                  <w:shd w:val="clear" w:color="auto" w:fill="FFFFFF"/>
                  <w:noWrap/>
                  <w:vAlign w:val="center"/>
                </w:tcPr>
                <w:p w14:paraId="321963A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NH</w:t>
                  </w:r>
                  <w:r>
                    <w:rPr>
                      <w:rFonts w:hint="default" w:ascii="Times New Roman" w:hAnsi="Times New Roman" w:eastAsia="宋体" w:cs="Times New Roman"/>
                      <w:color w:val="auto"/>
                      <w:spacing w:val="0"/>
                      <w:kern w:val="0"/>
                      <w:sz w:val="21"/>
                      <w:szCs w:val="21"/>
                      <w:vertAlign w:val="subscript"/>
                    </w:rPr>
                    <w:t>3</w:t>
                  </w:r>
                  <w:r>
                    <w:rPr>
                      <w:rFonts w:hint="default" w:ascii="Times New Roman" w:hAnsi="Times New Roman" w:eastAsia="宋体" w:cs="Times New Roman"/>
                      <w:color w:val="auto"/>
                      <w:spacing w:val="0"/>
                      <w:kern w:val="0"/>
                      <w:sz w:val="21"/>
                      <w:szCs w:val="21"/>
                    </w:rPr>
                    <w:t>-N</w:t>
                  </w:r>
                </w:p>
              </w:tc>
              <w:tc>
                <w:tcPr>
                  <w:tcW w:w="422" w:type="pct"/>
                  <w:tcBorders>
                    <w:tl2br w:val="nil"/>
                    <w:tr2bl w:val="nil"/>
                  </w:tcBorders>
                  <w:shd w:val="clear" w:color="auto" w:fill="FFFFFF"/>
                  <w:noWrap/>
                  <w:vAlign w:val="center"/>
                </w:tcPr>
                <w:p w14:paraId="3FCFDD90">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30</w:t>
                  </w:r>
                </w:p>
              </w:tc>
              <w:tc>
                <w:tcPr>
                  <w:tcW w:w="425" w:type="pct"/>
                  <w:tcBorders>
                    <w:tl2br w:val="nil"/>
                    <w:tr2bl w:val="nil"/>
                  </w:tcBorders>
                  <w:shd w:val="clear" w:color="auto" w:fill="FFFFFF"/>
                  <w:noWrap/>
                  <w:vAlign w:val="center"/>
                </w:tcPr>
                <w:p w14:paraId="55018084">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0.029</w:t>
                  </w:r>
                </w:p>
              </w:tc>
              <w:tc>
                <w:tcPr>
                  <w:tcW w:w="863" w:type="pct"/>
                  <w:vMerge w:val="continue"/>
                  <w:tcBorders>
                    <w:tl2br w:val="nil"/>
                    <w:tr2bl w:val="nil"/>
                  </w:tcBorders>
                  <w:shd w:val="clear" w:color="auto" w:fill="auto"/>
                  <w:noWrap w:val="0"/>
                  <w:vAlign w:val="center"/>
                </w:tcPr>
                <w:p w14:paraId="31530B4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700" w:type="dxa"/>
                  <w:tcBorders>
                    <w:tl2br w:val="nil"/>
                    <w:tr2bl w:val="nil"/>
                  </w:tcBorders>
                  <w:shd w:val="clear" w:color="auto" w:fill="FFFFFF"/>
                  <w:noWrap/>
                  <w:vAlign w:val="center"/>
                </w:tcPr>
                <w:p w14:paraId="2CBFA6DA">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30</w:t>
                  </w:r>
                </w:p>
              </w:tc>
              <w:tc>
                <w:tcPr>
                  <w:tcW w:w="702" w:type="dxa"/>
                  <w:tcBorders>
                    <w:tl2br w:val="nil"/>
                    <w:tr2bl w:val="nil"/>
                  </w:tcBorders>
                  <w:shd w:val="clear" w:color="auto" w:fill="FFFFFF"/>
                  <w:noWrap/>
                  <w:vAlign w:val="center"/>
                </w:tcPr>
                <w:p w14:paraId="3CE20B1A">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0.029</w:t>
                  </w:r>
                </w:p>
              </w:tc>
              <w:tc>
                <w:tcPr>
                  <w:tcW w:w="794" w:type="pct"/>
                  <w:vMerge w:val="continue"/>
                  <w:tcBorders>
                    <w:tl2br w:val="nil"/>
                    <w:tr2bl w:val="nil"/>
                  </w:tcBorders>
                  <w:noWrap w:val="0"/>
                  <w:vAlign w:val="center"/>
                </w:tcPr>
                <w:p w14:paraId="01C1ABF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r>
            <w:tr w14:paraId="2BD3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Borders>
                    <w:tl2br w:val="nil"/>
                    <w:tr2bl w:val="nil"/>
                  </w:tcBorders>
                  <w:shd w:val="clear" w:color="auto" w:fill="auto"/>
                  <w:noWrap w:val="0"/>
                  <w:vAlign w:val="center"/>
                </w:tcPr>
                <w:p w14:paraId="5A3DF61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c>
                <w:tcPr>
                  <w:tcW w:w="497" w:type="pct"/>
                  <w:vMerge w:val="continue"/>
                  <w:tcBorders>
                    <w:tl2br w:val="nil"/>
                    <w:tr2bl w:val="nil"/>
                  </w:tcBorders>
                  <w:shd w:val="clear" w:color="auto" w:fill="auto"/>
                  <w:noWrap w:val="0"/>
                  <w:vAlign w:val="center"/>
                </w:tcPr>
                <w:p w14:paraId="33C215F1">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571" w:type="pct"/>
                  <w:tcBorders>
                    <w:tl2br w:val="nil"/>
                    <w:tr2bl w:val="nil"/>
                  </w:tcBorders>
                  <w:shd w:val="clear" w:color="auto" w:fill="FFFFFF"/>
                  <w:noWrap/>
                  <w:vAlign w:val="center"/>
                </w:tcPr>
                <w:p w14:paraId="174D09FF">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动植物油</w:t>
                  </w:r>
                </w:p>
              </w:tc>
              <w:tc>
                <w:tcPr>
                  <w:tcW w:w="422" w:type="pct"/>
                  <w:tcBorders>
                    <w:tl2br w:val="nil"/>
                    <w:tr2bl w:val="nil"/>
                  </w:tcBorders>
                  <w:shd w:val="clear" w:color="auto" w:fill="FFFFFF"/>
                  <w:noWrap/>
                  <w:vAlign w:val="center"/>
                </w:tcPr>
                <w:p w14:paraId="61F85CDE">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20</w:t>
                  </w:r>
                </w:p>
              </w:tc>
              <w:tc>
                <w:tcPr>
                  <w:tcW w:w="425" w:type="pct"/>
                  <w:tcBorders>
                    <w:tl2br w:val="nil"/>
                    <w:tr2bl w:val="nil"/>
                  </w:tcBorders>
                  <w:shd w:val="clear" w:color="auto" w:fill="FFFFFF"/>
                  <w:noWrap/>
                  <w:vAlign w:val="center"/>
                </w:tcPr>
                <w:p w14:paraId="48BCAD7A">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0.019</w:t>
                  </w:r>
                </w:p>
              </w:tc>
              <w:tc>
                <w:tcPr>
                  <w:tcW w:w="863" w:type="pct"/>
                  <w:vMerge w:val="continue"/>
                  <w:tcBorders>
                    <w:tl2br w:val="nil"/>
                    <w:tr2bl w:val="nil"/>
                  </w:tcBorders>
                  <w:shd w:val="clear" w:color="auto" w:fill="auto"/>
                  <w:noWrap w:val="0"/>
                  <w:vAlign w:val="center"/>
                </w:tcPr>
                <w:p w14:paraId="3CAFD478">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rPr>
                  </w:pPr>
                </w:p>
              </w:tc>
              <w:tc>
                <w:tcPr>
                  <w:tcW w:w="700" w:type="dxa"/>
                  <w:tcBorders>
                    <w:tl2br w:val="nil"/>
                    <w:tr2bl w:val="nil"/>
                  </w:tcBorders>
                  <w:shd w:val="clear" w:color="auto" w:fill="FFFFFF"/>
                  <w:noWrap/>
                  <w:vAlign w:val="center"/>
                </w:tcPr>
                <w:p w14:paraId="4431E76E">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20</w:t>
                  </w:r>
                </w:p>
              </w:tc>
              <w:tc>
                <w:tcPr>
                  <w:tcW w:w="702" w:type="dxa"/>
                  <w:tcBorders>
                    <w:tl2br w:val="nil"/>
                    <w:tr2bl w:val="nil"/>
                  </w:tcBorders>
                  <w:shd w:val="clear" w:color="auto" w:fill="FFFFFF"/>
                  <w:noWrap/>
                  <w:vAlign w:val="center"/>
                </w:tcPr>
                <w:p w14:paraId="5A52864F">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0.019</w:t>
                  </w:r>
                </w:p>
              </w:tc>
              <w:tc>
                <w:tcPr>
                  <w:tcW w:w="794" w:type="pct"/>
                  <w:vMerge w:val="continue"/>
                  <w:tcBorders>
                    <w:tl2br w:val="nil"/>
                    <w:tr2bl w:val="nil"/>
                  </w:tcBorders>
                  <w:noWrap w:val="0"/>
                  <w:vAlign w:val="center"/>
                </w:tcPr>
                <w:p w14:paraId="421296EE">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r>
            <w:tr w14:paraId="0FAA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tcBorders>
                    <w:tl2br w:val="nil"/>
                    <w:tr2bl w:val="nil"/>
                  </w:tcBorders>
                  <w:shd w:val="clear" w:color="auto" w:fill="auto"/>
                  <w:noWrap w:val="0"/>
                  <w:vAlign w:val="center"/>
                </w:tcPr>
                <w:p w14:paraId="6321ED3E">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r>
                    <w:rPr>
                      <w:rFonts w:hint="default" w:ascii="宋体" w:hAnsi="宋体" w:eastAsia="宋体" w:cs="宋体"/>
                      <w:color w:val="auto"/>
                      <w:spacing w:val="0"/>
                      <w:kern w:val="0"/>
                      <w:sz w:val="21"/>
                      <w:szCs w:val="21"/>
                    </w:rPr>
                    <w:t>循环冷却水排水</w:t>
                  </w:r>
                </w:p>
              </w:tc>
              <w:tc>
                <w:tcPr>
                  <w:tcW w:w="497" w:type="pct"/>
                  <w:vMerge w:val="restart"/>
                  <w:tcBorders>
                    <w:tl2br w:val="nil"/>
                    <w:tr2bl w:val="nil"/>
                  </w:tcBorders>
                  <w:shd w:val="clear" w:color="auto" w:fill="auto"/>
                  <w:noWrap w:val="0"/>
                  <w:vAlign w:val="center"/>
                </w:tcPr>
                <w:p w14:paraId="468F431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rPr>
                  </w:pPr>
                  <w:r>
                    <w:rPr>
                      <w:rFonts w:hint="eastAsia" w:cs="Times New Roman"/>
                      <w:color w:val="auto"/>
                      <w:spacing w:val="0"/>
                      <w:kern w:val="2"/>
                      <w:sz w:val="21"/>
                      <w:szCs w:val="24"/>
                      <w:lang w:val="en-US" w:eastAsia="zh-CN"/>
                    </w:rPr>
                    <w:t>6300</w:t>
                  </w:r>
                </w:p>
              </w:tc>
              <w:tc>
                <w:tcPr>
                  <w:tcW w:w="571" w:type="pct"/>
                  <w:tcBorders>
                    <w:tl2br w:val="nil"/>
                    <w:tr2bl w:val="nil"/>
                  </w:tcBorders>
                  <w:shd w:val="clear" w:color="auto" w:fill="FFFFFF"/>
                  <w:noWrap/>
                  <w:vAlign w:val="center"/>
                </w:tcPr>
                <w:p w14:paraId="60FF050A">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rPr>
                    <w:t>COD</w:t>
                  </w:r>
                </w:p>
              </w:tc>
              <w:tc>
                <w:tcPr>
                  <w:tcW w:w="422" w:type="pct"/>
                  <w:tcBorders>
                    <w:tl2br w:val="nil"/>
                    <w:tr2bl w:val="nil"/>
                  </w:tcBorders>
                  <w:shd w:val="clear" w:color="auto" w:fill="FFFFFF"/>
                  <w:noWrap/>
                  <w:vAlign w:val="center"/>
                </w:tcPr>
                <w:p w14:paraId="21B28A8E">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50</w:t>
                  </w:r>
                </w:p>
              </w:tc>
              <w:tc>
                <w:tcPr>
                  <w:tcW w:w="425" w:type="pct"/>
                  <w:tcBorders>
                    <w:tl2br w:val="nil"/>
                    <w:tr2bl w:val="nil"/>
                  </w:tcBorders>
                  <w:shd w:val="clear" w:color="auto" w:fill="FFFFFF"/>
                  <w:noWrap/>
                  <w:vAlign w:val="center"/>
                </w:tcPr>
                <w:p w14:paraId="35D9794B">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0.315</w:t>
                  </w:r>
                </w:p>
              </w:tc>
              <w:tc>
                <w:tcPr>
                  <w:tcW w:w="863" w:type="pct"/>
                  <w:vMerge w:val="restart"/>
                  <w:tcBorders>
                    <w:tl2br w:val="nil"/>
                    <w:tr2bl w:val="nil"/>
                  </w:tcBorders>
                  <w:shd w:val="clear" w:color="auto" w:fill="auto"/>
                  <w:noWrap w:val="0"/>
                  <w:vAlign w:val="center"/>
                </w:tcPr>
                <w:p w14:paraId="055B3709">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w:t>
                  </w:r>
                </w:p>
              </w:tc>
              <w:tc>
                <w:tcPr>
                  <w:tcW w:w="700" w:type="dxa"/>
                  <w:tcBorders>
                    <w:tl2br w:val="nil"/>
                    <w:tr2bl w:val="nil"/>
                  </w:tcBorders>
                  <w:shd w:val="clear" w:color="auto" w:fill="FFFFFF"/>
                  <w:noWrap/>
                  <w:vAlign w:val="center"/>
                </w:tcPr>
                <w:p w14:paraId="11711EB9">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50</w:t>
                  </w:r>
                </w:p>
              </w:tc>
              <w:tc>
                <w:tcPr>
                  <w:tcW w:w="702" w:type="dxa"/>
                  <w:tcBorders>
                    <w:tl2br w:val="nil"/>
                    <w:tr2bl w:val="nil"/>
                  </w:tcBorders>
                  <w:shd w:val="clear" w:color="auto" w:fill="FFFFFF"/>
                  <w:noWrap/>
                  <w:vAlign w:val="center"/>
                </w:tcPr>
                <w:p w14:paraId="723B460D">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0.315</w:t>
                  </w:r>
                </w:p>
              </w:tc>
              <w:tc>
                <w:tcPr>
                  <w:tcW w:w="794" w:type="pct"/>
                  <w:vMerge w:val="restart"/>
                  <w:tcBorders>
                    <w:tl2br w:val="nil"/>
                    <w:tr2bl w:val="nil"/>
                  </w:tcBorders>
                  <w:noWrap w:val="0"/>
                  <w:vAlign w:val="center"/>
                </w:tcPr>
                <w:p w14:paraId="3D0CA695">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r>
                    <w:rPr>
                      <w:rFonts w:hint="eastAsia" w:ascii="Times New Roman" w:hAnsi="Times New Roman" w:eastAsia="宋体" w:cs="Times New Roman"/>
                      <w:color w:val="auto"/>
                      <w:spacing w:val="0"/>
                      <w:kern w:val="2"/>
                      <w:sz w:val="21"/>
                      <w:szCs w:val="21"/>
                      <w:lang w:val="en-US" w:eastAsia="zh-CN" w:bidi="ar-SA"/>
                    </w:rPr>
                    <w:t>污水处理厂</w:t>
                  </w:r>
                </w:p>
              </w:tc>
            </w:tr>
            <w:tr w14:paraId="0DED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Borders>
                    <w:tl2br w:val="nil"/>
                    <w:tr2bl w:val="nil"/>
                  </w:tcBorders>
                  <w:shd w:val="clear" w:color="auto" w:fill="auto"/>
                  <w:noWrap w:val="0"/>
                  <w:vAlign w:val="center"/>
                </w:tcPr>
                <w:p w14:paraId="02473C73">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宋体" w:hAnsi="宋体" w:eastAsia="宋体" w:cs="宋体"/>
                      <w:color w:val="auto"/>
                      <w:spacing w:val="0"/>
                      <w:kern w:val="0"/>
                      <w:sz w:val="21"/>
                      <w:szCs w:val="21"/>
                    </w:rPr>
                  </w:pPr>
                </w:p>
              </w:tc>
              <w:tc>
                <w:tcPr>
                  <w:tcW w:w="497" w:type="pct"/>
                  <w:vMerge w:val="continue"/>
                  <w:tcBorders>
                    <w:tl2br w:val="nil"/>
                    <w:tr2bl w:val="nil"/>
                  </w:tcBorders>
                  <w:shd w:val="clear" w:color="auto" w:fill="auto"/>
                  <w:noWrap w:val="0"/>
                  <w:vAlign w:val="center"/>
                </w:tcPr>
                <w:p w14:paraId="6DD54E50">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cs="Times New Roman"/>
                      <w:color w:val="auto"/>
                      <w:spacing w:val="0"/>
                      <w:kern w:val="2"/>
                      <w:sz w:val="21"/>
                      <w:szCs w:val="24"/>
                      <w:lang w:val="en-US" w:eastAsia="zh-CN"/>
                    </w:rPr>
                  </w:pPr>
                </w:p>
              </w:tc>
              <w:tc>
                <w:tcPr>
                  <w:tcW w:w="571" w:type="pct"/>
                  <w:tcBorders>
                    <w:tl2br w:val="nil"/>
                    <w:tr2bl w:val="nil"/>
                  </w:tcBorders>
                  <w:shd w:val="clear" w:color="auto" w:fill="FFFFFF"/>
                  <w:noWrap/>
                  <w:vAlign w:val="center"/>
                </w:tcPr>
                <w:p w14:paraId="7CCDF3F5">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rPr>
                    <w:t>SS</w:t>
                  </w:r>
                </w:p>
              </w:tc>
              <w:tc>
                <w:tcPr>
                  <w:tcW w:w="422" w:type="pct"/>
                  <w:tcBorders>
                    <w:tl2br w:val="nil"/>
                    <w:tr2bl w:val="nil"/>
                  </w:tcBorders>
                  <w:shd w:val="clear" w:color="auto" w:fill="FFFFFF"/>
                  <w:noWrap/>
                  <w:vAlign w:val="center"/>
                </w:tcPr>
                <w:p w14:paraId="29976B1B">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100</w:t>
                  </w:r>
                </w:p>
              </w:tc>
              <w:tc>
                <w:tcPr>
                  <w:tcW w:w="425" w:type="pct"/>
                  <w:tcBorders>
                    <w:tl2br w:val="nil"/>
                    <w:tr2bl w:val="nil"/>
                  </w:tcBorders>
                  <w:shd w:val="clear" w:color="auto" w:fill="FFFFFF"/>
                  <w:noWrap/>
                  <w:vAlign w:val="center"/>
                </w:tcPr>
                <w:p w14:paraId="16C162DD">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0.63</w:t>
                  </w:r>
                </w:p>
              </w:tc>
              <w:tc>
                <w:tcPr>
                  <w:tcW w:w="863" w:type="pct"/>
                  <w:vMerge w:val="continue"/>
                  <w:tcBorders>
                    <w:tl2br w:val="nil"/>
                    <w:tr2bl w:val="nil"/>
                  </w:tcBorders>
                  <w:shd w:val="clear" w:color="auto" w:fill="auto"/>
                  <w:noWrap w:val="0"/>
                  <w:vAlign w:val="center"/>
                </w:tcPr>
                <w:p w14:paraId="747EDC4E">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cs="Times New Roman"/>
                      <w:color w:val="auto"/>
                      <w:spacing w:val="0"/>
                      <w:kern w:val="0"/>
                      <w:sz w:val="21"/>
                      <w:szCs w:val="21"/>
                      <w:lang w:val="en-US" w:eastAsia="zh-CN"/>
                    </w:rPr>
                  </w:pPr>
                </w:p>
              </w:tc>
              <w:tc>
                <w:tcPr>
                  <w:tcW w:w="700" w:type="dxa"/>
                  <w:tcBorders>
                    <w:tl2br w:val="nil"/>
                    <w:tr2bl w:val="nil"/>
                  </w:tcBorders>
                  <w:shd w:val="clear" w:color="auto" w:fill="FFFFFF"/>
                  <w:noWrap/>
                  <w:vAlign w:val="center"/>
                </w:tcPr>
                <w:p w14:paraId="74CCB30C">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100</w:t>
                  </w:r>
                </w:p>
              </w:tc>
              <w:tc>
                <w:tcPr>
                  <w:tcW w:w="702" w:type="dxa"/>
                  <w:tcBorders>
                    <w:tl2br w:val="nil"/>
                    <w:tr2bl w:val="nil"/>
                  </w:tcBorders>
                  <w:shd w:val="clear" w:color="auto" w:fill="FFFFFF"/>
                  <w:noWrap/>
                  <w:vAlign w:val="center"/>
                </w:tcPr>
                <w:p w14:paraId="4B635152">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0.63</w:t>
                  </w:r>
                </w:p>
              </w:tc>
              <w:tc>
                <w:tcPr>
                  <w:tcW w:w="794" w:type="pct"/>
                  <w:vMerge w:val="continue"/>
                  <w:tcBorders>
                    <w:tl2br w:val="nil"/>
                    <w:tr2bl w:val="nil"/>
                  </w:tcBorders>
                  <w:noWrap w:val="0"/>
                  <w:vAlign w:val="center"/>
                </w:tcPr>
                <w:p w14:paraId="46037461">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pacing w:val="0"/>
                      <w:kern w:val="2"/>
                      <w:sz w:val="21"/>
                      <w:szCs w:val="21"/>
                      <w:lang w:val="en-US" w:eastAsia="zh-CN" w:bidi="ar-SA"/>
                    </w:rPr>
                  </w:pPr>
                </w:p>
              </w:tc>
            </w:tr>
          </w:tbl>
          <w:p w14:paraId="402DA39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auto"/>
              </w:rPr>
            </w:pPr>
            <w:r>
              <w:rPr>
                <w:rFonts w:hint="eastAsia"/>
                <w:bCs/>
                <w:color w:val="auto"/>
                <w:sz w:val="24"/>
              </w:rPr>
              <w:t>污水治理设施分析</w:t>
            </w:r>
          </w:p>
          <w:p w14:paraId="3F9EC89D">
            <w:pPr>
              <w:pStyle w:val="87"/>
              <w:keepNext w:val="0"/>
              <w:keepLines w:val="0"/>
              <w:suppressLineNumbers w:val="0"/>
              <w:spacing w:before="0" w:beforeAutospacing="0" w:after="0" w:afterAutospacing="0"/>
              <w:ind w:left="0" w:right="0" w:firstLine="496" w:firstLineChars="200"/>
              <w:rPr>
                <w:rFonts w:hint="default" w:ascii="Times New Roman" w:hAnsi="Times New Roman"/>
                <w:color w:val="auto"/>
                <w:kern w:val="21"/>
              </w:rPr>
            </w:pPr>
            <w:r>
              <w:rPr>
                <w:rFonts w:hint="eastAsia" w:ascii="Times New Roman" w:hAnsi="Times New Roman"/>
                <w:color w:val="auto"/>
                <w:kern w:val="21"/>
              </w:rPr>
              <w:t>本项目运营期产生的废水主要为生活污水</w:t>
            </w:r>
            <w:r>
              <w:rPr>
                <w:rFonts w:hint="eastAsia" w:ascii="Times New Roman" w:hAnsi="Times New Roman"/>
                <w:color w:val="auto"/>
                <w:kern w:val="21"/>
                <w:lang w:val="en-US" w:eastAsia="zh-CN"/>
              </w:rPr>
              <w:t>和</w:t>
            </w:r>
            <w:r>
              <w:rPr>
                <w:rFonts w:hint="eastAsia" w:cs="Times New Roman"/>
                <w:color w:val="auto"/>
                <w:kern w:val="21"/>
                <w:sz w:val="24"/>
                <w:lang w:val="en-US" w:eastAsia="zh-CN"/>
              </w:rPr>
              <w:t>循环冷却塔排水</w:t>
            </w:r>
            <w:r>
              <w:rPr>
                <w:rFonts w:hint="eastAsia" w:ascii="Times New Roman" w:hAnsi="Times New Roman"/>
                <w:color w:val="auto"/>
                <w:kern w:val="21"/>
              </w:rPr>
              <w:t>。</w:t>
            </w:r>
          </w:p>
          <w:p w14:paraId="5966355F">
            <w:pPr>
              <w:keepNext w:val="0"/>
              <w:keepLines w:val="0"/>
              <w:suppressLineNumbers w:val="0"/>
              <w:tabs>
                <w:tab w:val="left" w:pos="1215"/>
              </w:tabs>
              <w:adjustRightInd w:val="0"/>
              <w:snapToGrid w:val="0"/>
              <w:spacing w:before="0" w:beforeAutospacing="0" w:after="0" w:afterAutospacing="0" w:line="360" w:lineRule="auto"/>
              <w:ind w:left="0" w:right="0" w:firstLine="480" w:firstLineChars="200"/>
              <w:jc w:val="left"/>
              <w:rPr>
                <w:rFonts w:hint="default"/>
                <w:color w:val="auto"/>
                <w:sz w:val="24"/>
              </w:rPr>
            </w:pPr>
            <w:r>
              <w:rPr>
                <w:rFonts w:hint="eastAsia" w:ascii="宋体" w:hAnsi="宋体" w:cs="宋体"/>
                <w:bCs/>
                <w:color w:val="auto"/>
                <w:sz w:val="24"/>
              </w:rPr>
              <w:t>生活污水依托</w:t>
            </w:r>
            <w:r>
              <w:rPr>
                <w:rFonts w:hint="eastAsia" w:ascii="宋体" w:hAnsi="宋体" w:cs="宋体"/>
                <w:bCs/>
                <w:color w:val="auto"/>
                <w:sz w:val="24"/>
                <w:lang w:val="en-US" w:eastAsia="zh-CN"/>
              </w:rPr>
              <w:t>园区</w:t>
            </w:r>
            <w:r>
              <w:rPr>
                <w:rFonts w:hint="eastAsia" w:ascii="宋体" w:hAnsi="宋体" w:cs="宋体"/>
                <w:bCs/>
                <w:color w:val="auto"/>
                <w:sz w:val="24"/>
              </w:rPr>
              <w:t>现有化粪池预处理后，</w:t>
            </w:r>
            <w:r>
              <w:rPr>
                <w:rFonts w:hint="eastAsia" w:ascii="Times New Roman" w:hAnsi="Times New Roman" w:cs="Times New Roman"/>
                <w:color w:val="auto"/>
                <w:sz w:val="24"/>
                <w:szCs w:val="24"/>
                <w:highlight w:val="none"/>
                <w:lang w:eastAsia="zh-CN"/>
              </w:rPr>
              <w:t>满足《污水综合排放标准》（GB8978-1996）表4中的三级标准及龙湖工业园污水处理厂接管限值后，经市政污水管网进入龙湖工业园污水处理厂进行深度处理，循环冷却水排水为清净下水，直接通过市政污水管网进入污水处理厂进行深度处理，达到《城镇污水处理厂污染物排放标准》</w:t>
            </w:r>
            <w:r>
              <w:rPr>
                <w:rFonts w:hint="default" w:ascii="Times New Roman" w:hAnsi="Times New Roman" w:cs="Times New Roman"/>
                <w:color w:val="auto"/>
                <w:sz w:val="24"/>
                <w:szCs w:val="24"/>
                <w:highlight w:val="none"/>
              </w:rPr>
              <w:t>（GB18918-2002）</w:t>
            </w:r>
            <w:r>
              <w:rPr>
                <w:rFonts w:hint="eastAsia" w:ascii="Times New Roman" w:hAnsi="Times New Roman" w:cs="Times New Roman"/>
                <w:color w:val="auto"/>
                <w:sz w:val="24"/>
                <w:szCs w:val="24"/>
                <w:highlight w:val="none"/>
                <w:lang w:eastAsia="zh-CN"/>
              </w:rPr>
              <w:t>中的一级A标准后排入龙河</w:t>
            </w:r>
            <w:r>
              <w:rPr>
                <w:rFonts w:hint="eastAsia" w:ascii="宋体" w:hAnsi="宋体" w:cs="宋体"/>
                <w:bCs/>
                <w:color w:val="auto"/>
                <w:sz w:val="24"/>
              </w:rPr>
              <w:t>。</w:t>
            </w:r>
            <w:r>
              <w:rPr>
                <w:rFonts w:hint="default"/>
                <w:color w:val="auto"/>
                <w:sz w:val="24"/>
              </w:rPr>
              <w:t>本项目废水不直接外排，对区域地表水环境影响较小。</w:t>
            </w:r>
          </w:p>
          <w:p w14:paraId="78D94F1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pacing w:val="-4"/>
                <w:sz w:val="24"/>
                <w:szCs w:val="24"/>
                <w:highlight w:val="none"/>
              </w:rPr>
            </w:pP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三</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接管可行性分析</w:t>
            </w:r>
          </w:p>
          <w:p w14:paraId="701D8C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本项目废水属间接排放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环境影响评价技术导则-地表水环境》（HJ2.3-2018）中间接排放建设项目评级等级三级B，因此本项目地表水环境影响评价等级为三级B。其评价范围应符合以下要求：a)应满足其依托污水处理设施环境可行性分析的要求；b)涉及地表水环境风险的，应覆盖环境风险影响范围所及的水环境保护目标水域。本项目不涉及地表水环境风险，仅对依托污水处理设施环境可行性分析。</w:t>
            </w:r>
          </w:p>
          <w:p w14:paraId="6EE6E8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龙湖工业园污水处理厂</w:t>
            </w:r>
            <w:r>
              <w:rPr>
                <w:rFonts w:hint="default" w:ascii="Times New Roman" w:hAnsi="Times New Roman" w:eastAsia="宋体" w:cs="Times New Roman"/>
                <w:color w:val="auto"/>
                <w:sz w:val="24"/>
                <w:szCs w:val="24"/>
                <w:highlight w:val="none"/>
              </w:rPr>
              <w:t>：</w:t>
            </w:r>
          </w:p>
          <w:p w14:paraId="48D44B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①污水处理厂概况</w:t>
            </w:r>
          </w:p>
          <w:p w14:paraId="5B34F939">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20"/>
                <w:highlight w:val="none"/>
              </w:rPr>
            </w:pPr>
            <w:r>
              <w:rPr>
                <w:rFonts w:hint="eastAsia"/>
                <w:sz w:val="24"/>
                <w:szCs w:val="20"/>
                <w:highlight w:val="none"/>
                <w:lang w:val="en-US" w:eastAsia="zh-CN"/>
              </w:rPr>
              <w:t>龙湖工业园污水处理厂采用奥贝尔氧化沟处理工艺方案。氧化沟法是一种延时曝气活性污泥法，其处理机理、运行条件和传统活性污泥法相同。由于氧化沟自身的特点，沟中间段形成缺氧区和好氧区，除去除 BOD</w:t>
            </w:r>
            <w:r>
              <w:rPr>
                <w:rFonts w:hint="eastAsia"/>
                <w:sz w:val="24"/>
                <w:szCs w:val="20"/>
                <w:highlight w:val="none"/>
                <w:vertAlign w:val="subscript"/>
                <w:lang w:val="en-US" w:eastAsia="zh-CN"/>
              </w:rPr>
              <w:t>5</w:t>
            </w:r>
            <w:r>
              <w:rPr>
                <w:rFonts w:hint="eastAsia"/>
                <w:sz w:val="24"/>
                <w:szCs w:val="20"/>
                <w:highlight w:val="none"/>
                <w:lang w:val="en-US" w:eastAsia="zh-CN"/>
              </w:rPr>
              <w:t xml:space="preserve">、SS 的功能外，还有一定的脱氮功能。该工艺运行管理方便，操作简单；耐冲击负荷能力强，处理效果稳定；除磷脱氮效果较好，出水水质能满足要求；污泥已相对稳定，无需再设消化装置，由于污泥稳定，一般不再进行稳定化处理；操作管理有较成熟经验。 </w:t>
            </w:r>
          </w:p>
          <w:p w14:paraId="4BD279D2">
            <w:pPr>
              <w:pStyle w:val="88"/>
              <w:keepNext w:val="0"/>
              <w:keepLines w:val="0"/>
              <w:suppressLineNumbers w:val="0"/>
              <w:spacing w:before="0" w:beforeAutospacing="0" w:after="0" w:afterAutospacing="0"/>
              <w:ind w:left="0" w:leftChars="0" w:right="0" w:firstLine="480" w:firstLineChars="200"/>
              <w:rPr>
                <w:rFonts w:hint="default"/>
                <w:sz w:val="24"/>
                <w:szCs w:val="24"/>
              </w:rPr>
            </w:pPr>
            <w:r>
              <w:rPr>
                <w:rFonts w:hint="default"/>
                <w:sz w:val="24"/>
                <w:szCs w:val="24"/>
              </w:rPr>
              <w:t>本项目所在地属于</w:t>
            </w:r>
            <w:r>
              <w:rPr>
                <w:rFonts w:hint="eastAsia" w:ascii="宋体" w:hAnsi="宋体" w:cs="宋体"/>
                <w:sz w:val="24"/>
                <w:szCs w:val="24"/>
                <w:lang w:eastAsia="zh-CN"/>
              </w:rPr>
              <w:t>安徽省淮北市杜集区朔里镇众帮创业园，</w:t>
            </w:r>
            <w:r>
              <w:rPr>
                <w:rFonts w:hint="default"/>
                <w:sz w:val="24"/>
                <w:szCs w:val="24"/>
                <w:highlight w:val="none"/>
              </w:rPr>
              <w:t>属于</w:t>
            </w:r>
            <w:r>
              <w:rPr>
                <w:rFonts w:hint="eastAsia"/>
                <w:sz w:val="24"/>
                <w:szCs w:val="24"/>
                <w:highlight w:val="none"/>
                <w:lang w:eastAsia="zh-CN"/>
              </w:rPr>
              <w:t>龙湖工业园污水处理厂</w:t>
            </w:r>
            <w:r>
              <w:rPr>
                <w:rFonts w:hint="default"/>
                <w:sz w:val="24"/>
                <w:szCs w:val="24"/>
              </w:rPr>
              <w:t>收水范围之内，</w:t>
            </w:r>
            <w:r>
              <w:rPr>
                <w:rFonts w:hint="eastAsia"/>
                <w:sz w:val="24"/>
                <w:szCs w:val="24"/>
                <w:lang w:val="en-US" w:eastAsia="zh-CN"/>
              </w:rPr>
              <w:t>龙湖工业园污水处理厂总设计规模 16 万 t/d，</w:t>
            </w:r>
            <w:r>
              <w:rPr>
                <w:rFonts w:hint="default"/>
                <w:sz w:val="24"/>
                <w:szCs w:val="24"/>
              </w:rPr>
              <w:t>一期规</w:t>
            </w:r>
            <w:r>
              <w:rPr>
                <w:rFonts w:hint="eastAsia"/>
                <w:sz w:val="24"/>
                <w:szCs w:val="24"/>
                <w:lang w:val="en-US" w:eastAsia="zh-CN"/>
              </w:rPr>
              <w:t>4</w:t>
            </w:r>
            <w:r>
              <w:rPr>
                <w:rFonts w:hint="default"/>
                <w:sz w:val="24"/>
                <w:szCs w:val="24"/>
              </w:rPr>
              <w:t>万m</w:t>
            </w:r>
            <w:r>
              <w:rPr>
                <w:rFonts w:hint="default"/>
                <w:sz w:val="24"/>
                <w:szCs w:val="24"/>
                <w:vertAlign w:val="superscript"/>
              </w:rPr>
              <w:t>3</w:t>
            </w:r>
            <w:r>
              <w:rPr>
                <w:rFonts w:hint="default"/>
                <w:sz w:val="24"/>
                <w:szCs w:val="24"/>
              </w:rPr>
              <w:t>/d。项目废水可以进入</w:t>
            </w:r>
            <w:r>
              <w:rPr>
                <w:rFonts w:hint="eastAsia"/>
                <w:sz w:val="24"/>
                <w:szCs w:val="24"/>
                <w:lang w:val="en-US" w:eastAsia="zh-CN"/>
              </w:rPr>
              <w:t>淮北</w:t>
            </w:r>
            <w:r>
              <w:rPr>
                <w:rFonts w:hint="eastAsia"/>
                <w:sz w:val="24"/>
                <w:szCs w:val="24"/>
                <w:highlight w:val="none"/>
                <w:lang w:eastAsia="zh-CN"/>
              </w:rPr>
              <w:t>龙湖工业园污水处理厂</w:t>
            </w:r>
            <w:r>
              <w:rPr>
                <w:rFonts w:hint="default"/>
                <w:sz w:val="24"/>
                <w:szCs w:val="24"/>
              </w:rPr>
              <w:t>处理。</w:t>
            </w:r>
          </w:p>
          <w:p w14:paraId="271B5E2E">
            <w:pPr>
              <w:pStyle w:val="88"/>
              <w:keepNext w:val="0"/>
              <w:keepLines w:val="0"/>
              <w:suppressLineNumbers w:val="0"/>
              <w:spacing w:before="0" w:beforeAutospacing="0" w:after="0" w:afterAutospacing="0"/>
              <w:ind w:left="0" w:leftChars="0" w:right="0" w:firstLine="480" w:firstLineChars="200"/>
              <w:rPr>
                <w:rFonts w:hint="default"/>
                <w:b/>
                <w:sz w:val="24"/>
                <w:szCs w:val="24"/>
              </w:rPr>
            </w:pPr>
            <w:r>
              <w:rPr>
                <w:rFonts w:hint="eastAsia"/>
                <w:sz w:val="24"/>
                <w:szCs w:val="24"/>
                <w:highlight w:val="none"/>
                <w:lang w:eastAsia="zh-CN"/>
              </w:rPr>
              <w:t>龙湖工业园污水处理厂</w:t>
            </w:r>
            <w:r>
              <w:rPr>
                <w:rFonts w:hint="default"/>
                <w:sz w:val="24"/>
                <w:szCs w:val="24"/>
              </w:rPr>
              <w:t>处理工艺如下：</w:t>
            </w:r>
          </w:p>
          <w:p w14:paraId="3C605873">
            <w:pPr>
              <w:pStyle w:val="89"/>
              <w:keepNext w:val="0"/>
              <w:keepLines w:val="0"/>
              <w:suppressLineNumbers w:val="0"/>
              <w:spacing w:before="0" w:beforeAutospacing="0" w:after="0" w:afterAutospacing="0"/>
              <w:ind w:left="0" w:right="0"/>
              <w:rPr>
                <w:rFonts w:hint="eastAsia" w:eastAsia="宋体"/>
                <w:sz w:val="24"/>
                <w:szCs w:val="24"/>
                <w:lang w:eastAsia="zh-CN"/>
              </w:rPr>
            </w:pPr>
            <w:r>
              <w:rPr>
                <w:rFonts w:hint="eastAsia" w:eastAsia="宋体"/>
                <w:sz w:val="24"/>
                <w:szCs w:val="24"/>
                <w:lang w:eastAsia="zh-CN"/>
              </w:rPr>
              <w:drawing>
                <wp:inline distT="0" distB="0" distL="114300" distR="114300">
                  <wp:extent cx="4608195" cy="1599565"/>
                  <wp:effectExtent l="0" t="0" r="1905" b="635"/>
                  <wp:docPr id="17" name="图片 11" descr="168964849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689648496836"/>
                          <pic:cNvPicPr>
                            <a:picLocks noChangeAspect="1"/>
                          </pic:cNvPicPr>
                        </pic:nvPicPr>
                        <pic:blipFill>
                          <a:blip r:embed="rId23"/>
                          <a:stretch>
                            <a:fillRect/>
                          </a:stretch>
                        </pic:blipFill>
                        <pic:spPr>
                          <a:xfrm>
                            <a:off x="0" y="0"/>
                            <a:ext cx="4608195" cy="1599565"/>
                          </a:xfrm>
                          <a:prstGeom prst="rect">
                            <a:avLst/>
                          </a:prstGeom>
                          <a:noFill/>
                          <a:ln>
                            <a:noFill/>
                          </a:ln>
                        </pic:spPr>
                      </pic:pic>
                    </a:graphicData>
                  </a:graphic>
                </wp:inline>
              </w:drawing>
            </w:r>
          </w:p>
          <w:p w14:paraId="0AFD2924">
            <w:pPr>
              <w:pStyle w:val="89"/>
              <w:keepNext w:val="0"/>
              <w:keepLines w:val="0"/>
              <w:suppressLineNumbers w:val="0"/>
              <w:spacing w:before="0" w:beforeAutospacing="0" w:after="0" w:afterAutospacing="0"/>
              <w:ind w:left="0" w:right="0"/>
              <w:rPr>
                <w:rFonts w:hint="default"/>
                <w:sz w:val="24"/>
                <w:szCs w:val="24"/>
              </w:rPr>
            </w:pPr>
            <w:r>
              <w:rPr>
                <w:rFonts w:hint="default"/>
                <w:sz w:val="24"/>
                <w:szCs w:val="24"/>
              </w:rPr>
              <w:t>图4-</w:t>
            </w:r>
            <w:r>
              <w:rPr>
                <w:rFonts w:hint="eastAsia"/>
                <w:sz w:val="24"/>
                <w:szCs w:val="24"/>
                <w:lang w:val="en-US" w:eastAsia="zh-CN"/>
              </w:rPr>
              <w:t xml:space="preserve">1 </w:t>
            </w:r>
            <w:r>
              <w:rPr>
                <w:rFonts w:hint="default"/>
                <w:sz w:val="24"/>
                <w:szCs w:val="24"/>
              </w:rPr>
              <w:t xml:space="preserve"> </w:t>
            </w:r>
            <w:r>
              <w:rPr>
                <w:rFonts w:hint="eastAsia"/>
                <w:sz w:val="24"/>
                <w:szCs w:val="24"/>
                <w:highlight w:val="none"/>
                <w:lang w:eastAsia="zh-CN"/>
              </w:rPr>
              <w:t>龙湖工业园污水处理厂</w:t>
            </w:r>
            <w:r>
              <w:rPr>
                <w:rFonts w:hint="eastAsia"/>
                <w:sz w:val="24"/>
                <w:szCs w:val="24"/>
              </w:rPr>
              <w:t>处理</w:t>
            </w:r>
            <w:r>
              <w:rPr>
                <w:rFonts w:hint="default"/>
                <w:sz w:val="24"/>
                <w:szCs w:val="24"/>
              </w:rPr>
              <w:t>工艺流程图</w:t>
            </w:r>
          </w:p>
          <w:p w14:paraId="27B264A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②水质分析</w:t>
            </w:r>
          </w:p>
          <w:p w14:paraId="29905D7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本项目废水为生活污水，依托</w:t>
            </w:r>
            <w:r>
              <w:rPr>
                <w:rFonts w:hint="eastAsia" w:ascii="Times New Roman" w:hAnsi="Times New Roman" w:eastAsia="宋体" w:cs="Times New Roman"/>
                <w:color w:val="auto"/>
                <w:sz w:val="24"/>
                <w:szCs w:val="24"/>
                <w:highlight w:val="none"/>
                <w:lang w:val="en-US" w:eastAsia="zh-CN"/>
              </w:rPr>
              <w:t>园区</w:t>
            </w:r>
            <w:r>
              <w:rPr>
                <w:rFonts w:hint="eastAsia" w:ascii="Times New Roman" w:hAnsi="Times New Roman" w:eastAsia="宋体" w:cs="Times New Roman"/>
                <w:color w:val="auto"/>
                <w:sz w:val="24"/>
                <w:szCs w:val="24"/>
                <w:highlight w:val="none"/>
              </w:rPr>
              <w:t>现有</w:t>
            </w:r>
            <w:r>
              <w:rPr>
                <w:rFonts w:hint="eastAsia" w:ascii="Times New Roman" w:hAnsi="Times New Roman" w:eastAsia="宋体" w:cs="Times New Roman"/>
                <w:color w:val="auto"/>
                <w:sz w:val="24"/>
                <w:szCs w:val="24"/>
                <w:highlight w:val="none"/>
                <w:lang w:eastAsia="zh-CN"/>
              </w:rPr>
              <w:t>化粪池</w:t>
            </w:r>
            <w:r>
              <w:rPr>
                <w:rFonts w:hint="eastAsia" w:ascii="Times New Roman" w:hAnsi="Times New Roman" w:eastAsia="宋体" w:cs="Times New Roman"/>
                <w:color w:val="auto"/>
                <w:sz w:val="24"/>
                <w:szCs w:val="24"/>
                <w:highlight w:val="none"/>
                <w:lang w:val="en-US" w:eastAsia="zh-CN"/>
              </w:rPr>
              <w:t>预</w:t>
            </w:r>
            <w:r>
              <w:rPr>
                <w:rFonts w:hint="eastAsia" w:ascii="Times New Roman" w:hAnsi="Times New Roman" w:eastAsia="宋体" w:cs="Times New Roman"/>
                <w:color w:val="auto"/>
                <w:sz w:val="24"/>
                <w:szCs w:val="24"/>
                <w:highlight w:val="none"/>
              </w:rPr>
              <w:t>处理的生活污水满足污水处理厂接管</w:t>
            </w:r>
            <w:r>
              <w:rPr>
                <w:rFonts w:hint="eastAsia" w:ascii="Times New Roman" w:hAnsi="Times New Roman" w:eastAsia="宋体" w:cs="Times New Roman"/>
                <w:color w:val="auto"/>
                <w:sz w:val="24"/>
                <w:szCs w:val="24"/>
                <w:highlight w:val="none"/>
                <w:lang w:val="en-US" w:eastAsia="zh-CN"/>
              </w:rPr>
              <w:t>限值</w:t>
            </w:r>
            <w:r>
              <w:rPr>
                <w:rFonts w:hint="eastAsia" w:ascii="Times New Roman" w:hAnsi="Times New Roman" w:eastAsia="宋体" w:cs="Times New Roman"/>
                <w:color w:val="auto"/>
                <w:sz w:val="24"/>
                <w:szCs w:val="24"/>
                <w:highlight w:val="none"/>
              </w:rPr>
              <w:t>的要求。即本项目排放的废水不会影响污水厂的处理效果。</w:t>
            </w:r>
          </w:p>
          <w:p w14:paraId="010A77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根据水质分析，本项目接管可行。</w:t>
            </w:r>
          </w:p>
          <w:p w14:paraId="488502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③水量分析</w:t>
            </w:r>
          </w:p>
          <w:p w14:paraId="147F4A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本项目排入</w:t>
            </w:r>
            <w:r>
              <w:rPr>
                <w:rFonts w:hint="eastAsia" w:ascii="Times New Roman" w:hAnsi="Times New Roman" w:eastAsia="宋体" w:cs="Times New Roman"/>
                <w:color w:val="auto"/>
                <w:sz w:val="24"/>
                <w:szCs w:val="24"/>
                <w:highlight w:val="none"/>
                <w:lang w:eastAsia="zh-CN"/>
              </w:rPr>
              <w:t>龙湖工业园污水处理厂</w:t>
            </w:r>
            <w:r>
              <w:rPr>
                <w:rFonts w:hint="eastAsia" w:ascii="Times New Roman" w:hAnsi="Times New Roman" w:eastAsia="宋体" w:cs="Times New Roman"/>
                <w:color w:val="auto"/>
                <w:sz w:val="24"/>
                <w:szCs w:val="24"/>
                <w:highlight w:val="none"/>
              </w:rPr>
              <w:t>的水量为</w:t>
            </w:r>
            <w:r>
              <w:rPr>
                <w:rFonts w:hint="eastAsia" w:ascii="Times New Roman" w:hAnsi="Times New Roman" w:eastAsia="宋体" w:cs="Times New Roman"/>
                <w:color w:val="auto"/>
                <w:sz w:val="24"/>
                <w:szCs w:val="24"/>
                <w:highlight w:val="none"/>
                <w:shd w:val="clear" w:color="auto" w:fill="auto"/>
                <w:lang w:val="en-US" w:eastAsia="zh-CN"/>
              </w:rPr>
              <w:t>24.2</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龙湖工业园污水处理厂</w:t>
            </w:r>
            <w:r>
              <w:rPr>
                <w:rFonts w:hint="eastAsia" w:ascii="Times New Roman" w:hAnsi="Times New Roman" w:eastAsia="宋体" w:cs="Times New Roman"/>
                <w:color w:val="auto"/>
                <w:sz w:val="24"/>
                <w:szCs w:val="24"/>
                <w:highlight w:val="none"/>
              </w:rPr>
              <w:t>目前处理能力</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0000m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/d且尚有余量。从水量分析，本项目接管可行。</w:t>
            </w:r>
          </w:p>
          <w:p w14:paraId="7836EF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④服务范围</w:t>
            </w:r>
          </w:p>
          <w:p w14:paraId="77A0E2A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eastAsia="zh-CN"/>
              </w:rPr>
              <w:t>龙湖工业园污水处理厂</w:t>
            </w:r>
            <w:r>
              <w:rPr>
                <w:rFonts w:hint="eastAsia" w:ascii="Times New Roman" w:hAnsi="Times New Roman" w:eastAsia="宋体" w:cs="Times New Roman"/>
                <w:color w:val="auto"/>
                <w:sz w:val="24"/>
                <w:szCs w:val="24"/>
                <w:highlight w:val="none"/>
              </w:rPr>
              <w:t>的服务范围内。</w:t>
            </w:r>
          </w:p>
          <w:p w14:paraId="2D3D92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综上所述，本项目废水接管进</w:t>
            </w:r>
            <w:r>
              <w:rPr>
                <w:rFonts w:hint="eastAsia" w:ascii="Times New Roman" w:hAnsi="Times New Roman" w:eastAsia="宋体" w:cs="Times New Roman"/>
                <w:color w:val="auto"/>
                <w:sz w:val="24"/>
                <w:szCs w:val="24"/>
                <w:highlight w:val="none"/>
                <w:lang w:eastAsia="zh-CN"/>
              </w:rPr>
              <w:t>龙湖工业园污水处理厂</w:t>
            </w:r>
            <w:r>
              <w:rPr>
                <w:rFonts w:hint="eastAsia" w:ascii="Times New Roman" w:hAnsi="Times New Roman" w:eastAsia="宋体" w:cs="Times New Roman"/>
                <w:color w:val="auto"/>
                <w:sz w:val="24"/>
                <w:szCs w:val="24"/>
                <w:highlight w:val="none"/>
              </w:rPr>
              <w:t>，从接管水质水量、管网铺设、等方面均是可行的。</w:t>
            </w:r>
          </w:p>
          <w:p w14:paraId="3F3E288A">
            <w:pPr>
              <w:keepNext w:val="0"/>
              <w:keepLines w:val="0"/>
              <w:suppressLineNumbers w:val="0"/>
              <w:adjustRightInd w:val="0"/>
              <w:snapToGrid w:val="0"/>
              <w:spacing w:before="0" w:beforeAutospacing="0" w:after="0" w:afterAutospacing="0" w:line="360" w:lineRule="auto"/>
              <w:ind w:left="0" w:right="0" w:firstLine="464" w:firstLineChars="200"/>
              <w:jc w:val="left"/>
              <w:rPr>
                <w:rFonts w:hint="eastAsia" w:ascii="Times New Roman" w:hAnsi="Times New Roman" w:eastAsia="宋体" w:cs="Times New Roman"/>
                <w:b/>
                <w:bCs/>
                <w:color w:val="auto"/>
                <w:spacing w:val="-4"/>
                <w:sz w:val="24"/>
                <w:szCs w:val="24"/>
                <w:highlight w:val="none"/>
              </w:rPr>
            </w:pPr>
            <w:r>
              <w:rPr>
                <w:rFonts w:hint="default" w:ascii="Times New Roman" w:hAnsi="Times New Roman" w:eastAsia="宋体" w:cs="Times New Roman"/>
                <w:color w:val="auto"/>
                <w:spacing w:val="-4"/>
                <w:sz w:val="24"/>
                <w:szCs w:val="24"/>
                <w:highlight w:val="none"/>
              </w:rPr>
              <w:t>根据以上分析，在落实本环评提出的处理措施后，本项目对周边水环境影响较小</w:t>
            </w:r>
            <w:r>
              <w:rPr>
                <w:rFonts w:hint="eastAsia" w:ascii="Times New Roman" w:hAnsi="Times New Roman" w:eastAsia="宋体" w:cs="Times New Roman"/>
                <w:color w:val="auto"/>
                <w:spacing w:val="-4"/>
                <w:sz w:val="24"/>
                <w:szCs w:val="24"/>
                <w:highlight w:val="none"/>
              </w:rPr>
              <w:t>。</w:t>
            </w:r>
          </w:p>
          <w:p w14:paraId="25326F30">
            <w:pPr>
              <w:keepNext w:val="0"/>
              <w:keepLines w:val="0"/>
              <w:suppressLineNumbers w:val="0"/>
              <w:tabs>
                <w:tab w:val="left" w:pos="1215"/>
              </w:tabs>
              <w:adjustRightInd w:val="0"/>
              <w:snapToGrid w:val="0"/>
              <w:spacing w:before="0" w:beforeAutospacing="0" w:after="0" w:afterAutospacing="0" w:line="360" w:lineRule="auto"/>
              <w:ind w:left="0" w:right="0" w:firstLine="480" w:firstLineChars="200"/>
              <w:jc w:val="left"/>
              <w:rPr>
                <w:rFonts w:hint="eastAsia"/>
                <w:color w:val="auto"/>
                <w:sz w:val="24"/>
              </w:rPr>
            </w:pPr>
            <w:r>
              <w:rPr>
                <w:rFonts w:hint="eastAsia"/>
                <w:color w:val="auto"/>
                <w:sz w:val="24"/>
              </w:rPr>
              <w:t>（</w:t>
            </w:r>
            <w:r>
              <w:rPr>
                <w:rFonts w:hint="eastAsia"/>
                <w:color w:val="auto"/>
                <w:sz w:val="24"/>
                <w:lang w:val="en-US" w:eastAsia="zh-CN"/>
              </w:rPr>
              <w:t>四</w:t>
            </w:r>
            <w:r>
              <w:rPr>
                <w:rFonts w:hint="eastAsia"/>
                <w:color w:val="auto"/>
                <w:sz w:val="24"/>
              </w:rPr>
              <w:t>）废水监测计划</w:t>
            </w:r>
          </w:p>
          <w:p w14:paraId="4ECB22A2">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val="0"/>
                <w:bCs w:val="0"/>
                <w:color w:val="auto"/>
                <w:sz w:val="24"/>
                <w:highlight w:val="none"/>
                <w:lang w:val="zh-CN" w:eastAsia="zh-CN"/>
              </w:rPr>
            </w:pPr>
            <w:r>
              <w:rPr>
                <w:rFonts w:hint="eastAsia" w:ascii="Times New Roman" w:hAnsi="Times New Roman" w:eastAsia="宋体" w:cs="Times New Roman"/>
                <w:b w:val="0"/>
                <w:bCs w:val="0"/>
                <w:color w:val="auto"/>
                <w:sz w:val="24"/>
                <w:highlight w:val="none"/>
                <w:lang w:val="en-US" w:eastAsia="zh-CN"/>
              </w:rPr>
              <w:t>根据《排污单位自行监测技术指南总则》(HJ819-2017)、《排污许可证申请与核发技术规范·汽车制造业》(HJ971-2018)中的相关监测要求，本项目仅为生活污水和清净下水，且间接排放，不需进行例行监测。</w:t>
            </w:r>
          </w:p>
          <w:p w14:paraId="265D13F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二、运营期废气</w:t>
            </w:r>
          </w:p>
          <w:p w14:paraId="068E2D46">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本</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highlight w:val="none"/>
                <w:lang w:val="zh-CN"/>
              </w:rPr>
              <w:t>废气主要为</w:t>
            </w:r>
            <w:r>
              <w:rPr>
                <w:rFonts w:hint="eastAsia" w:ascii="Times New Roman" w:hAnsi="Times New Roman" w:eastAsia="宋体" w:cs="Times New Roman"/>
                <w:color w:val="auto"/>
                <w:sz w:val="24"/>
                <w:highlight w:val="none"/>
                <w:lang w:val="en-US" w:eastAsia="zh-CN"/>
              </w:rPr>
              <w:t>改性废气</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沉积废气</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加工废气</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涂层废气</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碳化废气</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渗硅废气</w:t>
            </w:r>
            <w:r>
              <w:rPr>
                <w:rFonts w:hint="eastAsia" w:ascii="Times New Roman" w:hAnsi="Times New Roman" w:eastAsia="宋体" w:cs="Times New Roman"/>
                <w:color w:val="auto"/>
                <w:sz w:val="24"/>
                <w:highlight w:val="none"/>
                <w:lang w:val="zh-CN"/>
              </w:rPr>
              <w:t>。</w:t>
            </w:r>
          </w:p>
          <w:p w14:paraId="753A4BD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zh-CN"/>
              </w:rPr>
              <w:t>（1）</w:t>
            </w:r>
            <w:r>
              <w:rPr>
                <w:rFonts w:hint="eastAsia" w:ascii="Times New Roman" w:hAnsi="Times New Roman" w:eastAsia="宋体" w:cs="Times New Roman"/>
                <w:color w:val="auto"/>
                <w:sz w:val="24"/>
                <w:highlight w:val="none"/>
                <w:lang w:val="en-US" w:eastAsia="zh-CN"/>
              </w:rPr>
              <w:t>改性和涂层处理</w:t>
            </w:r>
          </w:p>
          <w:p w14:paraId="0B86B660">
            <w:pPr>
              <w:keepNext w:val="0"/>
              <w:keepLines w:val="0"/>
              <w:widowControl/>
              <w:suppressLineNumbers w:val="0"/>
              <w:spacing w:before="0" w:beforeAutospacing="0" w:after="0" w:afterAutospacing="0" w:line="360" w:lineRule="auto"/>
              <w:ind w:left="0" w:right="0" w:firstLine="480" w:firstLineChars="200"/>
              <w:jc w:val="left"/>
              <w:rPr>
                <w:rFonts w:hint="eastAsia" w:cs="Times New Roman"/>
                <w:color w:val="auto"/>
                <w:sz w:val="24"/>
                <w:highlight w:val="none"/>
                <w:lang w:val="en-US" w:eastAsia="zh-CN"/>
              </w:rPr>
            </w:pPr>
            <w:r>
              <w:rPr>
                <w:rFonts w:hint="eastAsia" w:ascii="宋体" w:hAnsi="宋体" w:eastAsia="宋体" w:cs="宋体"/>
                <w:color w:val="auto"/>
                <w:sz w:val="24"/>
                <w:highlight w:val="none"/>
                <w:lang w:val="en-US" w:eastAsia="zh-CN"/>
              </w:rPr>
              <w:t>①</w:t>
            </w:r>
            <w:r>
              <w:rPr>
                <w:rFonts w:hint="eastAsia" w:cs="Times New Roman"/>
                <w:color w:val="auto"/>
                <w:sz w:val="24"/>
                <w:highlight w:val="none"/>
                <w:lang w:val="en-US" w:eastAsia="zh-CN"/>
              </w:rPr>
              <w:t>有机废气</w:t>
            </w:r>
          </w:p>
          <w:p w14:paraId="1440CA22">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改性</w:t>
            </w:r>
            <w:r>
              <w:rPr>
                <w:rFonts w:hint="eastAsia" w:ascii="Times New Roman" w:hAnsi="Times New Roman" w:eastAsia="宋体" w:cs="Times New Roman"/>
                <w:color w:val="auto"/>
                <w:sz w:val="24"/>
                <w:highlight w:val="none"/>
                <w:lang w:val="en-US" w:eastAsia="zh-CN"/>
              </w:rPr>
              <w:t>工序</w:t>
            </w:r>
            <w:r>
              <w:rPr>
                <w:rFonts w:hint="eastAsia" w:cs="Times New Roman"/>
                <w:color w:val="auto"/>
                <w:sz w:val="24"/>
                <w:highlight w:val="none"/>
                <w:lang w:val="en-US" w:eastAsia="zh-CN"/>
              </w:rPr>
              <w:t>和涂层工序</w:t>
            </w:r>
            <w:r>
              <w:rPr>
                <w:rFonts w:hint="eastAsia" w:ascii="Times New Roman" w:hAnsi="Times New Roman" w:eastAsia="宋体" w:cs="Times New Roman"/>
                <w:color w:val="auto"/>
                <w:sz w:val="24"/>
                <w:highlight w:val="none"/>
                <w:lang w:val="en-US" w:eastAsia="zh-CN"/>
              </w:rPr>
              <w:t>采用</w:t>
            </w:r>
            <w:r>
              <w:rPr>
                <w:rFonts w:hint="eastAsia" w:cs="Times New Roman"/>
                <w:color w:val="auto"/>
                <w:sz w:val="24"/>
                <w:highlight w:val="none"/>
                <w:lang w:val="en-US" w:eastAsia="zh-CN"/>
              </w:rPr>
              <w:t>酚醛</w:t>
            </w:r>
            <w:r>
              <w:rPr>
                <w:rFonts w:hint="eastAsia" w:ascii="Times New Roman" w:hAnsi="Times New Roman" w:eastAsia="宋体" w:cs="Times New Roman"/>
                <w:color w:val="auto"/>
                <w:sz w:val="24"/>
                <w:highlight w:val="none"/>
                <w:lang w:val="en-US" w:eastAsia="zh-CN"/>
              </w:rPr>
              <w:t>树脂作为</w:t>
            </w:r>
            <w:r>
              <w:rPr>
                <w:rFonts w:hint="eastAsia" w:cs="Times New Roman"/>
                <w:color w:val="auto"/>
                <w:sz w:val="24"/>
                <w:highlight w:val="none"/>
                <w:lang w:val="en-US" w:eastAsia="zh-CN"/>
              </w:rPr>
              <w:t>处理材料</w:t>
            </w:r>
            <w:r>
              <w:rPr>
                <w:rFonts w:hint="eastAsia" w:ascii="Times New Roman" w:hAnsi="Times New Roman" w:eastAsia="宋体" w:cs="Times New Roman"/>
                <w:color w:val="auto"/>
                <w:sz w:val="24"/>
                <w:highlight w:val="none"/>
                <w:lang w:val="en-US" w:eastAsia="zh-CN"/>
              </w:rPr>
              <w:t>，加热时会产生少量有机废气，以非甲烷总烃计。参考《工业源产排污核算方法和系数手册》(2021年6月9日实施)-机械行业系数手册中“粘接”工序挥发性有机物产生系</w:t>
            </w:r>
            <w:r>
              <w:rPr>
                <w:rFonts w:hint="eastAsia" w:cs="Times New Roman"/>
                <w:color w:val="auto"/>
                <w:sz w:val="24"/>
                <w:highlight w:val="none"/>
                <w:lang w:val="en-US" w:eastAsia="zh-CN"/>
              </w:rPr>
              <w:t>数</w:t>
            </w:r>
            <w:r>
              <w:rPr>
                <w:rFonts w:hint="eastAsia" w:ascii="Times New Roman" w:hAnsi="Times New Roman" w:eastAsia="宋体" w:cs="Times New Roman"/>
                <w:color w:val="auto"/>
                <w:sz w:val="24"/>
                <w:highlight w:val="none"/>
                <w:lang w:val="en-US" w:eastAsia="zh-CN"/>
              </w:rPr>
              <w:t>60.0</w:t>
            </w:r>
            <w:r>
              <w:rPr>
                <w:rFonts w:hint="eastAsia" w:cs="Times New Roman"/>
                <w:color w:val="auto"/>
                <w:sz w:val="24"/>
                <w:highlight w:val="none"/>
                <w:lang w:val="en-US" w:eastAsia="zh-CN"/>
              </w:rPr>
              <w:t>kg</w:t>
            </w:r>
            <w:r>
              <w:rPr>
                <w:rFonts w:hint="eastAsia" w:ascii="Times New Roman" w:hAnsi="Times New Roman" w:eastAsia="宋体" w:cs="Times New Roman"/>
                <w:color w:val="auto"/>
                <w:sz w:val="24"/>
                <w:highlight w:val="none"/>
                <w:lang w:val="en-US" w:eastAsia="zh-CN"/>
              </w:rPr>
              <w:t>/t原料进行核算，</w:t>
            </w:r>
            <w:r>
              <w:rPr>
                <w:rFonts w:hint="eastAsia" w:cs="Times New Roman"/>
                <w:color w:val="auto"/>
                <w:sz w:val="24"/>
                <w:highlight w:val="none"/>
                <w:lang w:val="en-US" w:eastAsia="zh-CN"/>
              </w:rPr>
              <w:t>酚醛</w:t>
            </w:r>
            <w:r>
              <w:rPr>
                <w:rFonts w:hint="eastAsia" w:ascii="Times New Roman" w:hAnsi="Times New Roman" w:eastAsia="宋体" w:cs="Times New Roman"/>
                <w:color w:val="auto"/>
                <w:sz w:val="24"/>
                <w:highlight w:val="none"/>
                <w:lang w:val="en-US" w:eastAsia="zh-CN"/>
              </w:rPr>
              <w:t>树脂用量</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a，则非甲烷总烃产生量为0.</w:t>
            </w:r>
            <w:r>
              <w:rPr>
                <w:rFonts w:hint="eastAsia" w:cs="Times New Roman"/>
                <w:color w:val="auto"/>
                <w:sz w:val="24"/>
                <w:highlight w:val="none"/>
                <w:lang w:val="en-US" w:eastAsia="zh-CN"/>
              </w:rPr>
              <w:t>48</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项目设备均为密闭设备，有机废气经管道收集（</w:t>
            </w:r>
            <w:r>
              <w:rPr>
                <w:rFonts w:hint="eastAsia" w:ascii="Times New Roman" w:hAnsi="Times New Roman" w:eastAsia="宋体" w:cs="Times New Roman"/>
                <w:color w:val="auto"/>
                <w:sz w:val="24"/>
                <w:highlight w:val="none"/>
                <w:lang w:val="en-US" w:eastAsia="zh-CN"/>
              </w:rPr>
              <w:t>收集效率按100%计</w:t>
            </w:r>
            <w:r>
              <w:rPr>
                <w:rFonts w:hint="eastAsia" w:cs="Times New Roman"/>
                <w:color w:val="auto"/>
                <w:sz w:val="24"/>
                <w:highlight w:val="none"/>
                <w:lang w:val="en-US" w:eastAsia="zh-CN"/>
              </w:rPr>
              <w:t>）进入 TO 焚烧炉处理（处理效率为95%），最终通过 15m 高排气筒排放，该工序年运行时间为2400h。</w:t>
            </w:r>
          </w:p>
          <w:p w14:paraId="2171464D">
            <w:pPr>
              <w:keepNext w:val="0"/>
              <w:keepLines w:val="0"/>
              <w:widowControl/>
              <w:suppressLineNumbers w:val="0"/>
              <w:spacing w:before="0" w:beforeAutospacing="0" w:after="0" w:afterAutospacing="0" w:line="360" w:lineRule="auto"/>
              <w:ind w:left="0" w:right="0" w:firstLine="480" w:firstLineChars="200"/>
              <w:jc w:val="left"/>
              <w:rPr>
                <w:rFonts w:hint="eastAsia" w:cs="Times New Roman"/>
                <w:color w:val="auto"/>
                <w:sz w:val="24"/>
                <w:highlight w:val="none"/>
                <w:lang w:val="en-US" w:eastAsia="zh-CN"/>
              </w:rPr>
            </w:pPr>
            <w:r>
              <w:rPr>
                <w:rFonts w:hint="eastAsia" w:ascii="宋体" w:hAnsi="宋体" w:eastAsia="宋体" w:cs="宋体"/>
                <w:color w:val="auto"/>
                <w:sz w:val="24"/>
                <w:highlight w:val="none"/>
                <w:lang w:val="en-US" w:eastAsia="zh-CN"/>
              </w:rPr>
              <w:t>②</w:t>
            </w:r>
            <w:r>
              <w:rPr>
                <w:rFonts w:hint="eastAsia" w:cs="Times New Roman"/>
                <w:color w:val="auto"/>
                <w:sz w:val="24"/>
                <w:highlight w:val="none"/>
                <w:lang w:val="en-US" w:eastAsia="zh-CN"/>
              </w:rPr>
              <w:t>混料粉尘</w:t>
            </w:r>
          </w:p>
          <w:p w14:paraId="2B6BDCC2">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default" w:cs="Times New Roman"/>
                <w:color w:val="auto"/>
                <w:sz w:val="24"/>
                <w:highlight w:val="none"/>
                <w:lang w:val="en-US" w:eastAsia="zh-CN"/>
              </w:rPr>
            </w:pPr>
            <w:r>
              <w:rPr>
                <w:rFonts w:hint="default" w:ascii="Times New Roman" w:hAnsi="Times New Roman" w:eastAsia="宋体" w:cs="Times New Roman"/>
                <w:snapToGrid/>
                <w:sz w:val="24"/>
                <w:szCs w:val="21"/>
                <w:lang w:val="en-US" w:eastAsia="zh-CN"/>
              </w:rPr>
              <w:t>涂层处理使用配方物料的混合以及进行涂层制备和压制。按照配比人工将</w:t>
            </w:r>
            <w:r>
              <w:rPr>
                <w:rFonts w:hint="eastAsia" w:ascii="Times New Roman" w:hAnsi="Times New Roman" w:eastAsia="宋体" w:cs="Times New Roman"/>
                <w:snapToGrid/>
                <w:sz w:val="24"/>
                <w:szCs w:val="21"/>
                <w:lang w:val="en-US" w:eastAsia="zh-CN"/>
              </w:rPr>
              <w:t>酚醛</w:t>
            </w:r>
            <w:r>
              <w:rPr>
                <w:rFonts w:hint="default" w:ascii="Times New Roman" w:hAnsi="Times New Roman" w:eastAsia="宋体" w:cs="Times New Roman"/>
                <w:snapToGrid/>
                <w:sz w:val="24"/>
                <w:szCs w:val="21"/>
                <w:lang w:val="en-US" w:eastAsia="zh-CN"/>
              </w:rPr>
              <w:t>树脂、</w:t>
            </w:r>
            <w:r>
              <w:rPr>
                <w:rFonts w:hint="eastAsia" w:ascii="Times New Roman" w:hAnsi="Times New Roman" w:eastAsia="宋体" w:cs="Times New Roman"/>
                <w:snapToGrid/>
                <w:sz w:val="24"/>
                <w:szCs w:val="21"/>
                <w:lang w:val="en-US" w:eastAsia="zh-CN"/>
              </w:rPr>
              <w:t>陶瓷</w:t>
            </w:r>
            <w:r>
              <w:rPr>
                <w:rFonts w:hint="default" w:ascii="Times New Roman" w:hAnsi="Times New Roman" w:eastAsia="宋体" w:cs="Times New Roman"/>
                <w:snapToGrid/>
                <w:sz w:val="24"/>
                <w:szCs w:val="21"/>
                <w:lang w:val="en-US" w:eastAsia="zh-CN"/>
              </w:rPr>
              <w:t>粉等按照重量称好然后倒入混料机中混均匀，混料机属于密闭设备</w:t>
            </w:r>
            <w:r>
              <w:rPr>
                <w:rFonts w:hint="eastAsia" w:ascii="Times New Roman" w:hAnsi="Times New Roman" w:eastAsia="宋体" w:cs="Times New Roman"/>
                <w:snapToGrid/>
                <w:sz w:val="24"/>
                <w:szCs w:val="21"/>
                <w:lang w:val="en-US" w:eastAsia="zh-CN"/>
              </w:rPr>
              <w:t>，</w:t>
            </w:r>
            <w:r>
              <w:rPr>
                <w:rFonts w:hint="eastAsia" w:cs="Times New Roman"/>
                <w:color w:val="auto"/>
                <w:sz w:val="24"/>
                <w:highlight w:val="none"/>
                <w:lang w:val="en-US" w:eastAsia="zh-CN"/>
              </w:rPr>
              <w:t>本项目混料工序会产生粉尘，项目粉料使用量为28t/a，类比同类型项目颗粒物产生量为原料量的0.2%，则混料工序粉尘产生量0.056t/a。</w:t>
            </w:r>
            <w:r>
              <w:rPr>
                <w:rFonts w:hint="eastAsia" w:ascii="Times New Roman" w:hAnsi="Times New Roman" w:eastAsia="宋体" w:cs="Times New Roman"/>
                <w:color w:val="auto"/>
                <w:sz w:val="24"/>
                <w:highlight w:val="none"/>
                <w:lang w:val="en-US" w:eastAsia="zh-CN"/>
              </w:rPr>
              <w:t>粉尘经密闭设备后端管道输送至袋式除尘器处理后经 15m 高排气筒排放，收集效率按100%计，袋式除尘器处理效率按99%计</w:t>
            </w:r>
            <w:r>
              <w:rPr>
                <w:rFonts w:hint="eastAsia" w:cs="Times New Roman"/>
                <w:color w:val="auto"/>
                <w:sz w:val="24"/>
                <w:highlight w:val="none"/>
                <w:lang w:val="en-US" w:eastAsia="zh-CN"/>
              </w:rPr>
              <w:t>，该工序年运行时间为2400h</w:t>
            </w:r>
            <w:r>
              <w:rPr>
                <w:rFonts w:hint="eastAsia" w:ascii="Times New Roman" w:hAnsi="Times New Roman" w:eastAsia="宋体" w:cs="Times New Roman"/>
                <w:color w:val="auto"/>
                <w:sz w:val="24"/>
                <w:highlight w:val="none"/>
                <w:lang w:val="en-US" w:eastAsia="zh-CN"/>
              </w:rPr>
              <w:t>。</w:t>
            </w:r>
          </w:p>
          <w:p w14:paraId="15BA56C6">
            <w:pPr>
              <w:keepNext w:val="0"/>
              <w:keepLines w:val="0"/>
              <w:widowControl/>
              <w:numPr>
                <w:ilvl w:val="0"/>
                <w:numId w:val="4"/>
              </w:numPr>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沉积废气</w:t>
            </w:r>
          </w:p>
          <w:p w14:paraId="642DA660">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default" w:ascii="Times New Roman" w:hAnsi="Times New Roman" w:eastAsia="宋体" w:cs="Times New Roman"/>
                <w:snapToGrid/>
                <w:sz w:val="24"/>
                <w:szCs w:val="21"/>
                <w:lang w:val="en-US" w:eastAsia="zh-CN"/>
              </w:rPr>
            </w:pPr>
            <w:r>
              <w:rPr>
                <w:rFonts w:hint="default" w:ascii="Times New Roman" w:hAnsi="Times New Roman" w:eastAsia="宋体" w:cs="Times New Roman"/>
                <w:snapToGrid/>
                <w:sz w:val="24"/>
                <w:szCs w:val="21"/>
                <w:lang w:val="en-US" w:eastAsia="zh-CN"/>
              </w:rPr>
              <w:t>使用气相沉积炉，经电加热至800-1200℃，将产品置于炉内，通过</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进行裂解还原产生元素碳和氢气、烃类（长链裂解为短链）等可燃气体，根据建设单位提供的小试实验数据及工艺数据，本项目</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的裂解效率约为70%，剩余30%未完全反应的气体直接进入气相沉积尾气；经过裂解后的碳元素渗入碳纤维的空隙中、增加材料密度，成为碳纤维复合材料，渗入量约为裂解</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量的40%~45%</w:t>
            </w:r>
            <w:r>
              <w:rPr>
                <w:rFonts w:hint="eastAsia" w:ascii="Times New Roman" w:hAnsi="Times New Roman" w:eastAsia="宋体" w:cs="Times New Roman"/>
                <w:snapToGrid/>
                <w:sz w:val="24"/>
                <w:szCs w:val="21"/>
                <w:lang w:val="en-US" w:eastAsia="zh-CN"/>
              </w:rPr>
              <w:t>（本项目以45%计）</w:t>
            </w:r>
            <w:r>
              <w:rPr>
                <w:rFonts w:hint="default" w:ascii="Times New Roman" w:hAnsi="Times New Roman" w:eastAsia="宋体" w:cs="Times New Roman"/>
                <w:snapToGrid/>
                <w:sz w:val="24"/>
                <w:szCs w:val="21"/>
                <w:lang w:val="en-US" w:eastAsia="zh-CN"/>
              </w:rPr>
              <w:t>；少量碳元素以炭黑的形式附着于炉体内部，产生量约为裂解</w:t>
            </w:r>
            <w:r>
              <w:rPr>
                <w:rFonts w:hint="eastAsia" w:ascii="Times New Roman" w:hAnsi="Times New Roman" w:eastAsia="宋体" w:cs="Times New Roman"/>
                <w:snapToGrid/>
                <w:sz w:val="24"/>
                <w:szCs w:val="21"/>
                <w:lang w:val="en-US" w:eastAsia="zh-CN"/>
              </w:rPr>
              <w:t>甲烷</w:t>
            </w:r>
            <w:r>
              <w:rPr>
                <w:rFonts w:hint="default" w:ascii="Times New Roman" w:hAnsi="Times New Roman" w:eastAsia="宋体" w:cs="Times New Roman"/>
                <w:snapToGrid/>
                <w:sz w:val="24"/>
                <w:szCs w:val="21"/>
                <w:lang w:val="en-US" w:eastAsia="zh-CN"/>
              </w:rPr>
              <w:t>量的0.15%；剩余以H</w:t>
            </w:r>
            <w:r>
              <w:rPr>
                <w:rFonts w:hint="default" w:ascii="Times New Roman" w:hAnsi="Times New Roman" w:eastAsia="宋体" w:cs="Times New Roman"/>
                <w:snapToGrid/>
                <w:sz w:val="24"/>
                <w:szCs w:val="21"/>
                <w:vertAlign w:val="subscript"/>
                <w:lang w:val="en-US" w:eastAsia="zh-CN"/>
              </w:rPr>
              <w:t>2</w:t>
            </w:r>
            <w:r>
              <w:rPr>
                <w:rFonts w:hint="default" w:ascii="Times New Roman" w:hAnsi="Times New Roman" w:eastAsia="宋体" w:cs="Times New Roman"/>
                <w:snapToGrid/>
                <w:sz w:val="24"/>
                <w:szCs w:val="21"/>
                <w:lang w:val="en-US" w:eastAsia="zh-CN"/>
              </w:rPr>
              <w:t>、VOCs形式进入气相沉积尾气。</w:t>
            </w:r>
          </w:p>
          <w:p w14:paraId="29907661">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default" w:ascii="Times New Roman" w:hAnsi="Times New Roman" w:eastAsia="宋体" w:cs="Times New Roman"/>
                <w:snapToGrid/>
                <w:color w:val="auto"/>
                <w:sz w:val="24"/>
                <w:szCs w:val="21"/>
                <w:lang w:val="en-US" w:eastAsia="zh-CN"/>
              </w:rPr>
            </w:pPr>
            <w:r>
              <w:rPr>
                <w:rFonts w:hint="eastAsia" w:ascii="Times New Roman" w:hAnsi="Times New Roman" w:eastAsia="宋体" w:cs="Times New Roman"/>
                <w:color w:val="auto"/>
                <w:sz w:val="24"/>
                <w:highlight w:val="none"/>
                <w:lang w:val="en-US" w:eastAsia="zh-CN"/>
              </w:rPr>
              <w:t>项目天然气用量为</w:t>
            </w:r>
            <w:r>
              <w:rPr>
                <w:rFonts w:hint="eastAsia" w:cs="Times New Roman"/>
                <w:color w:val="auto"/>
                <w:sz w:val="24"/>
                <w:highlight w:val="none"/>
                <w:lang w:val="en-US" w:eastAsia="zh-CN"/>
              </w:rPr>
              <w:t>10万Nm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a，根据淮北市燃气公司公布的技术参数显示，本地天然气中甲烷成分占比约为85%-89%，本项目取85%，标况密度稳定在0.76kg/m³，</w:t>
            </w:r>
            <w:r>
              <w:rPr>
                <w:rFonts w:hint="eastAsia" w:ascii="Times New Roman" w:hAnsi="Times New Roman" w:eastAsia="宋体" w:cs="Times New Roman"/>
                <w:snapToGrid/>
                <w:color w:val="auto"/>
                <w:sz w:val="24"/>
                <w:szCs w:val="21"/>
                <w:lang w:val="en-US" w:eastAsia="zh-CN"/>
              </w:rPr>
              <w:t>则</w:t>
            </w:r>
            <w:r>
              <w:rPr>
                <w:rFonts w:hint="default" w:ascii="Times New Roman" w:hAnsi="Times New Roman" w:eastAsia="宋体" w:cs="Times New Roman"/>
                <w:snapToGrid/>
                <w:color w:val="auto"/>
                <w:sz w:val="24"/>
                <w:szCs w:val="21"/>
                <w:lang w:val="en-US" w:eastAsia="zh-CN"/>
              </w:rPr>
              <w:t>沉积炉尾气中</w:t>
            </w:r>
            <w:r>
              <w:rPr>
                <w:rFonts w:hint="eastAsia" w:ascii="Times New Roman" w:hAnsi="Times New Roman" w:eastAsia="宋体" w:cs="Times New Roman"/>
                <w:snapToGrid/>
                <w:color w:val="auto"/>
                <w:sz w:val="24"/>
                <w:szCs w:val="21"/>
                <w:lang w:val="en-US" w:eastAsia="zh-CN"/>
              </w:rPr>
              <w:t>天然气</w:t>
            </w:r>
            <w:r>
              <w:rPr>
                <w:rFonts w:hint="default" w:ascii="Times New Roman" w:hAnsi="Times New Roman" w:eastAsia="宋体" w:cs="Times New Roman"/>
                <w:snapToGrid/>
                <w:color w:val="auto"/>
                <w:sz w:val="24"/>
                <w:szCs w:val="21"/>
                <w:lang w:val="en-US" w:eastAsia="zh-CN"/>
              </w:rPr>
              <w:t>为</w:t>
            </w:r>
            <w:r>
              <w:rPr>
                <w:rFonts w:hint="eastAsia" w:cs="Times New Roman"/>
                <w:color w:val="auto"/>
                <w:sz w:val="24"/>
                <w:highlight w:val="none"/>
                <w:lang w:val="en-US" w:eastAsia="zh-CN"/>
              </w:rPr>
              <w:t>4.05万Nm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snapToGrid/>
                <w:color w:val="auto"/>
                <w:sz w:val="24"/>
                <w:szCs w:val="21"/>
                <w:lang w:val="en-US" w:eastAsia="zh-CN"/>
              </w:rPr>
              <w:t>，根据沉积炉工艺和化学反应方程式：（甲烷）CH</w:t>
            </w:r>
            <w:r>
              <w:rPr>
                <w:rFonts w:hint="eastAsia" w:ascii="Times New Roman" w:hAnsi="Times New Roman" w:eastAsia="宋体" w:cs="Times New Roman"/>
                <w:snapToGrid/>
                <w:color w:val="auto"/>
                <w:sz w:val="24"/>
                <w:szCs w:val="21"/>
                <w:vertAlign w:val="subscript"/>
                <w:lang w:val="en-US" w:eastAsia="zh-CN"/>
              </w:rPr>
              <w:t>4</w:t>
            </w:r>
            <w:r>
              <w:rPr>
                <w:rFonts w:hint="eastAsia" w:ascii="Times New Roman" w:hAnsi="Times New Roman" w:eastAsia="宋体" w:cs="Times New Roman"/>
                <w:snapToGrid/>
                <w:color w:val="auto"/>
                <w:sz w:val="24"/>
                <w:szCs w:val="21"/>
                <w:lang w:val="en-US" w:eastAsia="zh-CN"/>
              </w:rPr>
              <w:t>→C↓+ 2H</w:t>
            </w:r>
            <w:r>
              <w:rPr>
                <w:rFonts w:hint="eastAsia" w:ascii="Times New Roman" w:hAnsi="Times New Roman" w:eastAsia="宋体" w:cs="Times New Roman"/>
                <w:snapToGrid/>
                <w:color w:val="auto"/>
                <w:sz w:val="24"/>
                <w:szCs w:val="21"/>
                <w:vertAlign w:val="subscript"/>
                <w:lang w:val="en-US" w:eastAsia="zh-CN"/>
              </w:rPr>
              <w:t>2</w:t>
            </w:r>
            <w:r>
              <w:rPr>
                <w:rFonts w:hint="eastAsia" w:ascii="Times New Roman" w:hAnsi="Times New Roman" w:eastAsia="宋体" w:cs="Times New Roman"/>
                <w:snapToGrid/>
                <w:color w:val="auto"/>
                <w:sz w:val="24"/>
                <w:szCs w:val="21"/>
                <w:lang w:val="en-US" w:eastAsia="zh-CN"/>
              </w:rPr>
              <w:t>↑可知，H</w:t>
            </w:r>
            <w:r>
              <w:rPr>
                <w:rFonts w:hint="eastAsia" w:ascii="Times New Roman" w:hAnsi="Times New Roman" w:eastAsia="宋体" w:cs="Times New Roman"/>
                <w:snapToGrid/>
                <w:color w:val="auto"/>
                <w:sz w:val="24"/>
                <w:szCs w:val="21"/>
                <w:vertAlign w:val="subscript"/>
                <w:lang w:val="en-US" w:eastAsia="zh-CN"/>
              </w:rPr>
              <w:t>2</w:t>
            </w:r>
            <w:r>
              <w:rPr>
                <w:rFonts w:hint="eastAsia" w:ascii="Times New Roman" w:hAnsi="Times New Roman" w:eastAsia="宋体" w:cs="Times New Roman"/>
                <w:snapToGrid/>
                <w:color w:val="auto"/>
                <w:sz w:val="24"/>
                <w:szCs w:val="21"/>
                <w:lang w:val="en-US" w:eastAsia="zh-CN"/>
              </w:rPr>
              <w:t>为11.305</w:t>
            </w:r>
            <w:r>
              <w:rPr>
                <w:rFonts w:hint="default" w:ascii="Times New Roman" w:hAnsi="Times New Roman" w:eastAsia="宋体" w:cs="Times New Roman"/>
                <w:snapToGrid/>
                <w:color w:val="auto"/>
                <w:sz w:val="24"/>
                <w:szCs w:val="21"/>
                <w:lang w:val="en-US" w:eastAsia="zh-CN"/>
              </w:rPr>
              <w:t>t</w:t>
            </w:r>
            <w:r>
              <w:rPr>
                <w:rFonts w:hint="eastAsia" w:ascii="Times New Roman" w:hAnsi="Times New Roman" w:eastAsia="宋体" w:cs="Times New Roman"/>
                <w:snapToGrid/>
                <w:color w:val="auto"/>
                <w:sz w:val="24"/>
                <w:szCs w:val="21"/>
                <w:lang w:val="en-US" w:eastAsia="zh-CN"/>
              </w:rPr>
              <w:t>/</w:t>
            </w:r>
            <w:r>
              <w:rPr>
                <w:rFonts w:hint="default" w:ascii="Times New Roman" w:hAnsi="Times New Roman" w:eastAsia="宋体" w:cs="Times New Roman"/>
                <w:snapToGrid/>
                <w:color w:val="auto"/>
                <w:sz w:val="24"/>
                <w:szCs w:val="21"/>
                <w:lang w:val="en-US" w:eastAsia="zh-CN"/>
              </w:rPr>
              <w:t>a。沉积炉尾气经密闭管线</w:t>
            </w:r>
            <w:r>
              <w:rPr>
                <w:rFonts w:hint="eastAsia" w:ascii="Times New Roman" w:hAnsi="Times New Roman" w:eastAsia="宋体" w:cs="Times New Roman"/>
                <w:snapToGrid/>
                <w:color w:val="auto"/>
                <w:sz w:val="24"/>
                <w:szCs w:val="21"/>
                <w:lang w:val="en-US" w:eastAsia="zh-CN"/>
              </w:rPr>
              <w:t>（收集效率100%）</w:t>
            </w:r>
            <w:r>
              <w:rPr>
                <w:rFonts w:hint="default" w:ascii="Times New Roman" w:hAnsi="Times New Roman" w:eastAsia="宋体" w:cs="Times New Roman"/>
                <w:snapToGrid/>
                <w:color w:val="auto"/>
                <w:sz w:val="24"/>
                <w:szCs w:val="21"/>
                <w:lang w:val="en-US" w:eastAsia="zh-CN"/>
              </w:rPr>
              <w:t xml:space="preserve">直接输送至 </w:t>
            </w:r>
            <w:r>
              <w:rPr>
                <w:rFonts w:hint="eastAsia" w:ascii="Times New Roman" w:hAnsi="Times New Roman" w:eastAsia="宋体" w:cs="Times New Roman"/>
                <w:snapToGrid/>
                <w:color w:val="auto"/>
                <w:sz w:val="24"/>
                <w:szCs w:val="21"/>
                <w:lang w:val="en-US" w:eastAsia="zh-CN"/>
              </w:rPr>
              <w:t>TO</w:t>
            </w:r>
            <w:r>
              <w:rPr>
                <w:rFonts w:hint="default" w:ascii="Times New Roman" w:hAnsi="Times New Roman" w:eastAsia="宋体" w:cs="Times New Roman"/>
                <w:snapToGrid/>
                <w:color w:val="auto"/>
                <w:sz w:val="24"/>
                <w:szCs w:val="21"/>
                <w:lang w:val="en-US" w:eastAsia="zh-CN"/>
              </w:rPr>
              <w:t xml:space="preserve"> 焚烧炉处理</w:t>
            </w:r>
            <w:r>
              <w:rPr>
                <w:rFonts w:hint="eastAsia" w:ascii="Times New Roman" w:hAnsi="Times New Roman" w:eastAsia="宋体" w:cs="Times New Roman"/>
                <w:snapToGrid/>
                <w:color w:val="auto"/>
                <w:sz w:val="24"/>
                <w:szCs w:val="21"/>
                <w:lang w:val="en-US" w:eastAsia="zh-CN"/>
              </w:rPr>
              <w:t>（</w:t>
            </w:r>
            <w:r>
              <w:rPr>
                <w:rFonts w:hint="default" w:ascii="Times New Roman" w:hAnsi="Times New Roman" w:eastAsia="宋体" w:cs="Times New Roman"/>
                <w:snapToGrid/>
                <w:color w:val="auto"/>
                <w:sz w:val="24"/>
                <w:szCs w:val="21"/>
                <w:lang w:val="en-US" w:eastAsia="zh-CN"/>
              </w:rPr>
              <w:t>处理效率为9</w:t>
            </w:r>
            <w:r>
              <w:rPr>
                <w:rFonts w:hint="eastAsia" w:ascii="Times New Roman" w:hAnsi="Times New Roman" w:eastAsia="宋体" w:cs="Times New Roman"/>
                <w:snapToGrid/>
                <w:color w:val="auto"/>
                <w:sz w:val="24"/>
                <w:szCs w:val="21"/>
                <w:lang w:val="en-US" w:eastAsia="zh-CN"/>
              </w:rPr>
              <w:t>5</w:t>
            </w:r>
            <w:r>
              <w:rPr>
                <w:rFonts w:hint="default" w:ascii="Times New Roman" w:hAnsi="Times New Roman" w:eastAsia="宋体" w:cs="Times New Roman"/>
                <w:snapToGrid/>
                <w:color w:val="auto"/>
                <w:sz w:val="24"/>
                <w:szCs w:val="21"/>
                <w:lang w:val="en-US" w:eastAsia="zh-CN"/>
              </w:rPr>
              <w:t>%</w:t>
            </w:r>
            <w:r>
              <w:rPr>
                <w:rFonts w:hint="eastAsia" w:ascii="Times New Roman" w:hAnsi="Times New Roman" w:eastAsia="宋体" w:cs="Times New Roman"/>
                <w:snapToGrid/>
                <w:color w:val="auto"/>
                <w:sz w:val="24"/>
                <w:szCs w:val="21"/>
                <w:lang w:val="en-US" w:eastAsia="zh-CN"/>
              </w:rPr>
              <w:t>）</w:t>
            </w:r>
            <w:r>
              <w:rPr>
                <w:rFonts w:hint="default" w:ascii="Times New Roman" w:hAnsi="Times New Roman" w:eastAsia="宋体" w:cs="Times New Roman"/>
                <w:snapToGrid/>
                <w:color w:val="auto"/>
                <w:sz w:val="24"/>
                <w:szCs w:val="21"/>
                <w:lang w:val="en-US" w:eastAsia="zh-CN"/>
              </w:rPr>
              <w:t>后通过 15m 高排气筒排放</w:t>
            </w:r>
            <w:r>
              <w:rPr>
                <w:rFonts w:hint="eastAsia" w:cs="Times New Roman"/>
                <w:color w:val="auto"/>
                <w:sz w:val="24"/>
                <w:highlight w:val="none"/>
                <w:lang w:val="en-US" w:eastAsia="zh-CN"/>
              </w:rPr>
              <w:t>，该工序年运行时间为7200h</w:t>
            </w:r>
            <w:r>
              <w:rPr>
                <w:rFonts w:hint="eastAsia" w:ascii="Times New Roman" w:hAnsi="Times New Roman" w:eastAsia="宋体" w:cs="Times New Roman"/>
                <w:snapToGrid/>
                <w:color w:val="auto"/>
                <w:sz w:val="24"/>
                <w:szCs w:val="21"/>
                <w:lang w:val="en-US" w:eastAsia="zh-CN"/>
              </w:rPr>
              <w:t>。</w:t>
            </w:r>
          </w:p>
          <w:p w14:paraId="4CC8B34F">
            <w:pPr>
              <w:keepNext w:val="0"/>
              <w:keepLines w:val="0"/>
              <w:widowControl/>
              <w:numPr>
                <w:ilvl w:val="0"/>
                <w:numId w:val="4"/>
              </w:numPr>
              <w:suppressLineNumbers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加工废气</w:t>
            </w:r>
          </w:p>
          <w:p w14:paraId="1BAD1DE7">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本项目对产品进行CNC和平磨加工，达到平面度和预定尺寸</w:t>
            </w:r>
            <w:r>
              <w:rPr>
                <w:rFonts w:hint="eastAsia" w:cs="Times New Roman"/>
                <w:color w:val="auto"/>
                <w:sz w:val="24"/>
                <w:highlight w:val="none"/>
                <w:lang w:val="en-US" w:eastAsia="zh-CN"/>
              </w:rPr>
              <w:t>，在机加过程中会产生少量粉尘，产尘量参考《工业源产排污核算方法和系数手册》(2021年6月9日实施)-机械行业系数手册中下料系数手册中的颗粒物产生系数 5.30kg/t 原料进行核算，机加工原料量88</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snapToGrid/>
                <w:sz w:val="24"/>
                <w:szCs w:val="21"/>
                <w:lang w:val="en-US" w:eastAsia="zh-CN"/>
              </w:rPr>
              <w:t>，</w:t>
            </w:r>
            <w:r>
              <w:rPr>
                <w:rFonts w:hint="eastAsia" w:ascii="Times New Roman" w:hAnsi="Times New Roman" w:eastAsia="宋体" w:cs="Times New Roman"/>
                <w:snapToGrid/>
                <w:sz w:val="24"/>
                <w:szCs w:val="21"/>
                <w:lang w:val="en-US" w:eastAsia="zh-CN"/>
              </w:rPr>
              <w:t>则机加粉尘年产生量为</w:t>
            </w:r>
            <w:r>
              <w:rPr>
                <w:rFonts w:hint="eastAsia" w:cs="Times New Roman"/>
                <w:color w:val="auto"/>
                <w:sz w:val="24"/>
                <w:highlight w:val="none"/>
                <w:lang w:val="en-US" w:eastAsia="zh-CN"/>
              </w:rPr>
              <w:t>0.466</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a。项目CNC和平磨设备密闭，粉尘经密闭设备后端管道输送至袋式除尘器处理后经 15m 高排气筒排放，收集效率按 100%计，袋式除尘器处理效率按99%计</w:t>
            </w:r>
            <w:r>
              <w:rPr>
                <w:rFonts w:hint="eastAsia" w:cs="Times New Roman"/>
                <w:color w:val="auto"/>
                <w:sz w:val="24"/>
                <w:highlight w:val="none"/>
                <w:lang w:val="en-US" w:eastAsia="zh-CN"/>
              </w:rPr>
              <w:t>，该工序年运行时间为2400h</w:t>
            </w:r>
            <w:r>
              <w:rPr>
                <w:rFonts w:hint="eastAsia" w:ascii="Times New Roman" w:hAnsi="Times New Roman" w:eastAsia="宋体" w:cs="Times New Roman"/>
                <w:color w:val="auto"/>
                <w:sz w:val="24"/>
                <w:highlight w:val="none"/>
                <w:lang w:val="en-US" w:eastAsia="zh-CN"/>
              </w:rPr>
              <w:t>。</w:t>
            </w:r>
          </w:p>
          <w:p w14:paraId="2764060C">
            <w:pPr>
              <w:keepNext w:val="0"/>
              <w:keepLines w:val="0"/>
              <w:widowControl/>
              <w:numPr>
                <w:ilvl w:val="0"/>
                <w:numId w:val="4"/>
              </w:numPr>
              <w:suppressLineNumbers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碳化废气</w:t>
            </w:r>
          </w:p>
          <w:p w14:paraId="1E7809CC">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碳化炉加热至 1000℃后，酚醛树脂发生裂解，裂解的酚醛树脂部分渗入碳纤维复合材料，未热解的进入废气，主要污染物是挥发性有机物，根据企业小试实验数据可知，本项目碳化废气产生量约为原料的 10%，本项目酚醛树脂用量为8t/a，则碳化废气产生量为0.8ta。碳化炉为密闭设备，采用</w:t>
            </w:r>
            <w:r>
              <w:rPr>
                <w:rFonts w:hint="default" w:ascii="Times New Roman" w:hAnsi="Times New Roman" w:eastAsia="宋体" w:cs="Times New Roman"/>
                <w:snapToGrid/>
                <w:sz w:val="24"/>
                <w:szCs w:val="21"/>
                <w:lang w:val="en-US" w:eastAsia="zh-CN"/>
              </w:rPr>
              <w:t>密闭管线</w:t>
            </w:r>
            <w:r>
              <w:rPr>
                <w:rFonts w:hint="eastAsia" w:ascii="Times New Roman" w:hAnsi="Times New Roman" w:eastAsia="宋体" w:cs="Times New Roman"/>
                <w:snapToGrid/>
                <w:sz w:val="24"/>
                <w:szCs w:val="21"/>
                <w:lang w:val="en-US" w:eastAsia="zh-CN"/>
              </w:rPr>
              <w:t>（收集效率100%）</w:t>
            </w:r>
            <w:r>
              <w:rPr>
                <w:rFonts w:hint="default" w:ascii="Times New Roman" w:hAnsi="Times New Roman" w:eastAsia="宋体" w:cs="Times New Roman"/>
                <w:snapToGrid/>
                <w:sz w:val="24"/>
                <w:szCs w:val="21"/>
                <w:lang w:val="en-US" w:eastAsia="zh-CN"/>
              </w:rPr>
              <w:t xml:space="preserve">直接输送至 </w:t>
            </w:r>
            <w:r>
              <w:rPr>
                <w:rFonts w:hint="eastAsia" w:ascii="Times New Roman" w:hAnsi="Times New Roman" w:eastAsia="宋体" w:cs="Times New Roman"/>
                <w:snapToGrid/>
                <w:sz w:val="24"/>
                <w:szCs w:val="21"/>
                <w:lang w:val="en-US" w:eastAsia="zh-CN"/>
              </w:rPr>
              <w:t>TO</w:t>
            </w:r>
            <w:r>
              <w:rPr>
                <w:rFonts w:hint="default" w:ascii="Times New Roman" w:hAnsi="Times New Roman" w:eastAsia="宋体" w:cs="Times New Roman"/>
                <w:snapToGrid/>
                <w:sz w:val="24"/>
                <w:szCs w:val="21"/>
                <w:lang w:val="en-US" w:eastAsia="zh-CN"/>
              </w:rPr>
              <w:t xml:space="preserve"> 焚烧炉处理</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处理效率为9</w:t>
            </w:r>
            <w:r>
              <w:rPr>
                <w:rFonts w:hint="eastAsia" w:ascii="Times New Roman" w:hAnsi="Times New Roman" w:eastAsia="宋体" w:cs="Times New Roman"/>
                <w:snapToGrid/>
                <w:sz w:val="24"/>
                <w:szCs w:val="21"/>
                <w:lang w:val="en-US" w:eastAsia="zh-CN"/>
              </w:rPr>
              <w:t>5</w:t>
            </w:r>
            <w:r>
              <w:rPr>
                <w:rFonts w:hint="default" w:ascii="Times New Roman" w:hAnsi="Times New Roman" w:eastAsia="宋体" w:cs="Times New Roman"/>
                <w:snapToGrid/>
                <w:sz w:val="24"/>
                <w:szCs w:val="21"/>
                <w:lang w:val="en-US" w:eastAsia="zh-CN"/>
              </w:rPr>
              <w:t>%</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后通过 15m 高排气筒排放</w:t>
            </w:r>
            <w:r>
              <w:rPr>
                <w:rFonts w:hint="eastAsia" w:cs="Times New Roman"/>
                <w:color w:val="auto"/>
                <w:sz w:val="24"/>
                <w:highlight w:val="none"/>
                <w:lang w:val="en-US" w:eastAsia="zh-CN"/>
              </w:rPr>
              <w:t>，该工序年运行时间为7200h</w:t>
            </w:r>
            <w:r>
              <w:rPr>
                <w:rFonts w:hint="eastAsia" w:ascii="Times New Roman" w:hAnsi="Times New Roman" w:eastAsia="宋体" w:cs="Times New Roman"/>
                <w:snapToGrid/>
                <w:sz w:val="24"/>
                <w:szCs w:val="21"/>
                <w:lang w:val="en-US" w:eastAsia="zh-CN"/>
              </w:rPr>
              <w:t>。</w:t>
            </w:r>
          </w:p>
          <w:p w14:paraId="47C0F48E">
            <w:pPr>
              <w:keepNext w:val="0"/>
              <w:keepLines w:val="0"/>
              <w:widowControl/>
              <w:numPr>
                <w:ilvl w:val="0"/>
                <w:numId w:val="4"/>
              </w:numPr>
              <w:suppressLineNumbers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渗硅废气</w:t>
            </w:r>
          </w:p>
          <w:p w14:paraId="4727B949">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渗硅炉尾气经循环冷却水降温处理后在车间内以无组织形式排放。</w:t>
            </w:r>
            <w:r>
              <w:rPr>
                <w:rFonts w:hint="default" w:ascii="Times New Roman" w:hAnsi="Times New Roman" w:eastAsia="宋体" w:cs="Times New Roman"/>
                <w:snapToGrid/>
                <w:sz w:val="24"/>
                <w:szCs w:val="21"/>
                <w:lang w:val="en-US" w:eastAsia="zh-CN"/>
              </w:rPr>
              <w:t>根据建设单位提供的小试实验数据及工艺数据，</w:t>
            </w:r>
            <w:r>
              <w:rPr>
                <w:rFonts w:hint="eastAsia" w:cs="Times New Roman"/>
                <w:color w:val="auto"/>
                <w:sz w:val="24"/>
                <w:highlight w:val="none"/>
                <w:lang w:val="en-US" w:eastAsia="zh-CN"/>
              </w:rPr>
              <w:t>本项目碳陶刹车盘渗硅工序颗粒物产生量以1%计，即为0.6t/a，根据企业提供的资料，水冷、过滤器去除效率为 90%，则渗硅工序颗粒物排放量为 0.06t/a，在车间内以无组织形式排放。</w:t>
            </w:r>
          </w:p>
          <w:p w14:paraId="3E1722F8">
            <w:pPr>
              <w:keepNext w:val="0"/>
              <w:keepLines w:val="0"/>
              <w:widowControl/>
              <w:numPr>
                <w:ilvl w:val="0"/>
                <w:numId w:val="4"/>
              </w:numPr>
              <w:suppressLineNumbers w:val="0"/>
              <w:spacing w:before="0" w:beforeAutospacing="0" w:after="0" w:afterAutospacing="0" w:line="360" w:lineRule="auto"/>
              <w:ind w:left="0" w:leftChars="0" w:right="0" w:rightChars="0"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真空泵油雾</w:t>
            </w:r>
          </w:p>
          <w:p w14:paraId="101E2CC2">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沉积炉、渗硅炉配套的真空泵生产周期初期(5分钟)运行过程产生油雾，其他运行过程中无污染物排放，油雾经真空泵后端的管道自然冷却后回流至真空泵储油槽，少量的油雾废气(以非甲烷总烃表征)与抽真空排气一同经管道引至</w:t>
            </w:r>
            <w:r>
              <w:rPr>
                <w:rFonts w:hint="eastAsia" w:ascii="Times New Roman" w:hAnsi="Times New Roman" w:eastAsia="宋体" w:cs="Times New Roman"/>
                <w:snapToGrid/>
                <w:sz w:val="24"/>
                <w:szCs w:val="21"/>
                <w:lang w:val="en-US" w:eastAsia="zh-CN"/>
              </w:rPr>
              <w:t>TO</w:t>
            </w:r>
            <w:r>
              <w:rPr>
                <w:rFonts w:hint="default" w:ascii="Times New Roman" w:hAnsi="Times New Roman" w:eastAsia="宋体" w:cs="Times New Roman"/>
                <w:snapToGrid/>
                <w:sz w:val="24"/>
                <w:szCs w:val="21"/>
                <w:lang w:val="en-US" w:eastAsia="zh-CN"/>
              </w:rPr>
              <w:t xml:space="preserve"> 焚烧炉处理</w:t>
            </w:r>
            <w:r>
              <w:rPr>
                <w:rFonts w:hint="eastAsia" w:ascii="Times New Roman" w:hAnsi="Times New Roman" w:eastAsia="宋体" w:cs="Times New Roman"/>
                <w:snapToGrid/>
                <w:sz w:val="24"/>
                <w:szCs w:val="21"/>
                <w:lang w:val="en-US" w:eastAsia="zh-CN"/>
              </w:rPr>
              <w:t>（</w:t>
            </w:r>
            <w:r>
              <w:rPr>
                <w:rFonts w:hint="default" w:ascii="Times New Roman" w:hAnsi="Times New Roman" w:eastAsia="宋体" w:cs="Times New Roman"/>
                <w:snapToGrid/>
                <w:sz w:val="24"/>
                <w:szCs w:val="21"/>
                <w:lang w:val="en-US" w:eastAsia="zh-CN"/>
              </w:rPr>
              <w:t>处理效率为9</w:t>
            </w:r>
            <w:r>
              <w:rPr>
                <w:rFonts w:hint="eastAsia" w:ascii="Times New Roman" w:hAnsi="Times New Roman" w:eastAsia="宋体" w:cs="Times New Roman"/>
                <w:snapToGrid/>
                <w:sz w:val="24"/>
                <w:szCs w:val="21"/>
                <w:lang w:val="en-US" w:eastAsia="zh-CN"/>
              </w:rPr>
              <w:t>5</w:t>
            </w:r>
            <w:r>
              <w:rPr>
                <w:rFonts w:hint="default" w:ascii="Times New Roman" w:hAnsi="Times New Roman" w:eastAsia="宋体" w:cs="Times New Roman"/>
                <w:snapToGrid/>
                <w:sz w:val="24"/>
                <w:szCs w:val="21"/>
                <w:lang w:val="en-US" w:eastAsia="zh-CN"/>
              </w:rPr>
              <w:t>%</w:t>
            </w:r>
            <w:r>
              <w:rPr>
                <w:rFonts w:hint="eastAsia" w:ascii="Times New Roman" w:hAnsi="Times New Roman" w:eastAsia="宋体" w:cs="Times New Roman"/>
                <w:snapToGrid/>
                <w:sz w:val="24"/>
                <w:szCs w:val="21"/>
                <w:lang w:val="en-US" w:eastAsia="zh-CN"/>
              </w:rPr>
              <w:t>）</w:t>
            </w:r>
            <w:r>
              <w:rPr>
                <w:rFonts w:hint="eastAsia" w:cs="Times New Roman"/>
                <w:color w:val="auto"/>
                <w:sz w:val="24"/>
                <w:highlight w:val="none"/>
                <w:lang w:val="en-US" w:eastAsia="zh-CN"/>
              </w:rPr>
              <w:t>后经15m高排气筒排放，油雾废气排放量较小，不再定量分析。</w:t>
            </w:r>
          </w:p>
          <w:p w14:paraId="466F6589">
            <w:pPr>
              <w:keepNext w:val="0"/>
              <w:keepLines w:val="0"/>
              <w:widowControl/>
              <w:numPr>
                <w:ilvl w:val="0"/>
                <w:numId w:val="0"/>
              </w:numPr>
              <w:suppressLineNumbers w:val="0"/>
              <w:spacing w:before="0" w:beforeAutospacing="0" w:after="0" w:afterAutospacing="0" w:line="360" w:lineRule="auto"/>
              <w:ind w:left="0" w:right="0" w:rightChars="0" w:firstLine="482" w:firstLineChars="200"/>
              <w:jc w:val="left"/>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废气处理措施：</w:t>
            </w:r>
          </w:p>
          <w:p w14:paraId="152027DA">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上述</w:t>
            </w:r>
            <w:r>
              <w:rPr>
                <w:rFonts w:hint="eastAsia" w:cs="Times New Roman"/>
                <w:color w:val="auto"/>
                <w:sz w:val="24"/>
                <w:highlight w:val="none"/>
                <w:lang w:val="en-US" w:eastAsia="zh-CN"/>
              </w:rPr>
              <w:t>混料</w:t>
            </w:r>
            <w:r>
              <w:rPr>
                <w:rFonts w:hint="eastAsia" w:ascii="Times New Roman" w:hAnsi="Times New Roman" w:eastAsia="宋体" w:cs="Times New Roman"/>
                <w:color w:val="auto"/>
                <w:sz w:val="24"/>
                <w:highlight w:val="none"/>
                <w:lang w:val="en-US" w:eastAsia="zh-CN"/>
              </w:rPr>
              <w:t>粉尘和</w:t>
            </w:r>
            <w:r>
              <w:rPr>
                <w:rFonts w:hint="eastAsia" w:cs="Times New Roman"/>
                <w:color w:val="auto"/>
                <w:sz w:val="24"/>
                <w:highlight w:val="none"/>
                <w:lang w:val="en-US" w:eastAsia="zh-CN"/>
              </w:rPr>
              <w:t>加工</w:t>
            </w:r>
            <w:r>
              <w:rPr>
                <w:rFonts w:hint="eastAsia" w:ascii="Times New Roman" w:hAnsi="Times New Roman" w:eastAsia="宋体" w:cs="Times New Roman"/>
                <w:color w:val="auto"/>
                <w:sz w:val="24"/>
                <w:highlight w:val="none"/>
                <w:lang w:val="en-US" w:eastAsia="zh-CN"/>
              </w:rPr>
              <w:t>废气收集后经布袋除尘处理（风量为4000m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/h，处理效率为 9</w:t>
            </w:r>
            <w:r>
              <w:rPr>
                <w:rFonts w:hint="eastAsia"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%）后通过一根</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m 高的排气筒排放</w:t>
            </w:r>
            <w:r>
              <w:rPr>
                <w:rFonts w:hint="eastAsia" w:cs="Times New Roman"/>
                <w:color w:val="auto"/>
                <w:sz w:val="24"/>
                <w:highlight w:val="none"/>
                <w:lang w:val="en-US" w:eastAsia="zh-CN"/>
              </w:rPr>
              <w:t>。</w:t>
            </w:r>
          </w:p>
          <w:p w14:paraId="50D28786">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上述中改性废气、涂层废气、沉积</w:t>
            </w:r>
            <w:r>
              <w:rPr>
                <w:rFonts w:hint="eastAsia" w:cs="Times New Roman"/>
                <w:color w:val="auto"/>
                <w:sz w:val="24"/>
                <w:highlight w:val="none"/>
                <w:lang w:val="en-US" w:eastAsia="zh-CN"/>
              </w:rPr>
              <w:t>废气、碳化废气</w:t>
            </w:r>
            <w:r>
              <w:rPr>
                <w:rFonts w:hint="eastAsia" w:ascii="Times New Roman" w:hAnsi="Times New Roman" w:eastAsia="宋体" w:cs="Times New Roman"/>
                <w:color w:val="auto"/>
                <w:sz w:val="24"/>
                <w:highlight w:val="none"/>
                <w:lang w:val="en-US" w:eastAsia="zh-CN"/>
              </w:rPr>
              <w:t xml:space="preserve">和真空泵油雾废气经抽风管道收集，收集后通过 </w:t>
            </w:r>
            <w:r>
              <w:rPr>
                <w:rFonts w:hint="eastAsia" w:cs="Times New Roman"/>
                <w:color w:val="auto"/>
                <w:sz w:val="24"/>
                <w:highlight w:val="none"/>
                <w:lang w:val="en-US" w:eastAsia="zh-CN"/>
              </w:rPr>
              <w:t>TO</w:t>
            </w:r>
            <w:r>
              <w:rPr>
                <w:rFonts w:hint="eastAsia" w:ascii="Times New Roman" w:hAnsi="Times New Roman" w:eastAsia="宋体" w:cs="Times New Roman"/>
                <w:color w:val="auto"/>
                <w:sz w:val="24"/>
                <w:highlight w:val="none"/>
                <w:lang w:val="en-US" w:eastAsia="zh-CN"/>
              </w:rPr>
              <w:t xml:space="preserve"> 燃烧炉燃烧后经</w:t>
            </w:r>
            <w:r>
              <w:rPr>
                <w:rFonts w:hint="eastAsia" w:cs="Times New Roman"/>
                <w:color w:val="auto"/>
                <w:sz w:val="24"/>
                <w:highlight w:val="none"/>
                <w:lang w:val="en-US" w:eastAsia="zh-CN"/>
              </w:rPr>
              <w:t>15m高</w:t>
            </w:r>
            <w:r>
              <w:rPr>
                <w:rFonts w:hint="eastAsia" w:ascii="Times New Roman" w:hAnsi="Times New Roman" w:eastAsia="宋体" w:cs="Times New Roman"/>
                <w:color w:val="auto"/>
                <w:sz w:val="24"/>
                <w:highlight w:val="none"/>
                <w:lang w:val="en-US" w:eastAsia="zh-CN"/>
              </w:rPr>
              <w:t>排气筒排放</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项目 </w:t>
            </w:r>
            <w:r>
              <w:rPr>
                <w:rFonts w:hint="eastAsia" w:cs="Times New Roman"/>
                <w:color w:val="auto"/>
                <w:sz w:val="24"/>
                <w:highlight w:val="none"/>
                <w:lang w:val="en-US" w:eastAsia="zh-CN"/>
              </w:rPr>
              <w:t>TO</w:t>
            </w:r>
            <w:r>
              <w:rPr>
                <w:rFonts w:hint="eastAsia" w:ascii="Times New Roman" w:hAnsi="Times New Roman" w:eastAsia="宋体" w:cs="Times New Roman"/>
                <w:color w:val="auto"/>
                <w:sz w:val="24"/>
                <w:highlight w:val="none"/>
                <w:lang w:val="en-US" w:eastAsia="zh-CN"/>
              </w:rPr>
              <w:t xml:space="preserve"> 燃烧炉的燃烧效率</w:t>
            </w:r>
            <w:r>
              <w:rPr>
                <w:rFonts w:hint="eastAsia" w:cs="Times New Roman"/>
                <w:color w:val="auto"/>
                <w:sz w:val="24"/>
                <w:highlight w:val="none"/>
                <w:lang w:val="en-US" w:eastAsia="zh-CN"/>
              </w:rPr>
              <w:t>以</w:t>
            </w:r>
            <w:r>
              <w:rPr>
                <w:rFonts w:hint="eastAsia" w:ascii="Times New Roman" w:hAnsi="Times New Roman" w:eastAsia="宋体" w:cs="Times New Roman"/>
                <w:color w:val="auto"/>
                <w:sz w:val="24"/>
                <w:highlight w:val="none"/>
                <w:lang w:val="en-US" w:eastAsia="zh-CN"/>
              </w:rPr>
              <w:t>95%</w:t>
            </w:r>
            <w:r>
              <w:rPr>
                <w:rFonts w:hint="eastAsia" w:cs="Times New Roman"/>
                <w:color w:val="auto"/>
                <w:sz w:val="24"/>
                <w:highlight w:val="none"/>
                <w:lang w:val="en-US" w:eastAsia="zh-CN"/>
              </w:rPr>
              <w:t>计，风量为5000m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p>
          <w:p w14:paraId="246BBF4F">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沉积废气中的天然气燃烧废气根据《排放源统计调查产排污核算方法和系数手册》（公告2021年第24号）“33-37机械行业系数手册”-天然气工业炉窑计算工业废气量。</w:t>
            </w:r>
          </w:p>
          <w:p w14:paraId="4264E562">
            <w:pPr>
              <w:keepNext w:val="0"/>
              <w:keepLines w:val="0"/>
              <w:widowControl/>
              <w:numPr>
                <w:ilvl w:val="0"/>
                <w:numId w:val="0"/>
              </w:numPr>
              <w:suppressLineNumbers w:val="0"/>
              <w:spacing w:before="0" w:beforeAutospacing="0" w:after="0" w:afterAutospacing="0" w:line="360" w:lineRule="auto"/>
              <w:ind w:left="0" w:right="0" w:rightChars="0"/>
              <w:jc w:val="center"/>
              <w:rPr>
                <w:rFonts w:hint="eastAsia" w:ascii="宋体" w:hAnsi="宋体" w:eastAsia="宋体" w:cs="宋体"/>
                <w:bCs/>
                <w:kern w:val="2"/>
                <w:sz w:val="24"/>
                <w:szCs w:val="24"/>
              </w:rPr>
            </w:pPr>
            <w:r>
              <w:rPr>
                <w:rFonts w:hint="eastAsia" w:ascii="宋体" w:hAnsi="宋体" w:eastAsia="宋体" w:cs="宋体"/>
                <w:b/>
                <w:bCs/>
              </w:rPr>
              <w:t>表</w:t>
            </w:r>
            <w:r>
              <w:rPr>
                <w:rFonts w:hint="eastAsia" w:ascii="宋体" w:hAnsi="宋体" w:eastAsia="宋体" w:cs="宋体"/>
                <w:b/>
                <w:bCs/>
                <w:spacing w:val="-60"/>
              </w:rPr>
              <w:t xml:space="preserve"> </w:t>
            </w:r>
            <w:r>
              <w:rPr>
                <w:rFonts w:hint="default" w:ascii="Times New Roman" w:hAnsi="Times New Roman" w:eastAsia="宋体" w:cs="Times New Roman"/>
                <w:b/>
                <w:bCs/>
              </w:rPr>
              <w:t>4-</w:t>
            </w:r>
            <w:r>
              <w:rPr>
                <w:rFonts w:hint="eastAsia" w:ascii="Times New Roman" w:hAnsi="Times New Roman" w:eastAsia="宋体" w:cs="Times New Roman"/>
                <w:b/>
                <w:bCs/>
                <w:lang w:val="en-US" w:eastAsia="zh-CN"/>
              </w:rPr>
              <w:t xml:space="preserve">3 </w:t>
            </w:r>
            <w:r>
              <w:rPr>
                <w:rFonts w:hint="eastAsia" w:ascii="宋体" w:hAnsi="宋体" w:eastAsia="宋体" w:cs="宋体"/>
                <w:b/>
                <w:bCs/>
                <w:lang w:val="en-US" w:eastAsia="zh-CN"/>
              </w:rPr>
              <w:t>天然气燃烧</w:t>
            </w:r>
            <w:r>
              <w:rPr>
                <w:rFonts w:hint="eastAsia" w:ascii="宋体" w:hAnsi="宋体" w:eastAsia="宋体" w:cs="宋体"/>
                <w:b/>
                <w:bCs/>
              </w:rPr>
              <w:t>废气产排污系数</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57"/>
              <w:gridCol w:w="1604"/>
              <w:gridCol w:w="1370"/>
              <w:gridCol w:w="1371"/>
              <w:gridCol w:w="1371"/>
            </w:tblGrid>
            <w:tr w14:paraId="47E1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noWrap w:val="0"/>
                  <w:vAlign w:val="center"/>
                </w:tcPr>
                <w:p w14:paraId="129CC7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序号</w:t>
                  </w:r>
                </w:p>
              </w:tc>
              <w:tc>
                <w:tcPr>
                  <w:tcW w:w="825" w:type="pct"/>
                  <w:noWrap w:val="0"/>
                  <w:vAlign w:val="center"/>
                </w:tcPr>
                <w:p w14:paraId="501EBB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污染物指标</w:t>
                  </w:r>
                </w:p>
              </w:tc>
              <w:tc>
                <w:tcPr>
                  <w:tcW w:w="975" w:type="pct"/>
                  <w:noWrap w:val="0"/>
                  <w:vAlign w:val="center"/>
                </w:tcPr>
                <w:p w14:paraId="6AE797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单位</w:t>
                  </w:r>
                </w:p>
              </w:tc>
              <w:tc>
                <w:tcPr>
                  <w:tcW w:w="833" w:type="pct"/>
                  <w:noWrap w:val="0"/>
                  <w:vAlign w:val="center"/>
                </w:tcPr>
                <w:p w14:paraId="5E6D1D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产物系数</w:t>
                  </w:r>
                </w:p>
              </w:tc>
              <w:tc>
                <w:tcPr>
                  <w:tcW w:w="833" w:type="pct"/>
                  <w:noWrap w:val="0"/>
                  <w:vAlign w:val="center"/>
                </w:tcPr>
                <w:p w14:paraId="4498E8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r>
                    <w:rPr>
                      <w:rFonts w:hint="eastAsia"/>
                      <w:vertAlign w:val="baseline"/>
                      <w:lang w:val="en-US" w:eastAsia="zh-CN"/>
                    </w:rPr>
                    <w:t>末端治理名称</w:t>
                  </w:r>
                </w:p>
              </w:tc>
              <w:tc>
                <w:tcPr>
                  <w:tcW w:w="833" w:type="pct"/>
                  <w:noWrap w:val="0"/>
                  <w:vAlign w:val="center"/>
                </w:tcPr>
                <w:p w14:paraId="6A33B6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排污系数</w:t>
                  </w:r>
                </w:p>
              </w:tc>
            </w:tr>
            <w:tr w14:paraId="7EA3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noWrap w:val="0"/>
                  <w:vAlign w:val="center"/>
                </w:tcPr>
                <w:p w14:paraId="50CE7F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1</w:t>
                  </w:r>
                </w:p>
              </w:tc>
              <w:tc>
                <w:tcPr>
                  <w:tcW w:w="825" w:type="pct"/>
                  <w:noWrap w:val="0"/>
                  <w:vAlign w:val="center"/>
                </w:tcPr>
                <w:p w14:paraId="11E7A5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废气量</w:t>
                  </w:r>
                </w:p>
              </w:tc>
              <w:tc>
                <w:tcPr>
                  <w:tcW w:w="975" w:type="pct"/>
                  <w:noWrap w:val="0"/>
                  <w:vAlign w:val="center"/>
                </w:tcPr>
                <w:p w14:paraId="72A2493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/万m</w:t>
                  </w:r>
                  <w:r>
                    <w:rPr>
                      <w:rFonts w:hint="eastAsia"/>
                      <w:vertAlign w:val="superscript"/>
                      <w:lang w:val="en-US" w:eastAsia="zh-CN"/>
                    </w:rPr>
                    <w:t>3</w:t>
                  </w:r>
                  <w:r>
                    <w:rPr>
                      <w:rFonts w:hint="eastAsia"/>
                      <w:vertAlign w:val="baseline"/>
                      <w:lang w:val="en-US" w:eastAsia="zh-CN"/>
                    </w:rPr>
                    <w:t>燃料</w:t>
                  </w:r>
                </w:p>
              </w:tc>
              <w:tc>
                <w:tcPr>
                  <w:tcW w:w="833" w:type="pct"/>
                  <w:noWrap w:val="0"/>
                  <w:vAlign w:val="center"/>
                </w:tcPr>
                <w:p w14:paraId="21DE1A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13.6</w:t>
                  </w:r>
                </w:p>
              </w:tc>
              <w:tc>
                <w:tcPr>
                  <w:tcW w:w="833" w:type="pct"/>
                  <w:vMerge w:val="restart"/>
                  <w:noWrap w:val="0"/>
                  <w:vAlign w:val="center"/>
                </w:tcPr>
                <w:p w14:paraId="383C7E2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w:t>
                  </w:r>
                </w:p>
              </w:tc>
              <w:tc>
                <w:tcPr>
                  <w:tcW w:w="833" w:type="pct"/>
                  <w:noWrap w:val="0"/>
                  <w:vAlign w:val="center"/>
                </w:tcPr>
                <w:p w14:paraId="3A6558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w:t>
                  </w:r>
                </w:p>
              </w:tc>
            </w:tr>
            <w:tr w14:paraId="188C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noWrap w:val="0"/>
                  <w:vAlign w:val="center"/>
                </w:tcPr>
                <w:p w14:paraId="7520BD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2</w:t>
                  </w:r>
                </w:p>
              </w:tc>
              <w:tc>
                <w:tcPr>
                  <w:tcW w:w="825" w:type="pct"/>
                  <w:noWrap w:val="0"/>
                  <w:vAlign w:val="center"/>
                </w:tcPr>
                <w:p w14:paraId="173D8EF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SO</w:t>
                  </w:r>
                  <w:r>
                    <w:rPr>
                      <w:rFonts w:hint="eastAsia"/>
                      <w:vertAlign w:val="subscript"/>
                      <w:lang w:val="en-US" w:eastAsia="zh-CN"/>
                    </w:rPr>
                    <w:t>2</w:t>
                  </w:r>
                </w:p>
              </w:tc>
              <w:tc>
                <w:tcPr>
                  <w:tcW w:w="975" w:type="pct"/>
                  <w:noWrap w:val="0"/>
                  <w:vAlign w:val="center"/>
                </w:tcPr>
                <w:p w14:paraId="13129C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r>
                    <w:rPr>
                      <w:rFonts w:hint="eastAsia"/>
                      <w:vertAlign w:val="baseline"/>
                      <w:lang w:val="en-US" w:eastAsia="zh-CN"/>
                    </w:rPr>
                    <w:t>Kg/万m</w:t>
                  </w:r>
                  <w:r>
                    <w:rPr>
                      <w:rFonts w:hint="eastAsia"/>
                      <w:vertAlign w:val="superscript"/>
                      <w:lang w:val="en-US" w:eastAsia="zh-CN"/>
                    </w:rPr>
                    <w:t>3</w:t>
                  </w:r>
                  <w:r>
                    <w:rPr>
                      <w:rFonts w:hint="eastAsia"/>
                      <w:vertAlign w:val="baseline"/>
                      <w:lang w:val="en-US" w:eastAsia="zh-CN"/>
                    </w:rPr>
                    <w:t>燃料</w:t>
                  </w:r>
                </w:p>
              </w:tc>
              <w:tc>
                <w:tcPr>
                  <w:tcW w:w="833" w:type="pct"/>
                  <w:noWrap w:val="0"/>
                  <w:vAlign w:val="center"/>
                </w:tcPr>
                <w:p w14:paraId="6019862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0.02S</w:t>
                  </w:r>
                </w:p>
              </w:tc>
              <w:tc>
                <w:tcPr>
                  <w:tcW w:w="833" w:type="pct"/>
                  <w:vMerge w:val="continue"/>
                  <w:noWrap w:val="0"/>
                  <w:vAlign w:val="center"/>
                </w:tcPr>
                <w:p w14:paraId="1B2354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p>
              </w:tc>
              <w:tc>
                <w:tcPr>
                  <w:tcW w:w="833" w:type="pct"/>
                  <w:noWrap w:val="0"/>
                  <w:vAlign w:val="center"/>
                </w:tcPr>
                <w:p w14:paraId="449962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0.02S</w:t>
                  </w:r>
                </w:p>
              </w:tc>
            </w:tr>
            <w:tr w14:paraId="4506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noWrap w:val="0"/>
                  <w:vAlign w:val="center"/>
                </w:tcPr>
                <w:p w14:paraId="16007B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宋体"/>
                      <w:vertAlign w:val="baseline"/>
                      <w:lang w:val="en-US" w:eastAsia="zh-CN"/>
                    </w:rPr>
                  </w:pPr>
                  <w:r>
                    <w:rPr>
                      <w:rFonts w:hint="eastAsia"/>
                      <w:vertAlign w:val="baseline"/>
                      <w:lang w:val="en-US" w:eastAsia="zh-CN"/>
                    </w:rPr>
                    <w:t>3</w:t>
                  </w:r>
                </w:p>
              </w:tc>
              <w:tc>
                <w:tcPr>
                  <w:tcW w:w="825" w:type="pct"/>
                  <w:noWrap w:val="0"/>
                  <w:vAlign w:val="center"/>
                </w:tcPr>
                <w:p w14:paraId="6179E50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NOx</w:t>
                  </w:r>
                </w:p>
              </w:tc>
              <w:tc>
                <w:tcPr>
                  <w:tcW w:w="975" w:type="pct"/>
                  <w:noWrap w:val="0"/>
                  <w:vAlign w:val="center"/>
                </w:tcPr>
                <w:p w14:paraId="6D0CB1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r>
                    <w:rPr>
                      <w:rFonts w:hint="eastAsia"/>
                      <w:vertAlign w:val="baseline"/>
                      <w:lang w:val="en-US" w:eastAsia="zh-CN"/>
                    </w:rPr>
                    <w:t>Kg/万m</w:t>
                  </w:r>
                  <w:r>
                    <w:rPr>
                      <w:rFonts w:hint="eastAsia"/>
                      <w:vertAlign w:val="superscript"/>
                      <w:lang w:val="en-US" w:eastAsia="zh-CN"/>
                    </w:rPr>
                    <w:t>3</w:t>
                  </w:r>
                  <w:r>
                    <w:rPr>
                      <w:rFonts w:hint="eastAsia"/>
                      <w:vertAlign w:val="baseline"/>
                      <w:lang w:val="en-US" w:eastAsia="zh-CN"/>
                    </w:rPr>
                    <w:t>燃料</w:t>
                  </w:r>
                </w:p>
              </w:tc>
              <w:tc>
                <w:tcPr>
                  <w:tcW w:w="833" w:type="pct"/>
                  <w:noWrap w:val="0"/>
                  <w:vAlign w:val="center"/>
                </w:tcPr>
                <w:p w14:paraId="00892D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18.7</w:t>
                  </w:r>
                </w:p>
              </w:tc>
              <w:tc>
                <w:tcPr>
                  <w:tcW w:w="833" w:type="pct"/>
                  <w:vMerge w:val="continue"/>
                  <w:noWrap w:val="0"/>
                  <w:vAlign w:val="center"/>
                </w:tcPr>
                <w:p w14:paraId="3BCB7B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p>
              </w:tc>
              <w:tc>
                <w:tcPr>
                  <w:tcW w:w="833" w:type="pct"/>
                  <w:noWrap w:val="0"/>
                  <w:vAlign w:val="center"/>
                </w:tcPr>
                <w:p w14:paraId="5FC2AF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18.7</w:t>
                  </w:r>
                </w:p>
              </w:tc>
            </w:tr>
            <w:tr w14:paraId="4D36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noWrap w:val="0"/>
                  <w:vAlign w:val="center"/>
                </w:tcPr>
                <w:p w14:paraId="14BA17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4</w:t>
                  </w:r>
                </w:p>
              </w:tc>
              <w:tc>
                <w:tcPr>
                  <w:tcW w:w="825" w:type="pct"/>
                  <w:noWrap w:val="0"/>
                  <w:vAlign w:val="center"/>
                </w:tcPr>
                <w:p w14:paraId="6CE169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颗粒物</w:t>
                  </w:r>
                </w:p>
              </w:tc>
              <w:tc>
                <w:tcPr>
                  <w:tcW w:w="975" w:type="pct"/>
                  <w:noWrap w:val="0"/>
                  <w:vAlign w:val="center"/>
                </w:tcPr>
                <w:p w14:paraId="158715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r>
                    <w:rPr>
                      <w:rFonts w:hint="eastAsia"/>
                      <w:vertAlign w:val="baseline"/>
                      <w:lang w:val="en-US" w:eastAsia="zh-CN"/>
                    </w:rPr>
                    <w:t>Kg/万m</w:t>
                  </w:r>
                  <w:r>
                    <w:rPr>
                      <w:rFonts w:hint="eastAsia"/>
                      <w:vertAlign w:val="superscript"/>
                      <w:lang w:val="en-US" w:eastAsia="zh-CN"/>
                    </w:rPr>
                    <w:t>3</w:t>
                  </w:r>
                  <w:r>
                    <w:rPr>
                      <w:rFonts w:hint="eastAsia"/>
                      <w:vertAlign w:val="baseline"/>
                      <w:lang w:val="en-US" w:eastAsia="zh-CN"/>
                    </w:rPr>
                    <w:t>燃料</w:t>
                  </w:r>
                </w:p>
              </w:tc>
              <w:tc>
                <w:tcPr>
                  <w:tcW w:w="833" w:type="pct"/>
                  <w:noWrap w:val="0"/>
                  <w:vAlign w:val="center"/>
                </w:tcPr>
                <w:p w14:paraId="33F339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2.86</w:t>
                  </w:r>
                </w:p>
              </w:tc>
              <w:tc>
                <w:tcPr>
                  <w:tcW w:w="833" w:type="pct"/>
                  <w:vMerge w:val="continue"/>
                  <w:noWrap w:val="0"/>
                  <w:vAlign w:val="center"/>
                </w:tcPr>
                <w:p w14:paraId="7FCDA8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vertAlign w:val="baseline"/>
                    </w:rPr>
                  </w:pPr>
                </w:p>
              </w:tc>
              <w:tc>
                <w:tcPr>
                  <w:tcW w:w="833" w:type="pct"/>
                  <w:noWrap w:val="0"/>
                  <w:vAlign w:val="center"/>
                </w:tcPr>
                <w:p w14:paraId="02C9843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eastAsia="宋体"/>
                      <w:vertAlign w:val="baseline"/>
                      <w:lang w:val="en-US" w:eastAsia="zh-CN"/>
                    </w:rPr>
                  </w:pPr>
                  <w:r>
                    <w:rPr>
                      <w:rFonts w:hint="eastAsia"/>
                      <w:vertAlign w:val="baseline"/>
                      <w:lang w:val="en-US" w:eastAsia="zh-CN"/>
                    </w:rPr>
                    <w:t>2.86</w:t>
                  </w:r>
                </w:p>
              </w:tc>
            </w:tr>
          </w:tbl>
          <w:p w14:paraId="16D71817">
            <w:pPr>
              <w:keepNext w:val="0"/>
              <w:keepLines w:val="0"/>
              <w:widowControl/>
              <w:numPr>
                <w:ilvl w:val="0"/>
                <w:numId w:val="0"/>
              </w:numPr>
              <w:suppressLineNumbers w:val="0"/>
              <w:spacing w:before="0" w:beforeAutospacing="0" w:after="0" w:afterAutospacing="0" w:line="360" w:lineRule="auto"/>
              <w:ind w:left="0" w:right="0" w:right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注：S为燃料中硫含量，取值100。</w:t>
            </w:r>
          </w:p>
          <w:p w14:paraId="4F82B00B">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rPr>
              <w:t>经计算，</w:t>
            </w:r>
            <w:r>
              <w:rPr>
                <w:rFonts w:hint="eastAsia" w:ascii="宋体" w:hAnsi="宋体" w:eastAsia="宋体" w:cs="宋体"/>
                <w:bCs/>
                <w:kern w:val="2"/>
                <w:sz w:val="24"/>
                <w:szCs w:val="24"/>
              </w:rPr>
              <w:t>本项目天然气燃烧各项污染物排放浓度、排放量分别为:</w:t>
            </w:r>
            <w:r>
              <w:rPr>
                <w:rFonts w:hint="default" w:ascii="Times New Roman" w:hAnsi="Times New Roman" w:eastAsia="宋体" w:cs="Times New Roman"/>
                <w:bCs/>
                <w:kern w:val="2"/>
                <w:sz w:val="24"/>
                <w:szCs w:val="24"/>
              </w:rPr>
              <w:t>SO</w:t>
            </w:r>
            <w:r>
              <w:rPr>
                <w:rFonts w:hint="default" w:ascii="Times New Roman" w:hAnsi="Times New Roman" w:eastAsia="宋体" w:cs="Times New Roman"/>
                <w:bCs/>
                <w:kern w:val="2"/>
                <w:sz w:val="24"/>
                <w:szCs w:val="24"/>
                <w:vertAlign w:val="subscript"/>
              </w:rPr>
              <w:t>2</w:t>
            </w:r>
            <w:r>
              <w:rPr>
                <w:rFonts w:hint="default" w:ascii="Times New Roman" w:hAnsi="Times New Roman" w:eastAsia="宋体" w:cs="Times New Roman"/>
                <w:bCs/>
                <w:kern w:val="2"/>
                <w:sz w:val="24"/>
                <w:szCs w:val="24"/>
              </w:rPr>
              <w:t>:</w:t>
            </w:r>
            <w:r>
              <w:rPr>
                <w:rFonts w:hint="eastAsia" w:ascii="Times New Roman" w:hAnsi="Times New Roman" w:eastAsia="宋体" w:cs="Times New Roman"/>
                <w:bCs/>
                <w:kern w:val="2"/>
                <w:sz w:val="24"/>
                <w:szCs w:val="24"/>
                <w:lang w:val="en-US" w:eastAsia="zh-CN"/>
              </w:rPr>
              <w:t>14.52</w:t>
            </w:r>
            <w:r>
              <w:rPr>
                <w:rFonts w:hint="default" w:ascii="Times New Roman" w:hAnsi="Times New Roman" w:eastAsia="宋体" w:cs="Times New Roman"/>
                <w:bCs/>
                <w:kern w:val="2"/>
                <w:sz w:val="24"/>
                <w:szCs w:val="24"/>
              </w:rPr>
              <w:t>mg/m</w:t>
            </w:r>
            <w:r>
              <w:rPr>
                <w:rFonts w:hint="default" w:ascii="Times New Roman" w:hAnsi="Times New Roman" w:eastAsia="宋体" w:cs="Times New Roman"/>
                <w:bCs/>
                <w:kern w:val="2"/>
                <w:sz w:val="24"/>
                <w:szCs w:val="24"/>
                <w:vertAlign w:val="superscript"/>
              </w:rPr>
              <w:t>3</w:t>
            </w:r>
            <w:r>
              <w:rPr>
                <w:rFonts w:hint="eastAsia" w:ascii="宋体" w:hAnsi="宋体" w:eastAsia="宋体" w:cs="宋体"/>
                <w:bCs/>
                <w:kern w:val="2"/>
                <w:sz w:val="24"/>
                <w:szCs w:val="24"/>
              </w:rPr>
              <w:t>、</w:t>
            </w:r>
            <w:r>
              <w:rPr>
                <w:rFonts w:hint="default" w:ascii="Times New Roman" w:hAnsi="Times New Roman" w:eastAsia="宋体" w:cs="Times New Roman"/>
                <w:bCs/>
                <w:kern w:val="2"/>
                <w:sz w:val="24"/>
                <w:szCs w:val="24"/>
              </w:rPr>
              <w:t>0.0</w:t>
            </w:r>
            <w:r>
              <w:rPr>
                <w:rFonts w:hint="eastAsia" w:ascii="Times New Roman" w:hAnsi="Times New Roman" w:eastAsia="宋体" w:cs="Times New Roman"/>
                <w:bCs/>
                <w:kern w:val="2"/>
                <w:sz w:val="24"/>
                <w:szCs w:val="24"/>
                <w:lang w:val="en-US" w:eastAsia="zh-CN"/>
              </w:rPr>
              <w:t>08</w:t>
            </w:r>
            <w:r>
              <w:rPr>
                <w:rFonts w:hint="default" w:ascii="Times New Roman" w:hAnsi="Times New Roman" w:eastAsia="宋体" w:cs="Times New Roman"/>
                <w:bCs/>
                <w:kern w:val="2"/>
                <w:sz w:val="24"/>
                <w:szCs w:val="24"/>
              </w:rPr>
              <w:t>t/a</w:t>
            </w:r>
            <w:r>
              <w:rPr>
                <w:rFonts w:hint="eastAsia" w:ascii="宋体" w:hAnsi="宋体" w:eastAsia="宋体" w:cs="宋体"/>
                <w:bCs/>
                <w:kern w:val="2"/>
                <w:sz w:val="24"/>
                <w:szCs w:val="24"/>
              </w:rPr>
              <w:t>；</w:t>
            </w:r>
            <w:r>
              <w:rPr>
                <w:rFonts w:hint="default" w:ascii="Times New Roman" w:hAnsi="Times New Roman" w:eastAsia="宋体" w:cs="Times New Roman"/>
                <w:bCs/>
                <w:kern w:val="2"/>
                <w:sz w:val="24"/>
                <w:szCs w:val="24"/>
              </w:rPr>
              <w:t>NOx:</w:t>
            </w:r>
            <w:r>
              <w:rPr>
                <w:rFonts w:hint="eastAsia" w:ascii="Times New Roman" w:hAnsi="Times New Roman" w:eastAsia="宋体" w:cs="Times New Roman"/>
                <w:bCs/>
                <w:kern w:val="2"/>
                <w:sz w:val="24"/>
                <w:szCs w:val="24"/>
                <w:lang w:val="en-US" w:eastAsia="zh-CN"/>
              </w:rPr>
              <w:t>137.98</w:t>
            </w:r>
            <w:r>
              <w:rPr>
                <w:rFonts w:hint="default" w:ascii="Times New Roman" w:hAnsi="Times New Roman" w:eastAsia="宋体" w:cs="Times New Roman"/>
                <w:bCs/>
                <w:kern w:val="2"/>
                <w:sz w:val="24"/>
                <w:szCs w:val="24"/>
              </w:rPr>
              <w:t>mg/m</w:t>
            </w:r>
            <w:r>
              <w:rPr>
                <w:rFonts w:hint="default" w:ascii="Times New Roman" w:hAnsi="Times New Roman" w:eastAsia="宋体" w:cs="Times New Roman"/>
                <w:bCs/>
                <w:kern w:val="2"/>
                <w:sz w:val="24"/>
                <w:szCs w:val="24"/>
                <w:vertAlign w:val="superscript"/>
              </w:rPr>
              <w:t>3</w:t>
            </w:r>
            <w:r>
              <w:rPr>
                <w:rFonts w:hint="eastAsia" w:ascii="宋体" w:hAnsi="宋体" w:eastAsia="宋体" w:cs="宋体"/>
                <w:bCs/>
                <w:kern w:val="2"/>
                <w:sz w:val="24"/>
                <w:szCs w:val="24"/>
              </w:rPr>
              <w:t>、</w:t>
            </w:r>
            <w:r>
              <w:rPr>
                <w:rFonts w:hint="default" w:ascii="Times New Roman" w:hAnsi="Times New Roman" w:eastAsia="宋体" w:cs="Times New Roman"/>
                <w:bCs/>
                <w:kern w:val="2"/>
                <w:sz w:val="24"/>
                <w:szCs w:val="24"/>
              </w:rPr>
              <w:t>0.0</w:t>
            </w:r>
            <w:r>
              <w:rPr>
                <w:rFonts w:hint="eastAsia" w:ascii="Times New Roman" w:hAnsi="Times New Roman" w:eastAsia="宋体" w:cs="Times New Roman"/>
                <w:bCs/>
                <w:kern w:val="2"/>
                <w:sz w:val="24"/>
                <w:szCs w:val="24"/>
                <w:lang w:val="en-US" w:eastAsia="zh-CN"/>
              </w:rPr>
              <w:t>76</w:t>
            </w:r>
            <w:r>
              <w:rPr>
                <w:rFonts w:hint="default" w:ascii="Times New Roman" w:hAnsi="Times New Roman" w:eastAsia="宋体" w:cs="Times New Roman"/>
                <w:bCs/>
                <w:kern w:val="2"/>
                <w:sz w:val="24"/>
                <w:szCs w:val="24"/>
              </w:rPr>
              <w:t>t/a</w:t>
            </w:r>
            <w:r>
              <w:rPr>
                <w:rFonts w:hint="eastAsia" w:ascii="宋体" w:hAnsi="宋体" w:eastAsia="宋体" w:cs="宋体"/>
                <w:bCs/>
                <w:kern w:val="2"/>
                <w:sz w:val="24"/>
                <w:szCs w:val="24"/>
              </w:rPr>
              <w:t>；颗粒物：</w:t>
            </w:r>
            <w:r>
              <w:rPr>
                <w:rFonts w:hint="eastAsia" w:ascii="Times New Roman" w:hAnsi="Times New Roman" w:eastAsia="宋体" w:cs="Times New Roman"/>
                <w:bCs/>
                <w:kern w:val="2"/>
                <w:sz w:val="24"/>
                <w:szCs w:val="24"/>
                <w:lang w:val="en-US" w:eastAsia="zh-CN"/>
              </w:rPr>
              <w:t>21.79</w:t>
            </w:r>
            <w:r>
              <w:rPr>
                <w:rFonts w:hint="default" w:ascii="Times New Roman" w:hAnsi="Times New Roman" w:eastAsia="宋体" w:cs="Times New Roman"/>
                <w:bCs/>
                <w:kern w:val="2"/>
                <w:sz w:val="24"/>
                <w:szCs w:val="24"/>
              </w:rPr>
              <w:t>mg/m</w:t>
            </w:r>
            <w:r>
              <w:rPr>
                <w:rFonts w:hint="default" w:ascii="Times New Roman" w:hAnsi="Times New Roman" w:eastAsia="宋体" w:cs="Times New Roman"/>
                <w:bCs/>
                <w:kern w:val="2"/>
                <w:sz w:val="24"/>
                <w:szCs w:val="24"/>
                <w:vertAlign w:val="superscript"/>
              </w:rPr>
              <w:t>3</w:t>
            </w:r>
            <w:r>
              <w:rPr>
                <w:rFonts w:hint="eastAsia" w:ascii="宋体" w:hAnsi="宋体" w:eastAsia="宋体" w:cs="宋体"/>
                <w:bCs/>
                <w:kern w:val="2"/>
                <w:sz w:val="24"/>
                <w:szCs w:val="24"/>
              </w:rPr>
              <w:t>，</w:t>
            </w:r>
            <w:r>
              <w:rPr>
                <w:rFonts w:hint="default" w:ascii="Times New Roman" w:hAnsi="Times New Roman" w:eastAsia="宋体" w:cs="Times New Roman"/>
                <w:bCs/>
                <w:kern w:val="2"/>
                <w:sz w:val="24"/>
                <w:szCs w:val="24"/>
              </w:rPr>
              <w:t>0.01</w:t>
            </w:r>
            <w:r>
              <w:rPr>
                <w:rFonts w:hint="eastAsia" w:ascii="Times New Roman" w:hAnsi="Times New Roman" w:eastAsia="宋体" w:cs="Times New Roman"/>
                <w:bCs/>
                <w:kern w:val="2"/>
                <w:sz w:val="24"/>
                <w:szCs w:val="24"/>
                <w:lang w:val="en-US" w:eastAsia="zh-CN"/>
              </w:rPr>
              <w:t>2</w:t>
            </w:r>
            <w:r>
              <w:rPr>
                <w:rFonts w:hint="default" w:ascii="Times New Roman" w:hAnsi="Times New Roman" w:eastAsia="宋体" w:cs="Times New Roman"/>
                <w:bCs/>
                <w:kern w:val="2"/>
                <w:sz w:val="24"/>
                <w:szCs w:val="24"/>
              </w:rPr>
              <w:t>t/a</w:t>
            </w:r>
            <w:r>
              <w:rPr>
                <w:rFonts w:hint="eastAsia" w:ascii="宋体" w:hAnsi="宋体" w:eastAsia="宋体" w:cs="宋体"/>
                <w:bCs/>
                <w:kern w:val="2"/>
                <w:sz w:val="24"/>
                <w:szCs w:val="24"/>
              </w:rPr>
              <w:t>。</w:t>
            </w:r>
          </w:p>
          <w:p w14:paraId="78916AE4">
            <w:pPr>
              <w:keepNext w:val="0"/>
              <w:keepLines w:val="0"/>
              <w:widowControl/>
              <w:numPr>
                <w:ilvl w:val="0"/>
                <w:numId w:val="0"/>
              </w:numPr>
              <w:suppressLineNumbers w:val="0"/>
              <w:spacing w:before="0" w:beforeAutospacing="0" w:after="0" w:afterAutospacing="0" w:line="360" w:lineRule="auto"/>
              <w:ind w:left="0" w:right="0" w:rightChars="0" w:firstLine="480" w:firstLineChars="200"/>
              <w:jc w:val="left"/>
              <w:rPr>
                <w:rFonts w:hint="eastAsia" w:ascii="宋体" w:hAnsi="宋体" w:cs="宋体"/>
                <w:bCs/>
                <w:sz w:val="24"/>
              </w:rPr>
            </w:pPr>
            <w:r>
              <w:rPr>
                <w:rFonts w:hint="eastAsia" w:cs="Times New Roman"/>
                <w:color w:val="auto"/>
                <w:sz w:val="24"/>
                <w:highlight w:val="none"/>
                <w:lang w:val="en-US" w:eastAsia="zh-CN"/>
              </w:rPr>
              <w:t>本项目废气具体排放情况见下表。</w:t>
            </w:r>
          </w:p>
        </w:tc>
      </w:tr>
    </w:tbl>
    <w:p w14:paraId="3DA84FD3">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854C45F">
      <w:pPr>
        <w:keepNext w:val="0"/>
        <w:keepLines w:val="0"/>
        <w:pageBreakBefore w:val="0"/>
        <w:widowControl w:val="0"/>
        <w:numPr>
          <w:ilvl w:val="0"/>
          <w:numId w:val="0"/>
        </w:numPr>
        <w:tabs>
          <w:tab w:val="left" w:pos="360"/>
        </w:tabs>
        <w:kinsoku/>
        <w:wordWrap/>
        <w:overflowPunct/>
        <w:topLinePunct w:val="0"/>
        <w:autoSpaceDE/>
        <w:autoSpaceDN/>
        <w:bidi w:val="0"/>
        <w:adjustRightInd/>
        <w:snapToGrid/>
        <w:spacing w:line="360" w:lineRule="auto"/>
        <w:ind w:leftChars="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w:t>
      </w:r>
      <w:r>
        <w:rPr>
          <w:rFonts w:hint="eastAsia" w:cs="Times New Roman"/>
          <w:b/>
          <w:color w:val="auto"/>
          <w:kern w:val="2"/>
          <w:sz w:val="24"/>
          <w:szCs w:val="24"/>
          <w:lang w:val="en-US" w:eastAsia="zh-CN" w:bidi="ar-SA"/>
        </w:rPr>
        <w:t>4</w:t>
      </w:r>
      <w:r>
        <w:rPr>
          <w:rFonts w:hint="eastAsia" w:ascii="Times New Roman" w:hAnsi="Times New Roman" w:eastAsia="宋体" w:cs="Times New Roman"/>
          <w:b/>
          <w:color w:val="auto"/>
          <w:kern w:val="2"/>
          <w:sz w:val="24"/>
          <w:szCs w:val="24"/>
          <w:lang w:val="en-US" w:eastAsia="zh-CN" w:bidi="ar-SA"/>
        </w:rPr>
        <w:t xml:space="preserve"> </w:t>
      </w:r>
      <w:r>
        <w:rPr>
          <w:rFonts w:hint="default" w:ascii="Times New Roman" w:hAnsi="Times New Roman" w:eastAsia="宋体" w:cs="Times New Roman"/>
          <w:b/>
          <w:color w:val="auto"/>
          <w:kern w:val="2"/>
          <w:sz w:val="24"/>
          <w:szCs w:val="24"/>
          <w:lang w:val="en-US" w:eastAsia="zh-CN" w:bidi="ar-SA"/>
        </w:rPr>
        <w:t xml:space="preserve"> 项目有组织废气产生排放情况一览表</w:t>
      </w:r>
    </w:p>
    <w:tbl>
      <w:tblPr>
        <w:tblStyle w:val="21"/>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1"/>
        <w:gridCol w:w="965"/>
        <w:gridCol w:w="906"/>
        <w:gridCol w:w="871"/>
        <w:gridCol w:w="1035"/>
        <w:gridCol w:w="1240"/>
        <w:gridCol w:w="2266"/>
        <w:gridCol w:w="764"/>
        <w:gridCol w:w="678"/>
        <w:gridCol w:w="923"/>
        <w:gridCol w:w="1021"/>
        <w:gridCol w:w="1015"/>
        <w:gridCol w:w="1127"/>
      </w:tblGrid>
      <w:tr w14:paraId="337D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9" w:type="pct"/>
            <w:vMerge w:val="restart"/>
            <w:noWrap w:val="0"/>
            <w:vAlign w:val="center"/>
          </w:tcPr>
          <w:p w14:paraId="334AF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排气筒编号</w:t>
            </w:r>
          </w:p>
        </w:tc>
        <w:tc>
          <w:tcPr>
            <w:tcW w:w="264" w:type="pct"/>
            <w:vMerge w:val="restart"/>
            <w:noWrap w:val="0"/>
            <w:vAlign w:val="center"/>
          </w:tcPr>
          <w:p w14:paraId="0F861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w:t>
            </w:r>
          </w:p>
        </w:tc>
        <w:tc>
          <w:tcPr>
            <w:tcW w:w="334" w:type="pct"/>
            <w:vMerge w:val="restart"/>
            <w:noWrap w:val="0"/>
            <w:vAlign w:val="center"/>
          </w:tcPr>
          <w:p w14:paraId="0A0AF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污染物</w:t>
            </w:r>
          </w:p>
        </w:tc>
        <w:tc>
          <w:tcPr>
            <w:tcW w:w="314" w:type="pct"/>
            <w:vMerge w:val="restart"/>
            <w:noWrap w:val="0"/>
            <w:vAlign w:val="center"/>
          </w:tcPr>
          <w:p w14:paraId="44EA6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风量（</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i w:val="0"/>
                <w:color w:val="auto"/>
                <w:kern w:val="0"/>
                <w:sz w:val="21"/>
                <w:szCs w:val="21"/>
                <w:u w:val="none"/>
                <w:lang w:val="en-US" w:eastAsia="zh-CN" w:bidi="ar"/>
              </w:rPr>
              <w:t>）</w:t>
            </w:r>
          </w:p>
        </w:tc>
        <w:tc>
          <w:tcPr>
            <w:tcW w:w="1091" w:type="pct"/>
            <w:gridSpan w:val="3"/>
            <w:noWrap w:val="0"/>
            <w:vAlign w:val="center"/>
          </w:tcPr>
          <w:p w14:paraId="3912F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收集情况</w:t>
            </w:r>
          </w:p>
        </w:tc>
        <w:tc>
          <w:tcPr>
            <w:tcW w:w="1607" w:type="pct"/>
            <w:gridSpan w:val="4"/>
            <w:noWrap w:val="0"/>
            <w:vAlign w:val="center"/>
          </w:tcPr>
          <w:p w14:paraId="2F534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治理措施</w:t>
            </w:r>
          </w:p>
        </w:tc>
        <w:tc>
          <w:tcPr>
            <w:tcW w:w="1097" w:type="pct"/>
            <w:gridSpan w:val="3"/>
            <w:noWrap w:val="0"/>
            <w:vAlign w:val="center"/>
          </w:tcPr>
          <w:p w14:paraId="4A1F9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排放情况</w:t>
            </w:r>
          </w:p>
        </w:tc>
      </w:tr>
      <w:tr w14:paraId="36DD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89" w:type="pct"/>
            <w:vMerge w:val="continue"/>
            <w:noWrap w:val="0"/>
            <w:vAlign w:val="center"/>
          </w:tcPr>
          <w:p w14:paraId="1FEC9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264" w:type="pct"/>
            <w:vMerge w:val="continue"/>
            <w:noWrap w:val="0"/>
            <w:vAlign w:val="center"/>
          </w:tcPr>
          <w:p w14:paraId="7D2D3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334" w:type="pct"/>
            <w:vMerge w:val="continue"/>
            <w:noWrap w:val="0"/>
            <w:vAlign w:val="center"/>
          </w:tcPr>
          <w:p w14:paraId="473A3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314" w:type="pct"/>
            <w:vMerge w:val="continue"/>
            <w:noWrap w:val="0"/>
            <w:vAlign w:val="center"/>
          </w:tcPr>
          <w:p w14:paraId="1FDE9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302" w:type="pct"/>
            <w:noWrap w:val="0"/>
            <w:vAlign w:val="center"/>
          </w:tcPr>
          <w:p w14:paraId="48ED1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收集量（t/a）</w:t>
            </w:r>
          </w:p>
        </w:tc>
        <w:tc>
          <w:tcPr>
            <w:tcW w:w="359" w:type="pct"/>
            <w:noWrap w:val="0"/>
            <w:vAlign w:val="center"/>
          </w:tcPr>
          <w:p w14:paraId="7A40C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速率（</w:t>
            </w:r>
            <w:r>
              <w:rPr>
                <w:rFonts w:hint="eastAsia" w:cs="Times New Roman"/>
                <w:b/>
                <w:bCs/>
                <w:i w:val="0"/>
                <w:color w:val="auto"/>
                <w:kern w:val="0"/>
                <w:sz w:val="21"/>
                <w:szCs w:val="21"/>
                <w:u w:val="none"/>
                <w:lang w:val="en-US" w:eastAsia="zh-CN" w:bidi="ar"/>
              </w:rPr>
              <w:t>kg</w:t>
            </w:r>
            <w:r>
              <w:rPr>
                <w:rFonts w:hint="default" w:ascii="Times New Roman" w:hAnsi="Times New Roman" w:eastAsia="宋体" w:cs="Times New Roman"/>
                <w:b/>
                <w:bCs/>
                <w:i w:val="0"/>
                <w:color w:val="auto"/>
                <w:kern w:val="0"/>
                <w:sz w:val="21"/>
                <w:szCs w:val="21"/>
                <w:u w:val="none"/>
                <w:lang w:val="en-US" w:eastAsia="zh-CN" w:bidi="ar"/>
              </w:rPr>
              <w:t>/h）</w:t>
            </w:r>
          </w:p>
        </w:tc>
        <w:tc>
          <w:tcPr>
            <w:tcW w:w="430" w:type="pct"/>
            <w:noWrap w:val="0"/>
            <w:vAlign w:val="center"/>
          </w:tcPr>
          <w:p w14:paraId="7011F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浓度（mg/m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w:t>
            </w:r>
          </w:p>
        </w:tc>
        <w:tc>
          <w:tcPr>
            <w:tcW w:w="786" w:type="pct"/>
            <w:noWrap w:val="0"/>
            <w:vAlign w:val="center"/>
          </w:tcPr>
          <w:p w14:paraId="55656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污染治理设施工艺</w:t>
            </w:r>
          </w:p>
        </w:tc>
        <w:tc>
          <w:tcPr>
            <w:tcW w:w="265" w:type="pct"/>
            <w:noWrap w:val="0"/>
            <w:vAlign w:val="center"/>
          </w:tcPr>
          <w:p w14:paraId="21188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收集效率</w:t>
            </w:r>
          </w:p>
        </w:tc>
        <w:tc>
          <w:tcPr>
            <w:tcW w:w="235" w:type="pct"/>
            <w:noWrap w:val="0"/>
            <w:vAlign w:val="center"/>
          </w:tcPr>
          <w:p w14:paraId="63C53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去除率</w:t>
            </w:r>
          </w:p>
        </w:tc>
        <w:tc>
          <w:tcPr>
            <w:tcW w:w="320" w:type="pct"/>
            <w:noWrap w:val="0"/>
            <w:vAlign w:val="center"/>
          </w:tcPr>
          <w:p w14:paraId="33D4A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是否为可行技术</w:t>
            </w:r>
          </w:p>
        </w:tc>
        <w:tc>
          <w:tcPr>
            <w:tcW w:w="354" w:type="pct"/>
            <w:noWrap w:val="0"/>
            <w:vAlign w:val="center"/>
          </w:tcPr>
          <w:p w14:paraId="3A3EF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排放量（t/a）</w:t>
            </w:r>
          </w:p>
        </w:tc>
        <w:tc>
          <w:tcPr>
            <w:tcW w:w="352" w:type="pct"/>
            <w:noWrap w:val="0"/>
            <w:vAlign w:val="center"/>
          </w:tcPr>
          <w:p w14:paraId="4858D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速率（</w:t>
            </w:r>
            <w:r>
              <w:rPr>
                <w:rFonts w:hint="eastAsia" w:cs="Times New Roman"/>
                <w:b/>
                <w:bCs/>
                <w:i w:val="0"/>
                <w:color w:val="auto"/>
                <w:kern w:val="0"/>
                <w:sz w:val="21"/>
                <w:szCs w:val="21"/>
                <w:u w:val="none"/>
                <w:lang w:val="en-US" w:eastAsia="zh-CN" w:bidi="ar"/>
              </w:rPr>
              <w:t>kg</w:t>
            </w:r>
            <w:r>
              <w:rPr>
                <w:rFonts w:hint="default" w:ascii="Times New Roman" w:hAnsi="Times New Roman" w:eastAsia="宋体" w:cs="Times New Roman"/>
                <w:b/>
                <w:bCs/>
                <w:i w:val="0"/>
                <w:color w:val="auto"/>
                <w:kern w:val="0"/>
                <w:sz w:val="21"/>
                <w:szCs w:val="21"/>
                <w:u w:val="none"/>
                <w:lang w:val="en-US" w:eastAsia="zh-CN" w:bidi="ar"/>
              </w:rPr>
              <w:t>/h）</w:t>
            </w:r>
          </w:p>
        </w:tc>
        <w:tc>
          <w:tcPr>
            <w:tcW w:w="391" w:type="pct"/>
            <w:noWrap w:val="0"/>
            <w:vAlign w:val="center"/>
          </w:tcPr>
          <w:p w14:paraId="63F96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浓度（mg/m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w:t>
            </w:r>
          </w:p>
        </w:tc>
      </w:tr>
      <w:tr w14:paraId="4244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89" w:type="pct"/>
            <w:vMerge w:val="restart"/>
            <w:noWrap w:val="0"/>
            <w:vAlign w:val="center"/>
          </w:tcPr>
          <w:p w14:paraId="21EB3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DA001</w:t>
            </w:r>
          </w:p>
        </w:tc>
        <w:tc>
          <w:tcPr>
            <w:tcW w:w="264" w:type="pct"/>
            <w:vMerge w:val="restart"/>
            <w:noWrap w:val="0"/>
            <w:vAlign w:val="center"/>
          </w:tcPr>
          <w:p w14:paraId="35AAB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r>
              <w:rPr>
                <w:rFonts w:hint="eastAsia" w:cs="Times New Roman"/>
                <w:bCs/>
                <w:color w:val="auto"/>
                <w:sz w:val="21"/>
                <w:szCs w:val="21"/>
                <w:lang w:val="en-US" w:eastAsia="zh-CN"/>
              </w:rPr>
              <w:t>、</w:t>
            </w:r>
          </w:p>
          <w:p w14:paraId="38072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Cs/>
                <w:color w:val="auto"/>
                <w:sz w:val="21"/>
                <w:szCs w:val="21"/>
                <w:lang w:val="en-US" w:eastAsia="zh-CN"/>
              </w:rPr>
              <w:t>沉积废气、碳化废气和真空泵油雾废气</w:t>
            </w:r>
          </w:p>
        </w:tc>
        <w:tc>
          <w:tcPr>
            <w:tcW w:w="334" w:type="pct"/>
            <w:noWrap w:val="0"/>
            <w:vAlign w:val="center"/>
          </w:tcPr>
          <w:p w14:paraId="7049A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rPr>
              <w:t>非甲烷总烃</w:t>
            </w:r>
          </w:p>
        </w:tc>
        <w:tc>
          <w:tcPr>
            <w:tcW w:w="314" w:type="pct"/>
            <w:noWrap w:val="0"/>
            <w:vAlign w:val="center"/>
          </w:tcPr>
          <w:p w14:paraId="4904F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 w:val="0"/>
                <w:bCs w:val="0"/>
                <w:color w:val="auto"/>
                <w:sz w:val="21"/>
                <w:szCs w:val="21"/>
                <w:highlight w:val="none"/>
                <w:lang w:val="en-US" w:eastAsia="zh-CN" w:bidi="ar-SA"/>
              </w:rPr>
              <w:t>5</w:t>
            </w:r>
            <w:r>
              <w:rPr>
                <w:rFonts w:hint="eastAsia" w:ascii="Times New Roman" w:hAnsi="Times New Roman" w:eastAsia="宋体" w:cs="Times New Roman"/>
                <w:b w:val="0"/>
                <w:bCs w:val="0"/>
                <w:color w:val="auto"/>
                <w:sz w:val="21"/>
                <w:szCs w:val="21"/>
                <w:highlight w:val="none"/>
                <w:lang w:val="en-US" w:eastAsia="zh-CN" w:bidi="ar-SA"/>
              </w:rPr>
              <w:t>000</w:t>
            </w:r>
          </w:p>
        </w:tc>
        <w:tc>
          <w:tcPr>
            <w:tcW w:w="302" w:type="pct"/>
            <w:noWrap w:val="0"/>
            <w:vAlign w:val="center"/>
          </w:tcPr>
          <w:p w14:paraId="64CEB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1.28</w:t>
            </w:r>
          </w:p>
        </w:tc>
        <w:tc>
          <w:tcPr>
            <w:tcW w:w="359" w:type="pct"/>
            <w:noWrap w:val="0"/>
            <w:vAlign w:val="center"/>
          </w:tcPr>
          <w:p w14:paraId="3A744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0.178</w:t>
            </w:r>
          </w:p>
        </w:tc>
        <w:tc>
          <w:tcPr>
            <w:tcW w:w="430" w:type="pct"/>
            <w:noWrap w:val="0"/>
            <w:vAlign w:val="center"/>
          </w:tcPr>
          <w:p w14:paraId="41618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35.56</w:t>
            </w:r>
          </w:p>
        </w:tc>
        <w:tc>
          <w:tcPr>
            <w:tcW w:w="786" w:type="pct"/>
            <w:vMerge w:val="restart"/>
            <w:noWrap w:val="0"/>
            <w:vAlign w:val="center"/>
          </w:tcPr>
          <w:p w14:paraId="297B0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TO燃烧器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5</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265" w:type="pct"/>
            <w:noWrap w:val="0"/>
            <w:vAlign w:val="center"/>
          </w:tcPr>
          <w:p w14:paraId="1C8D5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p>
        </w:tc>
        <w:tc>
          <w:tcPr>
            <w:tcW w:w="235" w:type="pct"/>
            <w:noWrap w:val="0"/>
            <w:vAlign w:val="center"/>
          </w:tcPr>
          <w:p w14:paraId="53296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w:t>
            </w:r>
          </w:p>
        </w:tc>
        <w:tc>
          <w:tcPr>
            <w:tcW w:w="320" w:type="pct"/>
            <w:noWrap w:val="0"/>
            <w:vAlign w:val="center"/>
          </w:tcPr>
          <w:p w14:paraId="13CAA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是</w:t>
            </w:r>
          </w:p>
        </w:tc>
        <w:tc>
          <w:tcPr>
            <w:tcW w:w="354" w:type="pct"/>
            <w:noWrap w:val="0"/>
            <w:vAlign w:val="center"/>
          </w:tcPr>
          <w:p w14:paraId="3A347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0.064</w:t>
            </w:r>
          </w:p>
        </w:tc>
        <w:tc>
          <w:tcPr>
            <w:tcW w:w="352" w:type="pct"/>
            <w:noWrap w:val="0"/>
            <w:vAlign w:val="center"/>
          </w:tcPr>
          <w:p w14:paraId="5935C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0.009</w:t>
            </w:r>
          </w:p>
        </w:tc>
        <w:tc>
          <w:tcPr>
            <w:tcW w:w="391" w:type="pct"/>
            <w:noWrap w:val="0"/>
            <w:vAlign w:val="center"/>
          </w:tcPr>
          <w:p w14:paraId="74107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1.78</w:t>
            </w:r>
          </w:p>
        </w:tc>
      </w:tr>
      <w:tr w14:paraId="512E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89" w:type="pct"/>
            <w:vMerge w:val="continue"/>
            <w:noWrap w:val="0"/>
            <w:vAlign w:val="center"/>
          </w:tcPr>
          <w:p w14:paraId="028A2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264" w:type="pct"/>
            <w:vMerge w:val="continue"/>
            <w:noWrap w:val="0"/>
            <w:vAlign w:val="center"/>
          </w:tcPr>
          <w:p w14:paraId="72386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334" w:type="pct"/>
            <w:noWrap w:val="0"/>
            <w:vAlign w:val="center"/>
          </w:tcPr>
          <w:p w14:paraId="6E154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14" w:type="pct"/>
            <w:noWrap w:val="0"/>
            <w:vAlign w:val="center"/>
          </w:tcPr>
          <w:p w14:paraId="33A5A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bidi="ar-SA"/>
              </w:rPr>
              <w:t>-</w:t>
            </w:r>
          </w:p>
        </w:tc>
        <w:tc>
          <w:tcPr>
            <w:tcW w:w="302" w:type="pct"/>
            <w:noWrap w:val="0"/>
            <w:vAlign w:val="center"/>
          </w:tcPr>
          <w:p w14:paraId="3DB30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9" w:type="pct"/>
            <w:noWrap w:val="0"/>
            <w:vAlign w:val="center"/>
          </w:tcPr>
          <w:p w14:paraId="12B8D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430" w:type="pct"/>
            <w:noWrap w:val="0"/>
            <w:vAlign w:val="center"/>
          </w:tcPr>
          <w:p w14:paraId="70262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786" w:type="pct"/>
            <w:vMerge w:val="continue"/>
            <w:noWrap w:val="0"/>
            <w:vAlign w:val="center"/>
          </w:tcPr>
          <w:p w14:paraId="3D777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265" w:type="pct"/>
            <w:noWrap w:val="0"/>
            <w:vAlign w:val="center"/>
          </w:tcPr>
          <w:p w14:paraId="3B4AE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235" w:type="pct"/>
            <w:noWrap w:val="0"/>
            <w:vAlign w:val="center"/>
          </w:tcPr>
          <w:p w14:paraId="22354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20" w:type="pct"/>
            <w:noWrap w:val="0"/>
            <w:vAlign w:val="center"/>
          </w:tcPr>
          <w:p w14:paraId="14B2F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4" w:type="pct"/>
            <w:noWrap w:val="0"/>
            <w:vAlign w:val="center"/>
          </w:tcPr>
          <w:p w14:paraId="5E3F6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0.012</w:t>
            </w:r>
          </w:p>
        </w:tc>
        <w:tc>
          <w:tcPr>
            <w:tcW w:w="352" w:type="pct"/>
            <w:noWrap w:val="0"/>
            <w:vAlign w:val="center"/>
          </w:tcPr>
          <w:p w14:paraId="0A315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0.109</w:t>
            </w:r>
          </w:p>
        </w:tc>
        <w:tc>
          <w:tcPr>
            <w:tcW w:w="391" w:type="pct"/>
            <w:noWrap w:val="0"/>
            <w:vAlign w:val="center"/>
          </w:tcPr>
          <w:p w14:paraId="09972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21.79</w:t>
            </w:r>
          </w:p>
        </w:tc>
      </w:tr>
      <w:tr w14:paraId="261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89" w:type="pct"/>
            <w:vMerge w:val="continue"/>
            <w:noWrap w:val="0"/>
            <w:vAlign w:val="center"/>
          </w:tcPr>
          <w:p w14:paraId="17A2D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264" w:type="pct"/>
            <w:vMerge w:val="continue"/>
            <w:noWrap w:val="0"/>
            <w:vAlign w:val="center"/>
          </w:tcPr>
          <w:p w14:paraId="4B0B5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334" w:type="pct"/>
            <w:noWrap w:val="0"/>
            <w:vAlign w:val="center"/>
          </w:tcPr>
          <w:p w14:paraId="754BED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vertAlign w:val="baseline"/>
                <w:lang w:val="en-US" w:eastAsia="zh-CN"/>
              </w:rPr>
              <w:t>SO</w:t>
            </w:r>
            <w:r>
              <w:rPr>
                <w:rFonts w:hint="eastAsia"/>
                <w:vertAlign w:val="subscript"/>
                <w:lang w:val="en-US" w:eastAsia="zh-CN"/>
              </w:rPr>
              <w:t>2</w:t>
            </w:r>
          </w:p>
        </w:tc>
        <w:tc>
          <w:tcPr>
            <w:tcW w:w="314" w:type="pct"/>
            <w:noWrap w:val="0"/>
            <w:vAlign w:val="center"/>
          </w:tcPr>
          <w:p w14:paraId="39253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02" w:type="pct"/>
            <w:noWrap w:val="0"/>
            <w:vAlign w:val="center"/>
          </w:tcPr>
          <w:p w14:paraId="4B02E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9" w:type="pct"/>
            <w:noWrap w:val="0"/>
            <w:vAlign w:val="center"/>
          </w:tcPr>
          <w:p w14:paraId="29524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430" w:type="pct"/>
            <w:noWrap w:val="0"/>
            <w:vAlign w:val="center"/>
          </w:tcPr>
          <w:p w14:paraId="03703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786" w:type="pct"/>
            <w:vMerge w:val="continue"/>
            <w:noWrap w:val="0"/>
            <w:vAlign w:val="center"/>
          </w:tcPr>
          <w:p w14:paraId="48524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265" w:type="pct"/>
            <w:noWrap w:val="0"/>
            <w:vAlign w:val="center"/>
          </w:tcPr>
          <w:p w14:paraId="37C26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235" w:type="pct"/>
            <w:noWrap w:val="0"/>
            <w:vAlign w:val="center"/>
          </w:tcPr>
          <w:p w14:paraId="394D9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20" w:type="pct"/>
            <w:noWrap w:val="0"/>
            <w:vAlign w:val="center"/>
          </w:tcPr>
          <w:p w14:paraId="203EB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4" w:type="pct"/>
            <w:noWrap w:val="0"/>
            <w:vAlign w:val="center"/>
          </w:tcPr>
          <w:p w14:paraId="21E41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0.008</w:t>
            </w:r>
          </w:p>
        </w:tc>
        <w:tc>
          <w:tcPr>
            <w:tcW w:w="352" w:type="pct"/>
            <w:noWrap w:val="0"/>
            <w:vAlign w:val="center"/>
          </w:tcPr>
          <w:p w14:paraId="19E9B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0.0726</w:t>
            </w:r>
          </w:p>
        </w:tc>
        <w:tc>
          <w:tcPr>
            <w:tcW w:w="391" w:type="pct"/>
            <w:noWrap w:val="0"/>
            <w:vAlign w:val="center"/>
          </w:tcPr>
          <w:p w14:paraId="195DB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14.52</w:t>
            </w:r>
          </w:p>
        </w:tc>
      </w:tr>
      <w:tr w14:paraId="55AF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89" w:type="pct"/>
            <w:vMerge w:val="continue"/>
            <w:noWrap w:val="0"/>
            <w:vAlign w:val="center"/>
          </w:tcPr>
          <w:p w14:paraId="11A7C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264" w:type="pct"/>
            <w:vMerge w:val="continue"/>
            <w:noWrap w:val="0"/>
            <w:vAlign w:val="center"/>
          </w:tcPr>
          <w:p w14:paraId="57337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334" w:type="pct"/>
            <w:noWrap w:val="0"/>
            <w:vAlign w:val="center"/>
          </w:tcPr>
          <w:p w14:paraId="46E0BF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vertAlign w:val="baseline"/>
                <w:lang w:val="en-US" w:eastAsia="zh-CN"/>
              </w:rPr>
              <w:t>NOx</w:t>
            </w:r>
          </w:p>
        </w:tc>
        <w:tc>
          <w:tcPr>
            <w:tcW w:w="314" w:type="pct"/>
            <w:noWrap w:val="0"/>
            <w:vAlign w:val="center"/>
          </w:tcPr>
          <w:p w14:paraId="20C52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02" w:type="pct"/>
            <w:noWrap w:val="0"/>
            <w:vAlign w:val="center"/>
          </w:tcPr>
          <w:p w14:paraId="6B368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9" w:type="pct"/>
            <w:noWrap w:val="0"/>
            <w:vAlign w:val="center"/>
          </w:tcPr>
          <w:p w14:paraId="6767B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430" w:type="pct"/>
            <w:noWrap w:val="0"/>
            <w:vAlign w:val="center"/>
          </w:tcPr>
          <w:p w14:paraId="6B751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786" w:type="pct"/>
            <w:vMerge w:val="continue"/>
            <w:noWrap w:val="0"/>
            <w:vAlign w:val="center"/>
          </w:tcPr>
          <w:p w14:paraId="51F88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p>
        </w:tc>
        <w:tc>
          <w:tcPr>
            <w:tcW w:w="265" w:type="pct"/>
            <w:noWrap w:val="0"/>
            <w:vAlign w:val="center"/>
          </w:tcPr>
          <w:p w14:paraId="0B255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235" w:type="pct"/>
            <w:noWrap w:val="0"/>
            <w:vAlign w:val="center"/>
          </w:tcPr>
          <w:p w14:paraId="23161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20" w:type="pct"/>
            <w:noWrap w:val="0"/>
            <w:vAlign w:val="center"/>
          </w:tcPr>
          <w:p w14:paraId="23343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bidi="ar-SA"/>
              </w:rPr>
              <w:t>-</w:t>
            </w:r>
          </w:p>
        </w:tc>
        <w:tc>
          <w:tcPr>
            <w:tcW w:w="354" w:type="pct"/>
            <w:noWrap w:val="0"/>
            <w:vAlign w:val="center"/>
          </w:tcPr>
          <w:p w14:paraId="7CC9D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0.076</w:t>
            </w:r>
          </w:p>
        </w:tc>
        <w:tc>
          <w:tcPr>
            <w:tcW w:w="352" w:type="pct"/>
            <w:noWrap w:val="0"/>
            <w:vAlign w:val="center"/>
          </w:tcPr>
          <w:p w14:paraId="7D2F1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0.690</w:t>
            </w:r>
          </w:p>
        </w:tc>
        <w:tc>
          <w:tcPr>
            <w:tcW w:w="391" w:type="pct"/>
            <w:noWrap w:val="0"/>
            <w:vAlign w:val="center"/>
          </w:tcPr>
          <w:p w14:paraId="1FAAE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137.98</w:t>
            </w:r>
          </w:p>
        </w:tc>
      </w:tr>
      <w:tr w14:paraId="64E3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89" w:type="pct"/>
            <w:noWrap w:val="0"/>
            <w:vAlign w:val="center"/>
          </w:tcPr>
          <w:p w14:paraId="31F33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DA002</w:t>
            </w:r>
          </w:p>
        </w:tc>
        <w:tc>
          <w:tcPr>
            <w:tcW w:w="264" w:type="pct"/>
            <w:noWrap w:val="0"/>
            <w:vAlign w:val="center"/>
          </w:tcPr>
          <w:p w14:paraId="400CE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Cs/>
                <w:color w:val="auto"/>
                <w:sz w:val="21"/>
                <w:szCs w:val="21"/>
                <w:lang w:val="en-US" w:eastAsia="zh-CN"/>
              </w:rPr>
              <w:t>混料粉尘和加工废气</w:t>
            </w:r>
          </w:p>
        </w:tc>
        <w:tc>
          <w:tcPr>
            <w:tcW w:w="334" w:type="pct"/>
            <w:noWrap w:val="0"/>
            <w:vAlign w:val="center"/>
          </w:tcPr>
          <w:p w14:paraId="532D4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bidi="ar"/>
              </w:rPr>
              <w:t>颗粒物</w:t>
            </w:r>
          </w:p>
        </w:tc>
        <w:tc>
          <w:tcPr>
            <w:tcW w:w="314" w:type="pct"/>
            <w:noWrap w:val="0"/>
            <w:vAlign w:val="center"/>
          </w:tcPr>
          <w:p w14:paraId="0579C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 w:val="0"/>
                <w:bCs w:val="0"/>
                <w:color w:val="auto"/>
                <w:sz w:val="21"/>
                <w:szCs w:val="21"/>
                <w:highlight w:val="none"/>
                <w:lang w:val="en-US" w:eastAsia="zh-CN" w:bidi="ar-SA"/>
              </w:rPr>
              <w:t>60</w:t>
            </w:r>
            <w:r>
              <w:rPr>
                <w:rFonts w:hint="eastAsia" w:ascii="Times New Roman" w:hAnsi="Times New Roman" w:eastAsia="宋体" w:cs="Times New Roman"/>
                <w:b w:val="0"/>
                <w:bCs w:val="0"/>
                <w:color w:val="auto"/>
                <w:sz w:val="21"/>
                <w:szCs w:val="21"/>
                <w:highlight w:val="none"/>
                <w:lang w:val="en-US" w:eastAsia="zh-CN" w:bidi="ar-SA"/>
              </w:rPr>
              <w:t>00</w:t>
            </w:r>
          </w:p>
        </w:tc>
        <w:tc>
          <w:tcPr>
            <w:tcW w:w="302" w:type="pct"/>
            <w:noWrap w:val="0"/>
            <w:vAlign w:val="center"/>
          </w:tcPr>
          <w:p w14:paraId="612AB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0.522</w:t>
            </w:r>
          </w:p>
        </w:tc>
        <w:tc>
          <w:tcPr>
            <w:tcW w:w="359" w:type="pct"/>
            <w:noWrap w:val="0"/>
            <w:vAlign w:val="center"/>
          </w:tcPr>
          <w:p w14:paraId="7C8A2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0.109</w:t>
            </w:r>
          </w:p>
        </w:tc>
        <w:tc>
          <w:tcPr>
            <w:tcW w:w="430" w:type="pct"/>
            <w:noWrap w:val="0"/>
            <w:vAlign w:val="center"/>
          </w:tcPr>
          <w:p w14:paraId="70211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18.13</w:t>
            </w:r>
          </w:p>
        </w:tc>
        <w:tc>
          <w:tcPr>
            <w:tcW w:w="786" w:type="pct"/>
            <w:noWrap w:val="0"/>
            <w:vAlign w:val="center"/>
          </w:tcPr>
          <w:p w14:paraId="3CBD6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收集+</w:t>
            </w:r>
            <w:r>
              <w:rPr>
                <w:rFonts w:hint="eastAsia" w:cs="Times New Roman"/>
                <w:b w:val="0"/>
                <w:bCs w:val="0"/>
                <w:color w:val="auto"/>
                <w:sz w:val="21"/>
                <w:szCs w:val="21"/>
                <w:lang w:val="en-US" w:eastAsia="zh-CN" w:bidi="ar"/>
              </w:rPr>
              <w:t>布袋除尘器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9</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265" w:type="pct"/>
            <w:noWrap w:val="0"/>
            <w:vAlign w:val="center"/>
          </w:tcPr>
          <w:p w14:paraId="0838E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r>
              <w:rPr>
                <w:rFonts w:hint="default" w:ascii="Times New Roman" w:hAnsi="Times New Roman" w:eastAsia="宋体" w:cs="Times New Roman"/>
                <w:color w:val="auto"/>
                <w:sz w:val="21"/>
                <w:szCs w:val="21"/>
                <w:lang w:val="en-US" w:eastAsia="zh-CN"/>
              </w:rPr>
              <w:t>%</w:t>
            </w:r>
          </w:p>
        </w:tc>
        <w:tc>
          <w:tcPr>
            <w:tcW w:w="235" w:type="pct"/>
            <w:noWrap w:val="0"/>
            <w:vAlign w:val="center"/>
          </w:tcPr>
          <w:p w14:paraId="007D3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w:t>
            </w:r>
          </w:p>
        </w:tc>
        <w:tc>
          <w:tcPr>
            <w:tcW w:w="320" w:type="pct"/>
            <w:noWrap w:val="0"/>
            <w:vAlign w:val="center"/>
          </w:tcPr>
          <w:p w14:paraId="5DFEB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是</w:t>
            </w:r>
          </w:p>
        </w:tc>
        <w:tc>
          <w:tcPr>
            <w:tcW w:w="354" w:type="pct"/>
            <w:noWrap w:val="0"/>
            <w:vAlign w:val="center"/>
          </w:tcPr>
          <w:p w14:paraId="4A765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0.017</w:t>
            </w:r>
          </w:p>
        </w:tc>
        <w:tc>
          <w:tcPr>
            <w:tcW w:w="352" w:type="pct"/>
            <w:noWrap w:val="0"/>
            <w:vAlign w:val="center"/>
          </w:tcPr>
          <w:p w14:paraId="10D8A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0.002</w:t>
            </w:r>
          </w:p>
        </w:tc>
        <w:tc>
          <w:tcPr>
            <w:tcW w:w="391" w:type="pct"/>
            <w:noWrap w:val="0"/>
            <w:vAlign w:val="center"/>
          </w:tcPr>
          <w:p w14:paraId="7EADD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0.54</w:t>
            </w:r>
          </w:p>
        </w:tc>
      </w:tr>
      <w:tr w14:paraId="63EC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89" w:type="pct"/>
            <w:vMerge w:val="restart"/>
            <w:noWrap w:val="0"/>
            <w:vAlign w:val="center"/>
          </w:tcPr>
          <w:p w14:paraId="6F33C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c>
          <w:tcPr>
            <w:tcW w:w="264" w:type="pct"/>
            <w:vMerge w:val="restart"/>
            <w:noWrap w:val="0"/>
            <w:vAlign w:val="center"/>
          </w:tcPr>
          <w:p w14:paraId="009C1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c>
          <w:tcPr>
            <w:tcW w:w="334" w:type="pct"/>
            <w:noWrap w:val="0"/>
            <w:vAlign w:val="center"/>
          </w:tcPr>
          <w:p w14:paraId="588FD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颗粒物</w:t>
            </w:r>
            <w:r>
              <w:rPr>
                <w:rFonts w:hint="eastAsia" w:cs="Times New Roman"/>
                <w:color w:val="auto"/>
                <w:kern w:val="2"/>
                <w:sz w:val="21"/>
                <w:szCs w:val="21"/>
                <w:lang w:val="en-US" w:eastAsia="zh-CN" w:bidi="ar-SA"/>
              </w:rPr>
              <w:t>0.522（t/a）</w:t>
            </w:r>
          </w:p>
        </w:tc>
        <w:tc>
          <w:tcPr>
            <w:tcW w:w="314" w:type="pct"/>
            <w:vMerge w:val="restart"/>
            <w:noWrap w:val="0"/>
            <w:vAlign w:val="center"/>
          </w:tcPr>
          <w:p w14:paraId="5776C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c>
          <w:tcPr>
            <w:tcW w:w="1091" w:type="pct"/>
            <w:gridSpan w:val="3"/>
            <w:vMerge w:val="restart"/>
            <w:noWrap w:val="0"/>
            <w:vAlign w:val="center"/>
          </w:tcPr>
          <w:p w14:paraId="7F03D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c>
          <w:tcPr>
            <w:tcW w:w="786" w:type="pct"/>
            <w:vMerge w:val="restart"/>
            <w:noWrap w:val="0"/>
            <w:vAlign w:val="center"/>
          </w:tcPr>
          <w:p w14:paraId="47DBF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sz w:val="21"/>
                <w:szCs w:val="21"/>
                <w:highlight w:val="none"/>
                <w:lang w:val="en-US" w:eastAsia="zh-CN" w:bidi="ar-SA"/>
              </w:rPr>
              <w:t>-</w:t>
            </w:r>
          </w:p>
        </w:tc>
        <w:tc>
          <w:tcPr>
            <w:tcW w:w="820" w:type="pct"/>
            <w:gridSpan w:val="3"/>
            <w:vMerge w:val="restart"/>
            <w:noWrap w:val="0"/>
            <w:vAlign w:val="center"/>
          </w:tcPr>
          <w:p w14:paraId="0A60C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c>
          <w:tcPr>
            <w:tcW w:w="354" w:type="pct"/>
            <w:noWrap w:val="0"/>
            <w:vAlign w:val="center"/>
          </w:tcPr>
          <w:p w14:paraId="2BFBD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SA"/>
              </w:rPr>
              <w:t>颗粒物</w:t>
            </w:r>
            <w:r>
              <w:rPr>
                <w:rFonts w:hint="eastAsia" w:cs="Times New Roman"/>
                <w:color w:val="auto"/>
                <w:kern w:val="2"/>
                <w:sz w:val="21"/>
                <w:szCs w:val="21"/>
                <w:lang w:val="en-US" w:eastAsia="zh-CN" w:bidi="ar-SA"/>
              </w:rPr>
              <w:t>0.017（t/a）</w:t>
            </w:r>
          </w:p>
        </w:tc>
        <w:tc>
          <w:tcPr>
            <w:tcW w:w="743" w:type="pct"/>
            <w:gridSpan w:val="2"/>
            <w:vMerge w:val="restart"/>
            <w:noWrap w:val="0"/>
            <w:vAlign w:val="center"/>
          </w:tcPr>
          <w:p w14:paraId="183AA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w:t>
            </w:r>
          </w:p>
        </w:tc>
      </w:tr>
      <w:tr w14:paraId="36D3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89" w:type="pct"/>
            <w:vMerge w:val="continue"/>
            <w:noWrap w:val="0"/>
            <w:vAlign w:val="center"/>
          </w:tcPr>
          <w:p w14:paraId="784B0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rPr>
            </w:pPr>
          </w:p>
        </w:tc>
        <w:tc>
          <w:tcPr>
            <w:tcW w:w="264" w:type="pct"/>
            <w:vMerge w:val="continue"/>
            <w:noWrap w:val="0"/>
            <w:vAlign w:val="center"/>
          </w:tcPr>
          <w:p w14:paraId="44FC0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rPr>
            </w:pPr>
          </w:p>
        </w:tc>
        <w:tc>
          <w:tcPr>
            <w:tcW w:w="965" w:type="dxa"/>
            <w:noWrap w:val="0"/>
            <w:vAlign w:val="center"/>
          </w:tcPr>
          <w:p w14:paraId="65DF7CF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vertAlign w:val="baseline"/>
                <w:lang w:val="en-US" w:eastAsia="zh-CN"/>
              </w:rPr>
              <w:t>SO</w:t>
            </w:r>
            <w:r>
              <w:rPr>
                <w:rFonts w:hint="eastAsia"/>
                <w:vertAlign w:val="subscript"/>
                <w:lang w:val="en-US" w:eastAsia="zh-CN"/>
              </w:rPr>
              <w:t>2</w:t>
            </w:r>
          </w:p>
        </w:tc>
        <w:tc>
          <w:tcPr>
            <w:tcW w:w="314" w:type="pct"/>
            <w:vMerge w:val="continue"/>
            <w:noWrap w:val="0"/>
            <w:vAlign w:val="center"/>
          </w:tcPr>
          <w:p w14:paraId="69F42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1091" w:type="pct"/>
            <w:gridSpan w:val="3"/>
            <w:vMerge w:val="continue"/>
            <w:noWrap w:val="0"/>
            <w:vAlign w:val="center"/>
          </w:tcPr>
          <w:p w14:paraId="25947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786" w:type="pct"/>
            <w:vMerge w:val="continue"/>
            <w:noWrap w:val="0"/>
            <w:vAlign w:val="center"/>
          </w:tcPr>
          <w:p w14:paraId="6A490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820" w:type="pct"/>
            <w:gridSpan w:val="3"/>
            <w:vMerge w:val="continue"/>
            <w:noWrap w:val="0"/>
            <w:vAlign w:val="center"/>
          </w:tcPr>
          <w:p w14:paraId="00F94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1021" w:type="dxa"/>
            <w:noWrap w:val="0"/>
            <w:vAlign w:val="center"/>
          </w:tcPr>
          <w:p w14:paraId="658154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vertAlign w:val="subscript"/>
                <w:lang w:val="en-US" w:eastAsia="zh-CN"/>
              </w:rPr>
            </w:pPr>
            <w:r>
              <w:rPr>
                <w:rFonts w:hint="eastAsia"/>
                <w:vertAlign w:val="baseline"/>
                <w:lang w:val="en-US" w:eastAsia="zh-CN"/>
              </w:rPr>
              <w:t>SO</w:t>
            </w:r>
            <w:r>
              <w:rPr>
                <w:rFonts w:hint="eastAsia"/>
                <w:vertAlign w:val="subscript"/>
                <w:lang w:val="en-US" w:eastAsia="zh-CN"/>
              </w:rPr>
              <w:t>2</w:t>
            </w:r>
          </w:p>
          <w:p w14:paraId="2CE3CE4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kern w:val="2"/>
                <w:sz w:val="21"/>
                <w:szCs w:val="21"/>
                <w:lang w:val="en-US" w:eastAsia="zh-CN" w:bidi="ar-SA"/>
              </w:rPr>
              <w:t>0.008（t/a）</w:t>
            </w:r>
          </w:p>
        </w:tc>
        <w:tc>
          <w:tcPr>
            <w:tcW w:w="743" w:type="pct"/>
            <w:gridSpan w:val="2"/>
            <w:vMerge w:val="continue"/>
            <w:noWrap w:val="0"/>
            <w:vAlign w:val="center"/>
          </w:tcPr>
          <w:p w14:paraId="4C167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5F29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89" w:type="pct"/>
            <w:vMerge w:val="continue"/>
            <w:noWrap w:val="0"/>
            <w:vAlign w:val="center"/>
          </w:tcPr>
          <w:p w14:paraId="1FD47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264" w:type="pct"/>
            <w:vMerge w:val="continue"/>
            <w:noWrap w:val="0"/>
            <w:vAlign w:val="center"/>
          </w:tcPr>
          <w:p w14:paraId="7C422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965" w:type="dxa"/>
            <w:noWrap w:val="0"/>
            <w:vAlign w:val="center"/>
          </w:tcPr>
          <w:p w14:paraId="77609F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vertAlign w:val="baseline"/>
                <w:lang w:val="en-US" w:eastAsia="zh-CN"/>
              </w:rPr>
              <w:t>NOx</w:t>
            </w:r>
          </w:p>
        </w:tc>
        <w:tc>
          <w:tcPr>
            <w:tcW w:w="314" w:type="pct"/>
            <w:vMerge w:val="continue"/>
            <w:noWrap w:val="0"/>
            <w:vAlign w:val="center"/>
          </w:tcPr>
          <w:p w14:paraId="5903B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1091" w:type="pct"/>
            <w:gridSpan w:val="3"/>
            <w:vMerge w:val="continue"/>
            <w:noWrap w:val="0"/>
            <w:vAlign w:val="center"/>
          </w:tcPr>
          <w:p w14:paraId="3ACD5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786" w:type="pct"/>
            <w:vMerge w:val="continue"/>
            <w:noWrap w:val="0"/>
            <w:vAlign w:val="center"/>
          </w:tcPr>
          <w:p w14:paraId="75F8D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820" w:type="pct"/>
            <w:gridSpan w:val="3"/>
            <w:vMerge w:val="continue"/>
            <w:noWrap w:val="0"/>
            <w:vAlign w:val="center"/>
          </w:tcPr>
          <w:p w14:paraId="77707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1021" w:type="dxa"/>
            <w:noWrap w:val="0"/>
            <w:vAlign w:val="center"/>
          </w:tcPr>
          <w:p w14:paraId="16F275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vertAlign w:val="baseline"/>
                <w:lang w:val="en-US" w:eastAsia="zh-CN"/>
              </w:rPr>
            </w:pPr>
            <w:r>
              <w:rPr>
                <w:rFonts w:hint="eastAsia"/>
                <w:vertAlign w:val="baseline"/>
                <w:lang w:val="en-US" w:eastAsia="zh-CN"/>
              </w:rPr>
              <w:t>NOx</w:t>
            </w:r>
          </w:p>
          <w:p w14:paraId="3855BF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kern w:val="2"/>
                <w:sz w:val="21"/>
                <w:szCs w:val="21"/>
                <w:lang w:val="en-US" w:eastAsia="zh-CN" w:bidi="ar-SA"/>
              </w:rPr>
              <w:t>0.076（t/a）</w:t>
            </w:r>
          </w:p>
        </w:tc>
        <w:tc>
          <w:tcPr>
            <w:tcW w:w="743" w:type="pct"/>
            <w:gridSpan w:val="2"/>
            <w:vMerge w:val="continue"/>
            <w:noWrap w:val="0"/>
            <w:vAlign w:val="center"/>
          </w:tcPr>
          <w:p w14:paraId="1A84E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4898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289" w:type="pct"/>
            <w:vMerge w:val="continue"/>
            <w:noWrap w:val="0"/>
            <w:vAlign w:val="center"/>
          </w:tcPr>
          <w:p w14:paraId="09A3D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rPr>
            </w:pPr>
          </w:p>
        </w:tc>
        <w:tc>
          <w:tcPr>
            <w:tcW w:w="264" w:type="pct"/>
            <w:vMerge w:val="continue"/>
            <w:noWrap w:val="0"/>
            <w:vAlign w:val="center"/>
          </w:tcPr>
          <w:p w14:paraId="44908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334" w:type="pct"/>
            <w:noWrap w:val="0"/>
            <w:vAlign w:val="center"/>
          </w:tcPr>
          <w:p w14:paraId="07586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r>
              <w:rPr>
                <w:rFonts w:hint="eastAsia" w:cs="Times New Roman"/>
                <w:color w:val="auto"/>
                <w:kern w:val="2"/>
                <w:sz w:val="21"/>
                <w:szCs w:val="21"/>
                <w:lang w:val="en-US" w:eastAsia="zh-CN" w:bidi="ar-SA"/>
              </w:rPr>
              <w:t>1.28（t/a）</w:t>
            </w:r>
          </w:p>
        </w:tc>
        <w:tc>
          <w:tcPr>
            <w:tcW w:w="314" w:type="pct"/>
            <w:vMerge w:val="continue"/>
            <w:noWrap w:val="0"/>
            <w:vAlign w:val="center"/>
          </w:tcPr>
          <w:p w14:paraId="43C30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1091" w:type="pct"/>
            <w:gridSpan w:val="3"/>
            <w:vMerge w:val="continue"/>
            <w:noWrap w:val="0"/>
            <w:vAlign w:val="center"/>
          </w:tcPr>
          <w:p w14:paraId="56D7E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786" w:type="pct"/>
            <w:vMerge w:val="continue"/>
            <w:noWrap w:val="0"/>
            <w:vAlign w:val="center"/>
          </w:tcPr>
          <w:p w14:paraId="0E59A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820" w:type="pct"/>
            <w:gridSpan w:val="3"/>
            <w:vMerge w:val="continue"/>
            <w:noWrap w:val="0"/>
            <w:vAlign w:val="center"/>
          </w:tcPr>
          <w:p w14:paraId="1E5CF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54" w:type="pct"/>
            <w:noWrap w:val="0"/>
            <w:vAlign w:val="center"/>
          </w:tcPr>
          <w:p w14:paraId="6E876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rPr>
              <w:t>非甲烷总烃</w:t>
            </w:r>
            <w:r>
              <w:rPr>
                <w:rFonts w:hint="eastAsia" w:cs="Times New Roman"/>
                <w:color w:val="auto"/>
                <w:kern w:val="2"/>
                <w:sz w:val="21"/>
                <w:szCs w:val="21"/>
                <w:lang w:val="en-US" w:eastAsia="zh-CN" w:bidi="ar-SA"/>
              </w:rPr>
              <w:t>0.064（t/a）</w:t>
            </w:r>
          </w:p>
        </w:tc>
        <w:tc>
          <w:tcPr>
            <w:tcW w:w="743" w:type="pct"/>
            <w:gridSpan w:val="2"/>
            <w:vMerge w:val="continue"/>
            <w:noWrap w:val="0"/>
            <w:vAlign w:val="center"/>
          </w:tcPr>
          <w:p w14:paraId="4A367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r>
    </w:tbl>
    <w:p w14:paraId="5D51B4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sz w:val="24"/>
          <w:szCs w:val="24"/>
        </w:rPr>
      </w:pPr>
    </w:p>
    <w:p w14:paraId="4D8DF7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ascii="Times New Roman" w:hAnsi="Times New Roman" w:eastAsia="宋体" w:cs="Times New Roman"/>
          <w:b/>
          <w:color w:val="auto"/>
          <w:sz w:val="24"/>
          <w:szCs w:val="24"/>
        </w:rPr>
        <w:t>表4-</w:t>
      </w:r>
      <w:r>
        <w:rPr>
          <w:rFonts w:hint="eastAsia" w:cs="Times New Roman"/>
          <w:b/>
          <w:color w:val="auto"/>
          <w:sz w:val="24"/>
          <w:szCs w:val="24"/>
          <w:lang w:val="en-US" w:eastAsia="zh-CN"/>
        </w:rPr>
        <w:t>5</w:t>
      </w:r>
      <w:r>
        <w:rPr>
          <w:rFonts w:ascii="Times New Roman" w:hAnsi="Times New Roman" w:eastAsia="宋体" w:cs="Times New Roman"/>
          <w:b/>
          <w:color w:val="auto"/>
          <w:sz w:val="24"/>
          <w:szCs w:val="24"/>
        </w:rPr>
        <w:t xml:space="preserve">  项目无组织大气污染物排放情况一览表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1356"/>
        <w:gridCol w:w="2211"/>
        <w:gridCol w:w="4446"/>
        <w:gridCol w:w="4425"/>
      </w:tblGrid>
      <w:tr w14:paraId="51BB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vMerge w:val="restart"/>
            <w:noWrap w:val="0"/>
            <w:vAlign w:val="center"/>
          </w:tcPr>
          <w:p w14:paraId="3D08C5AE">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污染源</w:t>
            </w:r>
          </w:p>
        </w:tc>
        <w:tc>
          <w:tcPr>
            <w:tcW w:w="455" w:type="pct"/>
            <w:vMerge w:val="restart"/>
            <w:noWrap w:val="0"/>
            <w:vAlign w:val="center"/>
          </w:tcPr>
          <w:p w14:paraId="241110D0">
            <w:pPr>
              <w:pStyle w:val="61"/>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污染因子</w:t>
            </w:r>
          </w:p>
        </w:tc>
        <w:tc>
          <w:tcPr>
            <w:tcW w:w="742" w:type="pct"/>
            <w:vMerge w:val="restart"/>
            <w:noWrap w:val="0"/>
            <w:vAlign w:val="center"/>
          </w:tcPr>
          <w:p w14:paraId="59538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bCs/>
                <w:i w:val="0"/>
                <w:color w:val="auto"/>
                <w:kern w:val="0"/>
                <w:sz w:val="21"/>
                <w:szCs w:val="21"/>
                <w:u w:val="none"/>
                <w:lang w:val="en-US" w:eastAsia="zh-CN" w:bidi="ar"/>
              </w:rPr>
              <w:t>工作时间（h）</w:t>
            </w:r>
          </w:p>
        </w:tc>
        <w:tc>
          <w:tcPr>
            <w:tcW w:w="2977" w:type="pct"/>
            <w:gridSpan w:val="2"/>
            <w:noWrap w:val="0"/>
            <w:vAlign w:val="center"/>
          </w:tcPr>
          <w:p w14:paraId="132E5D68">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无组织排放情况</w:t>
            </w:r>
          </w:p>
        </w:tc>
      </w:tr>
      <w:tr w14:paraId="229C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vMerge w:val="continue"/>
            <w:noWrap w:val="0"/>
            <w:vAlign w:val="center"/>
          </w:tcPr>
          <w:p w14:paraId="0D685175">
            <w:pPr>
              <w:pStyle w:val="6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vertAlign w:val="baseline"/>
                <w:lang w:val="en-US" w:eastAsia="zh-CN"/>
              </w:rPr>
            </w:pPr>
          </w:p>
        </w:tc>
        <w:tc>
          <w:tcPr>
            <w:tcW w:w="455" w:type="pct"/>
            <w:vMerge w:val="continue"/>
            <w:noWrap w:val="0"/>
            <w:vAlign w:val="center"/>
          </w:tcPr>
          <w:p w14:paraId="1CEE6934">
            <w:pPr>
              <w:pStyle w:val="6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vertAlign w:val="baseline"/>
                <w:lang w:val="en-US" w:eastAsia="zh-CN"/>
              </w:rPr>
            </w:pPr>
          </w:p>
        </w:tc>
        <w:tc>
          <w:tcPr>
            <w:tcW w:w="742" w:type="pct"/>
            <w:vMerge w:val="continue"/>
            <w:noWrap w:val="0"/>
            <w:vAlign w:val="center"/>
          </w:tcPr>
          <w:p w14:paraId="4A627685">
            <w:pPr>
              <w:pStyle w:val="6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vertAlign w:val="baseline"/>
                <w:lang w:val="en-US" w:eastAsia="zh-CN"/>
              </w:rPr>
            </w:pPr>
          </w:p>
        </w:tc>
        <w:tc>
          <w:tcPr>
            <w:tcW w:w="1492" w:type="pct"/>
            <w:noWrap w:val="0"/>
            <w:vAlign w:val="center"/>
          </w:tcPr>
          <w:p w14:paraId="31447311">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排放量（t/a）</w:t>
            </w:r>
          </w:p>
        </w:tc>
        <w:tc>
          <w:tcPr>
            <w:tcW w:w="1485" w:type="pct"/>
            <w:noWrap w:val="0"/>
            <w:vAlign w:val="center"/>
          </w:tcPr>
          <w:p w14:paraId="5C374301">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排放速率（kg/h）</w:t>
            </w:r>
          </w:p>
        </w:tc>
      </w:tr>
      <w:tr w14:paraId="7B60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pct"/>
            <w:vMerge w:val="restart"/>
            <w:noWrap w:val="0"/>
            <w:vAlign w:val="center"/>
          </w:tcPr>
          <w:p w14:paraId="69F9B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4号厂房</w:t>
            </w:r>
          </w:p>
        </w:tc>
        <w:tc>
          <w:tcPr>
            <w:tcW w:w="455" w:type="pct"/>
            <w:noWrap w:val="0"/>
            <w:vAlign w:val="center"/>
          </w:tcPr>
          <w:p w14:paraId="463DB267">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颗粒物</w:t>
            </w:r>
          </w:p>
        </w:tc>
        <w:tc>
          <w:tcPr>
            <w:tcW w:w="742" w:type="pct"/>
            <w:noWrap w:val="0"/>
            <w:vAlign w:val="center"/>
          </w:tcPr>
          <w:p w14:paraId="66ADE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7200</w:t>
            </w:r>
          </w:p>
        </w:tc>
        <w:tc>
          <w:tcPr>
            <w:tcW w:w="1492" w:type="pct"/>
            <w:noWrap w:val="0"/>
            <w:vAlign w:val="center"/>
          </w:tcPr>
          <w:p w14:paraId="61CD5E83">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0.06</w:t>
            </w:r>
          </w:p>
        </w:tc>
        <w:tc>
          <w:tcPr>
            <w:tcW w:w="1485" w:type="pct"/>
            <w:noWrap w:val="0"/>
            <w:vAlign w:val="center"/>
          </w:tcPr>
          <w:p w14:paraId="32D5D841">
            <w:pPr>
              <w:pStyle w:val="6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0.008</w:t>
            </w:r>
          </w:p>
        </w:tc>
      </w:tr>
      <w:tr w14:paraId="4A5F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pct"/>
            <w:vMerge w:val="continue"/>
            <w:noWrap w:val="0"/>
            <w:vAlign w:val="center"/>
          </w:tcPr>
          <w:p w14:paraId="1E566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Cs/>
                <w:color w:val="auto"/>
                <w:sz w:val="21"/>
                <w:szCs w:val="21"/>
                <w:vertAlign w:val="baseline"/>
                <w:lang w:val="en-US" w:eastAsia="zh-CN"/>
              </w:rPr>
            </w:pPr>
          </w:p>
        </w:tc>
        <w:tc>
          <w:tcPr>
            <w:tcW w:w="455" w:type="pct"/>
            <w:noWrap w:val="0"/>
            <w:vAlign w:val="center"/>
          </w:tcPr>
          <w:p w14:paraId="70476AE0">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非甲烷总烃</w:t>
            </w:r>
          </w:p>
        </w:tc>
        <w:tc>
          <w:tcPr>
            <w:tcW w:w="742" w:type="pct"/>
            <w:noWrap w:val="0"/>
            <w:vAlign w:val="center"/>
          </w:tcPr>
          <w:p w14:paraId="6D1D4EBF">
            <w:pPr>
              <w:pStyle w:val="61"/>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7200</w:t>
            </w:r>
          </w:p>
        </w:tc>
        <w:tc>
          <w:tcPr>
            <w:tcW w:w="1492" w:type="pct"/>
            <w:noWrap w:val="0"/>
            <w:vAlign w:val="center"/>
          </w:tcPr>
          <w:p w14:paraId="2365CBF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bidi="ar-SA"/>
              </w:rPr>
              <w:t>-</w:t>
            </w:r>
          </w:p>
        </w:tc>
        <w:tc>
          <w:tcPr>
            <w:tcW w:w="1485" w:type="pct"/>
            <w:noWrap w:val="0"/>
            <w:vAlign w:val="center"/>
          </w:tcPr>
          <w:p w14:paraId="3EE4C6C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bidi="ar-SA"/>
              </w:rPr>
              <w:t>-</w:t>
            </w:r>
          </w:p>
        </w:tc>
      </w:tr>
    </w:tbl>
    <w:p w14:paraId="27735AFC">
      <w:pPr>
        <w:pStyle w:val="18"/>
        <w:rPr>
          <w:rFonts w:hint="eastAsia"/>
        </w:rPr>
        <w:sectPr>
          <w:pgSz w:w="16840" w:h="11907"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640"/>
      </w:tblGrid>
      <w:tr w14:paraId="2702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1F188990">
            <w:pPr>
              <w:keepNext w:val="0"/>
              <w:keepLines w:val="0"/>
              <w:suppressLineNumbers w:val="0"/>
              <w:spacing w:before="0" w:beforeAutospacing="0" w:after="0" w:afterAutospacing="0"/>
              <w:ind w:left="0" w:right="0"/>
              <w:jc w:val="center"/>
              <w:rPr>
                <w:rFonts w:hint="eastAsia" w:ascii="Times New Roman" w:hAnsi="Times New Roman" w:cs="Times New Roman"/>
                <w:vertAlign w:val="baseline"/>
              </w:rPr>
            </w:pPr>
            <w:r>
              <w:rPr>
                <w:rFonts w:hint="eastAsia" w:ascii="宋体" w:hAnsi="宋体" w:cs="宋体"/>
                <w:bCs/>
                <w:sz w:val="24"/>
              </w:rPr>
              <w:t>运营期环境影响和保护措施</w:t>
            </w:r>
          </w:p>
        </w:tc>
        <w:tc>
          <w:tcPr>
            <w:tcW w:w="8125" w:type="dxa"/>
            <w:noWrap w:val="0"/>
            <w:vAlign w:val="top"/>
          </w:tcPr>
          <w:p w14:paraId="1F03A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项目各污染物排气筒信息及排放标准汇总于下表所示。</w:t>
            </w:r>
          </w:p>
          <w:p w14:paraId="7F660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sz w:val="24"/>
                <w:szCs w:val="24"/>
              </w:rPr>
              <w:t>表4-</w:t>
            </w:r>
            <w:r>
              <w:rPr>
                <w:rFonts w:hint="eastAsia" w:cs="Times New Roman"/>
                <w:b/>
                <w:color w:val="auto"/>
                <w:sz w:val="24"/>
                <w:szCs w:val="24"/>
                <w:lang w:val="en-US" w:eastAsia="zh-CN"/>
              </w:rPr>
              <w:t>5</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项目大气排放口基本情况一览表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698"/>
              <w:gridCol w:w="698"/>
              <w:gridCol w:w="735"/>
              <w:gridCol w:w="1022"/>
              <w:gridCol w:w="937"/>
              <w:gridCol w:w="386"/>
              <w:gridCol w:w="386"/>
              <w:gridCol w:w="650"/>
              <w:gridCol w:w="800"/>
              <w:gridCol w:w="1386"/>
            </w:tblGrid>
            <w:tr w14:paraId="65C4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0" w:type="auto"/>
                  <w:vMerge w:val="restart"/>
                  <w:noWrap w:val="0"/>
                  <w:vAlign w:val="center"/>
                </w:tcPr>
                <w:p w14:paraId="1188A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排气筒编号</w:t>
                  </w:r>
                </w:p>
              </w:tc>
              <w:tc>
                <w:tcPr>
                  <w:tcW w:w="0" w:type="auto"/>
                  <w:gridSpan w:val="3"/>
                  <w:noWrap w:val="0"/>
                  <w:vAlign w:val="center"/>
                </w:tcPr>
                <w:p w14:paraId="06948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污染物排气筒</w:t>
                  </w:r>
                </w:p>
              </w:tc>
              <w:tc>
                <w:tcPr>
                  <w:tcW w:w="0" w:type="auto"/>
                  <w:gridSpan w:val="2"/>
                  <w:noWrap w:val="0"/>
                  <w:vAlign w:val="center"/>
                </w:tcPr>
                <w:p w14:paraId="4E58D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经纬度</w:t>
                  </w:r>
                </w:p>
              </w:tc>
              <w:tc>
                <w:tcPr>
                  <w:tcW w:w="0" w:type="auto"/>
                  <w:vMerge w:val="restart"/>
                  <w:noWrap w:val="0"/>
                  <w:vAlign w:val="center"/>
                </w:tcPr>
                <w:p w14:paraId="7E562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排放口类型</w:t>
                  </w:r>
                </w:p>
              </w:tc>
              <w:tc>
                <w:tcPr>
                  <w:tcW w:w="0" w:type="auto"/>
                  <w:vMerge w:val="restart"/>
                  <w:noWrap w:val="0"/>
                  <w:vAlign w:val="center"/>
                </w:tcPr>
                <w:p w14:paraId="69560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污染物</w:t>
                  </w:r>
                </w:p>
              </w:tc>
              <w:tc>
                <w:tcPr>
                  <w:tcW w:w="0" w:type="auto"/>
                  <w:gridSpan w:val="3"/>
                  <w:noWrap w:val="0"/>
                  <w:vAlign w:val="center"/>
                </w:tcPr>
                <w:p w14:paraId="2FD85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bCs/>
                      <w:i w:val="0"/>
                      <w:color w:val="auto"/>
                      <w:kern w:val="0"/>
                      <w:sz w:val="21"/>
                      <w:szCs w:val="21"/>
                      <w:u w:val="none"/>
                      <w:lang w:val="en-US" w:eastAsia="zh-CN" w:bidi="ar"/>
                    </w:rPr>
                  </w:pPr>
                  <w:r>
                    <w:rPr>
                      <w:rFonts w:hint="eastAsia" w:ascii="Times New Roman" w:hAnsi="Times New Roman" w:eastAsia="宋体" w:cs="Times New Roman"/>
                      <w:b/>
                      <w:bCs/>
                      <w:i w:val="0"/>
                      <w:color w:val="auto"/>
                      <w:kern w:val="0"/>
                      <w:sz w:val="21"/>
                      <w:szCs w:val="21"/>
                      <w:u w:val="none"/>
                      <w:lang w:val="en-US" w:eastAsia="zh-CN" w:bidi="ar"/>
                    </w:rPr>
                    <w:t>排放标准</w:t>
                  </w:r>
                </w:p>
              </w:tc>
            </w:tr>
            <w:tr w14:paraId="3649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0" w:type="auto"/>
                  <w:vMerge w:val="continue"/>
                  <w:noWrap w:val="0"/>
                  <w:vAlign w:val="center"/>
                </w:tcPr>
                <w:p w14:paraId="11314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0" w:type="auto"/>
                  <w:noWrap w:val="0"/>
                  <w:vAlign w:val="center"/>
                </w:tcPr>
                <w:p w14:paraId="7A051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排气筒高度（m）</w:t>
                  </w:r>
                </w:p>
              </w:tc>
              <w:tc>
                <w:tcPr>
                  <w:tcW w:w="0" w:type="auto"/>
                  <w:noWrap w:val="0"/>
                  <w:vAlign w:val="center"/>
                </w:tcPr>
                <w:p w14:paraId="5E3AB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排气筒内径（m）</w:t>
                  </w:r>
                </w:p>
              </w:tc>
              <w:tc>
                <w:tcPr>
                  <w:tcW w:w="0" w:type="auto"/>
                  <w:noWrap w:val="0"/>
                  <w:vAlign w:val="center"/>
                </w:tcPr>
                <w:p w14:paraId="3C961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排气筒温度（</w:t>
                  </w:r>
                  <w:r>
                    <w:rPr>
                      <w:rFonts w:hint="eastAsia" w:ascii="Times New Roman" w:hAnsi="Times New Roman" w:eastAsia="宋体" w:cs="Times New Roman"/>
                      <w:b/>
                      <w:bCs/>
                      <w:color w:val="auto"/>
                      <w:sz w:val="21"/>
                      <w:szCs w:val="21"/>
                      <w:vertAlign w:val="superscript"/>
                      <w:lang w:val="en-US" w:eastAsia="zh-CN"/>
                    </w:rPr>
                    <w:t>o</w:t>
                  </w:r>
                  <w:r>
                    <w:rPr>
                      <w:rFonts w:hint="eastAsia" w:ascii="Times New Roman" w:hAnsi="Times New Roman" w:eastAsia="宋体" w:cs="Times New Roman"/>
                      <w:b/>
                      <w:bCs/>
                      <w:color w:val="auto"/>
                      <w:sz w:val="21"/>
                      <w:szCs w:val="21"/>
                      <w:lang w:val="en-US" w:eastAsia="zh-CN"/>
                    </w:rPr>
                    <w:t>C）</w:t>
                  </w:r>
                </w:p>
              </w:tc>
              <w:tc>
                <w:tcPr>
                  <w:tcW w:w="0" w:type="auto"/>
                  <w:noWrap w:val="0"/>
                  <w:vAlign w:val="center"/>
                </w:tcPr>
                <w:p w14:paraId="157BA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经度</w:t>
                  </w:r>
                </w:p>
              </w:tc>
              <w:tc>
                <w:tcPr>
                  <w:tcW w:w="0" w:type="auto"/>
                  <w:noWrap w:val="0"/>
                  <w:vAlign w:val="center"/>
                </w:tcPr>
                <w:p w14:paraId="4DA93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纬度</w:t>
                  </w:r>
                </w:p>
              </w:tc>
              <w:tc>
                <w:tcPr>
                  <w:tcW w:w="0" w:type="auto"/>
                  <w:vMerge w:val="continue"/>
                  <w:noWrap w:val="0"/>
                  <w:vAlign w:val="center"/>
                </w:tcPr>
                <w:p w14:paraId="7A710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0" w:type="auto"/>
                  <w:vMerge w:val="continue"/>
                  <w:noWrap w:val="0"/>
                  <w:vAlign w:val="center"/>
                </w:tcPr>
                <w:p w14:paraId="41FC3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rPr>
                  </w:pPr>
                </w:p>
              </w:tc>
              <w:tc>
                <w:tcPr>
                  <w:tcW w:w="0" w:type="auto"/>
                  <w:noWrap w:val="0"/>
                  <w:vAlign w:val="center"/>
                </w:tcPr>
                <w:p w14:paraId="5B96F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ascii="Times New Roman" w:hAnsi="Times New Roman" w:eastAsia="宋体" w:cs="Times New Roman"/>
                      <w:b/>
                      <w:bCs/>
                      <w:i w:val="0"/>
                      <w:color w:val="auto"/>
                      <w:kern w:val="0"/>
                      <w:sz w:val="21"/>
                      <w:szCs w:val="21"/>
                      <w:u w:val="none"/>
                      <w:lang w:val="en-US" w:eastAsia="zh-CN" w:bidi="ar"/>
                    </w:rPr>
                    <w:t>速率(</w:t>
                  </w:r>
                  <w:r>
                    <w:rPr>
                      <w:rFonts w:hint="eastAsia" w:cs="Times New Roman"/>
                      <w:b/>
                      <w:bCs/>
                      <w:i w:val="0"/>
                      <w:color w:val="auto"/>
                      <w:kern w:val="0"/>
                      <w:sz w:val="21"/>
                      <w:szCs w:val="21"/>
                      <w:u w:val="none"/>
                      <w:lang w:val="en-US" w:eastAsia="zh-CN" w:bidi="ar"/>
                    </w:rPr>
                    <w:t>kg</w:t>
                  </w:r>
                  <w:r>
                    <w:rPr>
                      <w:rFonts w:hint="eastAsia" w:ascii="Times New Roman" w:hAnsi="Times New Roman" w:eastAsia="宋体" w:cs="Times New Roman"/>
                      <w:b/>
                      <w:bCs/>
                      <w:i w:val="0"/>
                      <w:color w:val="auto"/>
                      <w:kern w:val="0"/>
                      <w:sz w:val="21"/>
                      <w:szCs w:val="21"/>
                      <w:u w:val="none"/>
                      <w:lang w:val="en-US" w:eastAsia="zh-CN" w:bidi="ar"/>
                    </w:rPr>
                    <w:t>/h)</w:t>
                  </w:r>
                </w:p>
              </w:tc>
              <w:tc>
                <w:tcPr>
                  <w:tcW w:w="0" w:type="auto"/>
                  <w:noWrap w:val="0"/>
                  <w:vAlign w:val="center"/>
                </w:tcPr>
                <w:p w14:paraId="13CC1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浓度</w:t>
                  </w:r>
                  <w:r>
                    <w:rPr>
                      <w:rFonts w:hint="eastAsia" w:ascii="Times New Roman" w:hAnsi="Times New Roman" w:eastAsia="宋体" w:cs="Times New Roman"/>
                      <w:b/>
                      <w:bCs/>
                      <w:i w:val="0"/>
                      <w:color w:val="auto"/>
                      <w:kern w:val="0"/>
                      <w:sz w:val="21"/>
                      <w:szCs w:val="21"/>
                      <w:u w:val="none"/>
                      <w:lang w:val="en-US" w:eastAsia="zh-CN" w:bidi="ar"/>
                    </w:rPr>
                    <w:t>(</w:t>
                  </w:r>
                  <w:r>
                    <w:rPr>
                      <w:rFonts w:hint="default" w:ascii="Times New Roman" w:hAnsi="Times New Roman" w:eastAsia="宋体" w:cs="Times New Roman"/>
                      <w:b/>
                      <w:bCs/>
                      <w:i w:val="0"/>
                      <w:color w:val="auto"/>
                      <w:kern w:val="0"/>
                      <w:sz w:val="21"/>
                      <w:szCs w:val="21"/>
                      <w:u w:val="none"/>
                      <w:lang w:val="en-US" w:eastAsia="zh-CN" w:bidi="ar"/>
                    </w:rPr>
                    <w:t>mg/m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eastAsia" w:ascii="Times New Roman" w:hAnsi="Times New Roman" w:eastAsia="宋体" w:cs="Times New Roman"/>
                      <w:b/>
                      <w:bCs/>
                      <w:i w:val="0"/>
                      <w:color w:val="auto"/>
                      <w:kern w:val="0"/>
                      <w:sz w:val="21"/>
                      <w:szCs w:val="21"/>
                      <w:u w:val="none"/>
                      <w:lang w:val="en-US" w:eastAsia="zh-CN" w:bidi="ar"/>
                    </w:rPr>
                    <w:t>)</w:t>
                  </w:r>
                </w:p>
              </w:tc>
              <w:tc>
                <w:tcPr>
                  <w:tcW w:w="0" w:type="auto"/>
                  <w:noWrap w:val="0"/>
                  <w:vAlign w:val="center"/>
                </w:tcPr>
                <w:p w14:paraId="51E91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ascii="Times New Roman" w:hAnsi="Times New Roman" w:eastAsia="宋体" w:cs="Times New Roman"/>
                      <w:b/>
                      <w:bCs/>
                      <w:i w:val="0"/>
                      <w:color w:val="auto"/>
                      <w:kern w:val="0"/>
                      <w:sz w:val="21"/>
                      <w:szCs w:val="21"/>
                      <w:u w:val="none"/>
                      <w:lang w:val="en-US" w:eastAsia="zh-CN" w:bidi="ar"/>
                    </w:rPr>
                    <w:t>标准名称</w:t>
                  </w:r>
                </w:p>
              </w:tc>
            </w:tr>
            <w:tr w14:paraId="0623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noWrap w:val="0"/>
                  <w:vAlign w:val="center"/>
                </w:tcPr>
                <w:p w14:paraId="7B228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DA001</w:t>
                  </w:r>
                </w:p>
              </w:tc>
              <w:tc>
                <w:tcPr>
                  <w:tcW w:w="0" w:type="auto"/>
                  <w:vMerge w:val="restart"/>
                  <w:noWrap w:val="0"/>
                  <w:vAlign w:val="center"/>
                </w:tcPr>
                <w:p w14:paraId="54510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0" w:type="auto"/>
                  <w:vMerge w:val="restart"/>
                  <w:noWrap w:val="0"/>
                  <w:vAlign w:val="center"/>
                </w:tcPr>
                <w:p w14:paraId="4DEB0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0.35</w:t>
                  </w:r>
                </w:p>
              </w:tc>
              <w:tc>
                <w:tcPr>
                  <w:tcW w:w="0" w:type="auto"/>
                  <w:vMerge w:val="restart"/>
                  <w:noWrap w:val="0"/>
                  <w:vAlign w:val="center"/>
                </w:tcPr>
                <w:p w14:paraId="28F5D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高</w:t>
                  </w:r>
                  <w:r>
                    <w:rPr>
                      <w:rFonts w:hint="eastAsia" w:ascii="Times New Roman" w:hAnsi="Times New Roman" w:eastAsia="宋体" w:cs="Times New Roman"/>
                      <w:b w:val="0"/>
                      <w:bCs w:val="0"/>
                      <w:color w:val="auto"/>
                      <w:sz w:val="21"/>
                      <w:szCs w:val="21"/>
                      <w:lang w:val="en-US" w:eastAsia="zh-CN"/>
                    </w:rPr>
                    <w:t>温</w:t>
                  </w:r>
                </w:p>
              </w:tc>
              <w:tc>
                <w:tcPr>
                  <w:tcW w:w="0" w:type="auto"/>
                  <w:vMerge w:val="restart"/>
                  <w:noWrap w:val="0"/>
                  <w:vAlign w:val="center"/>
                </w:tcPr>
                <w:p w14:paraId="5DE60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116.</w:t>
                  </w:r>
                  <w:r>
                    <w:rPr>
                      <w:rFonts w:hint="eastAsia" w:cs="Times New Roman"/>
                      <w:color w:val="auto"/>
                      <w:kern w:val="0"/>
                      <w:sz w:val="21"/>
                      <w:szCs w:val="21"/>
                      <w:lang w:val="en-US" w:eastAsia="zh-CN" w:bidi="ar"/>
                    </w:rPr>
                    <w:t>824844</w:t>
                  </w:r>
                </w:p>
              </w:tc>
              <w:tc>
                <w:tcPr>
                  <w:tcW w:w="0" w:type="auto"/>
                  <w:vMerge w:val="restart"/>
                  <w:noWrap w:val="0"/>
                  <w:vAlign w:val="center"/>
                </w:tcPr>
                <w:p w14:paraId="71249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4</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057740</w:t>
                  </w:r>
                </w:p>
              </w:tc>
              <w:tc>
                <w:tcPr>
                  <w:tcW w:w="0" w:type="auto"/>
                  <w:vMerge w:val="restart"/>
                  <w:noWrap w:val="0"/>
                  <w:vAlign w:val="center"/>
                </w:tcPr>
                <w:p w14:paraId="1D2D279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Cs/>
                      <w:color w:val="auto"/>
                      <w:sz w:val="21"/>
                      <w:szCs w:val="21"/>
                      <w:lang w:eastAsia="zh-CN"/>
                    </w:rPr>
                    <w:t>一般排放口</w:t>
                  </w:r>
                </w:p>
              </w:tc>
              <w:tc>
                <w:tcPr>
                  <w:tcW w:w="386" w:type="dxa"/>
                  <w:noWrap w:val="0"/>
                  <w:vAlign w:val="center"/>
                </w:tcPr>
                <w:p w14:paraId="38435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Cs/>
                      <w:kern w:val="0"/>
                      <w:szCs w:val="21"/>
                    </w:rPr>
                    <w:t>颗粒物</w:t>
                  </w:r>
                </w:p>
              </w:tc>
              <w:tc>
                <w:tcPr>
                  <w:tcW w:w="650" w:type="dxa"/>
                  <w:noWrap w:val="0"/>
                  <w:vAlign w:val="center"/>
                </w:tcPr>
                <w:p w14:paraId="47DDC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800" w:type="dxa"/>
                  <w:noWrap w:val="0"/>
                  <w:vAlign w:val="center"/>
                </w:tcPr>
                <w:p w14:paraId="0AEAE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w:t>
                  </w:r>
                </w:p>
              </w:tc>
              <w:tc>
                <w:tcPr>
                  <w:tcW w:w="1386" w:type="dxa"/>
                  <w:vMerge w:val="restart"/>
                  <w:noWrap w:val="0"/>
                  <w:vAlign w:val="center"/>
                </w:tcPr>
                <w:p w14:paraId="7EF2B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olor w:val="000000"/>
                      <w:sz w:val="21"/>
                      <w:szCs w:val="21"/>
                    </w:rPr>
                    <w:t>《工业炉窑大气污染综合治理方案》（环大气[2019]56 号）中规定的重点区域排放限值</w:t>
                  </w:r>
                </w:p>
              </w:tc>
            </w:tr>
            <w:tr w14:paraId="774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vMerge w:val="continue"/>
                  <w:noWrap w:val="0"/>
                  <w:vAlign w:val="center"/>
                </w:tcPr>
                <w:p w14:paraId="5D395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0A402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5BDCA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14125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296D4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0AD50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62E8E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noWrap w:val="0"/>
                  <w:vAlign w:val="center"/>
                </w:tcPr>
                <w:p w14:paraId="32CC2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Cs/>
                      <w:kern w:val="0"/>
                      <w:szCs w:val="21"/>
                    </w:rPr>
                    <w:t>二氧化硫</w:t>
                  </w:r>
                </w:p>
              </w:tc>
              <w:tc>
                <w:tcPr>
                  <w:tcW w:w="0" w:type="auto"/>
                  <w:noWrap w:val="0"/>
                  <w:vAlign w:val="center"/>
                </w:tcPr>
                <w:p w14:paraId="1FAC0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0" w:type="auto"/>
                  <w:noWrap w:val="0"/>
                  <w:vAlign w:val="center"/>
                </w:tcPr>
                <w:p w14:paraId="533BC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w:t>
                  </w:r>
                </w:p>
              </w:tc>
              <w:tc>
                <w:tcPr>
                  <w:tcW w:w="1386" w:type="dxa"/>
                  <w:vMerge w:val="continue"/>
                  <w:noWrap w:val="0"/>
                  <w:vAlign w:val="center"/>
                </w:tcPr>
                <w:p w14:paraId="73146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r w14:paraId="305A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0" w:type="auto"/>
                  <w:vMerge w:val="continue"/>
                  <w:noWrap w:val="0"/>
                  <w:vAlign w:val="center"/>
                </w:tcPr>
                <w:p w14:paraId="1C6C4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5456A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4568D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2503E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287E1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38E44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vMerge w:val="continue"/>
                  <w:noWrap w:val="0"/>
                  <w:vAlign w:val="center"/>
                </w:tcPr>
                <w:p w14:paraId="64FBB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0" w:type="auto"/>
                  <w:noWrap w:val="0"/>
                  <w:vAlign w:val="center"/>
                </w:tcPr>
                <w:p w14:paraId="3A36D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Cs/>
                      <w:kern w:val="0"/>
                      <w:szCs w:val="21"/>
                    </w:rPr>
                    <w:t>氮氧化物</w:t>
                  </w:r>
                </w:p>
              </w:tc>
              <w:tc>
                <w:tcPr>
                  <w:tcW w:w="0" w:type="auto"/>
                  <w:noWrap w:val="0"/>
                  <w:vAlign w:val="center"/>
                </w:tcPr>
                <w:p w14:paraId="6F814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0" w:type="auto"/>
                  <w:noWrap w:val="0"/>
                  <w:vAlign w:val="center"/>
                </w:tcPr>
                <w:p w14:paraId="2B6FA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300</w:t>
                  </w:r>
                </w:p>
              </w:tc>
              <w:tc>
                <w:tcPr>
                  <w:tcW w:w="1386" w:type="dxa"/>
                  <w:vMerge w:val="continue"/>
                  <w:noWrap w:val="0"/>
                  <w:vAlign w:val="center"/>
                </w:tcPr>
                <w:p w14:paraId="6EB02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r w14:paraId="3C3D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vMerge w:val="continue"/>
                  <w:noWrap w:val="0"/>
                  <w:vAlign w:val="center"/>
                </w:tcPr>
                <w:p w14:paraId="6C0C5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2AB5E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2AC5A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607E4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090DC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231EB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0" w:type="auto"/>
                  <w:vMerge w:val="continue"/>
                  <w:noWrap w:val="0"/>
                  <w:vAlign w:val="center"/>
                </w:tcPr>
                <w:p w14:paraId="6EEAD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rPr>
                  </w:pPr>
                </w:p>
              </w:tc>
              <w:tc>
                <w:tcPr>
                  <w:tcW w:w="386" w:type="dxa"/>
                  <w:noWrap w:val="0"/>
                  <w:vAlign w:val="center"/>
                </w:tcPr>
                <w:p w14:paraId="71D65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Cs/>
                      <w:kern w:val="0"/>
                      <w:szCs w:val="21"/>
                    </w:rPr>
                  </w:pPr>
                  <w:r>
                    <w:rPr>
                      <w:rFonts w:hint="eastAsia" w:ascii="Times New Roman" w:hAnsi="Times New Roman" w:eastAsia="宋体" w:cs="Times New Roman"/>
                      <w:i w:val="0"/>
                      <w:color w:val="auto"/>
                      <w:kern w:val="0"/>
                      <w:sz w:val="21"/>
                      <w:szCs w:val="21"/>
                      <w:u w:val="none"/>
                      <w:lang w:val="en-US" w:eastAsia="zh-CN" w:bidi="ar"/>
                    </w:rPr>
                    <w:t>非甲烷总烃</w:t>
                  </w:r>
                </w:p>
              </w:tc>
              <w:tc>
                <w:tcPr>
                  <w:tcW w:w="650" w:type="dxa"/>
                  <w:noWrap w:val="0"/>
                  <w:vAlign w:val="center"/>
                </w:tcPr>
                <w:p w14:paraId="789F9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Cs/>
                      <w:kern w:val="0"/>
                      <w:szCs w:val="21"/>
                    </w:rPr>
                  </w:pPr>
                  <w:r>
                    <w:rPr>
                      <w:rFonts w:hint="eastAsia" w:cs="Times New Roman"/>
                      <w:b w:val="0"/>
                      <w:bCs w:val="0"/>
                      <w:color w:val="auto"/>
                      <w:sz w:val="21"/>
                      <w:szCs w:val="21"/>
                      <w:lang w:val="en-US" w:eastAsia="zh-CN" w:bidi="ar"/>
                    </w:rPr>
                    <w:t>10</w:t>
                  </w:r>
                </w:p>
              </w:tc>
              <w:tc>
                <w:tcPr>
                  <w:tcW w:w="800" w:type="dxa"/>
                  <w:noWrap w:val="0"/>
                  <w:vAlign w:val="center"/>
                </w:tcPr>
                <w:p w14:paraId="63E5F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Cs/>
                      <w:kern w:val="0"/>
                      <w:szCs w:val="21"/>
                    </w:rPr>
                  </w:pPr>
                  <w:r>
                    <w:rPr>
                      <w:rFonts w:hint="eastAsia" w:cs="Times New Roman"/>
                      <w:b w:val="0"/>
                      <w:bCs w:val="0"/>
                      <w:color w:val="auto"/>
                      <w:sz w:val="21"/>
                      <w:szCs w:val="21"/>
                      <w:lang w:val="en-US" w:eastAsia="zh-CN" w:bidi="ar"/>
                    </w:rPr>
                    <w:t>1</w:t>
                  </w:r>
                  <w:r>
                    <w:rPr>
                      <w:rFonts w:hint="eastAsia" w:ascii="Times New Roman" w:hAnsi="Times New Roman" w:eastAsia="宋体" w:cs="Times New Roman"/>
                      <w:b w:val="0"/>
                      <w:bCs w:val="0"/>
                      <w:color w:val="auto"/>
                      <w:sz w:val="21"/>
                      <w:szCs w:val="21"/>
                      <w:lang w:val="en-US" w:eastAsia="zh-CN" w:bidi="ar"/>
                    </w:rPr>
                    <w:t>20</w:t>
                  </w:r>
                </w:p>
              </w:tc>
              <w:tc>
                <w:tcPr>
                  <w:tcW w:w="1386" w:type="dxa"/>
                  <w:vMerge w:val="restart"/>
                  <w:noWrap w:val="0"/>
                  <w:vAlign w:val="center"/>
                </w:tcPr>
                <w:p w14:paraId="20BAB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color w:val="000000"/>
                      <w:szCs w:val="21"/>
                      <w:lang w:eastAsia="zh-CN"/>
                    </w:rPr>
                    <w:t>《大气污染物综合排放标准》(GB16297-1996)表2中二级标准</w:t>
                  </w:r>
                </w:p>
              </w:tc>
            </w:tr>
            <w:tr w14:paraId="23CD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0" w:type="auto"/>
                  <w:noWrap w:val="0"/>
                  <w:vAlign w:val="center"/>
                </w:tcPr>
                <w:p w14:paraId="75A1F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DA002</w:t>
                  </w:r>
                </w:p>
              </w:tc>
              <w:tc>
                <w:tcPr>
                  <w:tcW w:w="0" w:type="auto"/>
                  <w:noWrap w:val="0"/>
                  <w:vAlign w:val="center"/>
                </w:tcPr>
                <w:p w14:paraId="79B92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0" w:type="auto"/>
                  <w:noWrap w:val="0"/>
                  <w:vAlign w:val="center"/>
                </w:tcPr>
                <w:p w14:paraId="5AEC0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0.35</w:t>
                  </w:r>
                </w:p>
              </w:tc>
              <w:tc>
                <w:tcPr>
                  <w:tcW w:w="0" w:type="auto"/>
                  <w:noWrap w:val="0"/>
                  <w:vAlign w:val="center"/>
                </w:tcPr>
                <w:p w14:paraId="1C2C0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常温</w:t>
                  </w:r>
                </w:p>
              </w:tc>
              <w:tc>
                <w:tcPr>
                  <w:tcW w:w="1022" w:type="dxa"/>
                  <w:noWrap w:val="0"/>
                  <w:vAlign w:val="center"/>
                </w:tcPr>
                <w:p w14:paraId="43E6A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116.</w:t>
                  </w:r>
                  <w:r>
                    <w:rPr>
                      <w:rFonts w:hint="eastAsia" w:cs="Times New Roman"/>
                      <w:color w:val="auto"/>
                      <w:kern w:val="0"/>
                      <w:sz w:val="21"/>
                      <w:szCs w:val="21"/>
                      <w:lang w:val="en-US" w:eastAsia="zh-CN" w:bidi="ar"/>
                    </w:rPr>
                    <w:t>825536</w:t>
                  </w:r>
                </w:p>
              </w:tc>
              <w:tc>
                <w:tcPr>
                  <w:tcW w:w="937" w:type="dxa"/>
                  <w:noWrap w:val="0"/>
                  <w:vAlign w:val="center"/>
                </w:tcPr>
                <w:p w14:paraId="187D1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4</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057745</w:t>
                  </w:r>
                </w:p>
              </w:tc>
              <w:tc>
                <w:tcPr>
                  <w:tcW w:w="0" w:type="auto"/>
                  <w:noWrap w:val="0"/>
                  <w:vAlign w:val="center"/>
                </w:tcPr>
                <w:p w14:paraId="6EE436D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Cs/>
                      <w:color w:val="auto"/>
                      <w:sz w:val="21"/>
                      <w:szCs w:val="21"/>
                      <w:lang w:eastAsia="zh-CN"/>
                    </w:rPr>
                    <w:t>一般排放口</w:t>
                  </w:r>
                </w:p>
              </w:tc>
              <w:tc>
                <w:tcPr>
                  <w:tcW w:w="0" w:type="auto"/>
                  <w:noWrap w:val="0"/>
                  <w:vAlign w:val="center"/>
                </w:tcPr>
                <w:p w14:paraId="3A9FB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颗粒物</w:t>
                  </w:r>
                </w:p>
              </w:tc>
              <w:tc>
                <w:tcPr>
                  <w:tcW w:w="0" w:type="auto"/>
                  <w:noWrap w:val="0"/>
                  <w:vAlign w:val="center"/>
                </w:tcPr>
                <w:p w14:paraId="4A87E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 w:val="0"/>
                      <w:bCs w:val="0"/>
                      <w:color w:val="auto"/>
                      <w:sz w:val="21"/>
                      <w:szCs w:val="21"/>
                      <w:lang w:val="en-US" w:eastAsia="zh-CN" w:bidi="ar"/>
                    </w:rPr>
                    <w:t>3.5</w:t>
                  </w:r>
                </w:p>
              </w:tc>
              <w:tc>
                <w:tcPr>
                  <w:tcW w:w="0" w:type="auto"/>
                  <w:noWrap w:val="0"/>
                  <w:vAlign w:val="center"/>
                </w:tcPr>
                <w:p w14:paraId="3EC207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b w:val="0"/>
                      <w:bCs w:val="0"/>
                      <w:color w:val="auto"/>
                      <w:sz w:val="21"/>
                      <w:szCs w:val="21"/>
                      <w:lang w:val="en-US" w:eastAsia="zh-CN" w:bidi="ar"/>
                    </w:rPr>
                    <w:t>12</w:t>
                  </w:r>
                  <w:r>
                    <w:rPr>
                      <w:rFonts w:hint="eastAsia" w:ascii="Times New Roman" w:hAnsi="Times New Roman" w:eastAsia="宋体" w:cs="Times New Roman"/>
                      <w:b w:val="0"/>
                      <w:bCs w:val="0"/>
                      <w:color w:val="auto"/>
                      <w:sz w:val="21"/>
                      <w:szCs w:val="21"/>
                      <w:lang w:val="en-US" w:eastAsia="zh-CN" w:bidi="ar"/>
                    </w:rPr>
                    <w:t>0</w:t>
                  </w:r>
                </w:p>
              </w:tc>
              <w:tc>
                <w:tcPr>
                  <w:tcW w:w="1386" w:type="dxa"/>
                  <w:vMerge w:val="continue"/>
                  <w:noWrap w:val="0"/>
                  <w:vAlign w:val="center"/>
                </w:tcPr>
                <w:p w14:paraId="461E8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bl>
          <w:p w14:paraId="5D10BA7A">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（5）非正常工况废气排放情况</w:t>
            </w:r>
          </w:p>
          <w:p w14:paraId="6AF125A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32"/>
              </w:rPr>
              <w:t>非正常排放情况下需考虑</w:t>
            </w:r>
            <w:r>
              <w:rPr>
                <w:rFonts w:hint="eastAsia" w:ascii="Times New Roman" w:hAnsi="Times New Roman" w:cs="Times New Roman"/>
                <w:color w:val="auto"/>
                <w:sz w:val="24"/>
                <w:szCs w:val="32"/>
              </w:rPr>
              <w:t>废气处理设施故障</w:t>
            </w:r>
            <w:r>
              <w:rPr>
                <w:rFonts w:hint="default" w:ascii="Times New Roman" w:hAnsi="Times New Roman" w:cs="Times New Roman"/>
                <w:color w:val="auto"/>
                <w:sz w:val="24"/>
                <w:szCs w:val="32"/>
              </w:rPr>
              <w:t>等非正常情况的污染源，对于同1种污染物，有多套废气处理设施，非正常排放情景仅考虑其中1套处理设施非正常排放；本项目仅考虑有组织废气治理设施发生故障等情况下，本项目废气排放对环境的影响和措施</w:t>
            </w:r>
            <w:r>
              <w:rPr>
                <w:rFonts w:hint="eastAsia" w:ascii="Times New Roman" w:hAnsi="Times New Roman" w:cs="Times New Roman"/>
                <w:color w:val="auto"/>
                <w:sz w:val="24"/>
                <w:szCs w:val="24"/>
              </w:rPr>
              <w:t>。因废气处理设施故障造成非正常排放，应停止运转对应的生产工艺设备</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待检修完毕后共同投入使用。所谓的“非正常排放”其一：是指设备开、停车或者设备检修时污染物的排放；其二：是指</w:t>
            </w:r>
            <w:r>
              <w:rPr>
                <w:rFonts w:hint="eastAsia" w:ascii="Times New Roman" w:hAnsi="Times New Roman" w:cs="Times New Roman"/>
                <w:color w:val="auto"/>
                <w:sz w:val="24"/>
                <w:szCs w:val="20"/>
              </w:rPr>
              <w:t>设计的环保设施在达不到设计规定的指标运行时的污染物排放。</w:t>
            </w:r>
          </w:p>
          <w:p w14:paraId="6AC0308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32"/>
              </w:rPr>
            </w:pPr>
            <w:r>
              <w:rPr>
                <w:rFonts w:hint="eastAsia" w:ascii="Times New Roman" w:hAnsi="Times New Roman" w:cs="Times New Roman"/>
                <w:color w:val="auto"/>
                <w:sz w:val="24"/>
                <w:szCs w:val="20"/>
              </w:rPr>
              <w:t>本着最不利原则，取净化系统同时发生故障污染物未进行治理直接排放，即净化效率0%作为非正常工况。废气排放量按产生量计，拟建项目运营期大气污染物非正常排放参数见</w:t>
            </w:r>
            <w:r>
              <w:rPr>
                <w:rFonts w:hint="eastAsia" w:cs="Times New Roman"/>
                <w:color w:val="auto"/>
                <w:sz w:val="24"/>
                <w:szCs w:val="20"/>
                <w:lang w:val="en-US" w:eastAsia="zh-CN"/>
              </w:rPr>
              <w:t>下表</w:t>
            </w:r>
            <w:r>
              <w:rPr>
                <w:rFonts w:hint="eastAsia" w:ascii="Times New Roman" w:hAnsi="Times New Roman" w:cs="Times New Roman"/>
                <w:color w:val="auto"/>
                <w:sz w:val="24"/>
                <w:szCs w:val="32"/>
              </w:rPr>
              <w:t>。</w:t>
            </w:r>
          </w:p>
          <w:p w14:paraId="4F8266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表4-</w:t>
            </w:r>
            <w:r>
              <w:rPr>
                <w:rFonts w:hint="eastAsia" w:cs="Times New Roman"/>
                <w:b/>
                <w:bCs/>
                <w:sz w:val="24"/>
                <w:lang w:val="en-US" w:eastAsia="zh-CN"/>
              </w:rPr>
              <w:t>6</w:t>
            </w:r>
            <w:r>
              <w:rPr>
                <w:rFonts w:hint="default" w:ascii="Times New Roman" w:hAnsi="Times New Roman" w:eastAsia="宋体" w:cs="Times New Roman"/>
                <w:b/>
                <w:bCs/>
                <w:sz w:val="24"/>
                <w:lang w:val="en-US" w:eastAsia="zh-CN"/>
              </w:rPr>
              <w:t xml:space="preserve"> 项目非正常工况废气产排情况一览表</w:t>
            </w:r>
          </w:p>
          <w:tbl>
            <w:tblPr>
              <w:tblStyle w:val="21"/>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71"/>
              <w:gridCol w:w="1059"/>
              <w:gridCol w:w="857"/>
              <w:gridCol w:w="1151"/>
              <w:gridCol w:w="1219"/>
              <w:gridCol w:w="1008"/>
              <w:gridCol w:w="1458"/>
            </w:tblGrid>
            <w:tr w14:paraId="1117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85" w:type="dxa"/>
                  <w:noWrap w:val="0"/>
                  <w:vAlign w:val="center"/>
                </w:tcPr>
                <w:p w14:paraId="2F796A7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kern w:val="0"/>
                      <w:szCs w:val="21"/>
                      <w:lang w:val="en-US" w:eastAsia="zh-CN" w:bidi="ar"/>
                    </w:rPr>
                    <w:t>污染源</w:t>
                  </w:r>
                </w:p>
              </w:tc>
              <w:tc>
                <w:tcPr>
                  <w:tcW w:w="911" w:type="dxa"/>
                  <w:noWrap w:val="0"/>
                  <w:vAlign w:val="center"/>
                </w:tcPr>
                <w:p w14:paraId="180182D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频次</w:t>
                  </w:r>
                </w:p>
              </w:tc>
              <w:tc>
                <w:tcPr>
                  <w:tcW w:w="1081" w:type="dxa"/>
                  <w:noWrap w:val="0"/>
                  <w:vAlign w:val="center"/>
                </w:tcPr>
                <w:p w14:paraId="717835B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持续</w:t>
                  </w:r>
                </w:p>
                <w:p w14:paraId="152BC27A">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时间</w:t>
                  </w:r>
                </w:p>
              </w:tc>
              <w:tc>
                <w:tcPr>
                  <w:tcW w:w="896" w:type="dxa"/>
                  <w:noWrap w:val="0"/>
                  <w:vAlign w:val="center"/>
                </w:tcPr>
                <w:p w14:paraId="1F77A72D">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污染物</w:t>
                  </w:r>
                </w:p>
              </w:tc>
              <w:tc>
                <w:tcPr>
                  <w:tcW w:w="1162" w:type="dxa"/>
                  <w:noWrap w:val="0"/>
                  <w:vAlign w:val="center"/>
                </w:tcPr>
                <w:p w14:paraId="56C34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Cs w:val="21"/>
                    </w:rPr>
                  </w:pPr>
                  <w:r>
                    <w:rPr>
                      <w:rFonts w:hint="eastAsia" w:ascii="Times New Roman" w:hAnsi="Times New Roman" w:cs="Times New Roman"/>
                      <w:b/>
                      <w:bCs/>
                      <w:color w:val="auto"/>
                      <w:szCs w:val="21"/>
                      <w:lang w:val="en-US" w:eastAsia="zh-CN"/>
                    </w:rPr>
                    <w:t>排放</w:t>
                  </w:r>
                  <w:r>
                    <w:rPr>
                      <w:rFonts w:hint="default" w:ascii="Times New Roman" w:hAnsi="Times New Roman" w:eastAsia="宋体" w:cs="Times New Roman"/>
                      <w:b/>
                      <w:bCs/>
                      <w:i w:val="0"/>
                      <w:color w:val="auto"/>
                      <w:kern w:val="0"/>
                      <w:sz w:val="21"/>
                      <w:szCs w:val="21"/>
                      <w:u w:val="none"/>
                      <w:lang w:val="en-US" w:eastAsia="zh-CN" w:bidi="ar"/>
                    </w:rPr>
                    <w:t>速率（</w:t>
                  </w:r>
                  <w:r>
                    <w:rPr>
                      <w:rFonts w:hint="eastAsia" w:ascii="Times New Roman" w:hAnsi="Times New Roman" w:eastAsia="宋体" w:cs="Times New Roman"/>
                      <w:b/>
                      <w:bCs/>
                      <w:i w:val="0"/>
                      <w:color w:val="auto"/>
                      <w:kern w:val="0"/>
                      <w:sz w:val="21"/>
                      <w:szCs w:val="21"/>
                      <w:u w:val="none"/>
                      <w:lang w:val="en-US" w:eastAsia="zh-CN" w:bidi="ar"/>
                    </w:rPr>
                    <w:t>kg</w:t>
                  </w:r>
                  <w:r>
                    <w:rPr>
                      <w:rFonts w:hint="default" w:ascii="Times New Roman" w:hAnsi="Times New Roman" w:eastAsia="宋体" w:cs="Times New Roman"/>
                      <w:b/>
                      <w:bCs/>
                      <w:i w:val="0"/>
                      <w:color w:val="auto"/>
                      <w:kern w:val="0"/>
                      <w:sz w:val="21"/>
                      <w:szCs w:val="21"/>
                      <w:u w:val="none"/>
                      <w:lang w:val="en-US" w:eastAsia="zh-CN" w:bidi="ar"/>
                    </w:rPr>
                    <w:t>/h）</w:t>
                  </w:r>
                </w:p>
              </w:tc>
              <w:tc>
                <w:tcPr>
                  <w:tcW w:w="972" w:type="dxa"/>
                  <w:noWrap w:val="0"/>
                  <w:vAlign w:val="center"/>
                </w:tcPr>
                <w:p w14:paraId="37AF2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Cs w:val="21"/>
                    </w:rPr>
                  </w:pPr>
                  <w:r>
                    <w:rPr>
                      <w:rFonts w:hint="eastAsia" w:ascii="Times New Roman" w:hAnsi="Times New Roman" w:cs="Times New Roman"/>
                      <w:b/>
                      <w:bCs/>
                      <w:color w:val="auto"/>
                      <w:szCs w:val="21"/>
                      <w:lang w:val="en-US" w:eastAsia="zh-CN"/>
                    </w:rPr>
                    <w:t>排放</w:t>
                  </w:r>
                  <w:r>
                    <w:rPr>
                      <w:rFonts w:hint="default" w:ascii="Times New Roman" w:hAnsi="Times New Roman" w:eastAsia="宋体" w:cs="Times New Roman"/>
                      <w:b/>
                      <w:bCs/>
                      <w:i w:val="0"/>
                      <w:color w:val="auto"/>
                      <w:kern w:val="0"/>
                      <w:sz w:val="21"/>
                      <w:szCs w:val="21"/>
                      <w:u w:val="none"/>
                      <w:lang w:val="en-US" w:eastAsia="zh-CN" w:bidi="ar"/>
                    </w:rPr>
                    <w:t>浓度（mg/m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w:t>
                  </w:r>
                </w:p>
              </w:tc>
              <w:tc>
                <w:tcPr>
                  <w:tcW w:w="1037" w:type="dxa"/>
                  <w:noWrap w:val="0"/>
                  <w:vAlign w:val="center"/>
                </w:tcPr>
                <w:p w14:paraId="5A216D99">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排放量</w:t>
                  </w:r>
                  <w:r>
                    <w:rPr>
                      <w:rFonts w:hint="eastAsia" w:ascii="Times New Roman" w:hAnsi="Times New Roman" w:eastAsia="宋体" w:cs="Times New Roman"/>
                      <w:b/>
                      <w:bCs/>
                      <w:i w:val="0"/>
                      <w:color w:val="auto"/>
                      <w:kern w:val="0"/>
                      <w:sz w:val="21"/>
                      <w:szCs w:val="21"/>
                      <w:u w:val="none"/>
                      <w:lang w:val="en-US" w:eastAsia="zh-CN" w:bidi="ar"/>
                    </w:rPr>
                    <w:t>kg</w:t>
                  </w:r>
                  <w:r>
                    <w:rPr>
                      <w:rFonts w:hint="eastAsia" w:ascii="Times New Roman" w:hAnsi="Times New Roman" w:cs="Times New Roman"/>
                      <w:b/>
                      <w:bCs/>
                      <w:color w:val="auto"/>
                      <w:szCs w:val="21"/>
                      <w:lang w:val="en-US" w:eastAsia="zh-CN"/>
                    </w:rPr>
                    <w:t>/a</w:t>
                  </w:r>
                </w:p>
              </w:tc>
              <w:tc>
                <w:tcPr>
                  <w:tcW w:w="1551" w:type="dxa"/>
                  <w:noWrap w:val="0"/>
                  <w:vAlign w:val="center"/>
                </w:tcPr>
                <w:p w14:paraId="48963F70">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处置措施</w:t>
                  </w:r>
                </w:p>
              </w:tc>
            </w:tr>
            <w:tr w14:paraId="00F2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5" w:type="dxa"/>
                  <w:noWrap w:val="0"/>
                  <w:vAlign w:val="center"/>
                </w:tcPr>
                <w:p w14:paraId="20762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lang w:val="en-US" w:eastAsia="zh-CN"/>
                    </w:rPr>
                    <w:t>DA001</w:t>
                  </w:r>
                </w:p>
              </w:tc>
              <w:tc>
                <w:tcPr>
                  <w:tcW w:w="911" w:type="dxa"/>
                  <w:noWrap w:val="0"/>
                  <w:vAlign w:val="center"/>
                </w:tcPr>
                <w:p w14:paraId="4DF5F57F">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2次/年</w:t>
                  </w:r>
                </w:p>
              </w:tc>
              <w:tc>
                <w:tcPr>
                  <w:tcW w:w="1081" w:type="dxa"/>
                  <w:noWrap w:val="0"/>
                  <w:vAlign w:val="center"/>
                </w:tcPr>
                <w:p w14:paraId="1BDAB566">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min/次</w:t>
                  </w:r>
                </w:p>
              </w:tc>
              <w:tc>
                <w:tcPr>
                  <w:tcW w:w="896" w:type="dxa"/>
                  <w:noWrap w:val="0"/>
                  <w:vAlign w:val="center"/>
                </w:tcPr>
                <w:p w14:paraId="0CA55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i w:val="0"/>
                      <w:color w:val="auto"/>
                      <w:kern w:val="0"/>
                      <w:sz w:val="21"/>
                      <w:szCs w:val="21"/>
                      <w:u w:val="none"/>
                      <w:lang w:val="en-US" w:eastAsia="zh-CN" w:bidi="ar"/>
                    </w:rPr>
                    <w:t>非甲烷总烃</w:t>
                  </w:r>
                </w:p>
              </w:tc>
              <w:tc>
                <w:tcPr>
                  <w:tcW w:w="1162" w:type="dxa"/>
                  <w:noWrap w:val="0"/>
                  <w:vAlign w:val="center"/>
                </w:tcPr>
                <w:p w14:paraId="4B0007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0.178</w:t>
                  </w:r>
                </w:p>
              </w:tc>
              <w:tc>
                <w:tcPr>
                  <w:tcW w:w="972" w:type="dxa"/>
                  <w:noWrap w:val="0"/>
                  <w:vAlign w:val="center"/>
                </w:tcPr>
                <w:p w14:paraId="1728F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35.56</w:t>
                  </w:r>
                </w:p>
              </w:tc>
              <w:tc>
                <w:tcPr>
                  <w:tcW w:w="1037" w:type="dxa"/>
                  <w:noWrap w:val="0"/>
                  <w:vAlign w:val="center"/>
                </w:tcPr>
                <w:p w14:paraId="7E51CF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0.178</w:t>
                  </w:r>
                </w:p>
              </w:tc>
              <w:tc>
                <w:tcPr>
                  <w:tcW w:w="1551" w:type="dxa"/>
                  <w:vMerge w:val="restart"/>
                  <w:noWrap w:val="0"/>
                  <w:vAlign w:val="center"/>
                </w:tcPr>
                <w:p w14:paraId="6CCB3D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立即停止生产进行检修</w:t>
                  </w:r>
                </w:p>
              </w:tc>
            </w:tr>
            <w:tr w14:paraId="507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985" w:type="dxa"/>
                  <w:noWrap w:val="0"/>
                  <w:vAlign w:val="center"/>
                </w:tcPr>
                <w:p w14:paraId="3110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eastAsia" w:ascii="Times New Roman" w:hAnsi="Times New Roman" w:eastAsia="宋体" w:cs="Times New Roman"/>
                      <w:b w:val="0"/>
                      <w:bCs w:val="0"/>
                      <w:color w:val="auto"/>
                      <w:sz w:val="21"/>
                      <w:szCs w:val="21"/>
                      <w:lang w:val="en-US" w:eastAsia="zh-CN"/>
                    </w:rPr>
                    <w:t>DA002</w:t>
                  </w:r>
                </w:p>
              </w:tc>
              <w:tc>
                <w:tcPr>
                  <w:tcW w:w="911" w:type="dxa"/>
                  <w:noWrap w:val="0"/>
                  <w:vAlign w:val="center"/>
                </w:tcPr>
                <w:p w14:paraId="43E5CC15">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2次/年</w:t>
                  </w:r>
                </w:p>
              </w:tc>
              <w:tc>
                <w:tcPr>
                  <w:tcW w:w="1081" w:type="dxa"/>
                  <w:noWrap w:val="0"/>
                  <w:vAlign w:val="center"/>
                </w:tcPr>
                <w:p w14:paraId="0589C501">
                  <w:pPr>
                    <w:keepNext w:val="0"/>
                    <w:keepLines w:val="0"/>
                    <w:suppressLineNumbers w:val="0"/>
                    <w:tabs>
                      <w:tab w:val="left" w:pos="1215"/>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min/次</w:t>
                  </w:r>
                </w:p>
              </w:tc>
              <w:tc>
                <w:tcPr>
                  <w:tcW w:w="896" w:type="dxa"/>
                  <w:noWrap w:val="0"/>
                  <w:vAlign w:val="center"/>
                </w:tcPr>
                <w:p w14:paraId="3FBBB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Cs/>
                      <w:color w:val="auto"/>
                      <w:sz w:val="21"/>
                      <w:szCs w:val="21"/>
                    </w:rPr>
                  </w:pPr>
                  <w:r>
                    <w:rPr>
                      <w:rFonts w:hint="eastAsia" w:ascii="Times New Roman" w:hAnsi="Times New Roman" w:eastAsia="宋体" w:cs="Times New Roman"/>
                      <w:i w:val="0"/>
                      <w:color w:val="auto"/>
                      <w:kern w:val="0"/>
                      <w:sz w:val="21"/>
                      <w:szCs w:val="21"/>
                      <w:u w:val="none"/>
                      <w:lang w:val="en-US" w:eastAsia="zh-CN" w:bidi="ar"/>
                    </w:rPr>
                    <w:t>颗粒物</w:t>
                  </w:r>
                </w:p>
              </w:tc>
              <w:tc>
                <w:tcPr>
                  <w:tcW w:w="1162" w:type="dxa"/>
                  <w:noWrap w:val="0"/>
                  <w:vAlign w:val="center"/>
                </w:tcPr>
                <w:p w14:paraId="07B0E9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0.109</w:t>
                  </w:r>
                </w:p>
              </w:tc>
              <w:tc>
                <w:tcPr>
                  <w:tcW w:w="972" w:type="dxa"/>
                  <w:noWrap w:val="0"/>
                  <w:vAlign w:val="center"/>
                </w:tcPr>
                <w:p w14:paraId="5B0185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18.13</w:t>
                  </w:r>
                </w:p>
              </w:tc>
              <w:tc>
                <w:tcPr>
                  <w:tcW w:w="1037" w:type="dxa"/>
                  <w:noWrap w:val="0"/>
                  <w:vAlign w:val="center"/>
                </w:tcPr>
                <w:p w14:paraId="7C8949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0.109</w:t>
                  </w:r>
                </w:p>
              </w:tc>
              <w:tc>
                <w:tcPr>
                  <w:tcW w:w="1551" w:type="dxa"/>
                  <w:vMerge w:val="continue"/>
                  <w:noWrap w:val="0"/>
                  <w:vAlign w:val="center"/>
                </w:tcPr>
                <w:p w14:paraId="0BE62A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r>
          </w:tbl>
          <w:p w14:paraId="6400E8A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宋体" w:hAnsi="Times New Roman" w:cs="宋体"/>
                <w:bCs/>
                <w:color w:val="auto"/>
                <w:kern w:val="0"/>
                <w:sz w:val="24"/>
              </w:rPr>
            </w:pPr>
            <w:r>
              <w:rPr>
                <w:rFonts w:hint="eastAsia" w:ascii="宋体" w:hAnsi="Times New Roman" w:cs="宋体"/>
                <w:bCs/>
                <w:color w:val="auto"/>
                <w:kern w:val="0"/>
                <w:sz w:val="24"/>
                <w:lang w:val="en-US" w:eastAsia="zh-CN"/>
              </w:rPr>
              <w:t>非正常工况应</w:t>
            </w:r>
            <w:r>
              <w:rPr>
                <w:rFonts w:hint="eastAsia" w:ascii="宋体" w:hAnsi="Times New Roman" w:cs="宋体"/>
                <w:bCs/>
                <w:color w:val="auto"/>
                <w:kern w:val="0"/>
                <w:sz w:val="24"/>
              </w:rPr>
              <w:t>采取以下措施：</w:t>
            </w:r>
          </w:p>
          <w:p w14:paraId="17DA1B2E">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①如果全厂停电，停止生产，无污染物产生。</w:t>
            </w:r>
          </w:p>
          <w:p w14:paraId="1657E85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②风机出现故障时，</w:t>
            </w:r>
            <w:r>
              <w:rPr>
                <w:rFonts w:hint="default" w:ascii="Times New Roman" w:hAnsi="Times New Roman" w:cs="Times New Roman"/>
                <w:bCs/>
                <w:color w:val="auto"/>
                <w:sz w:val="24"/>
              </w:rPr>
              <w:t>应立即维修</w:t>
            </w:r>
            <w:r>
              <w:rPr>
                <w:rFonts w:hint="default" w:ascii="Times New Roman" w:hAnsi="Times New Roman" w:cs="Times New Roman"/>
                <w:bCs/>
                <w:color w:val="auto"/>
                <w:kern w:val="0"/>
                <w:sz w:val="24"/>
              </w:rPr>
              <w:t>。</w:t>
            </w:r>
          </w:p>
          <w:p w14:paraId="03DA57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Cs/>
                <w:color w:val="auto"/>
                <w:sz w:val="24"/>
              </w:rPr>
              <w:t>③废气处理设施出现故障时，应立即维修，必要时停止生产原料的供给。</w:t>
            </w:r>
          </w:p>
          <w:p w14:paraId="02268308">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废气污染物监测计划</w:t>
            </w:r>
          </w:p>
          <w:p w14:paraId="60223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评价项目</w:t>
            </w:r>
            <w:r>
              <w:rPr>
                <w:rFonts w:hint="eastAsia" w:ascii="Times New Roman" w:hAnsi="Times New Roman" w:eastAsia="宋体" w:cs="Times New Roman"/>
                <w:color w:val="auto"/>
                <w:kern w:val="0"/>
                <w:sz w:val="24"/>
                <w:szCs w:val="20"/>
                <w:lang w:val="en-US" w:eastAsia="zh-CN" w:bidi="ar-SA"/>
              </w:rPr>
              <w:t>可参照</w:t>
            </w:r>
            <w:r>
              <w:rPr>
                <w:rFonts w:hint="eastAsia" w:cs="Times New Roman"/>
                <w:color w:val="auto"/>
                <w:kern w:val="0"/>
                <w:sz w:val="24"/>
                <w:szCs w:val="20"/>
                <w:lang w:val="en-US" w:eastAsia="zh-CN" w:bidi="ar-SA"/>
              </w:rPr>
              <w:t>《排污单位自行监测技术指南总则》(HJ 819-2017)、《排污许可证申请与核发技术规范·汽车制造业》(HJ971-2018)</w:t>
            </w:r>
            <w:r>
              <w:rPr>
                <w:rFonts w:hint="eastAsia" w:ascii="Times New Roman" w:hAnsi="Times New Roman" w:eastAsia="宋体" w:cs="Times New Roman"/>
                <w:color w:val="auto"/>
                <w:kern w:val="0"/>
                <w:sz w:val="24"/>
                <w:szCs w:val="20"/>
                <w:lang w:val="en-US" w:eastAsia="zh-CN" w:bidi="ar-SA"/>
              </w:rPr>
              <w:t>、《排污许可申请与核发技术规范 总则》（HJ942-2018），提出环境监测计划</w:t>
            </w:r>
            <w:r>
              <w:rPr>
                <w:rFonts w:hint="default" w:ascii="Times New Roman" w:hAnsi="Times New Roman" w:eastAsia="宋体" w:cs="Times New Roman"/>
                <w:color w:val="auto"/>
                <w:kern w:val="0"/>
                <w:sz w:val="24"/>
                <w:szCs w:val="20"/>
                <w:lang w:val="en-US" w:eastAsia="zh-CN" w:bidi="ar-SA"/>
              </w:rPr>
              <w:t>。</w:t>
            </w:r>
          </w:p>
          <w:p w14:paraId="43C58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若企业不具备监测条件，可委托有资质的监测单位进行监测，监测结果以报表形式上报当地环保主管部门。</w:t>
            </w:r>
          </w:p>
          <w:p w14:paraId="44F63D29">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eastAsia"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lang w:val="en-US" w:eastAsia="zh-CN"/>
              </w:rPr>
              <w:t>废气污染物监测计划</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806"/>
              <w:gridCol w:w="660"/>
              <w:gridCol w:w="1895"/>
              <w:gridCol w:w="2666"/>
              <w:gridCol w:w="1351"/>
            </w:tblGrid>
            <w:tr w14:paraId="636B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4" w:type="pct"/>
                  <w:tcBorders>
                    <w:top w:val="single" w:color="000000" w:sz="4" w:space="0"/>
                    <w:left w:val="single" w:color="000000" w:sz="4" w:space="0"/>
                    <w:bottom w:val="single" w:color="000000" w:sz="4" w:space="0"/>
                    <w:right w:val="single" w:color="000000" w:sz="4" w:space="0"/>
                  </w:tcBorders>
                  <w:noWrap w:val="0"/>
                  <w:vAlign w:val="center"/>
                </w:tcPr>
                <w:p w14:paraId="611639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监测时期</w:t>
                  </w:r>
                </w:p>
              </w:tc>
              <w:tc>
                <w:tcPr>
                  <w:tcW w:w="479" w:type="pct"/>
                  <w:tcBorders>
                    <w:top w:val="single" w:color="000000" w:sz="4" w:space="0"/>
                    <w:left w:val="nil"/>
                    <w:bottom w:val="single" w:color="000000" w:sz="4" w:space="0"/>
                    <w:right w:val="single" w:color="000000" w:sz="4" w:space="0"/>
                  </w:tcBorders>
                  <w:noWrap w:val="0"/>
                  <w:vAlign w:val="center"/>
                </w:tcPr>
                <w:p w14:paraId="7367EE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518" w:type="pct"/>
                  <w:gridSpan w:val="2"/>
                  <w:tcBorders>
                    <w:top w:val="single" w:color="000000" w:sz="4" w:space="0"/>
                    <w:left w:val="nil"/>
                    <w:bottom w:val="single" w:color="000000" w:sz="4" w:space="0"/>
                    <w:right w:val="single" w:color="000000" w:sz="4" w:space="0"/>
                  </w:tcBorders>
                  <w:noWrap w:val="0"/>
                  <w:vAlign w:val="center"/>
                </w:tcPr>
                <w:p w14:paraId="16FA25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584" w:type="pct"/>
                  <w:tcBorders>
                    <w:top w:val="single" w:color="000000" w:sz="4" w:space="0"/>
                    <w:left w:val="nil"/>
                    <w:bottom w:val="single" w:color="000000" w:sz="4" w:space="0"/>
                    <w:right w:val="single" w:color="000000" w:sz="4" w:space="0"/>
                  </w:tcBorders>
                  <w:noWrap w:val="0"/>
                  <w:vAlign w:val="center"/>
                </w:tcPr>
                <w:p w14:paraId="6F60AA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w:t>
                  </w:r>
                </w:p>
              </w:tc>
              <w:tc>
                <w:tcPr>
                  <w:tcW w:w="803" w:type="pct"/>
                  <w:tcBorders>
                    <w:top w:val="single" w:color="000000" w:sz="4" w:space="0"/>
                    <w:left w:val="nil"/>
                    <w:bottom w:val="single" w:color="000000" w:sz="4" w:space="0"/>
                    <w:right w:val="single" w:color="000000" w:sz="4" w:space="0"/>
                  </w:tcBorders>
                  <w:noWrap w:val="0"/>
                  <w:vAlign w:val="center"/>
                </w:tcPr>
                <w:p w14:paraId="0A3A2F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14:paraId="2F5B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14" w:type="pct"/>
                  <w:vMerge w:val="restart"/>
                  <w:tcBorders>
                    <w:left w:val="single" w:color="000000" w:sz="4" w:space="0"/>
                    <w:right w:val="single" w:color="000000" w:sz="4" w:space="0"/>
                  </w:tcBorders>
                  <w:noWrap w:val="0"/>
                  <w:vAlign w:val="center"/>
                </w:tcPr>
                <w:p w14:paraId="4FD67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运营期</w:t>
                  </w:r>
                </w:p>
              </w:tc>
              <w:tc>
                <w:tcPr>
                  <w:tcW w:w="479" w:type="pct"/>
                  <w:vMerge w:val="restart"/>
                  <w:tcBorders>
                    <w:top w:val="single" w:color="000000" w:sz="4" w:space="0"/>
                    <w:left w:val="nil"/>
                    <w:right w:val="single" w:color="000000" w:sz="4" w:space="0"/>
                  </w:tcBorders>
                  <w:noWrap w:val="0"/>
                  <w:vAlign w:val="center"/>
                </w:tcPr>
                <w:p w14:paraId="4DAD6F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废气</w:t>
                  </w:r>
                </w:p>
              </w:tc>
              <w:tc>
                <w:tcPr>
                  <w:tcW w:w="392" w:type="pct"/>
                  <w:vMerge w:val="restart"/>
                  <w:tcBorders>
                    <w:top w:val="single" w:color="000000" w:sz="4" w:space="0"/>
                    <w:left w:val="nil"/>
                    <w:right w:val="single" w:color="000000" w:sz="4" w:space="0"/>
                  </w:tcBorders>
                  <w:noWrap w:val="0"/>
                  <w:vAlign w:val="center"/>
                </w:tcPr>
                <w:p w14:paraId="52122B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1126" w:type="pct"/>
                  <w:tcBorders>
                    <w:top w:val="single" w:color="000000" w:sz="4" w:space="0"/>
                    <w:left w:val="nil"/>
                    <w:bottom w:val="single" w:color="000000" w:sz="4" w:space="0"/>
                    <w:right w:val="single" w:color="000000" w:sz="4" w:space="0"/>
                  </w:tcBorders>
                  <w:noWrap w:val="0"/>
                  <w:vAlign w:val="center"/>
                </w:tcPr>
                <w:p w14:paraId="410135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kern w:val="0"/>
                      <w:szCs w:val="21"/>
                    </w:rPr>
                    <w:t>非甲烷总烃</w:t>
                  </w:r>
                  <w:r>
                    <w:rPr>
                      <w:rFonts w:hint="eastAsia" w:ascii="Times New Roman" w:hAnsi="Times New Roman" w:cs="Times New Roman"/>
                      <w:bCs/>
                      <w:kern w:val="0"/>
                      <w:szCs w:val="21"/>
                      <w:lang w:eastAsia="zh-CN"/>
                    </w:rPr>
                    <w:t>、</w:t>
                  </w:r>
                  <w:r>
                    <w:rPr>
                      <w:rFonts w:hint="default" w:ascii="Times New Roman" w:hAnsi="Times New Roman" w:cs="Times New Roman"/>
                      <w:bCs/>
                      <w:kern w:val="0"/>
                      <w:szCs w:val="21"/>
                    </w:rPr>
                    <w:t>颗粒物、二氧化硫、氮氧化物</w:t>
                  </w:r>
                </w:p>
              </w:tc>
              <w:tc>
                <w:tcPr>
                  <w:tcW w:w="1584" w:type="pct"/>
                  <w:tcBorders>
                    <w:top w:val="single" w:color="000000" w:sz="4" w:space="0"/>
                    <w:left w:val="nil"/>
                    <w:bottom w:val="single" w:color="000000" w:sz="4" w:space="0"/>
                    <w:right w:val="single" w:color="000000" w:sz="4" w:space="0"/>
                  </w:tcBorders>
                  <w:noWrap w:val="0"/>
                  <w:vAlign w:val="center"/>
                </w:tcPr>
                <w:p w14:paraId="539670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bCs/>
                      <w:kern w:val="0"/>
                      <w:szCs w:val="21"/>
                      <w:lang w:val="en-US" w:eastAsia="zh-CN"/>
                    </w:rPr>
                    <w:t>DA001</w:t>
                  </w:r>
                </w:p>
              </w:tc>
              <w:tc>
                <w:tcPr>
                  <w:tcW w:w="803" w:type="pct"/>
                  <w:tcBorders>
                    <w:top w:val="single" w:color="000000" w:sz="4" w:space="0"/>
                    <w:left w:val="nil"/>
                    <w:bottom w:val="single" w:color="000000" w:sz="4" w:space="0"/>
                    <w:right w:val="single" w:color="000000" w:sz="4" w:space="0"/>
                  </w:tcBorders>
                  <w:noWrap w:val="0"/>
                  <w:vAlign w:val="center"/>
                </w:tcPr>
                <w:p w14:paraId="75C644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lang w:val="en-US" w:eastAsia="zh-CN"/>
                    </w:rPr>
                    <w:t>每年一次</w:t>
                  </w:r>
                </w:p>
              </w:tc>
            </w:tr>
            <w:tr w14:paraId="4554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39B9F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24849D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392" w:type="pct"/>
                  <w:vMerge w:val="continue"/>
                  <w:tcBorders>
                    <w:left w:val="nil"/>
                    <w:bottom w:val="single" w:color="000000" w:sz="4" w:space="0"/>
                    <w:right w:val="single" w:color="000000" w:sz="4" w:space="0"/>
                  </w:tcBorders>
                  <w:noWrap w:val="0"/>
                  <w:vAlign w:val="center"/>
                </w:tcPr>
                <w:p w14:paraId="3DC2CE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26" w:type="pct"/>
                  <w:tcBorders>
                    <w:top w:val="single" w:color="000000" w:sz="4" w:space="0"/>
                    <w:left w:val="nil"/>
                    <w:bottom w:val="single" w:color="000000" w:sz="4" w:space="0"/>
                    <w:right w:val="single" w:color="000000" w:sz="4" w:space="0"/>
                  </w:tcBorders>
                  <w:noWrap w:val="0"/>
                  <w:vAlign w:val="center"/>
                </w:tcPr>
                <w:p w14:paraId="1124AE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584" w:type="pct"/>
                  <w:tcBorders>
                    <w:top w:val="single" w:color="000000" w:sz="4" w:space="0"/>
                    <w:left w:val="nil"/>
                    <w:bottom w:val="single" w:color="000000" w:sz="4" w:space="0"/>
                    <w:right w:val="single" w:color="000000" w:sz="4" w:space="0"/>
                  </w:tcBorders>
                  <w:noWrap w:val="0"/>
                  <w:vAlign w:val="center"/>
                </w:tcPr>
                <w:p w14:paraId="41391A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kern w:val="0"/>
                      <w:szCs w:val="21"/>
                      <w:lang w:val="en-US" w:eastAsia="zh-CN"/>
                    </w:rPr>
                    <w:t>DA002</w:t>
                  </w:r>
                </w:p>
              </w:tc>
              <w:tc>
                <w:tcPr>
                  <w:tcW w:w="803" w:type="pct"/>
                  <w:tcBorders>
                    <w:top w:val="single" w:color="000000" w:sz="4" w:space="0"/>
                    <w:left w:val="nil"/>
                    <w:bottom w:val="single" w:color="000000" w:sz="4" w:space="0"/>
                    <w:right w:val="single" w:color="000000" w:sz="4" w:space="0"/>
                  </w:tcBorders>
                  <w:noWrap w:val="0"/>
                  <w:vAlign w:val="center"/>
                </w:tcPr>
                <w:p w14:paraId="2B7C32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lang w:val="en-US" w:eastAsia="zh-CN"/>
                    </w:rPr>
                    <w:t>每年一次</w:t>
                  </w:r>
                </w:p>
              </w:tc>
            </w:tr>
            <w:tr w14:paraId="6BD7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23160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4F5579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392" w:type="pct"/>
                  <w:vMerge w:val="restart"/>
                  <w:tcBorders>
                    <w:top w:val="single" w:color="000000" w:sz="4" w:space="0"/>
                    <w:left w:val="nil"/>
                    <w:right w:val="single" w:color="000000" w:sz="4" w:space="0"/>
                  </w:tcBorders>
                  <w:noWrap w:val="0"/>
                  <w:vAlign w:val="center"/>
                </w:tcPr>
                <w:p w14:paraId="6A6288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w:t>
                  </w:r>
                </w:p>
              </w:tc>
              <w:tc>
                <w:tcPr>
                  <w:tcW w:w="1126" w:type="pct"/>
                  <w:tcBorders>
                    <w:top w:val="single" w:color="000000" w:sz="4" w:space="0"/>
                    <w:left w:val="nil"/>
                    <w:bottom w:val="single" w:color="000000" w:sz="4" w:space="0"/>
                    <w:right w:val="single" w:color="000000" w:sz="4" w:space="0"/>
                  </w:tcBorders>
                  <w:noWrap w:val="0"/>
                  <w:vAlign w:val="center"/>
                </w:tcPr>
                <w:p w14:paraId="1F3A4C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584" w:type="pct"/>
                  <w:tcBorders>
                    <w:top w:val="single" w:color="000000" w:sz="4" w:space="0"/>
                    <w:left w:val="nil"/>
                    <w:bottom w:val="single" w:color="000000" w:sz="4" w:space="0"/>
                    <w:right w:val="single" w:color="000000" w:sz="4" w:space="0"/>
                  </w:tcBorders>
                  <w:noWrap w:val="0"/>
                  <w:vAlign w:val="center"/>
                </w:tcPr>
                <w:p w14:paraId="192378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厂界外上风向1处，下风向3处</w:t>
                  </w:r>
                </w:p>
              </w:tc>
              <w:tc>
                <w:tcPr>
                  <w:tcW w:w="803" w:type="pct"/>
                  <w:tcBorders>
                    <w:top w:val="single" w:color="000000" w:sz="4" w:space="0"/>
                    <w:left w:val="nil"/>
                    <w:bottom w:val="single" w:color="000000" w:sz="4" w:space="0"/>
                    <w:right w:val="single" w:color="000000" w:sz="4" w:space="0"/>
                  </w:tcBorders>
                  <w:noWrap w:val="0"/>
                  <w:vAlign w:val="center"/>
                </w:tcPr>
                <w:p w14:paraId="26C6A8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每年一次</w:t>
                  </w:r>
                </w:p>
              </w:tc>
            </w:tr>
            <w:tr w14:paraId="0DAB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08B72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41BC27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392" w:type="pct"/>
                  <w:vMerge w:val="continue"/>
                  <w:tcBorders>
                    <w:left w:val="nil"/>
                    <w:bottom w:val="single" w:color="000000" w:sz="4" w:space="0"/>
                    <w:right w:val="single" w:color="000000" w:sz="4" w:space="0"/>
                  </w:tcBorders>
                  <w:noWrap w:val="0"/>
                  <w:vAlign w:val="center"/>
                </w:tcPr>
                <w:p w14:paraId="1B2847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1126" w:type="pct"/>
                  <w:tcBorders>
                    <w:top w:val="single" w:color="000000" w:sz="4" w:space="0"/>
                    <w:left w:val="nil"/>
                    <w:bottom w:val="single" w:color="000000" w:sz="4" w:space="0"/>
                    <w:right w:val="single" w:color="000000" w:sz="4" w:space="0"/>
                  </w:tcBorders>
                  <w:noWrap w:val="0"/>
                  <w:vAlign w:val="center"/>
                </w:tcPr>
                <w:p w14:paraId="7B6362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kern w:val="0"/>
                      <w:szCs w:val="21"/>
                    </w:rPr>
                    <w:t>非甲烷总烃</w:t>
                  </w:r>
                </w:p>
              </w:tc>
              <w:tc>
                <w:tcPr>
                  <w:tcW w:w="1584" w:type="pct"/>
                  <w:tcBorders>
                    <w:top w:val="single" w:color="000000" w:sz="4" w:space="0"/>
                    <w:left w:val="nil"/>
                    <w:bottom w:val="single" w:color="000000" w:sz="4" w:space="0"/>
                    <w:right w:val="single" w:color="000000" w:sz="4" w:space="0"/>
                  </w:tcBorders>
                  <w:noWrap w:val="0"/>
                  <w:vAlign w:val="center"/>
                </w:tcPr>
                <w:p w14:paraId="10B7C6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color w:val="auto"/>
                      <w:szCs w:val="21"/>
                    </w:rPr>
                    <w:t>厂房外</w:t>
                  </w:r>
                  <w:r>
                    <w:rPr>
                      <w:rFonts w:hint="eastAsia" w:ascii="Times New Roman" w:hAnsi="Times New Roman" w:cs="Times New Roman"/>
                      <w:bCs/>
                      <w:color w:val="auto"/>
                      <w:szCs w:val="21"/>
                    </w:rPr>
                    <w:t>厂区内</w:t>
                  </w:r>
                  <w:r>
                    <w:rPr>
                      <w:rFonts w:hint="eastAsia" w:ascii="Times New Roman" w:hAnsi="Times New Roman" w:eastAsia="宋体" w:cs="Times New Roman"/>
                      <w:color w:val="auto"/>
                      <w:sz w:val="21"/>
                      <w:szCs w:val="21"/>
                      <w:lang w:val="en-US" w:eastAsia="zh-CN"/>
                    </w:rPr>
                    <w:t>1处；厂界外上风向1处，下风向3处</w:t>
                  </w:r>
                </w:p>
              </w:tc>
              <w:tc>
                <w:tcPr>
                  <w:tcW w:w="803" w:type="pct"/>
                  <w:tcBorders>
                    <w:top w:val="single" w:color="000000" w:sz="4" w:space="0"/>
                    <w:left w:val="nil"/>
                    <w:bottom w:val="single" w:color="000000" w:sz="4" w:space="0"/>
                    <w:right w:val="single" w:color="000000" w:sz="4" w:space="0"/>
                  </w:tcBorders>
                  <w:noWrap w:val="0"/>
                  <w:vAlign w:val="center"/>
                </w:tcPr>
                <w:p w14:paraId="6EF8E9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每年一次</w:t>
                  </w:r>
                </w:p>
              </w:tc>
            </w:tr>
          </w:tbl>
          <w:p w14:paraId="76A7F309">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14:paraId="51E60676">
            <w:pPr>
              <w:pStyle w:val="13"/>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技术可行性分析</w:t>
            </w:r>
          </w:p>
          <w:p w14:paraId="2CC29E3C">
            <w:pPr>
              <w:pStyle w:val="86"/>
              <w:keepNext w:val="0"/>
              <w:keepLines w:val="0"/>
              <w:suppressLineNumbers w:val="0"/>
              <w:tabs>
                <w:tab w:val="left" w:pos="2595"/>
              </w:tabs>
              <w:snapToGrid w:val="0"/>
              <w:spacing w:before="0" w:beforeAutospacing="0" w:after="0" w:afterAutospacing="0"/>
              <w:ind w:left="0" w:right="0"/>
              <w:jc w:val="left"/>
              <w:textAlignment w:val="auto"/>
              <w:rPr>
                <w:rFonts w:hint="default" w:ascii="Times New Roman" w:hAnsi="Times New Roman" w:cs="Times New Roman"/>
                <w:bCs/>
                <w:color w:val="auto"/>
                <w:kern w:val="2"/>
              </w:rPr>
            </w:pPr>
            <w:r>
              <w:rPr>
                <w:rFonts w:hint="default" w:ascii="Times New Roman" w:hAnsi="Times New Roman" w:cs="Times New Roman"/>
                <w:bCs/>
                <w:color w:val="auto"/>
                <w:kern w:val="2"/>
              </w:rPr>
              <w:t>参照本项目废气处理工艺与</w:t>
            </w:r>
            <w:r>
              <w:rPr>
                <w:rFonts w:hint="eastAsia" w:ascii="Times New Roman" w:hAnsi="Times New Roman" w:eastAsia="宋体" w:cs="Times New Roman"/>
                <w:color w:val="auto"/>
                <w:kern w:val="2"/>
                <w:sz w:val="24"/>
                <w:szCs w:val="24"/>
                <w:highlight w:val="none"/>
                <w:lang w:val="en-US" w:eastAsia="zh-CN" w:bidi="ar-SA"/>
              </w:rPr>
              <w:t>《排放源统计调查产排污核算方法和系数手册》、</w:t>
            </w:r>
            <w:r>
              <w:rPr>
                <w:rFonts w:hint="default" w:ascii="Times New Roman" w:hAnsi="Times New Roman" w:cs="Times New Roman"/>
                <w:bCs/>
                <w:color w:val="auto"/>
                <w:kern w:val="2"/>
              </w:rPr>
              <w:t>《排污许可证申请与核发技术规范 汽车制造业》(HJ971-2018)推荐工艺符合性分析如下:</w:t>
            </w:r>
          </w:p>
          <w:p w14:paraId="24608FE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8</w:t>
            </w:r>
            <w:r>
              <w:rPr>
                <w:rFonts w:hint="default" w:ascii="Times New Roman" w:hAnsi="Times New Roman" w:cs="Times New Roman"/>
                <w:b/>
                <w:bCs/>
                <w:color w:val="auto"/>
              </w:rPr>
              <w:t>污染防治可行技术对比分析</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4"/>
              <w:gridCol w:w="3707"/>
              <w:gridCol w:w="2704"/>
              <w:gridCol w:w="749"/>
            </w:tblGrid>
            <w:tr w14:paraId="772F7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7" w:type="dxa"/>
                  <w:noWrap w:val="0"/>
                  <w:vAlign w:val="center"/>
                </w:tcPr>
                <w:p w14:paraId="515BF2CD">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产排污环节</w:t>
                  </w:r>
                </w:p>
              </w:tc>
              <w:tc>
                <w:tcPr>
                  <w:tcW w:w="3999" w:type="dxa"/>
                  <w:noWrap w:val="0"/>
                  <w:vAlign w:val="center"/>
                </w:tcPr>
                <w:p w14:paraId="6467790D">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可行技术</w:t>
                  </w:r>
                </w:p>
              </w:tc>
              <w:tc>
                <w:tcPr>
                  <w:tcW w:w="2851" w:type="dxa"/>
                  <w:noWrap w:val="0"/>
                  <w:vAlign w:val="center"/>
                </w:tcPr>
                <w:p w14:paraId="2B7CF69D">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本项目内容</w:t>
                  </w:r>
                </w:p>
              </w:tc>
              <w:tc>
                <w:tcPr>
                  <w:tcW w:w="796" w:type="dxa"/>
                  <w:noWrap w:val="0"/>
                  <w:vAlign w:val="center"/>
                </w:tcPr>
                <w:p w14:paraId="6D8B637C">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14:paraId="58429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27" w:type="dxa"/>
                  <w:noWrap w:val="0"/>
                  <w:vAlign w:val="center"/>
                </w:tcPr>
                <w:p w14:paraId="12E9AA42">
                  <w:pPr>
                    <w:pStyle w:val="6"/>
                    <w:keepNext w:val="0"/>
                    <w:keepLines w:val="0"/>
                    <w:suppressLineNumbers w:val="0"/>
                    <w:spacing w:before="0" w:beforeAutospacing="0" w:after="0" w:afterAutospacing="0" w:line="240" w:lineRule="auto"/>
                    <w:ind w:left="0" w:leftChars="0" w:right="0"/>
                    <w:jc w:val="center"/>
                    <w:rPr>
                      <w:rFonts w:hint="eastAsia" w:cs="Times New Roman"/>
                      <w:color w:val="auto"/>
                      <w:sz w:val="21"/>
                      <w:szCs w:val="21"/>
                      <w:lang w:val="en-US" w:eastAsia="zh-CN"/>
                    </w:rPr>
                  </w:pPr>
                  <w:r>
                    <w:rPr>
                      <w:rFonts w:hint="eastAsia" w:cs="Times New Roman"/>
                      <w:color w:val="auto"/>
                      <w:sz w:val="21"/>
                      <w:szCs w:val="21"/>
                      <w:lang w:val="en-US" w:eastAsia="zh-CN"/>
                    </w:rPr>
                    <w:t>改性、涂层、沉积、碳化</w:t>
                  </w:r>
                </w:p>
                <w:p w14:paraId="6AB49458">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真空泵油雾</w:t>
                  </w:r>
                </w:p>
              </w:tc>
              <w:tc>
                <w:tcPr>
                  <w:tcW w:w="3999" w:type="dxa"/>
                  <w:noWrap w:val="0"/>
                  <w:vAlign w:val="center"/>
                </w:tcPr>
                <w:p w14:paraId="7531DBD9">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活性炭吸附、热力焚烧</w:t>
                  </w:r>
                </w:p>
              </w:tc>
              <w:tc>
                <w:tcPr>
                  <w:tcW w:w="2851" w:type="dxa"/>
                  <w:noWrap w:val="0"/>
                  <w:vAlign w:val="center"/>
                </w:tcPr>
                <w:p w14:paraId="1A558699">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管道收集</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lang w:eastAsia="zh-CN"/>
                    </w:rPr>
                    <w:t>TO</w:t>
                  </w:r>
                  <w:r>
                    <w:rPr>
                      <w:rFonts w:hint="default" w:ascii="Times New Roman" w:hAnsi="Times New Roman" w:cs="Times New Roman"/>
                      <w:color w:val="auto"/>
                      <w:sz w:val="21"/>
                      <w:szCs w:val="21"/>
                      <w:lang w:eastAsia="zh-CN"/>
                    </w:rPr>
                    <w:t>燃烧装置</w:t>
                  </w:r>
                  <w:r>
                    <w:rPr>
                      <w:rFonts w:hint="default" w:ascii="Times New Roman" w:hAnsi="Times New Roman" w:cs="Times New Roman"/>
                      <w:color w:val="auto"/>
                      <w:sz w:val="21"/>
                      <w:szCs w:val="21"/>
                    </w:rPr>
                    <w:t>+</w:t>
                  </w:r>
                  <w:r>
                    <w:rPr>
                      <w:rFonts w:hint="eastAsia" w:cs="Times New Roman"/>
                      <w:color w:val="auto"/>
                      <w:sz w:val="21"/>
                      <w:szCs w:val="21"/>
                      <w:lang w:val="en-US" w:eastAsia="zh-CN"/>
                    </w:rPr>
                    <w:t>15</w:t>
                  </w:r>
                  <w:r>
                    <w:rPr>
                      <w:rFonts w:hint="default" w:ascii="Times New Roman" w:hAnsi="Times New Roman" w:cs="Times New Roman"/>
                      <w:color w:val="auto"/>
                      <w:sz w:val="21"/>
                      <w:szCs w:val="21"/>
                    </w:rPr>
                    <w:t>m高排气筒</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DA00</w:t>
                  </w:r>
                  <w:r>
                    <w:rPr>
                      <w:rFonts w:hint="eastAsia" w:cs="Times New Roman"/>
                      <w:color w:val="000000"/>
                      <w:sz w:val="21"/>
                      <w:szCs w:val="21"/>
                      <w:lang w:val="en-US" w:eastAsia="zh-CN"/>
                    </w:rPr>
                    <w:t>1</w:t>
                  </w:r>
                  <w:r>
                    <w:rPr>
                      <w:rFonts w:hint="default" w:ascii="Times New Roman" w:hAnsi="Times New Roman" w:cs="Times New Roman"/>
                      <w:color w:val="000000"/>
                      <w:sz w:val="21"/>
                      <w:szCs w:val="21"/>
                      <w:lang w:eastAsia="zh-CN"/>
                    </w:rPr>
                    <w:t>）</w:t>
                  </w:r>
                </w:p>
              </w:tc>
              <w:tc>
                <w:tcPr>
                  <w:tcW w:w="796" w:type="dxa"/>
                  <w:noWrap w:val="0"/>
                  <w:vAlign w:val="center"/>
                </w:tcPr>
                <w:p w14:paraId="5F8E11AC">
                  <w:pPr>
                    <w:pStyle w:val="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符合</w:t>
                  </w:r>
                </w:p>
              </w:tc>
            </w:tr>
            <w:tr w14:paraId="4DDC9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27" w:type="dxa"/>
                  <w:noWrap w:val="0"/>
                  <w:vAlign w:val="center"/>
                </w:tcPr>
                <w:p w14:paraId="7514184F">
                  <w:pPr>
                    <w:pStyle w:val="6"/>
                    <w:keepNext w:val="0"/>
                    <w:keepLines w:val="0"/>
                    <w:suppressLineNumbers w:val="0"/>
                    <w:spacing w:before="0" w:beforeAutospacing="0" w:after="0" w:afterAutospacing="0" w:line="240" w:lineRule="auto"/>
                    <w:ind w:left="0" w:leftChars="0" w:right="0"/>
                    <w:jc w:val="center"/>
                    <w:rPr>
                      <w:rFonts w:hint="eastAsia" w:cs="Times New Roman"/>
                      <w:color w:val="auto"/>
                      <w:sz w:val="21"/>
                      <w:szCs w:val="21"/>
                      <w:lang w:val="en-US" w:eastAsia="zh-CN"/>
                    </w:rPr>
                  </w:pPr>
                  <w:r>
                    <w:rPr>
                      <w:rFonts w:hint="eastAsia" w:cs="Times New Roman"/>
                      <w:color w:val="auto"/>
                      <w:sz w:val="21"/>
                      <w:szCs w:val="21"/>
                      <w:lang w:val="en-US" w:eastAsia="zh-CN"/>
                    </w:rPr>
                    <w:t>混料</w:t>
                  </w:r>
                </w:p>
                <w:p w14:paraId="2723188E">
                  <w:pPr>
                    <w:pStyle w:val="6"/>
                    <w:keepNext w:val="0"/>
                    <w:keepLines w:val="0"/>
                    <w:suppressLineNumbers w:val="0"/>
                    <w:spacing w:before="0" w:beforeAutospacing="0" w:after="0" w:afterAutospacing="0" w:line="240" w:lineRule="auto"/>
                    <w:ind w:left="0" w:leftChars="0" w:right="0"/>
                    <w:jc w:val="center"/>
                    <w:rPr>
                      <w:rFonts w:hint="eastAsia" w:cs="Times New Roman"/>
                      <w:color w:val="auto"/>
                      <w:sz w:val="21"/>
                      <w:szCs w:val="21"/>
                      <w:lang w:val="en-US" w:eastAsia="zh-CN"/>
                    </w:rPr>
                  </w:pPr>
                  <w:r>
                    <w:rPr>
                      <w:rFonts w:hint="eastAsia" w:cs="Times New Roman"/>
                      <w:color w:val="auto"/>
                      <w:sz w:val="21"/>
                      <w:szCs w:val="21"/>
                      <w:lang w:val="en-US" w:eastAsia="zh-CN"/>
                    </w:rPr>
                    <w:t>加工</w:t>
                  </w:r>
                </w:p>
              </w:tc>
              <w:tc>
                <w:tcPr>
                  <w:tcW w:w="3999" w:type="dxa"/>
                  <w:noWrap w:val="0"/>
                  <w:vAlign w:val="center"/>
                </w:tcPr>
                <w:p w14:paraId="3703E21D">
                  <w:pPr>
                    <w:pStyle w:val="6"/>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袋式除尘；</w:t>
                  </w:r>
                  <w:r>
                    <w:rPr>
                      <w:rFonts w:hint="default" w:ascii="Times New Roman" w:hAnsi="Times New Roman" w:cs="Times New Roman"/>
                      <w:color w:val="auto"/>
                      <w:sz w:val="21"/>
                      <w:szCs w:val="21"/>
                      <w:lang w:val="en-US" w:eastAsia="zh-CN"/>
                    </w:rPr>
                    <w:t>旋风除尘器；</w:t>
                  </w:r>
                  <w:r>
                    <w:rPr>
                      <w:rFonts w:hint="default" w:ascii="Times New Roman" w:hAnsi="Times New Roman" w:cs="Times New Roman"/>
                      <w:color w:val="000000"/>
                      <w:sz w:val="21"/>
                      <w:szCs w:val="21"/>
                    </w:rPr>
                    <w:t>旋风+袋式除尘</w:t>
                  </w:r>
                </w:p>
              </w:tc>
              <w:tc>
                <w:tcPr>
                  <w:tcW w:w="2851" w:type="dxa"/>
                  <w:noWrap w:val="0"/>
                  <w:vAlign w:val="center"/>
                </w:tcPr>
                <w:p w14:paraId="678D0EE5">
                  <w:pPr>
                    <w:pStyle w:val="6"/>
                    <w:keepNext w:val="0"/>
                    <w:keepLines w:val="0"/>
                    <w:suppressLineNumbers w:val="0"/>
                    <w:spacing w:before="0" w:beforeAutospacing="0" w:after="0" w:afterAutospacing="0" w:line="240" w:lineRule="auto"/>
                    <w:ind w:left="0" w:leftChars="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管道收集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lang w:eastAsia="zh-CN"/>
                    </w:rPr>
                    <w:t>布袋除尘器</w:t>
                  </w:r>
                  <w:r>
                    <w:rPr>
                      <w:rFonts w:hint="default" w:ascii="Times New Roman" w:hAnsi="Times New Roman" w:cs="Times New Roman"/>
                      <w:color w:val="auto"/>
                      <w:sz w:val="21"/>
                      <w:szCs w:val="21"/>
                    </w:rPr>
                    <w:t>+</w:t>
                  </w:r>
                  <w:r>
                    <w:rPr>
                      <w:rFonts w:hint="eastAsia" w:cs="Times New Roman"/>
                      <w:color w:val="auto"/>
                      <w:sz w:val="21"/>
                      <w:szCs w:val="21"/>
                      <w:lang w:val="en-US" w:eastAsia="zh-CN"/>
                    </w:rPr>
                    <w:t>15</w:t>
                  </w:r>
                  <w:r>
                    <w:rPr>
                      <w:rFonts w:hint="default" w:ascii="Times New Roman" w:hAnsi="Times New Roman" w:cs="Times New Roman"/>
                      <w:color w:val="auto"/>
                      <w:sz w:val="21"/>
                      <w:szCs w:val="21"/>
                    </w:rPr>
                    <w:t>m高排气筒</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DA00</w:t>
                  </w:r>
                  <w:r>
                    <w:rPr>
                      <w:rFonts w:hint="eastAsia" w:cs="Times New Roman"/>
                      <w:color w:val="000000"/>
                      <w:sz w:val="21"/>
                      <w:szCs w:val="21"/>
                      <w:lang w:val="en-US" w:eastAsia="zh-CN"/>
                    </w:rPr>
                    <w:t>2</w:t>
                  </w:r>
                  <w:r>
                    <w:rPr>
                      <w:rFonts w:hint="default" w:ascii="Times New Roman" w:hAnsi="Times New Roman" w:cs="Times New Roman"/>
                      <w:color w:val="000000"/>
                      <w:sz w:val="21"/>
                      <w:szCs w:val="21"/>
                      <w:lang w:eastAsia="zh-CN"/>
                    </w:rPr>
                    <w:t>）</w:t>
                  </w:r>
                </w:p>
              </w:tc>
              <w:tc>
                <w:tcPr>
                  <w:tcW w:w="796" w:type="dxa"/>
                  <w:noWrap w:val="0"/>
                  <w:vAlign w:val="center"/>
                </w:tcPr>
                <w:p w14:paraId="6DD5D121">
                  <w:pPr>
                    <w:pStyle w:val="6"/>
                    <w:keepNext w:val="0"/>
                    <w:keepLines w:val="0"/>
                    <w:suppressLineNumbers w:val="0"/>
                    <w:spacing w:before="0" w:beforeAutospacing="0" w:after="0" w:afterAutospacing="0" w:line="240" w:lineRule="auto"/>
                    <w:ind w:left="0" w:leftChars="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符合</w:t>
                  </w:r>
                </w:p>
              </w:tc>
            </w:tr>
          </w:tbl>
          <w:p w14:paraId="16F59511">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①技术可行性分析</w:t>
            </w:r>
          </w:p>
          <w:p w14:paraId="6D1574AC">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sz w:val="24"/>
                <w:highlight w:val="none"/>
                <w:lang w:val="zh-CN"/>
              </w:rPr>
              <w:t>改性废气、涂层废气、沉积废气、碳化废气和真空泵油雾废气</w:t>
            </w:r>
            <w:r>
              <w:rPr>
                <w:rFonts w:hint="eastAsia" w:ascii="Times New Roman" w:hAnsi="Times New Roman" w:eastAsia="宋体" w:cs="Times New Roman"/>
                <w:color w:val="auto"/>
                <w:kern w:val="2"/>
                <w:sz w:val="24"/>
                <w:szCs w:val="24"/>
                <w:highlight w:val="none"/>
                <w:lang w:val="en-US" w:eastAsia="zh-CN" w:bidi="ar-SA"/>
              </w:rPr>
              <w:t>经抽风管道收集，收集后通过</w:t>
            </w:r>
            <w:r>
              <w:rPr>
                <w:rFonts w:hint="eastAsia" w:cs="Times New Roman"/>
                <w:color w:val="auto"/>
                <w:kern w:val="2"/>
                <w:sz w:val="24"/>
                <w:szCs w:val="24"/>
                <w:highlight w:val="none"/>
                <w:lang w:val="en-US" w:eastAsia="zh-CN" w:bidi="ar-SA"/>
              </w:rPr>
              <w:t>TO</w:t>
            </w:r>
            <w:r>
              <w:rPr>
                <w:rFonts w:hint="eastAsia" w:ascii="Times New Roman" w:hAnsi="Times New Roman" w:eastAsia="宋体" w:cs="Times New Roman"/>
                <w:color w:val="auto"/>
                <w:kern w:val="2"/>
                <w:sz w:val="24"/>
                <w:szCs w:val="24"/>
                <w:highlight w:val="none"/>
                <w:lang w:val="en-US" w:eastAsia="zh-CN" w:bidi="ar-SA"/>
              </w:rPr>
              <w:t>燃烧装置处理后通过一根</w:t>
            </w:r>
            <w:r>
              <w:rPr>
                <w:rFonts w:hint="eastAsia"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的排气筒DA001排放；经计算排放的非甲烷总烃浓度满足满足《大气污染物综合排放标准》（GB16297-1996）中限值要求。该治理工艺为《排放源统计调查产排污核算方法和系数手册》-33-37机械行业系数手册中推荐的可行工艺。</w:t>
            </w:r>
          </w:p>
          <w:p w14:paraId="318D692F">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sz w:val="24"/>
                <w:highlight w:val="none"/>
                <w:lang w:val="zh-CN"/>
              </w:rPr>
              <w:t>混料粉尘和加工废气</w:t>
            </w:r>
            <w:r>
              <w:rPr>
                <w:rFonts w:hint="eastAsia" w:ascii="Times New Roman" w:hAnsi="Times New Roman" w:eastAsia="宋体" w:cs="Times New Roman"/>
                <w:color w:val="auto"/>
                <w:kern w:val="2"/>
                <w:sz w:val="24"/>
                <w:szCs w:val="24"/>
                <w:highlight w:val="none"/>
                <w:lang w:val="en-US" w:eastAsia="zh-CN" w:bidi="ar-SA"/>
              </w:rPr>
              <w:t>经自带集气管道收集后经布袋除尘器处理后通过一根</w:t>
            </w:r>
            <w:r>
              <w:rPr>
                <w:rFonts w:hint="eastAsia"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的排气筒（DA002）排放；经计算，排放的颗粒物浓度满足《大气污染物综合排放标准》（GB16297-1996）中限值要求。该治理工艺为《排放源统计调查产排污核算方法和系数手册》-33-37机械行业系数手册中推荐的可行工艺。</w:t>
            </w:r>
          </w:p>
          <w:p w14:paraId="5649A1A8">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②排气筒设置可行性</w:t>
            </w:r>
          </w:p>
          <w:p w14:paraId="28C30EC1">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生产车间排气筒高度拟设置为15m，建设项目所在地势平坦，均满足《大气污染物综合排放标准》(GB16297-1996)等相关标准，污染物能够很好扩散，对周围环境影响较小，符合国家的相关要求对周围环境影响较小，符合国家相关要求，排气筒个数、高度设置合理可行。</w:t>
            </w:r>
          </w:p>
          <w:p w14:paraId="7FC530B7">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③达标可行性</w:t>
            </w:r>
          </w:p>
          <w:p w14:paraId="7CE20FAB">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根据前文</w:t>
            </w:r>
            <w:r>
              <w:rPr>
                <w:rFonts w:hint="default" w:ascii="Times New Roman" w:hAnsi="Times New Roman" w:eastAsia="宋体" w:cs="Times New Roman"/>
                <w:color w:val="auto"/>
                <w:kern w:val="2"/>
                <w:sz w:val="24"/>
                <w:szCs w:val="24"/>
                <w:highlight w:val="none"/>
                <w:lang w:val="en-US" w:eastAsia="zh-CN" w:bidi="ar-SA"/>
              </w:rPr>
              <w:t>大气环境影响预测与评价</w:t>
            </w:r>
            <w:r>
              <w:rPr>
                <w:rFonts w:hint="eastAsia" w:ascii="Times New Roman" w:hAnsi="Times New Roman" w:eastAsia="宋体" w:cs="Times New Roman"/>
                <w:color w:val="auto"/>
                <w:kern w:val="2"/>
                <w:sz w:val="24"/>
                <w:szCs w:val="24"/>
                <w:highlight w:val="none"/>
                <w:lang w:val="en-US" w:eastAsia="zh-CN" w:bidi="ar-SA"/>
              </w:rPr>
              <w:t>，所有废气均能做到达标排放，污染物最大落地浓度占标率很低，不会对周边环境空气构成显著影响，建设项目废气对周边环境影响较小，环境空气质量仍符合二级环境功能区的要求。综上所述，本项目废气对敏感点的影响较小，不会降低敏感点的空气环境质量</w:t>
            </w:r>
            <w:r>
              <w:rPr>
                <w:rFonts w:hint="default" w:ascii="Times New Roman" w:hAnsi="Times New Roman" w:eastAsia="宋体" w:cs="Times New Roman"/>
                <w:color w:val="auto"/>
                <w:kern w:val="2"/>
                <w:sz w:val="24"/>
                <w:szCs w:val="24"/>
                <w:highlight w:val="none"/>
                <w:lang w:val="en-US" w:eastAsia="zh-CN" w:bidi="ar-SA"/>
              </w:rPr>
              <w:t>。</w:t>
            </w:r>
          </w:p>
          <w:p w14:paraId="7BFE0CF1">
            <w:pPr>
              <w:keepNext w:val="0"/>
              <w:keepLines w:val="0"/>
              <w:suppressLineNumbers w:val="0"/>
              <w:tabs>
                <w:tab w:val="left" w:pos="1215"/>
              </w:tabs>
              <w:adjustRightInd w:val="0"/>
              <w:snapToGrid w:val="0"/>
              <w:spacing w:before="0" w:beforeAutospacing="0" w:after="0" w:afterAutospacing="0" w:line="460" w:lineRule="exact"/>
              <w:ind w:left="0" w:right="0" w:firstLine="482" w:firstLineChars="200"/>
              <w:jc w:val="left"/>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三、运营期噪声</w:t>
            </w:r>
          </w:p>
          <w:p w14:paraId="73749790">
            <w:pPr>
              <w:keepNext w:val="0"/>
              <w:keepLines w:val="0"/>
              <w:suppressLineNumbers w:val="0"/>
              <w:spacing w:before="0" w:beforeAutospacing="0" w:after="0" w:afterAutospacing="0" w:line="460" w:lineRule="exact"/>
              <w:ind w:left="0" w:right="0" w:firstLine="480" w:firstLineChars="200"/>
              <w:rPr>
                <w:rFonts w:hint="eastAsia" w:ascii="黑体" w:hAnsi="黑体" w:eastAsia="黑体" w:cs="宋体"/>
                <w:sz w:val="24"/>
                <w:lang w:val="en-US" w:eastAsia="zh-CN"/>
              </w:rPr>
            </w:pPr>
            <w:r>
              <w:rPr>
                <w:rFonts w:hint="default" w:ascii="宋体" w:hAnsi="宋体" w:eastAsia="宋体" w:cs="宋体"/>
                <w:bCs/>
                <w:kern w:val="2"/>
                <w:sz w:val="24"/>
                <w:szCs w:val="24"/>
                <w:lang w:val="en-US" w:eastAsia="zh-CN" w:bidi="ar-SA"/>
              </w:rPr>
              <w:t>本项目营运期噪声主要来源于织布机</w:t>
            </w:r>
            <w:r>
              <w:rPr>
                <w:rFonts w:hint="eastAsia" w:ascii="宋体" w:hAnsi="宋体" w:cs="宋体"/>
                <w:bCs/>
                <w:kern w:val="2"/>
                <w:sz w:val="24"/>
                <w:szCs w:val="24"/>
                <w:lang w:val="en-US" w:eastAsia="zh-CN" w:bidi="ar-SA"/>
              </w:rPr>
              <w:t>、</w:t>
            </w:r>
            <w:r>
              <w:rPr>
                <w:rFonts w:hint="default" w:ascii="宋体" w:hAnsi="宋体" w:eastAsia="宋体" w:cs="宋体"/>
                <w:bCs/>
                <w:kern w:val="2"/>
                <w:sz w:val="24"/>
                <w:szCs w:val="24"/>
                <w:lang w:val="en-US" w:eastAsia="zh-CN" w:bidi="ar-SA"/>
              </w:rPr>
              <w:t>裁切机</w:t>
            </w:r>
            <w:r>
              <w:rPr>
                <w:rFonts w:hint="eastAsia" w:ascii="宋体" w:hAnsi="宋体" w:cs="宋体"/>
                <w:bCs/>
                <w:kern w:val="2"/>
                <w:sz w:val="24"/>
                <w:szCs w:val="24"/>
                <w:lang w:val="en-US" w:eastAsia="zh-CN" w:bidi="ar-SA"/>
              </w:rPr>
              <w:t>、烘箱、混合机</w:t>
            </w:r>
            <w:r>
              <w:rPr>
                <w:rFonts w:hint="default" w:ascii="宋体" w:hAnsi="宋体" w:eastAsia="宋体" w:cs="宋体"/>
                <w:bCs/>
                <w:kern w:val="2"/>
                <w:sz w:val="24"/>
                <w:szCs w:val="24"/>
                <w:lang w:val="en-US" w:eastAsia="zh-CN" w:bidi="ar-SA"/>
              </w:rPr>
              <w:t>等设备运行时产生的机械噪声，详见下表。</w:t>
            </w:r>
          </w:p>
          <w:p w14:paraId="1BBA0A33">
            <w:pPr>
              <w:keepNext w:val="0"/>
              <w:keepLines w:val="0"/>
              <w:suppressLineNumbers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表4-9 </w:t>
            </w:r>
            <w:r>
              <w:rPr>
                <w:rFonts w:hint="default" w:ascii="Times New Roman" w:hAnsi="Times New Roman" w:eastAsia="宋体" w:cs="Times New Roman"/>
                <w:b/>
                <w:bCs/>
                <w:color w:val="auto"/>
                <w:sz w:val="21"/>
                <w:szCs w:val="21"/>
                <w:lang w:val="en-US" w:eastAsia="zh-CN"/>
              </w:rPr>
              <w:t>拟建项目工业企业噪声源强调查清单（室内声源）</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0"/>
              <w:gridCol w:w="788"/>
              <w:gridCol w:w="636"/>
              <w:gridCol w:w="717"/>
              <w:gridCol w:w="606"/>
              <w:gridCol w:w="495"/>
              <w:gridCol w:w="438"/>
              <w:gridCol w:w="788"/>
              <w:gridCol w:w="456"/>
              <w:gridCol w:w="788"/>
              <w:gridCol w:w="788"/>
              <w:gridCol w:w="650"/>
            </w:tblGrid>
            <w:tr w14:paraId="52C9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Merge w:val="restart"/>
                  <w:noWrap w:val="0"/>
                  <w:vAlign w:val="center"/>
                </w:tcPr>
                <w:p w14:paraId="4F7A9893">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建筑物名称</w:t>
                  </w:r>
                </w:p>
              </w:tc>
              <w:tc>
                <w:tcPr>
                  <w:tcW w:w="495" w:type="pct"/>
                  <w:vMerge w:val="restart"/>
                  <w:noWrap w:val="0"/>
                  <w:vAlign w:val="center"/>
                </w:tcPr>
                <w:p w14:paraId="667E5911">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声源名称</w:t>
                  </w:r>
                </w:p>
              </w:tc>
              <w:tc>
                <w:tcPr>
                  <w:tcW w:w="468" w:type="pct"/>
                  <w:noWrap w:val="0"/>
                  <w:vAlign w:val="center"/>
                </w:tcPr>
                <w:p w14:paraId="7F28820D">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声源源强</w:t>
                  </w:r>
                </w:p>
              </w:tc>
              <w:tc>
                <w:tcPr>
                  <w:tcW w:w="378" w:type="pct"/>
                  <w:vMerge w:val="restart"/>
                  <w:noWrap w:val="0"/>
                  <w:vAlign w:val="center"/>
                </w:tcPr>
                <w:p w14:paraId="422B94EF">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声源控制措施</w:t>
                  </w:r>
                </w:p>
              </w:tc>
              <w:tc>
                <w:tcPr>
                  <w:tcW w:w="1081" w:type="pct"/>
                  <w:gridSpan w:val="3"/>
                  <w:noWrap w:val="0"/>
                  <w:vAlign w:val="center"/>
                </w:tcPr>
                <w:p w14:paraId="525EB31E">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空间相对位置</w:t>
                  </w:r>
                  <w:r>
                    <w:rPr>
                      <w:rFonts w:hint="eastAsia" w:ascii="Times New Roman" w:hAnsi="Times New Roman" w:cs="Times New Roman"/>
                      <w:color w:val="auto"/>
                      <w:lang w:val="en-US" w:eastAsia="zh-CN"/>
                    </w:rPr>
                    <w:t>/m</w:t>
                  </w:r>
                </w:p>
              </w:tc>
              <w:tc>
                <w:tcPr>
                  <w:tcW w:w="260" w:type="pct"/>
                  <w:vMerge w:val="restart"/>
                  <w:noWrap w:val="0"/>
                  <w:vAlign w:val="center"/>
                </w:tcPr>
                <w:p w14:paraId="3E49B084">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距室内边界距离</w:t>
                  </w:r>
                  <w:r>
                    <w:rPr>
                      <w:rFonts w:hint="eastAsia" w:ascii="Times New Roman" w:hAnsi="Times New Roman" w:cs="Times New Roman"/>
                      <w:color w:val="auto"/>
                      <w:lang w:val="en-US" w:eastAsia="zh-CN"/>
                    </w:rPr>
                    <w:t>/m</w:t>
                  </w:r>
                </w:p>
              </w:tc>
              <w:tc>
                <w:tcPr>
                  <w:tcW w:w="468" w:type="pct"/>
                  <w:vMerge w:val="restart"/>
                  <w:noWrap w:val="0"/>
                  <w:vAlign w:val="center"/>
                </w:tcPr>
                <w:p w14:paraId="626A6420">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室内边界声级</w:t>
                  </w:r>
                  <w:r>
                    <w:rPr>
                      <w:rFonts w:hint="eastAsia" w:ascii="Times New Roman" w:hAnsi="Times New Roman" w:cs="Times New Roman"/>
                      <w:color w:val="auto"/>
                      <w:lang w:val="en-US" w:eastAsia="zh-CN"/>
                    </w:rPr>
                    <w:t>/dB（A）</w:t>
                  </w:r>
                </w:p>
              </w:tc>
              <w:tc>
                <w:tcPr>
                  <w:tcW w:w="273" w:type="pct"/>
                  <w:vMerge w:val="restart"/>
                  <w:noWrap w:val="0"/>
                  <w:vAlign w:val="center"/>
                </w:tcPr>
                <w:p w14:paraId="379392C0">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运行时段</w:t>
                  </w:r>
                </w:p>
              </w:tc>
              <w:tc>
                <w:tcPr>
                  <w:tcW w:w="468" w:type="pct"/>
                  <w:vMerge w:val="restart"/>
                  <w:noWrap w:val="0"/>
                  <w:vAlign w:val="center"/>
                </w:tcPr>
                <w:p w14:paraId="4052E258">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zh-CN"/>
                    </w:rPr>
                    <w:t>建筑物插入损失</w:t>
                  </w:r>
                  <w:r>
                    <w:rPr>
                      <w:rFonts w:hint="eastAsia" w:ascii="Times New Roman" w:hAnsi="Times New Roman" w:cs="Times New Roman"/>
                      <w:color w:val="auto"/>
                      <w:lang w:val="en-US" w:eastAsia="zh-CN"/>
                    </w:rPr>
                    <w:t>/dB（A）</w:t>
                  </w:r>
                </w:p>
              </w:tc>
              <w:tc>
                <w:tcPr>
                  <w:tcW w:w="851" w:type="pct"/>
                  <w:gridSpan w:val="2"/>
                  <w:noWrap w:val="0"/>
                  <w:vAlign w:val="center"/>
                </w:tcPr>
                <w:p w14:paraId="0F483CC8">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建筑物外噪声</w:t>
                  </w:r>
                </w:p>
              </w:tc>
            </w:tr>
            <w:tr w14:paraId="1E1D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Merge w:val="continue"/>
                  <w:noWrap w:val="0"/>
                  <w:vAlign w:val="center"/>
                </w:tcPr>
                <w:p w14:paraId="72B3EB0D">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95" w:type="pct"/>
                  <w:vMerge w:val="continue"/>
                  <w:noWrap w:val="0"/>
                  <w:vAlign w:val="center"/>
                </w:tcPr>
                <w:p w14:paraId="3B4B4E07">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noWrap w:val="0"/>
                  <w:vAlign w:val="center"/>
                </w:tcPr>
                <w:p w14:paraId="3173BFD1">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zh-CN"/>
                    </w:rPr>
                    <w:t>（声压级</w:t>
                  </w:r>
                  <w:r>
                    <w:rPr>
                      <w:rFonts w:hint="eastAsia" w:ascii="Times New Roman" w:hAnsi="Times New Roman" w:cs="Times New Roman"/>
                      <w:color w:val="auto"/>
                      <w:lang w:val="en-US" w:eastAsia="zh-CN"/>
                    </w:rPr>
                    <w:t>/距声源距离</w:t>
                  </w:r>
                  <w:r>
                    <w:rPr>
                      <w:rFonts w:hint="eastAsia" w:ascii="Times New Roman" w:hAnsi="Times New Roman" w:cs="Times New Roman"/>
                      <w:color w:val="auto"/>
                      <w:lang w:val="zh-CN"/>
                    </w:rPr>
                    <w:t>）</w:t>
                  </w:r>
                  <w:r>
                    <w:rPr>
                      <w:rFonts w:hint="eastAsia" w:ascii="Times New Roman" w:hAnsi="Times New Roman" w:cs="Times New Roman"/>
                      <w:color w:val="auto"/>
                      <w:lang w:val="en-US" w:eastAsia="zh-CN"/>
                    </w:rPr>
                    <w:t>/（dB（A）/m）</w:t>
                  </w:r>
                </w:p>
              </w:tc>
              <w:tc>
                <w:tcPr>
                  <w:tcW w:w="378" w:type="pct"/>
                  <w:vMerge w:val="continue"/>
                  <w:noWrap w:val="0"/>
                  <w:vAlign w:val="center"/>
                </w:tcPr>
                <w:p w14:paraId="5F1D8090">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26" w:type="pct"/>
                  <w:noWrap w:val="0"/>
                  <w:vAlign w:val="center"/>
                </w:tcPr>
                <w:p w14:paraId="3259CF74">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X</w:t>
                  </w:r>
                </w:p>
              </w:tc>
              <w:tc>
                <w:tcPr>
                  <w:tcW w:w="360" w:type="pct"/>
                  <w:noWrap w:val="0"/>
                  <w:vAlign w:val="center"/>
                </w:tcPr>
                <w:p w14:paraId="7BF42002">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Y</w:t>
                  </w:r>
                </w:p>
              </w:tc>
              <w:tc>
                <w:tcPr>
                  <w:tcW w:w="294" w:type="pct"/>
                  <w:noWrap w:val="0"/>
                  <w:vAlign w:val="center"/>
                </w:tcPr>
                <w:p w14:paraId="20ADBF11">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Z</w:t>
                  </w:r>
                </w:p>
              </w:tc>
              <w:tc>
                <w:tcPr>
                  <w:tcW w:w="260" w:type="pct"/>
                  <w:vMerge w:val="continue"/>
                  <w:noWrap w:val="0"/>
                  <w:vAlign w:val="center"/>
                </w:tcPr>
                <w:p w14:paraId="6675DCCC">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vMerge w:val="continue"/>
                  <w:noWrap w:val="0"/>
                  <w:vAlign w:val="center"/>
                </w:tcPr>
                <w:p w14:paraId="0E90D7E2">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273" w:type="pct"/>
                  <w:vMerge w:val="continue"/>
                  <w:noWrap w:val="0"/>
                  <w:vAlign w:val="center"/>
                </w:tcPr>
                <w:p w14:paraId="16C2C622">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vMerge w:val="continue"/>
                  <w:noWrap w:val="0"/>
                  <w:vAlign w:val="center"/>
                </w:tcPr>
                <w:p w14:paraId="5A4CB835">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noWrap w:val="0"/>
                  <w:vAlign w:val="center"/>
                </w:tcPr>
                <w:p w14:paraId="2CC877DE">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ascii="Times New Roman" w:hAnsi="Times New Roman" w:cs="Times New Roman"/>
                      <w:color w:val="auto"/>
                      <w:lang w:val="zh-CN"/>
                    </w:rPr>
                    <w:t>声压级</w:t>
                  </w:r>
                  <w:r>
                    <w:rPr>
                      <w:rFonts w:hint="eastAsia" w:ascii="Times New Roman" w:hAnsi="Times New Roman" w:cs="Times New Roman"/>
                      <w:color w:val="auto"/>
                      <w:lang w:val="en-US" w:eastAsia="zh-CN"/>
                    </w:rPr>
                    <w:t>/dB（A）</w:t>
                  </w:r>
                </w:p>
              </w:tc>
              <w:tc>
                <w:tcPr>
                  <w:tcW w:w="383" w:type="pct"/>
                  <w:noWrap w:val="0"/>
                  <w:vAlign w:val="center"/>
                </w:tcPr>
                <w:p w14:paraId="54F0D030">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建筑物距离</w:t>
                  </w:r>
                </w:p>
              </w:tc>
            </w:tr>
            <w:tr w14:paraId="51DE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253" w:type="pct"/>
                  <w:vMerge w:val="restart"/>
                  <w:noWrap w:val="0"/>
                  <w:vAlign w:val="center"/>
                </w:tcPr>
                <w:p w14:paraId="14C2398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1号厂房</w:t>
                  </w:r>
                </w:p>
              </w:tc>
              <w:tc>
                <w:tcPr>
                  <w:tcW w:w="495" w:type="pct"/>
                  <w:noWrap w:val="0"/>
                  <w:vAlign w:val="center"/>
                </w:tcPr>
                <w:p w14:paraId="220FA93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lang w:val="zh-CN"/>
                    </w:rPr>
                  </w:pPr>
                  <w:r>
                    <w:rPr>
                      <w:rFonts w:hint="eastAsia" w:ascii="Times New Roman" w:hAnsi="Times New Roman" w:cs="Times New Roman"/>
                      <w:color w:val="000000"/>
                      <w:sz w:val="21"/>
                      <w:szCs w:val="21"/>
                      <w:lang w:val="en-US" w:eastAsia="zh-CN"/>
                    </w:rPr>
                    <w:t>织布机</w:t>
                  </w:r>
                </w:p>
              </w:tc>
              <w:tc>
                <w:tcPr>
                  <w:tcW w:w="468" w:type="pct"/>
                  <w:noWrap w:val="0"/>
                  <w:vAlign w:val="center"/>
                </w:tcPr>
                <w:p w14:paraId="793EEFDD">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80/</w:t>
                  </w:r>
                  <w:r>
                    <w:rPr>
                      <w:rFonts w:hint="eastAsia" w:cs="Times New Roman"/>
                      <w:color w:val="auto"/>
                      <w:lang w:val="en-US" w:eastAsia="zh-CN"/>
                    </w:rPr>
                    <w:t>1</w:t>
                  </w:r>
                </w:p>
              </w:tc>
              <w:tc>
                <w:tcPr>
                  <w:tcW w:w="378" w:type="pct"/>
                  <w:vMerge w:val="restart"/>
                  <w:noWrap w:val="0"/>
                  <w:vAlign w:val="center"/>
                </w:tcPr>
                <w:p w14:paraId="5C5A8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①优选低噪设备，定期进行检查；</w:t>
                  </w:r>
                </w:p>
                <w:p w14:paraId="32378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②车间墙体加设吸声隔声材料</w:t>
                  </w:r>
                  <w:r>
                    <w:rPr>
                      <w:rFonts w:hint="eastAsia" w:ascii="Times New Roman" w:hAnsi="Times New Roman" w:eastAsia="宋体" w:cs="Times New Roman"/>
                      <w:color w:val="auto"/>
                      <w:kern w:val="0"/>
                      <w:sz w:val="21"/>
                      <w:szCs w:val="21"/>
                      <w:lang w:eastAsia="zh-CN" w:bidi="ar"/>
                    </w:rPr>
                    <w:t>，加装隔声门</w:t>
                  </w:r>
                  <w:r>
                    <w:rPr>
                      <w:rFonts w:hint="default" w:ascii="Times New Roman" w:hAnsi="Times New Roman" w:eastAsia="宋体" w:cs="Times New Roman"/>
                      <w:color w:val="auto"/>
                      <w:kern w:val="0"/>
                      <w:sz w:val="21"/>
                      <w:szCs w:val="21"/>
                      <w:lang w:bidi="ar"/>
                    </w:rPr>
                    <w:t>；</w:t>
                  </w:r>
                </w:p>
                <w:p w14:paraId="5AC0DEC8">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default" w:ascii="Times New Roman" w:hAnsi="Times New Roman" w:eastAsia="宋体" w:cs="Times New Roman"/>
                      <w:color w:val="auto"/>
                      <w:kern w:val="0"/>
                      <w:sz w:val="21"/>
                      <w:szCs w:val="21"/>
                      <w:lang w:bidi="ar"/>
                    </w:rPr>
                    <w:t>③设置基础减振、</w:t>
                  </w:r>
                  <w:r>
                    <w:rPr>
                      <w:rFonts w:hint="default" w:ascii="Times New Roman" w:hAnsi="Times New Roman" w:eastAsia="宋体" w:cs="Times New Roman"/>
                      <w:color w:val="auto"/>
                      <w:kern w:val="0"/>
                      <w:sz w:val="21"/>
                      <w:szCs w:val="21"/>
                      <w:lang w:eastAsia="zh-CN" w:bidi="ar"/>
                    </w:rPr>
                    <w:t>减振</w:t>
                  </w:r>
                  <w:r>
                    <w:rPr>
                      <w:rFonts w:hint="default" w:ascii="Times New Roman" w:hAnsi="Times New Roman" w:eastAsia="宋体" w:cs="Times New Roman"/>
                      <w:color w:val="auto"/>
                      <w:kern w:val="0"/>
                      <w:sz w:val="21"/>
                      <w:szCs w:val="21"/>
                      <w:lang w:bidi="ar"/>
                    </w:rPr>
                    <w:t>机座、加装</w:t>
                  </w:r>
                  <w:r>
                    <w:rPr>
                      <w:rFonts w:hint="default" w:ascii="Times New Roman" w:hAnsi="Times New Roman" w:eastAsia="宋体" w:cs="Times New Roman"/>
                      <w:color w:val="auto"/>
                      <w:kern w:val="0"/>
                      <w:sz w:val="21"/>
                      <w:szCs w:val="21"/>
                      <w:lang w:eastAsia="zh-CN" w:bidi="ar"/>
                    </w:rPr>
                    <w:t>减振</w:t>
                  </w:r>
                  <w:r>
                    <w:rPr>
                      <w:rFonts w:hint="default" w:ascii="Times New Roman" w:hAnsi="Times New Roman" w:eastAsia="宋体" w:cs="Times New Roman"/>
                      <w:color w:val="auto"/>
                      <w:kern w:val="0"/>
                      <w:sz w:val="21"/>
                      <w:szCs w:val="21"/>
                      <w:lang w:bidi="ar"/>
                    </w:rPr>
                    <w:t>弹簧和橡皮垫等</w:t>
                  </w:r>
                </w:p>
              </w:tc>
              <w:tc>
                <w:tcPr>
                  <w:tcW w:w="426" w:type="pct"/>
                  <w:noWrap w:val="0"/>
                  <w:vAlign w:val="center"/>
                </w:tcPr>
                <w:p w14:paraId="4230E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9.4</w:t>
                  </w:r>
                </w:p>
              </w:tc>
              <w:tc>
                <w:tcPr>
                  <w:tcW w:w="360" w:type="pct"/>
                  <w:noWrap w:val="0"/>
                  <w:vAlign w:val="center"/>
                </w:tcPr>
                <w:p w14:paraId="06664A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21.1</w:t>
                  </w:r>
                </w:p>
              </w:tc>
              <w:tc>
                <w:tcPr>
                  <w:tcW w:w="294" w:type="pct"/>
                  <w:noWrap w:val="0"/>
                  <w:vAlign w:val="center"/>
                </w:tcPr>
                <w:p w14:paraId="082112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1.2</w:t>
                  </w:r>
                </w:p>
              </w:tc>
              <w:tc>
                <w:tcPr>
                  <w:tcW w:w="260" w:type="pct"/>
                  <w:noWrap w:val="0"/>
                  <w:vAlign w:val="center"/>
                </w:tcPr>
                <w:p w14:paraId="77C343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468" w:type="pct"/>
                  <w:noWrap w:val="0"/>
                  <w:vAlign w:val="center"/>
                </w:tcPr>
                <w:p w14:paraId="60185779">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67</w:t>
                  </w:r>
                </w:p>
              </w:tc>
              <w:tc>
                <w:tcPr>
                  <w:tcW w:w="273" w:type="pct"/>
                  <w:vMerge w:val="restart"/>
                  <w:noWrap w:val="0"/>
                  <w:vAlign w:val="center"/>
                </w:tcPr>
                <w:p w14:paraId="307B72D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昼夜间连续运行</w:t>
                  </w:r>
                </w:p>
              </w:tc>
              <w:tc>
                <w:tcPr>
                  <w:tcW w:w="468" w:type="pct"/>
                  <w:noWrap w:val="0"/>
                  <w:vAlign w:val="center"/>
                </w:tcPr>
                <w:p w14:paraId="644FA3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20</w:t>
                  </w:r>
                </w:p>
              </w:tc>
              <w:tc>
                <w:tcPr>
                  <w:tcW w:w="468" w:type="pct"/>
                  <w:noWrap w:val="0"/>
                  <w:vAlign w:val="center"/>
                </w:tcPr>
                <w:p w14:paraId="4F174F5B">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p>
              </w:tc>
              <w:tc>
                <w:tcPr>
                  <w:tcW w:w="383" w:type="pct"/>
                  <w:noWrap w:val="0"/>
                  <w:vAlign w:val="center"/>
                </w:tcPr>
                <w:p w14:paraId="6011025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14:paraId="6F75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253" w:type="pct"/>
                  <w:vMerge w:val="continue"/>
                  <w:noWrap w:val="0"/>
                  <w:vAlign w:val="center"/>
                </w:tcPr>
                <w:p w14:paraId="7676CA14">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rPr>
                  </w:pPr>
                </w:p>
              </w:tc>
              <w:tc>
                <w:tcPr>
                  <w:tcW w:w="495" w:type="pct"/>
                  <w:noWrap w:val="0"/>
                  <w:vAlign w:val="center"/>
                </w:tcPr>
                <w:p w14:paraId="16E03A9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裁切机</w:t>
                  </w:r>
                </w:p>
              </w:tc>
              <w:tc>
                <w:tcPr>
                  <w:tcW w:w="468" w:type="pct"/>
                  <w:noWrap w:val="0"/>
                  <w:vAlign w:val="center"/>
                </w:tcPr>
                <w:p w14:paraId="2A0A62A0">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r>
                    <w:rPr>
                      <w:rFonts w:hint="eastAsia" w:ascii="Times New Roman" w:hAnsi="Times New Roman" w:cs="Times New Roman"/>
                      <w:b w:val="0"/>
                      <w:bCs w:val="0"/>
                      <w:color w:val="auto"/>
                      <w:sz w:val="21"/>
                      <w:szCs w:val="21"/>
                      <w:vertAlign w:val="baseline"/>
                      <w:lang w:val="en-US" w:eastAsia="zh-CN"/>
                    </w:rPr>
                    <w:t>0</w:t>
                  </w:r>
                  <w:r>
                    <w:rPr>
                      <w:rFonts w:hint="eastAsia" w:ascii="Times New Roman" w:hAnsi="Times New Roman" w:cs="Times New Roman"/>
                      <w:color w:val="auto"/>
                      <w:lang w:val="en-US" w:eastAsia="zh-CN"/>
                    </w:rPr>
                    <w:t>/</w:t>
                  </w:r>
                  <w:r>
                    <w:rPr>
                      <w:rFonts w:hint="eastAsia" w:cs="Times New Roman"/>
                      <w:color w:val="auto"/>
                      <w:lang w:val="en-US" w:eastAsia="zh-CN"/>
                    </w:rPr>
                    <w:t>2</w:t>
                  </w:r>
                </w:p>
              </w:tc>
              <w:tc>
                <w:tcPr>
                  <w:tcW w:w="378" w:type="pct"/>
                  <w:vMerge w:val="continue"/>
                  <w:noWrap w:val="0"/>
                  <w:vAlign w:val="center"/>
                </w:tcPr>
                <w:p w14:paraId="21974716">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4418FA99">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10.2</w:t>
                  </w:r>
                </w:p>
              </w:tc>
              <w:tc>
                <w:tcPr>
                  <w:tcW w:w="360" w:type="pct"/>
                  <w:noWrap w:val="0"/>
                  <w:vAlign w:val="center"/>
                </w:tcPr>
                <w:p w14:paraId="5B05ECFA">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33.8</w:t>
                  </w:r>
                </w:p>
              </w:tc>
              <w:tc>
                <w:tcPr>
                  <w:tcW w:w="294" w:type="pct"/>
                  <w:noWrap w:val="0"/>
                  <w:vAlign w:val="center"/>
                </w:tcPr>
                <w:p w14:paraId="487656B0">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794929F2">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174BC1A9">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66</w:t>
                  </w:r>
                </w:p>
              </w:tc>
              <w:tc>
                <w:tcPr>
                  <w:tcW w:w="273" w:type="pct"/>
                  <w:vMerge w:val="continue"/>
                  <w:noWrap w:val="0"/>
                  <w:vAlign w:val="center"/>
                </w:tcPr>
                <w:p w14:paraId="019759A1">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6BF8AB9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5DAD5D28">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155C82E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34EA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253" w:type="pct"/>
                  <w:vMerge w:val="continue"/>
                  <w:noWrap w:val="0"/>
                  <w:vAlign w:val="center"/>
                </w:tcPr>
                <w:p w14:paraId="4F6F8181">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729585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烘箱</w:t>
                  </w:r>
                </w:p>
              </w:tc>
              <w:tc>
                <w:tcPr>
                  <w:tcW w:w="468" w:type="pct"/>
                  <w:noWrap w:val="0"/>
                  <w:vAlign w:val="center"/>
                </w:tcPr>
                <w:p w14:paraId="07FA56B1">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75</w:t>
                  </w:r>
                  <w:r>
                    <w:rPr>
                      <w:rFonts w:hint="eastAsia" w:ascii="Times New Roman" w:hAnsi="Times New Roman" w:cs="Times New Roman"/>
                      <w:color w:val="auto"/>
                      <w:lang w:val="en-US" w:eastAsia="zh-CN"/>
                    </w:rPr>
                    <w:t>/</w:t>
                  </w:r>
                  <w:r>
                    <w:rPr>
                      <w:rFonts w:hint="eastAsia" w:cs="Times New Roman"/>
                      <w:color w:val="auto"/>
                      <w:lang w:val="en-US" w:eastAsia="zh-CN"/>
                    </w:rPr>
                    <w:t>2</w:t>
                  </w:r>
                </w:p>
              </w:tc>
              <w:tc>
                <w:tcPr>
                  <w:tcW w:w="378" w:type="pct"/>
                  <w:vMerge w:val="continue"/>
                  <w:noWrap w:val="0"/>
                  <w:vAlign w:val="center"/>
                </w:tcPr>
                <w:p w14:paraId="691BF1B8">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4ED2BEE4">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10.7</w:t>
                  </w:r>
                </w:p>
              </w:tc>
              <w:tc>
                <w:tcPr>
                  <w:tcW w:w="360" w:type="pct"/>
                  <w:noWrap w:val="0"/>
                  <w:vAlign w:val="center"/>
                </w:tcPr>
                <w:p w14:paraId="776A41EC">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45.7</w:t>
                  </w:r>
                </w:p>
              </w:tc>
              <w:tc>
                <w:tcPr>
                  <w:tcW w:w="294" w:type="pct"/>
                  <w:noWrap w:val="0"/>
                  <w:vAlign w:val="center"/>
                </w:tcPr>
                <w:p w14:paraId="46C5E810">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6156F891">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568B8AD8">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50</w:t>
                  </w:r>
                </w:p>
              </w:tc>
              <w:tc>
                <w:tcPr>
                  <w:tcW w:w="273" w:type="pct"/>
                  <w:vMerge w:val="continue"/>
                  <w:noWrap w:val="0"/>
                  <w:vAlign w:val="center"/>
                </w:tcPr>
                <w:p w14:paraId="341F70A9">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3777AA0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0E471861">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3394835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5AAE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253" w:type="pct"/>
                  <w:vMerge w:val="continue"/>
                  <w:noWrap w:val="0"/>
                  <w:vAlign w:val="center"/>
                </w:tcPr>
                <w:p w14:paraId="36A52EF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654ED2C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针刺机</w:t>
                  </w:r>
                </w:p>
              </w:tc>
              <w:tc>
                <w:tcPr>
                  <w:tcW w:w="468" w:type="pct"/>
                  <w:noWrap w:val="0"/>
                  <w:vAlign w:val="center"/>
                </w:tcPr>
                <w:p w14:paraId="381CDF3E">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80</w:t>
                  </w:r>
                  <w:r>
                    <w:rPr>
                      <w:rFonts w:hint="eastAsia" w:ascii="Times New Roman" w:hAnsi="Times New Roman" w:cs="Times New Roman"/>
                      <w:color w:val="auto"/>
                      <w:lang w:val="en-US" w:eastAsia="zh-CN"/>
                    </w:rPr>
                    <w:t>/1</w:t>
                  </w:r>
                </w:p>
              </w:tc>
              <w:tc>
                <w:tcPr>
                  <w:tcW w:w="378" w:type="pct"/>
                  <w:vMerge w:val="continue"/>
                  <w:noWrap w:val="0"/>
                  <w:vAlign w:val="center"/>
                </w:tcPr>
                <w:p w14:paraId="7517220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07D3F5EC">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11.9</w:t>
                  </w:r>
                </w:p>
              </w:tc>
              <w:tc>
                <w:tcPr>
                  <w:tcW w:w="360" w:type="pct"/>
                  <w:noWrap w:val="0"/>
                  <w:vAlign w:val="center"/>
                </w:tcPr>
                <w:p w14:paraId="1C76E1ED">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59.1</w:t>
                  </w:r>
                </w:p>
              </w:tc>
              <w:tc>
                <w:tcPr>
                  <w:tcW w:w="294" w:type="pct"/>
                  <w:noWrap w:val="0"/>
                  <w:vAlign w:val="center"/>
                </w:tcPr>
                <w:p w14:paraId="4E70B052">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60117FD0">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468" w:type="pct"/>
                  <w:noWrap w:val="0"/>
                  <w:vAlign w:val="center"/>
                </w:tcPr>
                <w:p w14:paraId="0C858B80">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56</w:t>
                  </w:r>
                </w:p>
              </w:tc>
              <w:tc>
                <w:tcPr>
                  <w:tcW w:w="273" w:type="pct"/>
                  <w:vMerge w:val="continue"/>
                  <w:noWrap w:val="0"/>
                  <w:vAlign w:val="center"/>
                </w:tcPr>
                <w:p w14:paraId="42952DE1">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4A2327C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24FF7FAF">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w:t>
                  </w:r>
                </w:p>
              </w:tc>
              <w:tc>
                <w:tcPr>
                  <w:tcW w:w="383" w:type="pct"/>
                  <w:noWrap w:val="0"/>
                  <w:vAlign w:val="center"/>
                </w:tcPr>
                <w:p w14:paraId="5E88F7D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4117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253" w:type="pct"/>
                  <w:vMerge w:val="continue"/>
                  <w:noWrap w:val="0"/>
                  <w:vAlign w:val="center"/>
                </w:tcPr>
                <w:p w14:paraId="543C4A4C">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3307B9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切料机</w:t>
                  </w:r>
                </w:p>
              </w:tc>
              <w:tc>
                <w:tcPr>
                  <w:tcW w:w="468" w:type="pct"/>
                  <w:noWrap w:val="0"/>
                  <w:vAlign w:val="center"/>
                </w:tcPr>
                <w:p w14:paraId="00F88BD3">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85</w:t>
                  </w:r>
                  <w:r>
                    <w:rPr>
                      <w:rFonts w:hint="eastAsia" w:ascii="Times New Roman" w:hAnsi="Times New Roman" w:cs="Times New Roman"/>
                      <w:color w:val="auto"/>
                      <w:lang w:val="en-US" w:eastAsia="zh-CN"/>
                    </w:rPr>
                    <w:t>/1</w:t>
                  </w:r>
                </w:p>
              </w:tc>
              <w:tc>
                <w:tcPr>
                  <w:tcW w:w="378" w:type="pct"/>
                  <w:vMerge w:val="continue"/>
                  <w:noWrap w:val="0"/>
                  <w:vAlign w:val="center"/>
                </w:tcPr>
                <w:p w14:paraId="4ED7A451">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2F5C87C2">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1.5</w:t>
                  </w:r>
                </w:p>
              </w:tc>
              <w:tc>
                <w:tcPr>
                  <w:tcW w:w="360" w:type="pct"/>
                  <w:noWrap w:val="0"/>
                  <w:vAlign w:val="center"/>
                </w:tcPr>
                <w:p w14:paraId="4381F6A2">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15.9</w:t>
                  </w:r>
                </w:p>
              </w:tc>
              <w:tc>
                <w:tcPr>
                  <w:tcW w:w="294" w:type="pct"/>
                  <w:noWrap w:val="0"/>
                  <w:vAlign w:val="center"/>
                </w:tcPr>
                <w:p w14:paraId="3C3EA97E">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212B7930">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400718E9">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52</w:t>
                  </w:r>
                </w:p>
              </w:tc>
              <w:tc>
                <w:tcPr>
                  <w:tcW w:w="273" w:type="pct"/>
                  <w:vMerge w:val="continue"/>
                  <w:noWrap w:val="0"/>
                  <w:vAlign w:val="center"/>
                </w:tcPr>
                <w:p w14:paraId="0318A85F">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05F63EC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74A8F90D">
                  <w:pPr>
                    <w:pStyle w:val="64"/>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42</w:t>
                  </w:r>
                </w:p>
              </w:tc>
              <w:tc>
                <w:tcPr>
                  <w:tcW w:w="383" w:type="pct"/>
                  <w:noWrap w:val="0"/>
                  <w:vAlign w:val="center"/>
                </w:tcPr>
                <w:p w14:paraId="0DB9F3B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42D2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3" w:type="pct"/>
                  <w:vMerge w:val="restart"/>
                  <w:noWrap w:val="0"/>
                  <w:vAlign w:val="center"/>
                </w:tcPr>
                <w:p w14:paraId="7733A13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2号厂房</w:t>
                  </w:r>
                </w:p>
              </w:tc>
              <w:tc>
                <w:tcPr>
                  <w:tcW w:w="495" w:type="pct"/>
                  <w:noWrap w:val="0"/>
                  <w:vAlign w:val="center"/>
                </w:tcPr>
                <w:p w14:paraId="47280AB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lang w:val="zh-CN"/>
                    </w:rPr>
                  </w:pPr>
                  <w:r>
                    <w:rPr>
                      <w:rFonts w:hint="eastAsia" w:ascii="Times New Roman" w:hAnsi="Times New Roman" w:cs="Times New Roman"/>
                      <w:color w:val="000000"/>
                      <w:sz w:val="21"/>
                      <w:szCs w:val="21"/>
                      <w:lang w:val="en-US" w:eastAsia="zh-CN"/>
                    </w:rPr>
                    <w:t>混合机</w:t>
                  </w:r>
                </w:p>
              </w:tc>
              <w:tc>
                <w:tcPr>
                  <w:tcW w:w="468" w:type="pct"/>
                  <w:noWrap w:val="0"/>
                  <w:vAlign w:val="center"/>
                </w:tcPr>
                <w:p w14:paraId="1D945A54">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80/</w:t>
                  </w:r>
                  <w:r>
                    <w:rPr>
                      <w:rFonts w:hint="eastAsia" w:cs="Times New Roman"/>
                      <w:color w:val="auto"/>
                      <w:lang w:val="en-US" w:eastAsia="zh-CN"/>
                    </w:rPr>
                    <w:t>1</w:t>
                  </w:r>
                </w:p>
              </w:tc>
              <w:tc>
                <w:tcPr>
                  <w:tcW w:w="378" w:type="pct"/>
                  <w:vMerge w:val="continue"/>
                  <w:noWrap w:val="0"/>
                  <w:vAlign w:val="center"/>
                </w:tcPr>
                <w:p w14:paraId="7E025235">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26" w:type="pct"/>
                  <w:noWrap w:val="0"/>
                  <w:vAlign w:val="center"/>
                </w:tcPr>
                <w:p w14:paraId="67DBEF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112.6</w:t>
                  </w:r>
                </w:p>
              </w:tc>
              <w:tc>
                <w:tcPr>
                  <w:tcW w:w="360" w:type="pct"/>
                  <w:noWrap w:val="0"/>
                  <w:vAlign w:val="center"/>
                </w:tcPr>
                <w:p w14:paraId="45503D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53.2</w:t>
                  </w:r>
                </w:p>
              </w:tc>
              <w:tc>
                <w:tcPr>
                  <w:tcW w:w="294" w:type="pct"/>
                  <w:noWrap w:val="0"/>
                  <w:vAlign w:val="center"/>
                </w:tcPr>
                <w:p w14:paraId="5A42A2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1.2</w:t>
                  </w:r>
                </w:p>
              </w:tc>
              <w:tc>
                <w:tcPr>
                  <w:tcW w:w="260" w:type="pct"/>
                  <w:noWrap w:val="0"/>
                  <w:vAlign w:val="center"/>
                </w:tcPr>
                <w:p w14:paraId="718A74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468" w:type="pct"/>
                  <w:noWrap w:val="0"/>
                  <w:vAlign w:val="center"/>
                </w:tcPr>
                <w:p w14:paraId="5624513C">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67</w:t>
                  </w:r>
                </w:p>
              </w:tc>
              <w:tc>
                <w:tcPr>
                  <w:tcW w:w="273" w:type="pct"/>
                  <w:vMerge w:val="continue"/>
                  <w:noWrap w:val="0"/>
                  <w:vAlign w:val="center"/>
                </w:tcPr>
                <w:p w14:paraId="36027D02">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noWrap w:val="0"/>
                  <w:vAlign w:val="center"/>
                </w:tcPr>
                <w:p w14:paraId="0BBD236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20</w:t>
                  </w:r>
                </w:p>
              </w:tc>
              <w:tc>
                <w:tcPr>
                  <w:tcW w:w="468" w:type="pct"/>
                  <w:noWrap w:val="0"/>
                  <w:vAlign w:val="center"/>
                </w:tcPr>
                <w:p w14:paraId="4BE61592">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p>
              </w:tc>
              <w:tc>
                <w:tcPr>
                  <w:tcW w:w="383" w:type="pct"/>
                  <w:noWrap w:val="0"/>
                  <w:vAlign w:val="center"/>
                </w:tcPr>
                <w:p w14:paraId="2E64BDB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14:paraId="4621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3" w:type="pct"/>
                  <w:vMerge w:val="continue"/>
                  <w:noWrap w:val="0"/>
                  <w:vAlign w:val="center"/>
                </w:tcPr>
                <w:p w14:paraId="38C26FB9">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rPr>
                  </w:pPr>
                </w:p>
              </w:tc>
              <w:tc>
                <w:tcPr>
                  <w:tcW w:w="495" w:type="pct"/>
                  <w:noWrap w:val="0"/>
                  <w:vAlign w:val="center"/>
                </w:tcPr>
                <w:p w14:paraId="7724934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热压机</w:t>
                  </w:r>
                </w:p>
              </w:tc>
              <w:tc>
                <w:tcPr>
                  <w:tcW w:w="468" w:type="pct"/>
                  <w:noWrap w:val="0"/>
                  <w:vAlign w:val="center"/>
                </w:tcPr>
                <w:p w14:paraId="05F5271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70</w:t>
                  </w:r>
                  <w:r>
                    <w:rPr>
                      <w:rFonts w:hint="eastAsia" w:ascii="Times New Roman" w:hAnsi="Times New Roman" w:cs="Times New Roman"/>
                      <w:color w:val="auto"/>
                      <w:lang w:val="en-US" w:eastAsia="zh-CN"/>
                    </w:rPr>
                    <w:t>/</w:t>
                  </w:r>
                  <w:r>
                    <w:rPr>
                      <w:rFonts w:hint="eastAsia" w:cs="Times New Roman"/>
                      <w:color w:val="auto"/>
                      <w:lang w:val="en-US" w:eastAsia="zh-CN"/>
                    </w:rPr>
                    <w:t>2</w:t>
                  </w:r>
                </w:p>
              </w:tc>
              <w:tc>
                <w:tcPr>
                  <w:tcW w:w="378" w:type="pct"/>
                  <w:vMerge w:val="continue"/>
                  <w:noWrap w:val="0"/>
                  <w:vAlign w:val="center"/>
                </w:tcPr>
                <w:p w14:paraId="0A8F2110">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27106BD8">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111.8</w:t>
                  </w:r>
                </w:p>
              </w:tc>
              <w:tc>
                <w:tcPr>
                  <w:tcW w:w="360" w:type="pct"/>
                  <w:noWrap w:val="0"/>
                  <w:vAlign w:val="center"/>
                </w:tcPr>
                <w:p w14:paraId="7FB43E7E">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43.2</w:t>
                  </w:r>
                </w:p>
              </w:tc>
              <w:tc>
                <w:tcPr>
                  <w:tcW w:w="294" w:type="pct"/>
                  <w:noWrap w:val="0"/>
                  <w:vAlign w:val="center"/>
                </w:tcPr>
                <w:p w14:paraId="11BA6AEC">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7E847991">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17F9BBCC">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66</w:t>
                  </w:r>
                </w:p>
              </w:tc>
              <w:tc>
                <w:tcPr>
                  <w:tcW w:w="273" w:type="pct"/>
                  <w:vMerge w:val="continue"/>
                  <w:noWrap w:val="0"/>
                  <w:vAlign w:val="center"/>
                </w:tcPr>
                <w:p w14:paraId="4C59A98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2F026D3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3F067CB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1F493DF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3A80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3" w:type="pct"/>
                  <w:vMerge w:val="continue"/>
                  <w:noWrap w:val="0"/>
                  <w:vAlign w:val="center"/>
                </w:tcPr>
                <w:p w14:paraId="1499E756">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18561F2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压延机</w:t>
                  </w:r>
                </w:p>
              </w:tc>
              <w:tc>
                <w:tcPr>
                  <w:tcW w:w="468" w:type="pct"/>
                  <w:noWrap w:val="0"/>
                  <w:vAlign w:val="center"/>
                </w:tcPr>
                <w:p w14:paraId="37B953AB">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75</w:t>
                  </w:r>
                  <w:r>
                    <w:rPr>
                      <w:rFonts w:hint="eastAsia" w:ascii="Times New Roman" w:hAnsi="Times New Roman" w:cs="Times New Roman"/>
                      <w:color w:val="auto"/>
                      <w:lang w:val="en-US" w:eastAsia="zh-CN"/>
                    </w:rPr>
                    <w:t>/</w:t>
                  </w:r>
                  <w:r>
                    <w:rPr>
                      <w:rFonts w:hint="eastAsia" w:cs="Times New Roman"/>
                      <w:color w:val="auto"/>
                      <w:lang w:val="en-US" w:eastAsia="zh-CN"/>
                    </w:rPr>
                    <w:t>1</w:t>
                  </w:r>
                </w:p>
              </w:tc>
              <w:tc>
                <w:tcPr>
                  <w:tcW w:w="378" w:type="pct"/>
                  <w:vMerge w:val="continue"/>
                  <w:noWrap w:val="0"/>
                  <w:vAlign w:val="center"/>
                </w:tcPr>
                <w:p w14:paraId="33E5C455">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6B152E5B">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111.5</w:t>
                  </w:r>
                </w:p>
              </w:tc>
              <w:tc>
                <w:tcPr>
                  <w:tcW w:w="360" w:type="pct"/>
                  <w:noWrap w:val="0"/>
                  <w:vAlign w:val="center"/>
                </w:tcPr>
                <w:p w14:paraId="6EF94FC1">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5</w:t>
                  </w:r>
                  <w:r>
                    <w:rPr>
                      <w:rFonts w:hint="default" w:ascii="Arial" w:hAnsi="Arial" w:eastAsia="Arial" w:cs="Arial"/>
                      <w:color w:val="auto"/>
                      <w:sz w:val="20"/>
                    </w:rPr>
                    <w:t>3.3</w:t>
                  </w:r>
                </w:p>
              </w:tc>
              <w:tc>
                <w:tcPr>
                  <w:tcW w:w="294" w:type="pct"/>
                  <w:noWrap w:val="0"/>
                  <w:vAlign w:val="center"/>
                </w:tcPr>
                <w:p w14:paraId="085EBB60">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6E5C074C">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0390385E">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50</w:t>
                  </w:r>
                </w:p>
              </w:tc>
              <w:tc>
                <w:tcPr>
                  <w:tcW w:w="273" w:type="pct"/>
                  <w:vMerge w:val="continue"/>
                  <w:noWrap w:val="0"/>
                  <w:vAlign w:val="center"/>
                </w:tcPr>
                <w:p w14:paraId="29F59CCC">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1F1161F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60003892">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611AC5E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2FF6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3" w:type="pct"/>
                  <w:vMerge w:val="continue"/>
                  <w:noWrap w:val="0"/>
                  <w:vAlign w:val="center"/>
                </w:tcPr>
                <w:p w14:paraId="7F5974F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68B31D8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000000"/>
                      <w:sz w:val="21"/>
                      <w:szCs w:val="21"/>
                      <w:lang w:val="en-US" w:eastAsia="zh-CN"/>
                    </w:rPr>
                    <w:t>V混机</w:t>
                  </w:r>
                </w:p>
              </w:tc>
              <w:tc>
                <w:tcPr>
                  <w:tcW w:w="468" w:type="pct"/>
                  <w:noWrap w:val="0"/>
                  <w:vAlign w:val="center"/>
                </w:tcPr>
                <w:p w14:paraId="67214439">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80</w:t>
                  </w:r>
                  <w:r>
                    <w:rPr>
                      <w:rFonts w:hint="eastAsia" w:ascii="Times New Roman" w:hAnsi="Times New Roman" w:cs="Times New Roman"/>
                      <w:color w:val="auto"/>
                      <w:lang w:val="en-US" w:eastAsia="zh-CN"/>
                    </w:rPr>
                    <w:t>/1</w:t>
                  </w:r>
                </w:p>
              </w:tc>
              <w:tc>
                <w:tcPr>
                  <w:tcW w:w="378" w:type="pct"/>
                  <w:vMerge w:val="continue"/>
                  <w:noWrap w:val="0"/>
                  <w:vAlign w:val="center"/>
                </w:tcPr>
                <w:p w14:paraId="346DEC22">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5B660F8C">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110.3</w:t>
                  </w:r>
                </w:p>
              </w:tc>
              <w:tc>
                <w:tcPr>
                  <w:tcW w:w="360" w:type="pct"/>
                  <w:noWrap w:val="0"/>
                  <w:vAlign w:val="center"/>
                </w:tcPr>
                <w:p w14:paraId="07D05F02">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58</w:t>
                  </w:r>
                  <w:r>
                    <w:rPr>
                      <w:rFonts w:hint="default" w:ascii="Arial" w:hAnsi="Arial" w:eastAsia="Arial" w:cs="Arial"/>
                      <w:color w:val="auto"/>
                      <w:sz w:val="20"/>
                    </w:rPr>
                    <w:t>.9</w:t>
                  </w:r>
                </w:p>
              </w:tc>
              <w:tc>
                <w:tcPr>
                  <w:tcW w:w="294" w:type="pct"/>
                  <w:noWrap w:val="0"/>
                  <w:vAlign w:val="center"/>
                </w:tcPr>
                <w:p w14:paraId="35A7AD39">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41AFD882">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468" w:type="pct"/>
                  <w:noWrap w:val="0"/>
                  <w:vAlign w:val="center"/>
                </w:tcPr>
                <w:p w14:paraId="75A4590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56</w:t>
                  </w:r>
                </w:p>
              </w:tc>
              <w:tc>
                <w:tcPr>
                  <w:tcW w:w="273" w:type="pct"/>
                  <w:vMerge w:val="continue"/>
                  <w:noWrap w:val="0"/>
                  <w:vAlign w:val="center"/>
                </w:tcPr>
                <w:p w14:paraId="17EC87ED">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0715053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26654F6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w:t>
                  </w:r>
                </w:p>
              </w:tc>
              <w:tc>
                <w:tcPr>
                  <w:tcW w:w="383" w:type="pct"/>
                  <w:noWrap w:val="0"/>
                  <w:vAlign w:val="center"/>
                </w:tcPr>
                <w:p w14:paraId="104F0F9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2895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3" w:type="pct"/>
                  <w:vMerge w:val="continue"/>
                  <w:noWrap w:val="0"/>
                  <w:vAlign w:val="center"/>
                </w:tcPr>
                <w:p w14:paraId="5B09BF5B">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7F86270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动力混合机</w:t>
                  </w:r>
                </w:p>
              </w:tc>
              <w:tc>
                <w:tcPr>
                  <w:tcW w:w="468" w:type="pct"/>
                  <w:noWrap w:val="0"/>
                  <w:vAlign w:val="center"/>
                </w:tcPr>
                <w:p w14:paraId="2E3D6652">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85</w:t>
                  </w:r>
                  <w:r>
                    <w:rPr>
                      <w:rFonts w:hint="eastAsia" w:ascii="Times New Roman" w:hAnsi="Times New Roman" w:cs="Times New Roman"/>
                      <w:color w:val="auto"/>
                      <w:lang w:val="en-US" w:eastAsia="zh-CN"/>
                    </w:rPr>
                    <w:t>/1</w:t>
                  </w:r>
                </w:p>
              </w:tc>
              <w:tc>
                <w:tcPr>
                  <w:tcW w:w="378" w:type="pct"/>
                  <w:vMerge w:val="continue"/>
                  <w:noWrap w:val="0"/>
                  <w:vAlign w:val="center"/>
                </w:tcPr>
                <w:p w14:paraId="5DC47D16">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6823215C">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109.8</w:t>
                  </w:r>
                </w:p>
              </w:tc>
              <w:tc>
                <w:tcPr>
                  <w:tcW w:w="360" w:type="pct"/>
                  <w:noWrap w:val="0"/>
                  <w:vAlign w:val="center"/>
                </w:tcPr>
                <w:p w14:paraId="60207F2D">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60</w:t>
                  </w:r>
                  <w:r>
                    <w:rPr>
                      <w:rFonts w:hint="default" w:ascii="Arial" w:hAnsi="Arial" w:eastAsia="Arial" w:cs="Arial"/>
                      <w:color w:val="auto"/>
                      <w:sz w:val="20"/>
                    </w:rPr>
                    <w:t>.9</w:t>
                  </w:r>
                </w:p>
              </w:tc>
              <w:tc>
                <w:tcPr>
                  <w:tcW w:w="294" w:type="pct"/>
                  <w:noWrap w:val="0"/>
                  <w:vAlign w:val="center"/>
                </w:tcPr>
                <w:p w14:paraId="72ACD1D5">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6E95905A">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544FD6F9">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52</w:t>
                  </w:r>
                </w:p>
              </w:tc>
              <w:tc>
                <w:tcPr>
                  <w:tcW w:w="273" w:type="pct"/>
                  <w:vMerge w:val="continue"/>
                  <w:noWrap w:val="0"/>
                  <w:vAlign w:val="center"/>
                </w:tcPr>
                <w:p w14:paraId="348BE4CC">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3C17C25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67DAE066">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42</w:t>
                  </w:r>
                </w:p>
              </w:tc>
              <w:tc>
                <w:tcPr>
                  <w:tcW w:w="383" w:type="pct"/>
                  <w:noWrap w:val="0"/>
                  <w:vAlign w:val="center"/>
                </w:tcPr>
                <w:p w14:paraId="31AB346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7C00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253" w:type="pct"/>
                  <w:vMerge w:val="restart"/>
                  <w:noWrap w:val="0"/>
                  <w:vAlign w:val="center"/>
                </w:tcPr>
                <w:p w14:paraId="658FF29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3号厂房</w:t>
                  </w:r>
                </w:p>
              </w:tc>
              <w:tc>
                <w:tcPr>
                  <w:tcW w:w="495" w:type="pct"/>
                  <w:noWrap w:val="0"/>
                  <w:vAlign w:val="center"/>
                </w:tcPr>
                <w:p w14:paraId="460E7EE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lang w:val="zh-CN"/>
                    </w:rPr>
                  </w:pPr>
                  <w:r>
                    <w:rPr>
                      <w:rFonts w:hint="eastAsia" w:ascii="Times New Roman" w:hAnsi="Times New Roman" w:cs="Times New Roman"/>
                      <w:color w:val="000000"/>
                      <w:sz w:val="21"/>
                      <w:szCs w:val="21"/>
                      <w:lang w:val="en-US" w:eastAsia="zh-CN"/>
                    </w:rPr>
                    <w:t>碳化炉</w:t>
                  </w:r>
                </w:p>
              </w:tc>
              <w:tc>
                <w:tcPr>
                  <w:tcW w:w="468" w:type="pct"/>
                  <w:noWrap w:val="0"/>
                  <w:vAlign w:val="center"/>
                </w:tcPr>
                <w:p w14:paraId="35265EB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80/</w:t>
                  </w:r>
                  <w:r>
                    <w:rPr>
                      <w:rFonts w:hint="eastAsia" w:cs="Times New Roman"/>
                      <w:color w:val="auto"/>
                      <w:lang w:val="en-US" w:eastAsia="zh-CN"/>
                    </w:rPr>
                    <w:t>1</w:t>
                  </w:r>
                </w:p>
              </w:tc>
              <w:tc>
                <w:tcPr>
                  <w:tcW w:w="378" w:type="pct"/>
                  <w:vMerge w:val="continue"/>
                  <w:noWrap w:val="0"/>
                  <w:vAlign w:val="center"/>
                </w:tcPr>
                <w:p w14:paraId="07C9BBA6">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26" w:type="pct"/>
                  <w:noWrap w:val="0"/>
                  <w:vAlign w:val="center"/>
                </w:tcPr>
                <w:p w14:paraId="097330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112.6</w:t>
                  </w:r>
                </w:p>
              </w:tc>
              <w:tc>
                <w:tcPr>
                  <w:tcW w:w="360" w:type="pct"/>
                  <w:noWrap w:val="0"/>
                  <w:vAlign w:val="center"/>
                </w:tcPr>
                <w:p w14:paraId="0D156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Arial" w:hAnsi="Arial" w:eastAsia="宋体" w:cs="Arial"/>
                      <w:color w:val="auto"/>
                      <w:sz w:val="20"/>
                      <w:lang w:val="en-US" w:eastAsia="zh-CN"/>
                    </w:rPr>
                    <w:t>2</w:t>
                  </w:r>
                  <w:r>
                    <w:rPr>
                      <w:rFonts w:hint="default" w:ascii="Arial" w:hAnsi="Arial" w:eastAsia="Arial" w:cs="Arial"/>
                      <w:color w:val="auto"/>
                      <w:sz w:val="20"/>
                    </w:rPr>
                    <w:t>3.2</w:t>
                  </w:r>
                </w:p>
              </w:tc>
              <w:tc>
                <w:tcPr>
                  <w:tcW w:w="294" w:type="pct"/>
                  <w:noWrap w:val="0"/>
                  <w:vAlign w:val="center"/>
                </w:tcPr>
                <w:p w14:paraId="0C382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Arial" w:hAnsi="Arial" w:eastAsia="Arial" w:cs="Arial"/>
                      <w:color w:val="auto"/>
                      <w:sz w:val="20"/>
                    </w:rPr>
                    <w:t>1.2</w:t>
                  </w:r>
                </w:p>
              </w:tc>
              <w:tc>
                <w:tcPr>
                  <w:tcW w:w="260" w:type="pct"/>
                  <w:noWrap w:val="0"/>
                  <w:vAlign w:val="center"/>
                </w:tcPr>
                <w:p w14:paraId="13A320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468" w:type="pct"/>
                  <w:noWrap w:val="0"/>
                  <w:vAlign w:val="center"/>
                </w:tcPr>
                <w:p w14:paraId="46035F57">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67</w:t>
                  </w:r>
                </w:p>
              </w:tc>
              <w:tc>
                <w:tcPr>
                  <w:tcW w:w="273" w:type="pct"/>
                  <w:vMerge w:val="continue"/>
                  <w:noWrap w:val="0"/>
                  <w:vAlign w:val="center"/>
                </w:tcPr>
                <w:p w14:paraId="492E1440">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zh-CN"/>
                    </w:rPr>
                  </w:pPr>
                </w:p>
              </w:tc>
              <w:tc>
                <w:tcPr>
                  <w:tcW w:w="468" w:type="pct"/>
                  <w:noWrap w:val="0"/>
                  <w:vAlign w:val="center"/>
                </w:tcPr>
                <w:p w14:paraId="723BDD0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20</w:t>
                  </w:r>
                </w:p>
              </w:tc>
              <w:tc>
                <w:tcPr>
                  <w:tcW w:w="468" w:type="pct"/>
                  <w:noWrap w:val="0"/>
                  <w:vAlign w:val="center"/>
                </w:tcPr>
                <w:p w14:paraId="1A37A23E">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p>
              </w:tc>
              <w:tc>
                <w:tcPr>
                  <w:tcW w:w="383" w:type="pct"/>
                  <w:noWrap w:val="0"/>
                  <w:vAlign w:val="center"/>
                </w:tcPr>
                <w:p w14:paraId="58625CC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14:paraId="4A55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253" w:type="pct"/>
                  <w:vMerge w:val="continue"/>
                  <w:noWrap w:val="0"/>
                  <w:vAlign w:val="center"/>
                </w:tcPr>
                <w:p w14:paraId="15488754">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rPr>
                  </w:pPr>
                </w:p>
              </w:tc>
              <w:tc>
                <w:tcPr>
                  <w:tcW w:w="495" w:type="pct"/>
                  <w:noWrap w:val="0"/>
                  <w:vAlign w:val="center"/>
                </w:tcPr>
                <w:p w14:paraId="7CB5A03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000000"/>
                      <w:sz w:val="21"/>
                      <w:szCs w:val="21"/>
                      <w:lang w:val="en-US" w:eastAsia="zh-CN"/>
                    </w:rPr>
                    <w:t>CVI炉</w:t>
                  </w:r>
                </w:p>
              </w:tc>
              <w:tc>
                <w:tcPr>
                  <w:tcW w:w="468" w:type="pct"/>
                  <w:noWrap w:val="0"/>
                  <w:vAlign w:val="center"/>
                </w:tcPr>
                <w:p w14:paraId="4AF3A8A3">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70</w:t>
                  </w:r>
                  <w:r>
                    <w:rPr>
                      <w:rFonts w:hint="eastAsia" w:ascii="Times New Roman" w:hAnsi="Times New Roman" w:cs="Times New Roman"/>
                      <w:color w:val="auto"/>
                      <w:lang w:val="en-US" w:eastAsia="zh-CN"/>
                    </w:rPr>
                    <w:t>/</w:t>
                  </w:r>
                  <w:r>
                    <w:rPr>
                      <w:rFonts w:hint="eastAsia" w:cs="Times New Roman"/>
                      <w:color w:val="auto"/>
                      <w:lang w:val="en-US" w:eastAsia="zh-CN"/>
                    </w:rPr>
                    <w:t>1</w:t>
                  </w:r>
                </w:p>
              </w:tc>
              <w:tc>
                <w:tcPr>
                  <w:tcW w:w="378" w:type="pct"/>
                  <w:vMerge w:val="continue"/>
                  <w:noWrap w:val="0"/>
                  <w:vAlign w:val="center"/>
                </w:tcPr>
                <w:p w14:paraId="10287AB9">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06262500">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111.8</w:t>
                  </w:r>
                </w:p>
              </w:tc>
              <w:tc>
                <w:tcPr>
                  <w:tcW w:w="360" w:type="pct"/>
                  <w:noWrap w:val="0"/>
                  <w:vAlign w:val="center"/>
                </w:tcPr>
                <w:p w14:paraId="13D0C064">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1</w:t>
                  </w:r>
                  <w:r>
                    <w:rPr>
                      <w:rFonts w:hint="default" w:ascii="Arial" w:hAnsi="Arial" w:eastAsia="Arial" w:cs="Arial"/>
                      <w:color w:val="auto"/>
                      <w:sz w:val="20"/>
                    </w:rPr>
                    <w:t>3.2</w:t>
                  </w:r>
                </w:p>
              </w:tc>
              <w:tc>
                <w:tcPr>
                  <w:tcW w:w="294" w:type="pct"/>
                  <w:noWrap w:val="0"/>
                  <w:vAlign w:val="center"/>
                </w:tcPr>
                <w:p w14:paraId="7A71DFCE">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5798E231">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0A2C4F2A">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66</w:t>
                  </w:r>
                </w:p>
              </w:tc>
              <w:tc>
                <w:tcPr>
                  <w:tcW w:w="273" w:type="pct"/>
                  <w:vMerge w:val="continue"/>
                  <w:noWrap w:val="0"/>
                  <w:vAlign w:val="center"/>
                </w:tcPr>
                <w:p w14:paraId="0CEC18BA">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47C0249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212541DB">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43D0B5E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3F97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253" w:type="pct"/>
                  <w:vMerge w:val="continue"/>
                  <w:noWrap w:val="0"/>
                  <w:vAlign w:val="center"/>
                </w:tcPr>
                <w:p w14:paraId="04F6D74E">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755C8D4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渗硅炉</w:t>
                  </w:r>
                </w:p>
              </w:tc>
              <w:tc>
                <w:tcPr>
                  <w:tcW w:w="468" w:type="pct"/>
                  <w:noWrap w:val="0"/>
                  <w:vAlign w:val="center"/>
                </w:tcPr>
                <w:p w14:paraId="695143C5">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75</w:t>
                  </w:r>
                  <w:r>
                    <w:rPr>
                      <w:rFonts w:hint="eastAsia" w:ascii="Times New Roman" w:hAnsi="Times New Roman" w:cs="Times New Roman"/>
                      <w:color w:val="auto"/>
                      <w:lang w:val="en-US" w:eastAsia="zh-CN"/>
                    </w:rPr>
                    <w:t>/</w:t>
                  </w:r>
                  <w:r>
                    <w:rPr>
                      <w:rFonts w:hint="eastAsia" w:cs="Times New Roman"/>
                      <w:color w:val="auto"/>
                      <w:lang w:val="en-US" w:eastAsia="zh-CN"/>
                    </w:rPr>
                    <w:t>1</w:t>
                  </w:r>
                </w:p>
              </w:tc>
              <w:tc>
                <w:tcPr>
                  <w:tcW w:w="378" w:type="pct"/>
                  <w:vMerge w:val="continue"/>
                  <w:noWrap w:val="0"/>
                  <w:vAlign w:val="center"/>
                </w:tcPr>
                <w:p w14:paraId="0D5EF75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4950757D">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111.5</w:t>
                  </w:r>
                </w:p>
              </w:tc>
              <w:tc>
                <w:tcPr>
                  <w:tcW w:w="360" w:type="pct"/>
                  <w:noWrap w:val="0"/>
                  <w:vAlign w:val="center"/>
                </w:tcPr>
                <w:p w14:paraId="2F9CC107">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3.3</w:t>
                  </w:r>
                </w:p>
              </w:tc>
              <w:tc>
                <w:tcPr>
                  <w:tcW w:w="294" w:type="pct"/>
                  <w:noWrap w:val="0"/>
                  <w:vAlign w:val="center"/>
                </w:tcPr>
                <w:p w14:paraId="4F149690">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212B4096">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5BCD359D">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50</w:t>
                  </w:r>
                </w:p>
              </w:tc>
              <w:tc>
                <w:tcPr>
                  <w:tcW w:w="273" w:type="pct"/>
                  <w:vMerge w:val="continue"/>
                  <w:noWrap w:val="0"/>
                  <w:vAlign w:val="center"/>
                </w:tcPr>
                <w:p w14:paraId="4FCA7F34">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0FF1FB5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67C02077">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w:t>
                  </w:r>
                </w:p>
              </w:tc>
              <w:tc>
                <w:tcPr>
                  <w:tcW w:w="383" w:type="pct"/>
                  <w:noWrap w:val="0"/>
                  <w:vAlign w:val="center"/>
                </w:tcPr>
                <w:p w14:paraId="004C74C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66A7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253" w:type="pct"/>
                  <w:vMerge w:val="continue"/>
                  <w:noWrap w:val="0"/>
                  <w:vAlign w:val="center"/>
                </w:tcPr>
                <w:p w14:paraId="49B3BA5B">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4C2538B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高温炉</w:t>
                  </w:r>
                </w:p>
              </w:tc>
              <w:tc>
                <w:tcPr>
                  <w:tcW w:w="468" w:type="pct"/>
                  <w:noWrap w:val="0"/>
                  <w:vAlign w:val="center"/>
                </w:tcPr>
                <w:p w14:paraId="1DE781A0">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80</w:t>
                  </w:r>
                  <w:r>
                    <w:rPr>
                      <w:rFonts w:hint="eastAsia" w:ascii="Times New Roman" w:hAnsi="Times New Roman" w:cs="Times New Roman"/>
                      <w:color w:val="auto"/>
                      <w:lang w:val="en-US" w:eastAsia="zh-CN"/>
                    </w:rPr>
                    <w:t>/1</w:t>
                  </w:r>
                </w:p>
              </w:tc>
              <w:tc>
                <w:tcPr>
                  <w:tcW w:w="378" w:type="pct"/>
                  <w:vMerge w:val="continue"/>
                  <w:noWrap w:val="0"/>
                  <w:vAlign w:val="center"/>
                </w:tcPr>
                <w:p w14:paraId="1F04C2C3">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5D4FE024">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110.3</w:t>
                  </w:r>
                </w:p>
              </w:tc>
              <w:tc>
                <w:tcPr>
                  <w:tcW w:w="360" w:type="pct"/>
                  <w:noWrap w:val="0"/>
                  <w:vAlign w:val="center"/>
                </w:tcPr>
                <w:p w14:paraId="6135A996">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18</w:t>
                  </w:r>
                  <w:r>
                    <w:rPr>
                      <w:rFonts w:hint="default" w:ascii="Arial" w:hAnsi="Arial" w:eastAsia="Arial" w:cs="Arial"/>
                      <w:color w:val="auto"/>
                      <w:sz w:val="20"/>
                    </w:rPr>
                    <w:t>.9</w:t>
                  </w:r>
                </w:p>
              </w:tc>
              <w:tc>
                <w:tcPr>
                  <w:tcW w:w="294" w:type="pct"/>
                  <w:noWrap w:val="0"/>
                  <w:vAlign w:val="center"/>
                </w:tcPr>
                <w:p w14:paraId="27206071">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51D6148E">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468" w:type="pct"/>
                  <w:noWrap w:val="0"/>
                  <w:vAlign w:val="center"/>
                </w:tcPr>
                <w:p w14:paraId="1DCFE2C5">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56</w:t>
                  </w:r>
                </w:p>
              </w:tc>
              <w:tc>
                <w:tcPr>
                  <w:tcW w:w="273" w:type="pct"/>
                  <w:vMerge w:val="continue"/>
                  <w:noWrap w:val="0"/>
                  <w:vAlign w:val="center"/>
                </w:tcPr>
                <w:p w14:paraId="1370BC57">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11B87C4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54714596">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w:t>
                  </w:r>
                </w:p>
              </w:tc>
              <w:tc>
                <w:tcPr>
                  <w:tcW w:w="383" w:type="pct"/>
                  <w:noWrap w:val="0"/>
                  <w:vAlign w:val="center"/>
                </w:tcPr>
                <w:p w14:paraId="000902A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4D44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253" w:type="pct"/>
                  <w:vMerge w:val="continue"/>
                  <w:noWrap w:val="0"/>
                  <w:vAlign w:val="center"/>
                </w:tcPr>
                <w:p w14:paraId="439BB6B3">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447A21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000000"/>
                      <w:sz w:val="21"/>
                      <w:szCs w:val="21"/>
                      <w:lang w:val="en-US" w:eastAsia="zh-CN"/>
                    </w:rPr>
                    <w:t>圆台磨</w:t>
                  </w:r>
                </w:p>
              </w:tc>
              <w:tc>
                <w:tcPr>
                  <w:tcW w:w="468" w:type="pct"/>
                  <w:noWrap w:val="0"/>
                  <w:vAlign w:val="center"/>
                </w:tcPr>
                <w:p w14:paraId="7A6FF8BD">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w:t>
                  </w:r>
                  <w:r>
                    <w:rPr>
                      <w:rFonts w:hint="eastAsia" w:ascii="Times New Roman" w:hAnsi="Times New Roman" w:cs="Times New Roman"/>
                      <w:color w:val="auto"/>
                      <w:lang w:val="en-US" w:eastAsia="zh-CN"/>
                    </w:rPr>
                    <w:t>/1</w:t>
                  </w:r>
                </w:p>
              </w:tc>
              <w:tc>
                <w:tcPr>
                  <w:tcW w:w="378" w:type="pct"/>
                  <w:vMerge w:val="continue"/>
                  <w:noWrap w:val="0"/>
                  <w:vAlign w:val="center"/>
                </w:tcPr>
                <w:p w14:paraId="4E16518F">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26" w:type="pct"/>
                  <w:noWrap w:val="0"/>
                  <w:vAlign w:val="center"/>
                </w:tcPr>
                <w:p w14:paraId="71974958">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109.8</w:t>
                  </w:r>
                </w:p>
              </w:tc>
              <w:tc>
                <w:tcPr>
                  <w:tcW w:w="360" w:type="pct"/>
                  <w:noWrap w:val="0"/>
                  <w:vAlign w:val="center"/>
                </w:tcPr>
                <w:p w14:paraId="3327608F">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Arial" w:hAnsi="Arial" w:eastAsia="宋体" w:cs="Arial"/>
                      <w:color w:val="auto"/>
                      <w:sz w:val="20"/>
                      <w:lang w:val="en-US" w:eastAsia="zh-CN"/>
                    </w:rPr>
                    <w:t>10</w:t>
                  </w:r>
                  <w:r>
                    <w:rPr>
                      <w:rFonts w:hint="default" w:ascii="Arial" w:hAnsi="Arial" w:eastAsia="Arial" w:cs="Arial"/>
                      <w:color w:val="auto"/>
                      <w:sz w:val="20"/>
                    </w:rPr>
                    <w:t>.9</w:t>
                  </w:r>
                </w:p>
              </w:tc>
              <w:tc>
                <w:tcPr>
                  <w:tcW w:w="294" w:type="pct"/>
                  <w:noWrap w:val="0"/>
                  <w:vAlign w:val="center"/>
                </w:tcPr>
                <w:p w14:paraId="3E6645E5">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49065B4D">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468" w:type="pct"/>
                  <w:noWrap w:val="0"/>
                  <w:vAlign w:val="center"/>
                </w:tcPr>
                <w:p w14:paraId="348990C2">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color w:val="auto"/>
                      <w:lang w:val="en-US" w:eastAsia="zh-CN"/>
                    </w:rPr>
                    <w:t>68</w:t>
                  </w:r>
                </w:p>
              </w:tc>
              <w:tc>
                <w:tcPr>
                  <w:tcW w:w="273" w:type="pct"/>
                  <w:vMerge w:val="continue"/>
                  <w:noWrap w:val="0"/>
                  <w:vAlign w:val="center"/>
                </w:tcPr>
                <w:p w14:paraId="1CA9A51C">
                  <w:pPr>
                    <w:pStyle w:val="64"/>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2897CE0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107AA0F2">
                  <w:pPr>
                    <w:pStyle w:val="6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5</w:t>
                  </w:r>
                </w:p>
              </w:tc>
              <w:tc>
                <w:tcPr>
                  <w:tcW w:w="383" w:type="pct"/>
                  <w:noWrap w:val="0"/>
                  <w:vAlign w:val="center"/>
                </w:tcPr>
                <w:p w14:paraId="60DE1A1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1</w:t>
                  </w:r>
                </w:p>
              </w:tc>
            </w:tr>
            <w:tr w14:paraId="7B5C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253" w:type="pct"/>
                  <w:vMerge w:val="continue"/>
                  <w:noWrap w:val="0"/>
                  <w:vAlign w:val="center"/>
                </w:tcPr>
                <w:p w14:paraId="03DEEE3E">
                  <w:pPr>
                    <w:keepNext w:val="0"/>
                    <w:keepLines w:val="0"/>
                    <w:suppressLineNumbers w:val="0"/>
                    <w:spacing w:before="0" w:beforeAutospacing="0" w:after="0" w:afterAutospacing="0"/>
                    <w:ind w:left="0" w:leftChars="0" w:right="0" w:rightChars="0"/>
                    <w:jc w:val="center"/>
                    <w:rPr>
                      <w:rFonts w:hint="default"/>
                    </w:rPr>
                  </w:pPr>
                </w:p>
              </w:tc>
              <w:tc>
                <w:tcPr>
                  <w:tcW w:w="495" w:type="pct"/>
                  <w:noWrap w:val="0"/>
                  <w:vAlign w:val="center"/>
                </w:tcPr>
                <w:p w14:paraId="1F767EC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000000"/>
                      <w:sz w:val="21"/>
                      <w:szCs w:val="21"/>
                      <w:lang w:val="en-US" w:eastAsia="zh-CN"/>
                    </w:rPr>
                    <w:t>CNC</w:t>
                  </w:r>
                </w:p>
              </w:tc>
              <w:tc>
                <w:tcPr>
                  <w:tcW w:w="468" w:type="pct"/>
                  <w:noWrap w:val="0"/>
                  <w:vAlign w:val="center"/>
                </w:tcPr>
                <w:p w14:paraId="059B284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90</w:t>
                  </w:r>
                  <w:r>
                    <w:rPr>
                      <w:rFonts w:hint="eastAsia" w:ascii="Times New Roman" w:hAnsi="Times New Roman" w:cs="Times New Roman"/>
                      <w:color w:val="auto"/>
                      <w:lang w:val="en-US" w:eastAsia="zh-CN"/>
                    </w:rPr>
                    <w:t>/10</w:t>
                  </w:r>
                </w:p>
              </w:tc>
              <w:tc>
                <w:tcPr>
                  <w:tcW w:w="378" w:type="pct"/>
                  <w:vMerge w:val="continue"/>
                  <w:noWrap w:val="0"/>
                  <w:vAlign w:val="center"/>
                </w:tcPr>
                <w:p w14:paraId="7B02535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717" w:type="dxa"/>
                  <w:noWrap w:val="0"/>
                  <w:vAlign w:val="center"/>
                </w:tcPr>
                <w:p w14:paraId="327F76D2">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lang w:val="en-US" w:eastAsia="zh-CN"/>
                    </w:rPr>
                    <w:t>92</w:t>
                  </w:r>
                </w:p>
              </w:tc>
              <w:tc>
                <w:tcPr>
                  <w:tcW w:w="606" w:type="dxa"/>
                  <w:noWrap w:val="0"/>
                  <w:vAlign w:val="center"/>
                </w:tcPr>
                <w:p w14:paraId="1E9E815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lang w:val="en-US" w:eastAsia="zh-CN"/>
                    </w:rPr>
                    <w:t>79</w:t>
                  </w:r>
                </w:p>
              </w:tc>
              <w:tc>
                <w:tcPr>
                  <w:tcW w:w="495" w:type="dxa"/>
                  <w:noWrap w:val="0"/>
                  <w:vAlign w:val="center"/>
                </w:tcPr>
                <w:p w14:paraId="5ECA96C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713C81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468" w:type="pct"/>
                  <w:noWrap w:val="0"/>
                  <w:vAlign w:val="center"/>
                </w:tcPr>
                <w:p w14:paraId="543AB75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color w:val="auto"/>
                      <w:lang w:val="en-US" w:eastAsia="zh-CN"/>
                    </w:rPr>
                    <w:t>68</w:t>
                  </w:r>
                </w:p>
              </w:tc>
              <w:tc>
                <w:tcPr>
                  <w:tcW w:w="273" w:type="pct"/>
                  <w:vMerge w:val="continue"/>
                  <w:noWrap w:val="0"/>
                  <w:vAlign w:val="center"/>
                </w:tcPr>
                <w:p w14:paraId="19235A1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5F4C15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7AB2EB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w:t>
                  </w:r>
                </w:p>
              </w:tc>
              <w:tc>
                <w:tcPr>
                  <w:tcW w:w="383" w:type="pct"/>
                  <w:noWrap w:val="0"/>
                  <w:vAlign w:val="center"/>
                </w:tcPr>
                <w:p w14:paraId="3DA89DD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r>
            <w:tr w14:paraId="470F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253" w:type="pct"/>
                  <w:vMerge w:val="continue"/>
                  <w:noWrap w:val="0"/>
                  <w:vAlign w:val="center"/>
                </w:tcPr>
                <w:p w14:paraId="2D6139C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495" w:type="pct"/>
                  <w:noWrap w:val="0"/>
                  <w:vAlign w:val="center"/>
                </w:tcPr>
                <w:p w14:paraId="4E6C76A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color w:val="000000"/>
                      <w:sz w:val="21"/>
                      <w:szCs w:val="21"/>
                      <w:lang w:val="en-US" w:eastAsia="zh-CN"/>
                    </w:rPr>
                    <w:t>真空泵</w:t>
                  </w:r>
                </w:p>
              </w:tc>
              <w:tc>
                <w:tcPr>
                  <w:tcW w:w="468" w:type="pct"/>
                  <w:noWrap w:val="0"/>
                  <w:vAlign w:val="center"/>
                </w:tcPr>
                <w:p w14:paraId="00E47C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90</w:t>
                  </w:r>
                  <w:r>
                    <w:rPr>
                      <w:rFonts w:hint="eastAsia" w:ascii="Times New Roman" w:hAnsi="Times New Roman" w:cs="Times New Roman"/>
                      <w:color w:val="auto"/>
                      <w:lang w:val="en-US" w:eastAsia="zh-CN"/>
                    </w:rPr>
                    <w:t>/10</w:t>
                  </w:r>
                </w:p>
              </w:tc>
              <w:tc>
                <w:tcPr>
                  <w:tcW w:w="378" w:type="pct"/>
                  <w:vMerge w:val="continue"/>
                  <w:noWrap w:val="0"/>
                  <w:vAlign w:val="center"/>
                </w:tcPr>
                <w:p w14:paraId="3C37218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717" w:type="dxa"/>
                  <w:noWrap w:val="0"/>
                  <w:vAlign w:val="center"/>
                </w:tcPr>
                <w:p w14:paraId="1D0565D5">
                  <w:pPr>
                    <w:pStyle w:val="6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lang w:val="en-US" w:eastAsia="zh-CN"/>
                    </w:rPr>
                    <w:t>40</w:t>
                  </w:r>
                </w:p>
              </w:tc>
              <w:tc>
                <w:tcPr>
                  <w:tcW w:w="606" w:type="dxa"/>
                  <w:noWrap w:val="0"/>
                  <w:vAlign w:val="center"/>
                </w:tcPr>
                <w:p w14:paraId="575B897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lang w:val="en-US" w:eastAsia="zh-CN"/>
                    </w:rPr>
                    <w:t>88</w:t>
                  </w:r>
                </w:p>
              </w:tc>
              <w:tc>
                <w:tcPr>
                  <w:tcW w:w="495" w:type="dxa"/>
                  <w:noWrap w:val="0"/>
                  <w:vAlign w:val="center"/>
                </w:tcPr>
                <w:p w14:paraId="45E922F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vertAlign w:val="baseline"/>
                      <w:lang w:val="en-US" w:eastAsia="zh-CN"/>
                    </w:rPr>
                  </w:pPr>
                  <w:r>
                    <w:rPr>
                      <w:rFonts w:hint="default" w:ascii="Arial" w:hAnsi="Arial" w:eastAsia="Arial" w:cs="Arial"/>
                      <w:color w:val="auto"/>
                      <w:sz w:val="20"/>
                    </w:rPr>
                    <w:t>1.2</w:t>
                  </w:r>
                </w:p>
              </w:tc>
              <w:tc>
                <w:tcPr>
                  <w:tcW w:w="260" w:type="pct"/>
                  <w:noWrap w:val="0"/>
                  <w:vAlign w:val="center"/>
                </w:tcPr>
                <w:p w14:paraId="6F99D64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468" w:type="pct"/>
                  <w:noWrap w:val="0"/>
                  <w:vAlign w:val="center"/>
                </w:tcPr>
                <w:p w14:paraId="794577C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color w:val="auto"/>
                      <w:lang w:val="en-US" w:eastAsia="zh-CN"/>
                    </w:rPr>
                    <w:t>68</w:t>
                  </w:r>
                </w:p>
              </w:tc>
              <w:tc>
                <w:tcPr>
                  <w:tcW w:w="273" w:type="pct"/>
                  <w:vMerge w:val="continue"/>
                  <w:noWrap w:val="0"/>
                  <w:vAlign w:val="center"/>
                </w:tcPr>
                <w:p w14:paraId="63931BF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468" w:type="pct"/>
                  <w:noWrap w:val="0"/>
                  <w:vAlign w:val="center"/>
                </w:tcPr>
                <w:p w14:paraId="701897E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468" w:type="pct"/>
                  <w:noWrap w:val="0"/>
                  <w:vAlign w:val="center"/>
                </w:tcPr>
                <w:p w14:paraId="66AB79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w:t>
                  </w:r>
                </w:p>
              </w:tc>
              <w:tc>
                <w:tcPr>
                  <w:tcW w:w="383" w:type="pct"/>
                  <w:noWrap w:val="0"/>
                  <w:vAlign w:val="center"/>
                </w:tcPr>
                <w:p w14:paraId="7299F2D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r>
            <w:tr w14:paraId="6296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noWrap w:val="0"/>
                  <w:vAlign w:val="center"/>
                </w:tcPr>
                <w:p w14:paraId="2FA07430">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both"/>
                    <w:textAlignment w:val="auto"/>
                    <w:rPr>
                      <w:rFonts w:hint="eastAsia" w:ascii="Times New Roman" w:hAnsi="Times New Roman" w:cs="Times New Roman"/>
                      <w:color w:val="auto"/>
                      <w:lang w:val="en-US" w:eastAsia="zh-CN"/>
                    </w:rPr>
                  </w:pPr>
                  <w:r>
                    <w:rPr>
                      <w:rFonts w:hint="eastAsia" w:ascii="Times New Roman" w:hAnsi="Times New Roman" w:eastAsia="宋体" w:cs="Times New Roman"/>
                      <w:b/>
                      <w:bCs/>
                      <w:color w:val="auto"/>
                      <w:lang w:val="zh-CN"/>
                    </w:rPr>
                    <w:t>注：</w:t>
                  </w:r>
                  <w:r>
                    <w:rPr>
                      <w:rFonts w:hint="eastAsia" w:ascii="Times New Roman" w:hAnsi="Times New Roman" w:eastAsia="宋体" w:cs="Times New Roman"/>
                      <w:b w:val="0"/>
                      <w:bCs w:val="0"/>
                      <w:color w:val="auto"/>
                      <w:lang w:val="zh-CN"/>
                    </w:rPr>
                    <w:t>①</w:t>
                  </w:r>
                  <w:r>
                    <w:rPr>
                      <w:rFonts w:hint="eastAsia" w:ascii="Times New Roman" w:hAnsi="Times New Roman" w:eastAsia="宋体" w:cs="Times New Roman"/>
                      <w:color w:val="auto"/>
                      <w:lang w:val="zh-CN"/>
                    </w:rPr>
                    <w:t>以</w:t>
                  </w:r>
                  <w:r>
                    <w:rPr>
                      <w:rFonts w:hint="eastAsia" w:ascii="Times New Roman" w:hAnsi="Times New Roman" w:eastAsia="宋体" w:cs="Times New Roman"/>
                      <w:color w:val="auto"/>
                      <w:lang w:val="en-US" w:eastAsia="zh-CN"/>
                    </w:rPr>
                    <w:t>生产车间西南角为坐标圆点（0,0），X轴正向为正东方向，Y轴正向为正北方向。②</w:t>
                  </w:r>
                  <w:r>
                    <w:rPr>
                      <w:rFonts w:hint="eastAsia" w:ascii="Times New Roman" w:hAnsi="Times New Roman" w:cs="Times New Roman"/>
                      <w:color w:val="auto"/>
                      <w:lang w:val="en-US" w:eastAsia="zh-CN"/>
                    </w:rPr>
                    <w:t>噪声污染防治可行技术参考《汽车工业污染防治可行技术指南》（HJ1181-2021）：“表10 噪声污染防治可行技术”相关参数。</w:t>
                  </w:r>
                </w:p>
              </w:tc>
            </w:tr>
          </w:tbl>
          <w:p w14:paraId="55836465">
            <w:pPr>
              <w:keepNext w:val="0"/>
              <w:keepLines w:val="0"/>
              <w:suppressLineNumbers w:val="0"/>
              <w:spacing w:before="0" w:beforeAutospacing="0" w:after="0" w:afterAutospacing="0"/>
              <w:ind w:left="0" w:right="0" w:firstLine="482" w:firstLineChars="20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 4</w:t>
            </w: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10</w:t>
            </w:r>
            <w:r>
              <w:rPr>
                <w:rFonts w:hint="default" w:ascii="Times New Roman" w:hAnsi="Times New Roman" w:eastAsia="宋体" w:cs="Times New Roman"/>
                <w:b/>
                <w:bCs/>
                <w:color w:val="auto"/>
                <w:sz w:val="24"/>
                <w:lang w:val="en-US" w:eastAsia="zh-CN"/>
              </w:rPr>
              <w:t xml:space="preserve">   拟建项目工业企业噪声源强调查清单（室外声源）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715"/>
              <w:gridCol w:w="595"/>
              <w:gridCol w:w="595"/>
              <w:gridCol w:w="488"/>
              <w:gridCol w:w="1193"/>
              <w:gridCol w:w="3307"/>
              <w:gridCol w:w="999"/>
            </w:tblGrid>
            <w:tr w14:paraId="31DD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0" w:type="auto"/>
                  <w:vMerge w:val="restart"/>
                  <w:noWrap w:val="0"/>
                  <w:vAlign w:val="center"/>
                </w:tcPr>
                <w:p w14:paraId="79EA52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序号</w:t>
                  </w:r>
                </w:p>
              </w:tc>
              <w:tc>
                <w:tcPr>
                  <w:tcW w:w="0" w:type="auto"/>
                  <w:vMerge w:val="restart"/>
                  <w:noWrap w:val="0"/>
                  <w:vAlign w:val="center"/>
                </w:tcPr>
                <w:p w14:paraId="42E791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声源名称</w:t>
                  </w:r>
                </w:p>
              </w:tc>
              <w:tc>
                <w:tcPr>
                  <w:tcW w:w="0" w:type="auto"/>
                  <w:gridSpan w:val="3"/>
                  <w:noWrap w:val="0"/>
                  <w:vAlign w:val="center"/>
                </w:tcPr>
                <w:p w14:paraId="1BC2FE4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空间相对位置/m</w:t>
                  </w:r>
                </w:p>
              </w:tc>
              <w:tc>
                <w:tcPr>
                  <w:tcW w:w="0" w:type="auto"/>
                  <w:noWrap w:val="0"/>
                  <w:vAlign w:val="center"/>
                </w:tcPr>
                <w:p w14:paraId="0881548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sz w:val="21"/>
                      <w:szCs w:val="21"/>
                      <w:lang w:eastAsia="zh-CN"/>
                    </w:rPr>
                    <w:t>声源源强</w:t>
                  </w:r>
                </w:p>
              </w:tc>
              <w:tc>
                <w:tcPr>
                  <w:tcW w:w="0" w:type="auto"/>
                  <w:vMerge w:val="restart"/>
                  <w:noWrap w:val="0"/>
                  <w:vAlign w:val="center"/>
                </w:tcPr>
                <w:p w14:paraId="6A7817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声源控制措施</w:t>
                  </w:r>
                </w:p>
              </w:tc>
              <w:tc>
                <w:tcPr>
                  <w:tcW w:w="0" w:type="auto"/>
                  <w:vMerge w:val="restart"/>
                  <w:noWrap w:val="0"/>
                  <w:vAlign w:val="center"/>
                </w:tcPr>
                <w:p w14:paraId="5897264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运行时段</w:t>
                  </w:r>
                </w:p>
              </w:tc>
            </w:tr>
            <w:tr w14:paraId="06FE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0" w:type="auto"/>
                  <w:vMerge w:val="continue"/>
                  <w:shd w:val="clear" w:color="auto" w:fill="FFFFFF"/>
                  <w:noWrap w:val="0"/>
                  <w:vAlign w:val="center"/>
                </w:tcPr>
                <w:p w14:paraId="6491808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0" w:type="auto"/>
                  <w:vMerge w:val="continue"/>
                  <w:shd w:val="clear" w:color="auto" w:fill="FFFFFF"/>
                  <w:noWrap w:val="0"/>
                  <w:vAlign w:val="center"/>
                </w:tcPr>
                <w:p w14:paraId="71BA4F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0" w:type="auto"/>
                  <w:shd w:val="clear" w:color="auto" w:fill="FFFFFF"/>
                  <w:noWrap w:val="0"/>
                  <w:vAlign w:val="center"/>
                </w:tcPr>
                <w:p w14:paraId="74769C3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w:t>
                  </w:r>
                </w:p>
              </w:tc>
              <w:tc>
                <w:tcPr>
                  <w:tcW w:w="0" w:type="auto"/>
                  <w:shd w:val="clear" w:color="auto" w:fill="FFFFFF"/>
                  <w:noWrap w:val="0"/>
                  <w:vAlign w:val="center"/>
                </w:tcPr>
                <w:p w14:paraId="433C23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w:t>
                  </w:r>
                </w:p>
              </w:tc>
              <w:tc>
                <w:tcPr>
                  <w:tcW w:w="0" w:type="auto"/>
                  <w:shd w:val="clear" w:color="auto" w:fill="FFFFFF"/>
                  <w:noWrap w:val="0"/>
                  <w:vAlign w:val="center"/>
                </w:tcPr>
                <w:p w14:paraId="7975F9A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w:t>
                  </w:r>
                </w:p>
              </w:tc>
              <w:tc>
                <w:tcPr>
                  <w:tcW w:w="0" w:type="auto"/>
                  <w:shd w:val="clear" w:color="auto" w:fill="FFFFFF"/>
                  <w:noWrap w:val="0"/>
                  <w:vAlign w:val="center"/>
                </w:tcPr>
                <w:p w14:paraId="0C3537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声功率级/dB(A)</w:t>
                  </w:r>
                </w:p>
              </w:tc>
              <w:tc>
                <w:tcPr>
                  <w:tcW w:w="0" w:type="auto"/>
                  <w:vMerge w:val="continue"/>
                  <w:shd w:val="clear" w:color="auto" w:fill="FFFFFF"/>
                  <w:noWrap w:val="0"/>
                  <w:vAlign w:val="center"/>
                </w:tcPr>
                <w:p w14:paraId="615E6E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0" w:type="auto"/>
                  <w:vMerge w:val="continue"/>
                  <w:shd w:val="clear" w:color="auto" w:fill="FFFFFF"/>
                  <w:noWrap w:val="0"/>
                  <w:vAlign w:val="center"/>
                </w:tcPr>
                <w:p w14:paraId="42E071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2FE3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1" w:hRule="exact"/>
              </w:trPr>
              <w:tc>
                <w:tcPr>
                  <w:tcW w:w="0" w:type="auto"/>
                  <w:shd w:val="clear" w:color="auto" w:fill="FFFFFF"/>
                  <w:noWrap w:val="0"/>
                  <w:vAlign w:val="center"/>
                </w:tcPr>
                <w:p w14:paraId="59F13A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0" w:type="auto"/>
                  <w:shd w:val="clear" w:color="auto" w:fill="FFFFFF"/>
                  <w:noWrap w:val="0"/>
                  <w:vAlign w:val="center"/>
                </w:tcPr>
                <w:p w14:paraId="6F0A7D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风机1</w:t>
                  </w:r>
                </w:p>
              </w:tc>
              <w:tc>
                <w:tcPr>
                  <w:tcW w:w="0" w:type="auto"/>
                  <w:shd w:val="clear" w:color="auto" w:fill="FFFFFF"/>
                  <w:noWrap w:val="0"/>
                  <w:vAlign w:val="center"/>
                </w:tcPr>
                <w:p w14:paraId="36ED9F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r>
                    <w:rPr>
                      <w:rFonts w:hint="default" w:ascii="Times New Roman" w:hAnsi="Times New Roman" w:eastAsia="宋体" w:cs="Times New Roman"/>
                      <w:b w:val="0"/>
                      <w:bCs/>
                      <w:color w:val="auto"/>
                      <w:sz w:val="21"/>
                      <w:szCs w:val="21"/>
                      <w:vertAlign w:val="baseline"/>
                      <w:lang w:val="en-US" w:eastAsia="zh-CN"/>
                    </w:rPr>
                    <w:t>9.9</w:t>
                  </w:r>
                </w:p>
              </w:tc>
              <w:tc>
                <w:tcPr>
                  <w:tcW w:w="0" w:type="auto"/>
                  <w:shd w:val="clear" w:color="auto" w:fill="FFFFFF"/>
                  <w:noWrap w:val="0"/>
                  <w:vAlign w:val="center"/>
                </w:tcPr>
                <w:p w14:paraId="6B660E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r>
                    <w:rPr>
                      <w:rFonts w:hint="default" w:ascii="Times New Roman" w:hAnsi="Times New Roman" w:eastAsia="宋体" w:cs="Times New Roman"/>
                      <w:b w:val="0"/>
                      <w:bCs/>
                      <w:color w:val="auto"/>
                      <w:sz w:val="21"/>
                      <w:szCs w:val="21"/>
                      <w:vertAlign w:val="baseline"/>
                      <w:lang w:val="en-US" w:eastAsia="zh-CN"/>
                    </w:rPr>
                    <w:t>0.8</w:t>
                  </w:r>
                </w:p>
              </w:tc>
              <w:tc>
                <w:tcPr>
                  <w:tcW w:w="0" w:type="auto"/>
                  <w:shd w:val="clear" w:color="auto" w:fill="FFFFFF"/>
                  <w:noWrap w:val="0"/>
                  <w:vAlign w:val="center"/>
                </w:tcPr>
                <w:p w14:paraId="43809E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1.2</w:t>
                  </w:r>
                </w:p>
              </w:tc>
              <w:tc>
                <w:tcPr>
                  <w:tcW w:w="0" w:type="auto"/>
                  <w:shd w:val="clear" w:color="auto" w:fill="FFFFFF"/>
                  <w:noWrap w:val="0"/>
                  <w:vAlign w:val="center"/>
                </w:tcPr>
                <w:p w14:paraId="6B421A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r>
                    <w:rPr>
                      <w:rFonts w:hint="eastAsia" w:ascii="Times New Roman" w:hAnsi="Times New Roman" w:eastAsia="宋体" w:cs="Times New Roman"/>
                      <w:b w:val="0"/>
                      <w:bCs/>
                      <w:color w:val="auto"/>
                      <w:sz w:val="21"/>
                      <w:szCs w:val="21"/>
                      <w:vertAlign w:val="baseline"/>
                      <w:lang w:val="en-US" w:eastAsia="zh-CN"/>
                    </w:rPr>
                    <w:t>0</w:t>
                  </w:r>
                </w:p>
              </w:tc>
              <w:tc>
                <w:tcPr>
                  <w:tcW w:w="0" w:type="auto"/>
                  <w:vMerge w:val="restart"/>
                  <w:shd w:val="clear" w:color="auto" w:fill="FFFFFF"/>
                  <w:noWrap w:val="0"/>
                  <w:vAlign w:val="center"/>
                </w:tcPr>
                <w:p w14:paraId="62F87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①优选低噪设备，定期进行检查；</w:t>
                  </w:r>
                </w:p>
                <w:p w14:paraId="26958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②</w:t>
                  </w:r>
                  <w:r>
                    <w:rPr>
                      <w:rFonts w:hint="eastAsia" w:ascii="Times New Roman" w:hAnsi="Times New Roman" w:eastAsia="宋体" w:cs="Times New Roman"/>
                      <w:color w:val="auto"/>
                      <w:kern w:val="0"/>
                      <w:sz w:val="21"/>
                      <w:szCs w:val="21"/>
                      <w:lang w:val="en-US" w:eastAsia="zh-CN" w:bidi="ar"/>
                    </w:rPr>
                    <w:t>加装隔声罩</w:t>
                  </w:r>
                  <w:r>
                    <w:rPr>
                      <w:rFonts w:hint="default" w:ascii="Times New Roman" w:hAnsi="Times New Roman" w:eastAsia="宋体" w:cs="Times New Roman"/>
                      <w:color w:val="auto"/>
                      <w:kern w:val="0"/>
                      <w:sz w:val="21"/>
                      <w:szCs w:val="21"/>
                      <w:lang w:bidi="ar"/>
                    </w:rPr>
                    <w:t>；</w:t>
                  </w:r>
                </w:p>
                <w:p w14:paraId="372CDC93">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eastAsia="宋体" w:cs="Times New Roman"/>
                      <w:color w:val="auto"/>
                      <w:kern w:val="0"/>
                      <w:sz w:val="21"/>
                      <w:szCs w:val="21"/>
                      <w:lang w:bidi="ar"/>
                    </w:rPr>
                    <w:t>③设置基础减振、</w:t>
                  </w:r>
                  <w:r>
                    <w:rPr>
                      <w:rFonts w:hint="default" w:ascii="Times New Roman" w:hAnsi="Times New Roman" w:eastAsia="宋体" w:cs="Times New Roman"/>
                      <w:color w:val="auto"/>
                      <w:kern w:val="0"/>
                      <w:sz w:val="21"/>
                      <w:szCs w:val="21"/>
                      <w:lang w:eastAsia="zh-CN" w:bidi="ar"/>
                    </w:rPr>
                    <w:t>减振</w:t>
                  </w:r>
                  <w:r>
                    <w:rPr>
                      <w:rFonts w:hint="default" w:ascii="Times New Roman" w:hAnsi="Times New Roman" w:eastAsia="宋体" w:cs="Times New Roman"/>
                      <w:color w:val="auto"/>
                      <w:kern w:val="0"/>
                      <w:sz w:val="21"/>
                      <w:szCs w:val="21"/>
                      <w:lang w:bidi="ar"/>
                    </w:rPr>
                    <w:t>机座、加装</w:t>
                  </w:r>
                  <w:r>
                    <w:rPr>
                      <w:rFonts w:hint="default" w:ascii="Times New Roman" w:hAnsi="Times New Roman" w:eastAsia="宋体" w:cs="Times New Roman"/>
                      <w:color w:val="auto"/>
                      <w:kern w:val="0"/>
                      <w:sz w:val="21"/>
                      <w:szCs w:val="21"/>
                      <w:lang w:eastAsia="zh-CN" w:bidi="ar"/>
                    </w:rPr>
                    <w:t>减振</w:t>
                  </w:r>
                  <w:r>
                    <w:rPr>
                      <w:rFonts w:hint="default" w:ascii="Times New Roman" w:hAnsi="Times New Roman" w:eastAsia="宋体" w:cs="Times New Roman"/>
                      <w:color w:val="auto"/>
                      <w:kern w:val="0"/>
                      <w:sz w:val="21"/>
                      <w:szCs w:val="21"/>
                      <w:lang w:bidi="ar"/>
                    </w:rPr>
                    <w:t>弹簧和橡皮垫等减振降噪措施</w:t>
                  </w:r>
                </w:p>
              </w:tc>
              <w:tc>
                <w:tcPr>
                  <w:tcW w:w="0" w:type="auto"/>
                  <w:vMerge w:val="restart"/>
                  <w:shd w:val="clear" w:color="auto" w:fill="FFFFFF"/>
                  <w:noWrap w:val="0"/>
                  <w:vAlign w:val="center"/>
                </w:tcPr>
                <w:p w14:paraId="77E4BF5A">
                  <w:pPr>
                    <w:keepNext w:val="0"/>
                    <w:keepLines w:val="0"/>
                    <w:suppressLineNumbers w:val="0"/>
                    <w:spacing w:before="0" w:beforeAutospacing="0" w:after="0" w:afterAutospacing="0"/>
                    <w:ind w:left="0" w:right="0"/>
                    <w:rPr>
                      <w:rFonts w:hint="default" w:ascii="Times New Roman" w:hAnsi="Times New Roman" w:cs="Times New Roman"/>
                    </w:rPr>
                  </w:pPr>
                  <w:r>
                    <w:rPr>
                      <w:rFonts w:hint="eastAsia" w:ascii="Times New Roman" w:hAnsi="Times New Roman" w:cs="Times New Roman"/>
                      <w:lang w:val="en-US" w:eastAsia="zh-CN"/>
                    </w:rPr>
                    <w:t>昼夜间连续运行</w:t>
                  </w:r>
                </w:p>
              </w:tc>
            </w:tr>
            <w:tr w14:paraId="758D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1" w:hRule="exact"/>
              </w:trPr>
              <w:tc>
                <w:tcPr>
                  <w:tcW w:w="0" w:type="auto"/>
                  <w:shd w:val="clear" w:color="auto" w:fill="FFFFFF"/>
                  <w:noWrap w:val="0"/>
                  <w:vAlign w:val="center"/>
                </w:tcPr>
                <w:p w14:paraId="089770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w:t>
                  </w:r>
                </w:p>
              </w:tc>
              <w:tc>
                <w:tcPr>
                  <w:tcW w:w="0" w:type="auto"/>
                  <w:shd w:val="clear" w:color="auto" w:fill="FFFFFF"/>
                  <w:noWrap w:val="0"/>
                  <w:vAlign w:val="center"/>
                </w:tcPr>
                <w:p w14:paraId="753D75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风机2</w:t>
                  </w:r>
                </w:p>
              </w:tc>
              <w:tc>
                <w:tcPr>
                  <w:tcW w:w="0" w:type="auto"/>
                  <w:shd w:val="clear" w:color="auto" w:fill="FFFFFF"/>
                  <w:noWrap w:val="0"/>
                  <w:vAlign w:val="center"/>
                </w:tcPr>
                <w:p w14:paraId="61A5A5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r>
                    <w:rPr>
                      <w:rFonts w:hint="default" w:ascii="Times New Roman" w:hAnsi="Times New Roman" w:eastAsia="宋体" w:cs="Times New Roman"/>
                      <w:b w:val="0"/>
                      <w:bCs/>
                      <w:color w:val="auto"/>
                      <w:sz w:val="21"/>
                      <w:szCs w:val="21"/>
                      <w:vertAlign w:val="baseline"/>
                      <w:lang w:val="en-US" w:eastAsia="zh-CN"/>
                    </w:rPr>
                    <w:t>7.9</w:t>
                  </w:r>
                </w:p>
              </w:tc>
              <w:tc>
                <w:tcPr>
                  <w:tcW w:w="0" w:type="auto"/>
                  <w:shd w:val="clear" w:color="auto" w:fill="FFFFFF"/>
                  <w:noWrap w:val="0"/>
                  <w:vAlign w:val="center"/>
                </w:tcPr>
                <w:p w14:paraId="36CCB0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50.9</w:t>
                  </w:r>
                </w:p>
              </w:tc>
              <w:tc>
                <w:tcPr>
                  <w:tcW w:w="0" w:type="auto"/>
                  <w:shd w:val="clear" w:color="auto" w:fill="FFFFFF"/>
                  <w:noWrap w:val="0"/>
                  <w:vAlign w:val="center"/>
                </w:tcPr>
                <w:p w14:paraId="0A7F3D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1.2</w:t>
                  </w:r>
                </w:p>
              </w:tc>
              <w:tc>
                <w:tcPr>
                  <w:tcW w:w="0" w:type="auto"/>
                  <w:shd w:val="clear" w:color="auto" w:fill="FFFFFF"/>
                  <w:noWrap w:val="0"/>
                  <w:vAlign w:val="center"/>
                </w:tcPr>
                <w:p w14:paraId="0E682D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r>
                    <w:rPr>
                      <w:rFonts w:hint="eastAsia" w:ascii="Times New Roman" w:hAnsi="Times New Roman" w:eastAsia="宋体" w:cs="Times New Roman"/>
                      <w:b w:val="0"/>
                      <w:bCs/>
                      <w:color w:val="auto"/>
                      <w:sz w:val="21"/>
                      <w:szCs w:val="21"/>
                      <w:vertAlign w:val="baseline"/>
                      <w:lang w:val="en-US" w:eastAsia="zh-CN"/>
                    </w:rPr>
                    <w:t>0</w:t>
                  </w:r>
                </w:p>
              </w:tc>
              <w:tc>
                <w:tcPr>
                  <w:tcW w:w="0" w:type="auto"/>
                  <w:vMerge w:val="continue"/>
                  <w:shd w:val="clear" w:color="auto" w:fill="FFFFFF"/>
                  <w:noWrap w:val="0"/>
                  <w:vAlign w:val="center"/>
                </w:tcPr>
                <w:p w14:paraId="594BBA00">
                  <w:pPr>
                    <w:keepNext w:val="0"/>
                    <w:keepLines w:val="0"/>
                    <w:suppressLineNumbers w:val="0"/>
                    <w:spacing w:before="0" w:beforeAutospacing="0" w:after="0" w:afterAutospacing="0"/>
                    <w:ind w:left="0" w:right="0"/>
                    <w:rPr>
                      <w:rFonts w:hint="default" w:ascii="Times New Roman" w:hAnsi="Times New Roman" w:cs="Times New Roman"/>
                    </w:rPr>
                  </w:pPr>
                </w:p>
              </w:tc>
              <w:tc>
                <w:tcPr>
                  <w:tcW w:w="0" w:type="auto"/>
                  <w:vMerge w:val="continue"/>
                  <w:shd w:val="clear" w:color="auto" w:fill="FFFFFF"/>
                  <w:noWrap w:val="0"/>
                  <w:vAlign w:val="center"/>
                </w:tcPr>
                <w:p w14:paraId="2B105878">
                  <w:pPr>
                    <w:keepNext w:val="0"/>
                    <w:keepLines w:val="0"/>
                    <w:suppressLineNumbers w:val="0"/>
                    <w:spacing w:before="0" w:beforeAutospacing="0" w:after="0" w:afterAutospacing="0"/>
                    <w:ind w:left="0" w:right="0"/>
                    <w:rPr>
                      <w:rFonts w:hint="default" w:ascii="Times New Roman" w:hAnsi="Times New Roman" w:cs="Times New Roman"/>
                    </w:rPr>
                  </w:pPr>
                </w:p>
              </w:tc>
            </w:tr>
          </w:tbl>
          <w:p w14:paraId="2D356F74">
            <w:pPr>
              <w:pStyle w:val="13"/>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本项目拟采取以下降噪措施：</w:t>
            </w:r>
          </w:p>
          <w:p w14:paraId="14E233CE">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A、选用低噪声设备，并合理布局；</w:t>
            </w:r>
          </w:p>
          <w:p w14:paraId="709F3804">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B、加强设备的维护，确保设备处于良好的运转状态，杜绝因设备不正常运转时产生的高噪声现象；</w:t>
            </w:r>
          </w:p>
          <w:p w14:paraId="7ACBF702">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C、对噪声相对较大的设备，应加强减震降噪措施，如加装隔振垫、减震器、消声器等。</w:t>
            </w:r>
          </w:p>
          <w:p w14:paraId="4BD07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预测结果</w:t>
            </w:r>
          </w:p>
          <w:p w14:paraId="4683B0C3">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影响声波从声源到受声点传播的因素有很多，它们主要包括几何发散、大气吸收、地面效应、屏障屏蔽及其他多方面效应，其中对声波的传播影响最大的是与声源到受声点的距离有关的几何发散，即声波随距离的衰减。</w:t>
            </w:r>
          </w:p>
          <w:p w14:paraId="06B814AD">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根据《环境影响评价技术导则--声环境》（HJ2.4-2021），采用噪声衰减模式和多源叠加模式，具体模式如下：</w:t>
            </w:r>
          </w:p>
          <w:p w14:paraId="3544970B">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①噪声预测模式公式</w:t>
            </w:r>
          </w:p>
          <w:p w14:paraId="75657DDD">
            <w:pPr>
              <w:pStyle w:val="19"/>
              <w:keepNext w:val="0"/>
              <w:keepLines w:val="0"/>
              <w:widowControl w:val="0"/>
              <w:suppressLineNumbers w:val="0"/>
              <w:autoSpaceDE w:val="0"/>
              <w:autoSpaceDN w:val="0"/>
              <w:spacing w:before="157" w:beforeAutospacing="0" w:after="0" w:afterAutospacing="0"/>
              <w:ind w:left="0" w:right="0" w:firstLine="2880" w:firstLineChars="1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kern w:val="0"/>
                <w:position w:val="2"/>
                <w:sz w:val="24"/>
                <w:szCs w:val="24"/>
                <w:lang w:val="en-US" w:eastAsia="zh-CN" w:bidi="ar"/>
              </w:rPr>
              <w:t>Lp（r）=Lp（r</w:t>
            </w:r>
            <w:r>
              <w:rPr>
                <w:rFonts w:hint="default" w:ascii="Times New Roman" w:hAnsi="Times New Roman" w:eastAsia="宋体" w:cs="Times New Roman"/>
                <w:kern w:val="0"/>
                <w:position w:val="2"/>
                <w:sz w:val="24"/>
                <w:szCs w:val="24"/>
                <w:vertAlign w:val="subscript"/>
                <w:lang w:val="en-US" w:eastAsia="zh-CN" w:bidi="ar"/>
              </w:rPr>
              <w:t>0</w:t>
            </w:r>
            <w:r>
              <w:rPr>
                <w:rFonts w:hint="default" w:ascii="Times New Roman" w:hAnsi="Times New Roman" w:eastAsia="宋体" w:cs="Times New Roman"/>
                <w:kern w:val="0"/>
                <w:position w:val="2"/>
                <w:sz w:val="24"/>
                <w:szCs w:val="24"/>
                <w:lang w:val="en-US" w:eastAsia="zh-CN" w:bidi="ar"/>
              </w:rPr>
              <w:t>）-20lg（r/r</w:t>
            </w:r>
            <w:r>
              <w:rPr>
                <w:rFonts w:hint="default" w:ascii="Times New Roman" w:hAnsi="Times New Roman" w:eastAsia="宋体" w:cs="Times New Roman"/>
                <w:kern w:val="0"/>
                <w:position w:val="2"/>
                <w:sz w:val="24"/>
                <w:szCs w:val="24"/>
                <w:vertAlign w:val="subscript"/>
                <w:lang w:val="en-US" w:eastAsia="zh-CN" w:bidi="ar"/>
              </w:rPr>
              <w:t>0</w:t>
            </w:r>
            <w:r>
              <w:rPr>
                <w:rFonts w:hint="default" w:ascii="Times New Roman" w:hAnsi="Times New Roman" w:eastAsia="宋体" w:cs="Times New Roman"/>
                <w:kern w:val="0"/>
                <w:position w:val="2"/>
                <w:sz w:val="24"/>
                <w:szCs w:val="24"/>
                <w:lang w:val="en-US" w:eastAsia="zh-CN" w:bidi="ar"/>
              </w:rPr>
              <w:t>）</w:t>
            </w:r>
          </w:p>
          <w:p w14:paraId="45A375D1">
            <w:pPr>
              <w:keepNext w:val="0"/>
              <w:keepLines w:val="0"/>
              <w:suppressLineNumbers w:val="0"/>
              <w:spacing w:before="0" w:beforeAutospacing="0" w:after="0" w:afterAutospacing="0" w:line="360" w:lineRule="auto"/>
              <w:ind w:left="0" w:right="0" w:firstLine="720" w:firstLineChars="300"/>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式中：Lp（r）——距噪声源 r 米处预测点的 A 声级，dB（A）；</w:t>
            </w:r>
          </w:p>
          <w:p w14:paraId="01889D6F">
            <w:pPr>
              <w:keepNext w:val="0"/>
              <w:keepLines w:val="0"/>
              <w:suppressLineNumbers w:val="0"/>
              <w:spacing w:before="0" w:beforeAutospacing="0" w:after="0" w:afterAutospacing="0" w:line="360" w:lineRule="auto"/>
              <w:ind w:left="0" w:right="0" w:firstLine="720" w:firstLineChars="3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Lp（r0）——参考点声源强度，dB（A）；</w:t>
            </w:r>
          </w:p>
          <w:p w14:paraId="24A2BC0E">
            <w:pPr>
              <w:keepNext w:val="0"/>
              <w:keepLines w:val="0"/>
              <w:suppressLineNumbers w:val="0"/>
              <w:spacing w:before="0" w:beforeAutospacing="0" w:after="0" w:afterAutospacing="0" w:line="360" w:lineRule="auto"/>
              <w:ind w:left="0" w:right="0" w:firstLine="720" w:firstLineChars="3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r——点声源到预测点的距离，m；</w:t>
            </w:r>
          </w:p>
          <w:p w14:paraId="58938F95">
            <w:pPr>
              <w:keepNext w:val="0"/>
              <w:keepLines w:val="0"/>
              <w:suppressLineNumbers w:val="0"/>
              <w:spacing w:before="0" w:beforeAutospacing="0" w:after="0" w:afterAutospacing="0" w:line="360" w:lineRule="auto"/>
              <w:ind w:left="0" w:right="0" w:firstLine="720" w:firstLineChars="3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r0——点声源到参照点的距离，m</w:t>
            </w:r>
            <w:r>
              <w:rPr>
                <w:rFonts w:hint="eastAsia" w:ascii="Times New Roman" w:hAnsi="Times New Roman" w:eastAsia="宋体" w:cs="Times New Roman"/>
                <w:color w:val="000000"/>
                <w:sz w:val="24"/>
                <w:lang w:val="en-US" w:eastAsia="zh-CN"/>
              </w:rPr>
              <w:t>；</w:t>
            </w:r>
          </w:p>
          <w:p w14:paraId="3515770A">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36"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pacing w:val="-1"/>
              </w:rPr>
              <w:t>②</w:t>
            </w:r>
            <w:r>
              <w:rPr>
                <w:rFonts w:hint="default" w:ascii="Times New Roman" w:hAnsi="Times New Roman" w:eastAsia="宋体" w:cs="Times New Roman"/>
                <w:color w:val="auto"/>
                <w:kern w:val="0"/>
                <w:sz w:val="24"/>
                <w:szCs w:val="24"/>
                <w:lang w:val="en-US" w:eastAsia="zh-CN" w:bidi="ar"/>
              </w:rPr>
              <w:t>室内声源等效室外声源声功率级计算方法</w:t>
            </w:r>
          </w:p>
          <w:p w14:paraId="75EAB730">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如图 4-</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所示，声源位于室内，室内声源可采用等效室外声源声功率级法进行计算。设靠近开口处（或窗户）室内、室外某倍频带的声压级或 A 声级分别为 L</w:t>
            </w:r>
            <w:r>
              <w:rPr>
                <w:rFonts w:hint="default" w:ascii="Times New Roman" w:hAnsi="Times New Roman" w:eastAsia="宋体" w:cs="Times New Roman"/>
                <w:i/>
                <w:iCs/>
                <w:color w:val="auto"/>
                <w:kern w:val="0"/>
                <w:sz w:val="24"/>
                <w:szCs w:val="24"/>
                <w:vertAlign w:val="subscript"/>
                <w:lang w:val="en-US" w:eastAsia="zh-CN" w:bidi="ar"/>
              </w:rPr>
              <w:t>p1</w:t>
            </w:r>
            <w:r>
              <w:rPr>
                <w:rFonts w:hint="default" w:ascii="Times New Roman" w:hAnsi="Times New Roman" w:eastAsia="宋体" w:cs="Times New Roman"/>
                <w:color w:val="auto"/>
                <w:kern w:val="0"/>
                <w:sz w:val="24"/>
                <w:szCs w:val="24"/>
                <w:lang w:val="en-US" w:eastAsia="zh-CN" w:bidi="ar"/>
              </w:rPr>
              <w:t xml:space="preserve"> 和 L</w:t>
            </w:r>
            <w:r>
              <w:rPr>
                <w:rFonts w:hint="default" w:ascii="Times New Roman" w:hAnsi="Times New Roman" w:eastAsia="宋体" w:cs="Times New Roman"/>
                <w:i/>
                <w:iCs/>
                <w:color w:val="auto"/>
                <w:kern w:val="0"/>
                <w:sz w:val="24"/>
                <w:szCs w:val="24"/>
                <w:vertAlign w:val="subscript"/>
                <w:lang w:val="en-US" w:eastAsia="zh-CN" w:bidi="ar"/>
              </w:rPr>
              <w:t>p2</w:t>
            </w:r>
            <w:r>
              <w:rPr>
                <w:rFonts w:hint="default" w:ascii="Times New Roman" w:hAnsi="Times New Roman" w:eastAsia="宋体" w:cs="Times New Roman"/>
                <w:color w:val="auto"/>
                <w:kern w:val="0"/>
                <w:sz w:val="24"/>
                <w:szCs w:val="24"/>
                <w:lang w:val="en-US" w:eastAsia="zh-CN" w:bidi="ar"/>
              </w:rPr>
              <w:t xml:space="preserve"> 。若声源所在室内声场为近似扩散声场，则室外的倍频带声压级可按下式</w:t>
            </w:r>
          </w:p>
          <w:p w14:paraId="33FC4869">
            <w:pPr>
              <w:keepNext w:val="0"/>
              <w:keepLines w:val="0"/>
              <w:suppressLineNumbers w:val="0"/>
              <w:spacing w:before="6" w:beforeAutospacing="0" w:after="0" w:afterAutospacing="0" w:line="360" w:lineRule="auto"/>
              <w:ind w:left="0" w:right="0" w:firstLine="1920" w:firstLineChars="800"/>
              <w:jc w:val="left"/>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近似求出：L</w:t>
            </w:r>
            <w:r>
              <w:rPr>
                <w:rFonts w:hint="default" w:ascii="Times New Roman" w:hAnsi="Times New Roman" w:eastAsia="宋体" w:cs="Times New Roman"/>
                <w:i/>
                <w:iCs/>
                <w:color w:val="auto"/>
                <w:kern w:val="2"/>
                <w:sz w:val="24"/>
                <w:szCs w:val="24"/>
                <w:vertAlign w:val="subscript"/>
                <w:lang w:val="en-US" w:eastAsia="en-US" w:bidi="ar-SA"/>
              </w:rPr>
              <w:t>p2</w:t>
            </w:r>
            <w:r>
              <w:rPr>
                <w:rFonts w:hint="default" w:ascii="Times New Roman" w:hAnsi="Times New Roman" w:eastAsia="宋体" w:cs="Times New Roman"/>
                <w:color w:val="auto"/>
                <w:kern w:val="2"/>
                <w:sz w:val="24"/>
                <w:szCs w:val="24"/>
                <w:lang w:val="en-US" w:eastAsia="en-US" w:bidi="ar-SA"/>
              </w:rPr>
              <w:t xml:space="preserve"> = L</w:t>
            </w:r>
            <w:r>
              <w:rPr>
                <w:rFonts w:hint="default" w:ascii="Times New Roman" w:hAnsi="Times New Roman" w:eastAsia="宋体" w:cs="Times New Roman"/>
                <w:i/>
                <w:iCs/>
                <w:color w:val="auto"/>
                <w:kern w:val="2"/>
                <w:sz w:val="24"/>
                <w:szCs w:val="24"/>
                <w:vertAlign w:val="subscript"/>
                <w:lang w:val="en-US" w:eastAsia="en-US" w:bidi="ar-SA"/>
              </w:rPr>
              <w:t>p1</w:t>
            </w:r>
            <w:r>
              <w:rPr>
                <w:rFonts w:hint="default" w:ascii="Times New Roman" w:hAnsi="Times New Roman" w:eastAsia="宋体" w:cs="Times New Roman"/>
                <w:color w:val="auto"/>
                <w:kern w:val="2"/>
                <w:sz w:val="24"/>
                <w:szCs w:val="24"/>
                <w:lang w:val="en-US" w:eastAsia="en-US" w:bidi="ar-SA"/>
              </w:rPr>
              <w:t xml:space="preserve"> - (TL + 6)</w:t>
            </w:r>
          </w:p>
          <w:p w14:paraId="476D45D6">
            <w:pPr>
              <w:pStyle w:val="66"/>
              <w:keepNext w:val="0"/>
              <w:keepLines w:val="0"/>
              <w:suppressLineNumbers w:val="0"/>
              <w:spacing w:before="194" w:beforeAutospacing="0" w:after="0" w:afterAutospacing="0" w:line="360" w:lineRule="auto"/>
              <w:ind w:left="1300" w:right="36" w:hanging="710"/>
              <w:jc w:val="left"/>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式中：</w:t>
            </w:r>
            <w:r>
              <w:rPr>
                <w:rFonts w:hint="default" w:ascii="Times New Roman" w:hAnsi="Times New Roman" w:eastAsia="Times New Roman" w:cs="Times New Roman"/>
                <w:color w:val="auto"/>
                <w:spacing w:val="-2"/>
                <w:sz w:val="24"/>
                <w:szCs w:val="24"/>
              </w:rPr>
              <w:t>L</w:t>
            </w:r>
            <w:r>
              <w:rPr>
                <w:rFonts w:hint="default" w:ascii="Times New Roman" w:hAnsi="Times New Roman" w:eastAsia="Times New Roman" w:cs="Times New Roman"/>
                <w:i/>
                <w:iCs/>
                <w:color w:val="auto"/>
                <w:spacing w:val="-2"/>
                <w:position w:val="-1"/>
                <w:sz w:val="24"/>
                <w:szCs w:val="24"/>
                <w:vertAlign w:val="subscript"/>
              </w:rPr>
              <w:t>p1</w:t>
            </w:r>
            <w:r>
              <w:rPr>
                <w:rFonts w:hint="default" w:ascii="Times New Roman" w:hAnsi="Times New Roman" w:cs="Times New Roman"/>
                <w:color w:val="auto"/>
                <w:spacing w:val="-2"/>
                <w:sz w:val="24"/>
                <w:szCs w:val="24"/>
              </w:rPr>
              <w:t>——靠近开口处（或窗户）室内某倍频带的声压</w:t>
            </w:r>
            <w:r>
              <w:rPr>
                <w:rFonts w:hint="default" w:ascii="Times New Roman" w:hAnsi="Times New Roman" w:cs="Times New Roman"/>
                <w:color w:val="auto"/>
                <w:spacing w:val="-3"/>
                <w:sz w:val="24"/>
                <w:szCs w:val="24"/>
              </w:rPr>
              <w:t>级或</w:t>
            </w:r>
            <w:r>
              <w:rPr>
                <w:rFonts w:hint="default" w:ascii="Times New Roman" w:hAnsi="Times New Roman" w:cs="Times New Roman"/>
                <w:color w:val="auto"/>
                <w:spacing w:val="-58"/>
                <w:sz w:val="24"/>
                <w:szCs w:val="24"/>
              </w:rPr>
              <w:t xml:space="preserve"> </w:t>
            </w:r>
            <w:r>
              <w:rPr>
                <w:rFonts w:hint="default" w:ascii="Times New Roman" w:hAnsi="Times New Roman" w:eastAsia="Times New Roman" w:cs="Times New Roman"/>
                <w:color w:val="auto"/>
                <w:spacing w:val="-3"/>
                <w:sz w:val="24"/>
                <w:szCs w:val="24"/>
              </w:rPr>
              <w:t xml:space="preserve">A </w:t>
            </w:r>
            <w:r>
              <w:rPr>
                <w:rFonts w:hint="default" w:ascii="Times New Roman" w:hAnsi="Times New Roman" w:cs="Times New Roman"/>
                <w:color w:val="auto"/>
                <w:spacing w:val="-3"/>
                <w:sz w:val="24"/>
                <w:szCs w:val="24"/>
              </w:rPr>
              <w:t>声级，</w:t>
            </w:r>
            <w:r>
              <w:rPr>
                <w:rFonts w:hint="default" w:ascii="Times New Roman" w:hAnsi="Times New Roman" w:eastAsia="Times New Roman" w:cs="Times New Roman"/>
                <w:color w:val="auto"/>
                <w:spacing w:val="-3"/>
                <w:sz w:val="24"/>
                <w:szCs w:val="24"/>
              </w:rPr>
              <w:t>dB</w:t>
            </w:r>
            <w:r>
              <w:rPr>
                <w:rFonts w:hint="default" w:ascii="Times New Roman" w:hAnsi="Times New Roman" w:cs="Times New Roman"/>
                <w:color w:val="auto"/>
                <w:spacing w:val="-3"/>
                <w:sz w:val="24"/>
                <w:szCs w:val="24"/>
              </w:rPr>
              <w:t>；</w:t>
            </w:r>
            <w:r>
              <w:rPr>
                <w:rFonts w:hint="default" w:ascii="Times New Roman" w:hAnsi="Times New Roman" w:cs="Times New Roman"/>
                <w:color w:val="auto"/>
                <w:sz w:val="24"/>
                <w:szCs w:val="24"/>
              </w:rPr>
              <w:t xml:space="preserve"> </w:t>
            </w:r>
            <w:r>
              <w:rPr>
                <w:rFonts w:hint="default" w:ascii="Times New Roman" w:hAnsi="Times New Roman" w:eastAsia="Times New Roman" w:cs="Times New Roman"/>
                <w:color w:val="auto"/>
                <w:spacing w:val="-3"/>
                <w:sz w:val="24"/>
                <w:szCs w:val="24"/>
              </w:rPr>
              <w:t>L</w:t>
            </w:r>
            <w:r>
              <w:rPr>
                <w:rFonts w:hint="default" w:ascii="Times New Roman" w:hAnsi="Times New Roman" w:eastAsia="Times New Roman" w:cs="Times New Roman"/>
                <w:i/>
                <w:iCs/>
                <w:color w:val="auto"/>
                <w:spacing w:val="-3"/>
                <w:position w:val="-1"/>
                <w:sz w:val="24"/>
                <w:szCs w:val="24"/>
                <w:vertAlign w:val="subscript"/>
              </w:rPr>
              <w:t>p2</w:t>
            </w:r>
            <w:r>
              <w:rPr>
                <w:rFonts w:hint="default" w:ascii="Times New Roman" w:hAnsi="Times New Roman" w:cs="Times New Roman"/>
                <w:color w:val="auto"/>
                <w:spacing w:val="-3"/>
                <w:sz w:val="24"/>
                <w:szCs w:val="24"/>
              </w:rPr>
              <w:t>——靠近开口处（或窗户）室外某倍频带的声压级或</w:t>
            </w:r>
            <w:r>
              <w:rPr>
                <w:rFonts w:hint="default" w:ascii="Times New Roman" w:hAnsi="Times New Roman" w:cs="Times New Roman"/>
                <w:color w:val="auto"/>
                <w:spacing w:val="-50"/>
                <w:sz w:val="24"/>
                <w:szCs w:val="24"/>
              </w:rPr>
              <w:t xml:space="preserve"> </w:t>
            </w:r>
            <w:r>
              <w:rPr>
                <w:rFonts w:hint="default" w:ascii="Times New Roman" w:hAnsi="Times New Roman" w:eastAsia="Times New Roman" w:cs="Times New Roman"/>
                <w:color w:val="auto"/>
                <w:spacing w:val="-3"/>
                <w:sz w:val="24"/>
                <w:szCs w:val="24"/>
              </w:rPr>
              <w:t>A</w:t>
            </w:r>
            <w:r>
              <w:rPr>
                <w:rFonts w:hint="default" w:ascii="Times New Roman" w:hAnsi="Times New Roman" w:eastAsia="Times New Roman" w:cs="Times New Roman"/>
                <w:color w:val="auto"/>
                <w:spacing w:val="17"/>
                <w:sz w:val="24"/>
                <w:szCs w:val="24"/>
              </w:rPr>
              <w:t xml:space="preserve"> </w:t>
            </w:r>
            <w:r>
              <w:rPr>
                <w:rFonts w:hint="default" w:ascii="Times New Roman" w:hAnsi="Times New Roman" w:cs="Times New Roman"/>
                <w:color w:val="auto"/>
                <w:spacing w:val="-3"/>
                <w:sz w:val="24"/>
                <w:szCs w:val="24"/>
              </w:rPr>
              <w:t>声级，</w:t>
            </w:r>
            <w:r>
              <w:rPr>
                <w:rFonts w:hint="default" w:ascii="Times New Roman" w:hAnsi="Times New Roman" w:eastAsia="Times New Roman" w:cs="Times New Roman"/>
                <w:color w:val="auto"/>
                <w:spacing w:val="-3"/>
                <w:sz w:val="24"/>
                <w:szCs w:val="24"/>
              </w:rPr>
              <w:t>dB</w:t>
            </w:r>
            <w:r>
              <w:rPr>
                <w:rFonts w:hint="default" w:ascii="Times New Roman" w:hAnsi="Times New Roman" w:cs="Times New Roman"/>
                <w:color w:val="auto"/>
                <w:spacing w:val="-3"/>
                <w:sz w:val="24"/>
                <w:szCs w:val="24"/>
              </w:rPr>
              <w:t>；</w:t>
            </w:r>
            <w:r>
              <w:rPr>
                <w:rFonts w:hint="default" w:ascii="Times New Roman" w:hAnsi="Times New Roman" w:cs="Times New Roman"/>
                <w:color w:val="auto"/>
                <w:sz w:val="24"/>
                <w:szCs w:val="24"/>
              </w:rPr>
              <w:t xml:space="preserve"> </w:t>
            </w:r>
            <w:r>
              <w:rPr>
                <w:rFonts w:hint="default" w:ascii="Times New Roman" w:hAnsi="Times New Roman" w:eastAsia="Times New Roman" w:cs="Times New Roman"/>
                <w:color w:val="auto"/>
                <w:spacing w:val="-1"/>
                <w:sz w:val="24"/>
                <w:szCs w:val="24"/>
              </w:rPr>
              <w:t>TL</w:t>
            </w:r>
            <w:r>
              <w:rPr>
                <w:rFonts w:hint="default" w:ascii="Times New Roman" w:hAnsi="Times New Roman" w:cs="Times New Roman"/>
                <w:color w:val="auto"/>
                <w:spacing w:val="-1"/>
                <w:sz w:val="24"/>
                <w:szCs w:val="24"/>
              </w:rPr>
              <w:t>——隔墙（或窗户）倍频带或</w:t>
            </w:r>
            <w:r>
              <w:rPr>
                <w:rFonts w:hint="default" w:ascii="Times New Roman" w:hAnsi="Times New Roman" w:cs="Times New Roman"/>
                <w:color w:val="auto"/>
                <w:spacing w:val="-40"/>
                <w:sz w:val="24"/>
                <w:szCs w:val="24"/>
              </w:rPr>
              <w:t xml:space="preserve"> </w:t>
            </w:r>
            <w:r>
              <w:rPr>
                <w:rFonts w:hint="default" w:ascii="Times New Roman" w:hAnsi="Times New Roman" w:eastAsia="Times New Roman" w:cs="Times New Roman"/>
                <w:color w:val="auto"/>
                <w:spacing w:val="-1"/>
                <w:sz w:val="24"/>
                <w:szCs w:val="24"/>
              </w:rPr>
              <w:t xml:space="preserve">A </w:t>
            </w:r>
            <w:r>
              <w:rPr>
                <w:rFonts w:hint="default" w:ascii="Times New Roman" w:hAnsi="Times New Roman" w:cs="Times New Roman"/>
                <w:color w:val="auto"/>
                <w:spacing w:val="-1"/>
                <w:sz w:val="24"/>
                <w:szCs w:val="24"/>
              </w:rPr>
              <w:t>声级的隔声量，</w:t>
            </w:r>
            <w:r>
              <w:rPr>
                <w:rFonts w:hint="default" w:ascii="Times New Roman" w:hAnsi="Times New Roman" w:eastAsia="Times New Roman" w:cs="Times New Roman"/>
                <w:color w:val="auto"/>
                <w:spacing w:val="-1"/>
                <w:sz w:val="24"/>
                <w:szCs w:val="24"/>
              </w:rPr>
              <w:t>dB</w:t>
            </w:r>
            <w:r>
              <w:rPr>
                <w:rFonts w:hint="default" w:ascii="Times New Roman" w:hAnsi="Times New Roman" w:cs="Times New Roman"/>
                <w:color w:val="auto"/>
                <w:spacing w:val="-1"/>
                <w:sz w:val="24"/>
                <w:szCs w:val="24"/>
              </w:rPr>
              <w:t>。</w:t>
            </w:r>
          </w:p>
          <w:p w14:paraId="53E0A05D">
            <w:pPr>
              <w:keepNext w:val="0"/>
              <w:keepLines w:val="0"/>
              <w:suppressLineNumbers w:val="0"/>
              <w:spacing w:before="108"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rPr>
              <w:drawing>
                <wp:inline distT="0" distB="0" distL="114300" distR="114300">
                  <wp:extent cx="3218180" cy="1520190"/>
                  <wp:effectExtent l="0" t="0" r="1270" b="3810"/>
                  <wp:docPr id="4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9"/>
                          <pic:cNvPicPr>
                            <a:picLocks noChangeAspect="1"/>
                          </pic:cNvPicPr>
                        </pic:nvPicPr>
                        <pic:blipFill>
                          <a:blip r:embed="rId24"/>
                          <a:stretch>
                            <a:fillRect/>
                          </a:stretch>
                        </pic:blipFill>
                        <pic:spPr>
                          <a:xfrm>
                            <a:off x="0" y="0"/>
                            <a:ext cx="3218180" cy="1520190"/>
                          </a:xfrm>
                          <a:prstGeom prst="rect">
                            <a:avLst/>
                          </a:prstGeom>
                          <a:noFill/>
                          <a:ln>
                            <a:noFill/>
                          </a:ln>
                        </pic:spPr>
                      </pic:pic>
                    </a:graphicData>
                  </a:graphic>
                </wp:inline>
              </w:drawing>
            </w:r>
          </w:p>
          <w:p w14:paraId="7AD4D470">
            <w:pPr>
              <w:pStyle w:val="66"/>
              <w:keepNext w:val="0"/>
              <w:keepLines w:val="0"/>
              <w:suppressLineNumbers w:val="0"/>
              <w:spacing w:before="234" w:beforeAutospacing="0" w:after="0" w:afterAutospacing="0" w:line="360" w:lineRule="auto"/>
              <w:ind w:left="2298" w:right="0"/>
              <w:rPr>
                <w:rFonts w:hint="default" w:ascii="Times New Roman" w:hAnsi="Times New Roman" w:cs="Times New Roman"/>
                <w:color w:val="auto"/>
              </w:rPr>
            </w:pPr>
            <w:r>
              <w:rPr>
                <w:rFonts w:hint="default" w:ascii="Times New Roman" w:hAnsi="Times New Roman" w:cs="Times New Roman"/>
                <w:color w:val="auto"/>
                <w:spacing w:val="-2"/>
              </w:rPr>
              <w:t>图</w:t>
            </w:r>
            <w:r>
              <w:rPr>
                <w:rFonts w:hint="default" w:ascii="Times New Roman" w:hAnsi="Times New Roman" w:cs="Times New Roman"/>
                <w:color w:val="auto"/>
                <w:spacing w:val="-38"/>
              </w:rPr>
              <w:t xml:space="preserve"> </w:t>
            </w:r>
            <w:r>
              <w:rPr>
                <w:rFonts w:hint="default" w:ascii="Times New Roman" w:hAnsi="Times New Roman" w:eastAsia="Times New Roman" w:cs="Times New Roman"/>
                <w:b/>
                <w:bCs/>
                <w:color w:val="auto"/>
                <w:spacing w:val="-2"/>
              </w:rPr>
              <w:t>4</w:t>
            </w:r>
            <w:r>
              <w:rPr>
                <w:rFonts w:hint="default" w:ascii="Times New Roman" w:hAnsi="Times New Roman" w:eastAsia="宋体" w:cs="Times New Roman"/>
                <w:b/>
                <w:bCs/>
                <w:color w:val="auto"/>
                <w:spacing w:val="-2"/>
                <w:lang w:val="en-US" w:eastAsia="zh-CN"/>
              </w:rPr>
              <w:t>-</w:t>
            </w:r>
            <w:r>
              <w:rPr>
                <w:rFonts w:hint="eastAsia" w:ascii="Times New Roman" w:hAnsi="Times New Roman" w:cs="Times New Roman"/>
                <w:b/>
                <w:bCs/>
                <w:color w:val="auto"/>
                <w:spacing w:val="-2"/>
                <w:lang w:val="en-US" w:eastAsia="zh-CN"/>
              </w:rPr>
              <w:t>1</w:t>
            </w:r>
            <w:r>
              <w:rPr>
                <w:rFonts w:hint="default" w:ascii="Times New Roman" w:hAnsi="Times New Roman" w:eastAsia="Times New Roman" w:cs="Times New Roman"/>
                <w:b/>
                <w:bCs/>
                <w:color w:val="auto"/>
                <w:spacing w:val="-2"/>
              </w:rPr>
              <w:t xml:space="preserve">    </w:t>
            </w:r>
            <w:r>
              <w:rPr>
                <w:rFonts w:hint="default" w:ascii="Times New Roman" w:hAnsi="Times New Roman" w:cs="Times New Roman"/>
                <w:color w:val="auto"/>
                <w:spacing w:val="-2"/>
              </w:rPr>
              <w:t>室内声源等效为室外声源图例</w:t>
            </w:r>
          </w:p>
          <w:p w14:paraId="214AB4C3">
            <w:pPr>
              <w:pStyle w:val="66"/>
              <w:keepNext w:val="0"/>
              <w:keepLines w:val="0"/>
              <w:suppressLineNumbers w:val="0"/>
              <w:spacing w:before="210" w:beforeAutospacing="0" w:after="0" w:afterAutospacing="0" w:line="360" w:lineRule="auto"/>
              <w:ind w:left="583" w:right="0"/>
              <w:rPr>
                <w:rFonts w:hint="default" w:ascii="Times New Roman" w:hAnsi="Times New Roman" w:cs="Times New Roman"/>
                <w:color w:val="auto"/>
              </w:rPr>
            </w:pPr>
            <w:r>
              <w:rPr>
                <w:rFonts w:hint="eastAsia" w:ascii="宋体" w:hAnsi="宋体" w:eastAsia="宋体" w:cs="宋体"/>
                <w:color w:val="auto"/>
                <w:spacing w:val="-1"/>
              </w:rPr>
              <w:t>③</w:t>
            </w:r>
            <w:r>
              <w:rPr>
                <w:rFonts w:hint="default" w:ascii="Times New Roman" w:hAnsi="Times New Roman" w:cs="Times New Roman"/>
                <w:color w:val="auto"/>
                <w:spacing w:val="-1"/>
              </w:rPr>
              <w:t>工业企业噪声计算</w:t>
            </w:r>
          </w:p>
          <w:p w14:paraId="66BC6A6F">
            <w:pPr>
              <w:pStyle w:val="66"/>
              <w:keepNext w:val="0"/>
              <w:keepLines w:val="0"/>
              <w:suppressLineNumbers w:val="0"/>
              <w:spacing w:before="145" w:beforeAutospacing="0" w:after="0" w:afterAutospacing="0" w:line="360" w:lineRule="auto"/>
              <w:ind w:left="106" w:right="96" w:firstLine="482"/>
              <w:rPr>
                <w:rFonts w:hint="default" w:ascii="Times New Roman" w:hAnsi="Times New Roman" w:cs="Times New Roman"/>
                <w:color w:val="auto"/>
              </w:rPr>
            </w:pPr>
            <w:r>
              <w:rPr>
                <w:rFonts w:hint="default" w:ascii="Times New Roman" w:hAnsi="Times New Roman" w:cs="Times New Roman"/>
                <w:color w:val="auto"/>
                <w:spacing w:val="-1"/>
              </w:rPr>
              <w:t xml:space="preserve">设第 </w:t>
            </w:r>
            <w:r>
              <w:rPr>
                <w:rFonts w:hint="default" w:ascii="Times New Roman" w:hAnsi="Times New Roman" w:eastAsia="Times New Roman" w:cs="Times New Roman"/>
                <w:i/>
                <w:iCs/>
                <w:color w:val="auto"/>
                <w:spacing w:val="-1"/>
              </w:rPr>
              <w:t>i</w:t>
            </w:r>
            <w:r>
              <w:rPr>
                <w:rFonts w:hint="default" w:ascii="Times New Roman" w:hAnsi="Times New Roman" w:eastAsia="Times New Roman" w:cs="Times New Roman"/>
                <w:color w:val="auto"/>
                <w:spacing w:val="-1"/>
              </w:rPr>
              <w:t xml:space="preserve"> </w:t>
            </w:r>
            <w:r>
              <w:rPr>
                <w:rFonts w:hint="default" w:ascii="Times New Roman" w:hAnsi="Times New Roman" w:cs="Times New Roman"/>
                <w:color w:val="auto"/>
                <w:spacing w:val="-1"/>
              </w:rPr>
              <w:t>个室外声源在预测点产生的</w:t>
            </w:r>
            <w:r>
              <w:rPr>
                <w:rFonts w:hint="default" w:ascii="Times New Roman" w:hAnsi="Times New Roman" w:cs="Times New Roman"/>
                <w:color w:val="auto"/>
                <w:spacing w:val="-50"/>
              </w:rPr>
              <w:t xml:space="preserve"> </w:t>
            </w:r>
            <w:r>
              <w:rPr>
                <w:rFonts w:hint="eastAsia" w:ascii="Times New Roman" w:hAnsi="Times New Roman" w:cs="Times New Roman"/>
                <w:color w:val="auto"/>
                <w:spacing w:val="-50"/>
                <w:lang w:val="en-US" w:eastAsia="zh-CN"/>
              </w:rPr>
              <w:t xml:space="preserve">    </w:t>
            </w:r>
            <w:r>
              <w:rPr>
                <w:rFonts w:hint="default" w:ascii="Times New Roman" w:hAnsi="Times New Roman" w:eastAsia="Times New Roman" w:cs="Times New Roman"/>
                <w:color w:val="auto"/>
                <w:spacing w:val="-1"/>
              </w:rPr>
              <w:t xml:space="preserve">A </w:t>
            </w:r>
            <w:r>
              <w:rPr>
                <w:rFonts w:hint="default" w:ascii="Times New Roman" w:hAnsi="Times New Roman" w:cs="Times New Roman"/>
                <w:color w:val="auto"/>
                <w:spacing w:val="-1"/>
              </w:rPr>
              <w:t xml:space="preserve">声级为 </w:t>
            </w:r>
            <w:r>
              <w:rPr>
                <w:rFonts w:hint="default" w:ascii="Times New Roman" w:hAnsi="Times New Roman" w:eastAsia="Times New Roman" w:cs="Times New Roman"/>
                <w:color w:val="auto"/>
                <w:spacing w:val="-1"/>
              </w:rPr>
              <w:t>L</w:t>
            </w:r>
            <w:r>
              <w:rPr>
                <w:rFonts w:hint="default" w:ascii="Times New Roman" w:hAnsi="Times New Roman" w:eastAsia="Times New Roman" w:cs="Times New Roman"/>
                <w:i w:val="0"/>
                <w:iCs w:val="0"/>
                <w:color w:val="auto"/>
                <w:spacing w:val="-1"/>
                <w:vertAlign w:val="subscript"/>
              </w:rPr>
              <w:t>A</w:t>
            </w:r>
            <w:r>
              <w:rPr>
                <w:rFonts w:hint="default" w:ascii="Times New Roman" w:hAnsi="Times New Roman" w:eastAsia="Times New Roman" w:cs="Times New Roman"/>
                <w:i/>
                <w:iCs/>
                <w:color w:val="auto"/>
                <w:spacing w:val="-1"/>
                <w:vertAlign w:val="subscript"/>
              </w:rPr>
              <w:t>i</w:t>
            </w:r>
            <w:r>
              <w:rPr>
                <w:rFonts w:hint="default" w:ascii="Times New Roman" w:hAnsi="Times New Roman" w:cs="Times New Roman"/>
                <w:color w:val="auto"/>
                <w:spacing w:val="-1"/>
              </w:rPr>
              <w:t xml:space="preserve">，在 </w:t>
            </w:r>
            <w:r>
              <w:rPr>
                <w:rFonts w:hint="default" w:ascii="Times New Roman" w:hAnsi="Times New Roman" w:eastAsia="Times New Roman" w:cs="Times New Roman"/>
                <w:color w:val="auto"/>
                <w:spacing w:val="-1"/>
              </w:rPr>
              <w:t>T</w:t>
            </w:r>
            <w:r>
              <w:rPr>
                <w:rFonts w:hint="default" w:ascii="Times New Roman" w:hAnsi="Times New Roman" w:eastAsia="Times New Roman" w:cs="Times New Roman"/>
                <w:color w:val="auto"/>
                <w:spacing w:val="9"/>
              </w:rPr>
              <w:t xml:space="preserve"> </w:t>
            </w:r>
            <w:r>
              <w:rPr>
                <w:rFonts w:hint="default" w:ascii="Times New Roman" w:hAnsi="Times New Roman" w:cs="Times New Roman"/>
                <w:color w:val="auto"/>
                <w:spacing w:val="-1"/>
              </w:rPr>
              <w:t>时间内该声源工</w:t>
            </w:r>
            <w:r>
              <w:rPr>
                <w:rFonts w:hint="default" w:ascii="Times New Roman" w:hAnsi="Times New Roman" w:cs="Times New Roman"/>
                <w:color w:val="auto"/>
                <w:spacing w:val="-2"/>
              </w:rPr>
              <w:t>作时间为</w:t>
            </w:r>
            <w:r>
              <w:rPr>
                <w:rFonts w:hint="default" w:ascii="Times New Roman" w:hAnsi="Times New Roman" w:cs="Times New Roman"/>
                <w:color w:val="auto"/>
                <w:spacing w:val="-53"/>
              </w:rPr>
              <w:t xml:space="preserve"> </w:t>
            </w:r>
            <w:r>
              <w:rPr>
                <w:rFonts w:hint="default" w:ascii="Times New Roman" w:hAnsi="Times New Roman" w:eastAsia="Times New Roman" w:cs="Times New Roman"/>
                <w:i/>
                <w:iCs/>
                <w:color w:val="auto"/>
                <w:spacing w:val="-2"/>
              </w:rPr>
              <w:t>t</w:t>
            </w:r>
            <w:r>
              <w:rPr>
                <w:rFonts w:hint="default" w:ascii="Times New Roman" w:hAnsi="Times New Roman" w:eastAsia="Times New Roman" w:cs="Times New Roman"/>
                <w:i/>
                <w:iCs/>
                <w:color w:val="auto"/>
                <w:spacing w:val="-2"/>
                <w:vertAlign w:val="subscript"/>
              </w:rPr>
              <w:t>i</w:t>
            </w:r>
            <w:r>
              <w:rPr>
                <w:rFonts w:hint="default" w:ascii="Times New Roman" w:hAnsi="Times New Roman" w:eastAsia="Times New Roman" w:cs="Times New Roman"/>
                <w:i/>
                <w:iCs/>
                <w:color w:val="auto"/>
                <w:spacing w:val="14"/>
              </w:rPr>
              <w:t xml:space="preserve"> </w:t>
            </w:r>
            <w:r>
              <w:rPr>
                <w:rFonts w:hint="default" w:ascii="Times New Roman" w:hAnsi="Times New Roman" w:cs="Times New Roman"/>
                <w:color w:val="auto"/>
                <w:spacing w:val="-2"/>
              </w:rPr>
              <w:t>；第</w:t>
            </w:r>
            <w:r>
              <w:rPr>
                <w:rFonts w:hint="default" w:ascii="Times New Roman" w:hAnsi="Times New Roman" w:cs="Times New Roman"/>
                <w:i/>
                <w:iCs/>
                <w:color w:val="auto"/>
                <w:spacing w:val="-2"/>
              </w:rPr>
              <w:t xml:space="preserve"> </w:t>
            </w:r>
            <w:r>
              <w:rPr>
                <w:rFonts w:hint="default" w:ascii="Times New Roman" w:hAnsi="Times New Roman" w:eastAsia="Times New Roman" w:cs="Times New Roman"/>
                <w:i/>
                <w:iCs/>
                <w:color w:val="auto"/>
                <w:spacing w:val="-2"/>
              </w:rPr>
              <w:t>j</w:t>
            </w:r>
            <w:r>
              <w:rPr>
                <w:rFonts w:hint="default" w:ascii="Times New Roman" w:hAnsi="Times New Roman" w:eastAsia="Times New Roman" w:cs="Times New Roman"/>
                <w:color w:val="auto"/>
                <w:spacing w:val="-2"/>
              </w:rPr>
              <w:t xml:space="preserve"> </w:t>
            </w:r>
            <w:r>
              <w:rPr>
                <w:rFonts w:hint="default" w:ascii="Times New Roman" w:hAnsi="Times New Roman" w:cs="Times New Roman"/>
                <w:color w:val="auto"/>
                <w:spacing w:val="-2"/>
              </w:rPr>
              <w:t>个等效室外声源在预测点产生的</w:t>
            </w:r>
            <w:r>
              <w:rPr>
                <w:rFonts w:hint="eastAsia" w:ascii="Times New Roman" w:hAnsi="Times New Roman" w:cs="Times New Roman"/>
                <w:color w:val="auto"/>
                <w:spacing w:val="-2"/>
                <w:lang w:val="en-US" w:eastAsia="zh-CN"/>
              </w:rPr>
              <w:t xml:space="preserve"> </w:t>
            </w:r>
            <w:r>
              <w:rPr>
                <w:rFonts w:hint="default" w:ascii="Times New Roman" w:hAnsi="Times New Roman" w:cs="Times New Roman"/>
                <w:color w:val="auto"/>
                <w:spacing w:val="-57"/>
              </w:rPr>
              <w:t xml:space="preserve"> </w:t>
            </w:r>
            <w:r>
              <w:rPr>
                <w:rFonts w:hint="default" w:ascii="Times New Roman" w:hAnsi="Times New Roman" w:eastAsia="Times New Roman" w:cs="Times New Roman"/>
                <w:color w:val="auto"/>
                <w:spacing w:val="-2"/>
              </w:rPr>
              <w:t xml:space="preserve">A </w:t>
            </w:r>
            <w:r>
              <w:rPr>
                <w:rFonts w:hint="default" w:ascii="Times New Roman" w:hAnsi="Times New Roman" w:cs="Times New Roman"/>
                <w:color w:val="auto"/>
                <w:spacing w:val="-2"/>
              </w:rPr>
              <w:t xml:space="preserve">声级为 </w:t>
            </w:r>
            <w:r>
              <w:rPr>
                <w:rFonts w:hint="default" w:ascii="Times New Roman" w:hAnsi="Times New Roman" w:eastAsia="Times New Roman" w:cs="Times New Roman"/>
                <w:color w:val="auto"/>
                <w:spacing w:val="-2"/>
              </w:rPr>
              <w:t>L</w:t>
            </w:r>
            <w:r>
              <w:rPr>
                <w:rFonts w:hint="default" w:ascii="Times New Roman" w:hAnsi="Times New Roman" w:eastAsia="Times New Roman" w:cs="Times New Roman"/>
                <w:color w:val="auto"/>
                <w:spacing w:val="-2"/>
                <w:vertAlign w:val="subscript"/>
              </w:rPr>
              <w:t>A</w:t>
            </w:r>
            <w:r>
              <w:rPr>
                <w:rFonts w:hint="default" w:ascii="Times New Roman" w:hAnsi="Times New Roman" w:eastAsia="Times New Roman" w:cs="Times New Roman"/>
                <w:i/>
                <w:iCs/>
                <w:color w:val="auto"/>
                <w:spacing w:val="-2"/>
                <w:vertAlign w:val="subscript"/>
              </w:rPr>
              <w:t>j</w:t>
            </w:r>
            <w:r>
              <w:rPr>
                <w:rFonts w:hint="default" w:ascii="Times New Roman" w:hAnsi="Times New Roman" w:eastAsia="Times New Roman" w:cs="Times New Roman"/>
                <w:color w:val="auto"/>
                <w:spacing w:val="-2"/>
              </w:rPr>
              <w:t xml:space="preserve"> </w:t>
            </w:r>
            <w:r>
              <w:rPr>
                <w:rFonts w:hint="default" w:ascii="Times New Roman" w:hAnsi="Times New Roman" w:cs="Times New Roman"/>
                <w:color w:val="auto"/>
                <w:spacing w:val="-2"/>
              </w:rPr>
              <w:t xml:space="preserve">，在 </w:t>
            </w:r>
            <w:r>
              <w:rPr>
                <w:rFonts w:hint="default" w:ascii="Times New Roman" w:hAnsi="Times New Roman" w:eastAsia="Times New Roman" w:cs="Times New Roman"/>
                <w:color w:val="auto"/>
                <w:spacing w:val="-2"/>
              </w:rPr>
              <w:t xml:space="preserve">T </w:t>
            </w:r>
            <w:r>
              <w:rPr>
                <w:rFonts w:hint="default" w:ascii="Times New Roman" w:hAnsi="Times New Roman" w:cs="Times New Roman"/>
                <w:color w:val="auto"/>
                <w:spacing w:val="-2"/>
              </w:rPr>
              <w:t>时间</w:t>
            </w:r>
            <w:r>
              <w:rPr>
                <w:rFonts w:hint="default" w:ascii="Times New Roman" w:hAnsi="Times New Roman" w:cs="Times New Roman"/>
                <w:color w:val="auto"/>
                <w:spacing w:val="1"/>
              </w:rPr>
              <w:t>内该声源工作时间为</w:t>
            </w:r>
            <w:r>
              <w:rPr>
                <w:rFonts w:hint="default" w:ascii="Times New Roman" w:hAnsi="Times New Roman" w:cs="Times New Roman"/>
                <w:color w:val="auto"/>
                <w:spacing w:val="-47"/>
              </w:rPr>
              <w:t xml:space="preserve"> </w:t>
            </w:r>
            <w:r>
              <w:rPr>
                <w:rFonts w:hint="default" w:ascii="Times New Roman" w:hAnsi="Times New Roman" w:eastAsia="Times New Roman" w:cs="Times New Roman"/>
                <w:i/>
                <w:iCs/>
                <w:color w:val="auto"/>
              </w:rPr>
              <w:t>t</w:t>
            </w:r>
            <w:r>
              <w:rPr>
                <w:rFonts w:hint="default" w:ascii="Times New Roman" w:hAnsi="Times New Roman" w:eastAsia="Times New Roman" w:cs="Times New Roman"/>
                <w:i/>
                <w:iCs/>
                <w:color w:val="auto"/>
                <w:vertAlign w:val="subscript"/>
              </w:rPr>
              <w:t>j</w:t>
            </w:r>
            <w:r>
              <w:rPr>
                <w:rFonts w:hint="default" w:ascii="Times New Roman" w:hAnsi="Times New Roman" w:eastAsia="Times New Roman" w:cs="Times New Roman"/>
                <w:color w:val="auto"/>
                <w:spacing w:val="1"/>
              </w:rPr>
              <w:t xml:space="preserve"> </w:t>
            </w:r>
            <w:r>
              <w:rPr>
                <w:rFonts w:hint="default" w:ascii="Times New Roman" w:hAnsi="Times New Roman" w:cs="Times New Roman"/>
                <w:color w:val="auto"/>
                <w:spacing w:val="1"/>
              </w:rPr>
              <w:t>，则拟建工程声源对预测点产生的贡献值（</w:t>
            </w:r>
            <w:r>
              <w:rPr>
                <w:rFonts w:hint="default" w:ascii="Times New Roman" w:hAnsi="Times New Roman" w:eastAsia="Times New Roman" w:cs="Times New Roman"/>
                <w:color w:val="auto"/>
              </w:rPr>
              <w:t>Leqg</w:t>
            </w:r>
            <w:r>
              <w:rPr>
                <w:rFonts w:hint="default" w:ascii="Times New Roman" w:hAnsi="Times New Roman" w:cs="Times New Roman"/>
                <w:color w:val="auto"/>
                <w:spacing w:val="1"/>
              </w:rPr>
              <w:t>）为：</w:t>
            </w:r>
          </w:p>
          <w:p w14:paraId="73DA85F5">
            <w:pPr>
              <w:keepNext w:val="0"/>
              <w:keepLines w:val="0"/>
              <w:suppressLineNumbers w:val="0"/>
              <w:spacing w:before="136"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rPr>
              <w:drawing>
                <wp:inline distT="0" distB="0" distL="114300" distR="114300">
                  <wp:extent cx="2669540" cy="528320"/>
                  <wp:effectExtent l="0" t="0" r="16510" b="5080"/>
                  <wp:docPr id="4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0"/>
                          <pic:cNvPicPr>
                            <a:picLocks noChangeAspect="1"/>
                          </pic:cNvPicPr>
                        </pic:nvPicPr>
                        <pic:blipFill>
                          <a:blip r:embed="rId25"/>
                          <a:stretch>
                            <a:fillRect/>
                          </a:stretch>
                        </pic:blipFill>
                        <pic:spPr>
                          <a:xfrm>
                            <a:off x="0" y="0"/>
                            <a:ext cx="2669540" cy="528320"/>
                          </a:xfrm>
                          <a:prstGeom prst="rect">
                            <a:avLst/>
                          </a:prstGeom>
                          <a:noFill/>
                          <a:ln>
                            <a:noFill/>
                          </a:ln>
                        </pic:spPr>
                      </pic:pic>
                    </a:graphicData>
                  </a:graphic>
                </wp:inline>
              </w:drawing>
            </w:r>
          </w:p>
          <w:p w14:paraId="10476892">
            <w:pPr>
              <w:pStyle w:val="66"/>
              <w:keepNext w:val="0"/>
              <w:keepLines w:val="0"/>
              <w:suppressLineNumbers w:val="0"/>
              <w:spacing w:before="136" w:beforeAutospacing="0" w:after="0" w:afterAutospacing="0" w:line="360" w:lineRule="auto"/>
              <w:ind w:left="590" w:right="0"/>
              <w:rPr>
                <w:rFonts w:hint="default" w:ascii="Times New Roman" w:hAnsi="Times New Roman" w:cs="Times New Roman"/>
                <w:color w:val="auto"/>
              </w:rPr>
            </w:pPr>
            <w:r>
              <w:rPr>
                <w:rFonts w:hint="default" w:ascii="Times New Roman" w:hAnsi="Times New Roman" w:cs="Times New Roman"/>
                <w:color w:val="auto"/>
                <w:position w:val="3"/>
              </w:rPr>
              <w:t>式中：</w:t>
            </w:r>
            <w:r>
              <w:rPr>
                <w:rFonts w:hint="default" w:ascii="Times New Roman" w:hAnsi="Times New Roman" w:eastAsia="Times New Roman" w:cs="Times New Roman"/>
                <w:color w:val="auto"/>
                <w:position w:val="3"/>
              </w:rPr>
              <w:t>L</w:t>
            </w:r>
            <w:r>
              <w:rPr>
                <w:rFonts w:hint="default" w:ascii="Times New Roman" w:hAnsi="Times New Roman" w:eastAsia="Times New Roman" w:cs="Times New Roman"/>
                <w:color w:val="auto"/>
                <w:position w:val="2"/>
                <w:sz w:val="15"/>
                <w:szCs w:val="15"/>
              </w:rPr>
              <w:t>eqg</w:t>
            </w:r>
            <w:r>
              <w:rPr>
                <w:rFonts w:hint="default" w:ascii="Times New Roman" w:hAnsi="Times New Roman" w:cs="Times New Roman"/>
                <w:color w:val="auto"/>
                <w:position w:val="3"/>
              </w:rPr>
              <w:t>——建设项目声源在预测点产生的</w:t>
            </w:r>
            <w:r>
              <w:rPr>
                <w:rFonts w:hint="default" w:ascii="Times New Roman" w:hAnsi="Times New Roman" w:cs="Times New Roman"/>
                <w:color w:val="auto"/>
                <w:spacing w:val="-1"/>
                <w:position w:val="3"/>
              </w:rPr>
              <w:t>噪声贡献值，</w:t>
            </w:r>
            <w:r>
              <w:rPr>
                <w:rFonts w:hint="default" w:ascii="Times New Roman" w:hAnsi="Times New Roman" w:eastAsia="Times New Roman" w:cs="Times New Roman"/>
                <w:color w:val="auto"/>
                <w:spacing w:val="-1"/>
                <w:position w:val="3"/>
              </w:rPr>
              <w:t>dB</w:t>
            </w:r>
            <w:r>
              <w:rPr>
                <w:rFonts w:hint="default" w:ascii="Times New Roman" w:hAnsi="Times New Roman" w:cs="Times New Roman"/>
                <w:color w:val="auto"/>
                <w:spacing w:val="-1"/>
                <w:position w:val="3"/>
              </w:rPr>
              <w:t>；</w:t>
            </w:r>
          </w:p>
          <w:p w14:paraId="6FB7F6A3">
            <w:pPr>
              <w:pStyle w:val="66"/>
              <w:keepNext w:val="0"/>
              <w:keepLines w:val="0"/>
              <w:suppressLineNumbers w:val="0"/>
              <w:spacing w:before="161" w:beforeAutospacing="0" w:after="0" w:afterAutospacing="0" w:line="360" w:lineRule="auto"/>
              <w:ind w:left="1303" w:right="0"/>
              <w:rPr>
                <w:rFonts w:hint="default" w:ascii="Times New Roman" w:hAnsi="Times New Roman" w:cs="Times New Roman"/>
                <w:color w:val="auto"/>
              </w:rPr>
            </w:pPr>
            <w:r>
              <w:rPr>
                <w:rFonts w:hint="default" w:ascii="Times New Roman" w:hAnsi="Times New Roman" w:eastAsia="Times New Roman" w:cs="Times New Roman"/>
                <w:color w:val="auto"/>
                <w:spacing w:val="-1"/>
                <w:position w:val="17"/>
              </w:rPr>
              <w:t>T</w:t>
            </w:r>
            <w:r>
              <w:rPr>
                <w:rFonts w:hint="default" w:ascii="Times New Roman" w:hAnsi="Times New Roman" w:cs="Times New Roman"/>
                <w:color w:val="auto"/>
                <w:spacing w:val="-1"/>
                <w:position w:val="17"/>
              </w:rPr>
              <w:t>——用于计算等效声级的时间，</w:t>
            </w:r>
            <w:r>
              <w:rPr>
                <w:rFonts w:hint="default" w:ascii="Times New Roman" w:hAnsi="Times New Roman" w:eastAsia="Times New Roman" w:cs="Times New Roman"/>
                <w:color w:val="auto"/>
                <w:spacing w:val="-1"/>
                <w:position w:val="17"/>
              </w:rPr>
              <w:t>s</w:t>
            </w:r>
            <w:r>
              <w:rPr>
                <w:rFonts w:hint="default" w:ascii="Times New Roman" w:hAnsi="Times New Roman" w:cs="Times New Roman"/>
                <w:color w:val="auto"/>
                <w:spacing w:val="-1"/>
                <w:position w:val="17"/>
              </w:rPr>
              <w:t>；</w:t>
            </w:r>
          </w:p>
          <w:p w14:paraId="669E9CFB">
            <w:pPr>
              <w:pStyle w:val="66"/>
              <w:keepNext w:val="0"/>
              <w:keepLines w:val="0"/>
              <w:suppressLineNumbers w:val="0"/>
              <w:spacing w:before="1" w:beforeAutospacing="0" w:after="0" w:afterAutospacing="0" w:line="360" w:lineRule="auto"/>
              <w:ind w:left="1293" w:right="0"/>
              <w:rPr>
                <w:rFonts w:hint="default" w:ascii="Times New Roman" w:hAnsi="Times New Roman" w:cs="Times New Roman"/>
                <w:color w:val="auto"/>
              </w:rPr>
            </w:pPr>
            <w:r>
              <w:rPr>
                <w:rFonts w:hint="default" w:ascii="Times New Roman" w:hAnsi="Times New Roman" w:eastAsia="Times New Roman" w:cs="Times New Roman"/>
                <w:color w:val="auto"/>
              </w:rPr>
              <w:t>N</w:t>
            </w:r>
            <w:r>
              <w:rPr>
                <w:rFonts w:hint="default" w:ascii="Times New Roman" w:hAnsi="Times New Roman" w:cs="Times New Roman"/>
                <w:color w:val="auto"/>
              </w:rPr>
              <w:t>——室外声源个数；</w:t>
            </w:r>
          </w:p>
          <w:p w14:paraId="6E4DBE06">
            <w:pPr>
              <w:pStyle w:val="66"/>
              <w:keepNext w:val="0"/>
              <w:keepLines w:val="0"/>
              <w:suppressLineNumbers w:val="0"/>
              <w:spacing w:before="144" w:beforeAutospacing="0" w:after="0" w:afterAutospacing="0" w:line="360" w:lineRule="auto"/>
              <w:ind w:left="1298" w:right="0"/>
              <w:rPr>
                <w:rFonts w:hint="default" w:ascii="Times New Roman" w:hAnsi="Times New Roman" w:cs="Times New Roman"/>
                <w:color w:val="auto"/>
              </w:rPr>
            </w:pPr>
            <w:r>
              <w:rPr>
                <w:rFonts w:hint="default" w:ascii="Times New Roman" w:hAnsi="Times New Roman" w:eastAsia="Times New Roman" w:cs="Times New Roman"/>
                <w:i/>
                <w:iCs/>
                <w:color w:val="auto"/>
                <w:spacing w:val="-2"/>
                <w:position w:val="16"/>
              </w:rPr>
              <w:t>t</w:t>
            </w:r>
            <w:r>
              <w:rPr>
                <w:rFonts w:hint="eastAsia" w:ascii="Times New Roman" w:hAnsi="Times New Roman" w:eastAsia="宋体" w:cs="Times New Roman"/>
                <w:i/>
                <w:iCs/>
                <w:color w:val="auto"/>
                <w:spacing w:val="-2"/>
                <w:position w:val="16"/>
                <w:vertAlign w:val="subscript"/>
                <w:lang w:val="en-US" w:eastAsia="zh-CN"/>
              </w:rPr>
              <w:t>i</w:t>
            </w:r>
            <w:r>
              <w:rPr>
                <w:rFonts w:hint="default" w:ascii="Times New Roman" w:hAnsi="Times New Roman" w:cs="Times New Roman"/>
                <w:color w:val="auto"/>
                <w:spacing w:val="-2"/>
                <w:position w:val="16"/>
              </w:rPr>
              <w:t xml:space="preserve">——在 </w:t>
            </w:r>
            <w:r>
              <w:rPr>
                <w:rFonts w:hint="default" w:ascii="Times New Roman" w:hAnsi="Times New Roman" w:eastAsia="Times New Roman" w:cs="Times New Roman"/>
                <w:color w:val="auto"/>
                <w:spacing w:val="-2"/>
                <w:position w:val="16"/>
              </w:rPr>
              <w:t xml:space="preserve">T  </w:t>
            </w:r>
            <w:r>
              <w:rPr>
                <w:rFonts w:hint="default" w:ascii="Times New Roman" w:hAnsi="Times New Roman" w:cs="Times New Roman"/>
                <w:color w:val="auto"/>
                <w:spacing w:val="-2"/>
                <w:position w:val="16"/>
              </w:rPr>
              <w:t>时间内</w:t>
            </w:r>
            <w:r>
              <w:rPr>
                <w:rFonts w:hint="default" w:ascii="Times New Roman" w:hAnsi="Times New Roman" w:cs="Times New Roman"/>
                <w:i/>
                <w:iCs/>
                <w:color w:val="auto"/>
                <w:spacing w:val="-44"/>
                <w:position w:val="16"/>
              </w:rPr>
              <w:t xml:space="preserve"> </w:t>
            </w:r>
            <w:r>
              <w:rPr>
                <w:rFonts w:hint="default" w:ascii="Times New Roman" w:hAnsi="Times New Roman" w:eastAsia="Times New Roman" w:cs="Times New Roman"/>
                <w:i/>
                <w:iCs/>
                <w:color w:val="auto"/>
                <w:spacing w:val="-2"/>
                <w:position w:val="16"/>
              </w:rPr>
              <w:t>i</w:t>
            </w:r>
            <w:r>
              <w:rPr>
                <w:rFonts w:hint="default" w:ascii="Times New Roman" w:hAnsi="Times New Roman" w:eastAsia="Times New Roman" w:cs="Times New Roman"/>
                <w:color w:val="auto"/>
                <w:spacing w:val="14"/>
                <w:position w:val="16"/>
              </w:rPr>
              <w:t xml:space="preserve"> </w:t>
            </w:r>
            <w:r>
              <w:rPr>
                <w:rFonts w:hint="default" w:ascii="Times New Roman" w:hAnsi="Times New Roman" w:cs="Times New Roman"/>
                <w:color w:val="auto"/>
                <w:spacing w:val="-2"/>
                <w:position w:val="16"/>
              </w:rPr>
              <w:t>声源工作时间，</w:t>
            </w:r>
            <w:r>
              <w:rPr>
                <w:rFonts w:hint="default" w:ascii="Times New Roman" w:hAnsi="Times New Roman" w:eastAsia="Times New Roman" w:cs="Times New Roman"/>
                <w:color w:val="auto"/>
                <w:spacing w:val="-2"/>
                <w:position w:val="16"/>
              </w:rPr>
              <w:t>s</w:t>
            </w:r>
            <w:r>
              <w:rPr>
                <w:rFonts w:hint="default" w:ascii="Times New Roman" w:hAnsi="Times New Roman" w:cs="Times New Roman"/>
                <w:color w:val="auto"/>
                <w:spacing w:val="-2"/>
                <w:position w:val="16"/>
              </w:rPr>
              <w:t>；</w:t>
            </w:r>
          </w:p>
          <w:p w14:paraId="5183BE27">
            <w:pPr>
              <w:pStyle w:val="66"/>
              <w:keepNext w:val="0"/>
              <w:keepLines w:val="0"/>
              <w:suppressLineNumbers w:val="0"/>
              <w:spacing w:before="0" w:beforeAutospacing="0" w:after="0" w:afterAutospacing="0" w:line="360" w:lineRule="auto"/>
              <w:ind w:left="1300" w:right="0"/>
              <w:rPr>
                <w:rFonts w:hint="default" w:ascii="Times New Roman" w:hAnsi="Times New Roman" w:cs="Times New Roman"/>
                <w:color w:val="auto"/>
              </w:rPr>
            </w:pPr>
            <w:r>
              <w:rPr>
                <w:rFonts w:hint="default" w:ascii="Times New Roman" w:hAnsi="Times New Roman" w:eastAsia="Times New Roman" w:cs="Times New Roman"/>
                <w:color w:val="auto"/>
                <w:spacing w:val="-1"/>
              </w:rPr>
              <w:t>M</w:t>
            </w:r>
            <w:r>
              <w:rPr>
                <w:rFonts w:hint="default" w:ascii="Times New Roman" w:hAnsi="Times New Roman" w:cs="Times New Roman"/>
                <w:color w:val="auto"/>
                <w:spacing w:val="-1"/>
              </w:rPr>
              <w:t>——等效室外声源个数；</w:t>
            </w:r>
          </w:p>
          <w:p w14:paraId="1F81EB7E">
            <w:pPr>
              <w:pStyle w:val="66"/>
              <w:keepNext w:val="0"/>
              <w:keepLines w:val="0"/>
              <w:suppressLineNumbers w:val="0"/>
              <w:spacing w:before="144" w:beforeAutospacing="0" w:after="0" w:afterAutospacing="0" w:line="360" w:lineRule="auto"/>
              <w:ind w:left="1298" w:right="0"/>
              <w:rPr>
                <w:rFonts w:hint="default" w:ascii="Times New Roman" w:hAnsi="Times New Roman" w:cs="Times New Roman"/>
                <w:color w:val="auto"/>
              </w:rPr>
            </w:pPr>
            <w:r>
              <w:rPr>
                <w:rFonts w:hint="default" w:ascii="Times New Roman" w:hAnsi="Times New Roman" w:eastAsia="Times New Roman" w:cs="Times New Roman"/>
                <w:i/>
                <w:iCs/>
                <w:color w:val="auto"/>
                <w:position w:val="17"/>
              </w:rPr>
              <w:t>t</w:t>
            </w:r>
            <w:r>
              <w:rPr>
                <w:rFonts w:hint="default" w:ascii="Times New Roman" w:hAnsi="Times New Roman" w:eastAsia="Times New Roman" w:cs="Times New Roman"/>
                <w:i/>
                <w:iCs/>
                <w:color w:val="auto"/>
                <w:position w:val="16"/>
                <w:sz w:val="15"/>
                <w:szCs w:val="15"/>
              </w:rPr>
              <w:t>j</w:t>
            </w:r>
            <w:r>
              <w:rPr>
                <w:rFonts w:hint="default" w:ascii="Times New Roman" w:hAnsi="Times New Roman" w:cs="Times New Roman"/>
                <w:color w:val="auto"/>
                <w:spacing w:val="2"/>
                <w:position w:val="17"/>
              </w:rPr>
              <w:t xml:space="preserve">——在 </w:t>
            </w:r>
            <w:r>
              <w:rPr>
                <w:rFonts w:hint="default" w:ascii="Times New Roman" w:hAnsi="Times New Roman" w:eastAsia="Times New Roman" w:cs="Times New Roman"/>
                <w:color w:val="auto"/>
                <w:spacing w:val="2"/>
                <w:position w:val="17"/>
              </w:rPr>
              <w:t xml:space="preserve">T  </w:t>
            </w:r>
            <w:r>
              <w:rPr>
                <w:rFonts w:hint="default" w:ascii="Times New Roman" w:hAnsi="Times New Roman" w:cs="Times New Roman"/>
                <w:color w:val="auto"/>
                <w:spacing w:val="2"/>
                <w:position w:val="17"/>
              </w:rPr>
              <w:t>时间内</w:t>
            </w:r>
            <w:r>
              <w:rPr>
                <w:rFonts w:hint="default" w:ascii="Times New Roman" w:hAnsi="Times New Roman" w:eastAsia="Times New Roman" w:cs="Times New Roman"/>
                <w:i/>
                <w:iCs/>
                <w:color w:val="auto"/>
                <w:spacing w:val="2"/>
                <w:position w:val="17"/>
              </w:rPr>
              <w:t>j</w:t>
            </w:r>
            <w:r>
              <w:rPr>
                <w:rFonts w:hint="default" w:ascii="Times New Roman" w:hAnsi="Times New Roman" w:eastAsia="Times New Roman" w:cs="Times New Roman"/>
                <w:color w:val="auto"/>
                <w:spacing w:val="2"/>
                <w:position w:val="17"/>
              </w:rPr>
              <w:t xml:space="preserve"> </w:t>
            </w:r>
            <w:r>
              <w:rPr>
                <w:rFonts w:hint="default" w:ascii="Times New Roman" w:hAnsi="Times New Roman" w:cs="Times New Roman"/>
                <w:color w:val="auto"/>
                <w:spacing w:val="2"/>
                <w:position w:val="17"/>
              </w:rPr>
              <w:t>声源工作时间，</w:t>
            </w:r>
            <w:r>
              <w:rPr>
                <w:rFonts w:hint="default" w:ascii="Times New Roman" w:hAnsi="Times New Roman" w:eastAsia="Times New Roman" w:cs="Times New Roman"/>
                <w:color w:val="auto"/>
                <w:spacing w:val="2"/>
                <w:position w:val="17"/>
              </w:rPr>
              <w:t>s</w:t>
            </w:r>
            <w:r>
              <w:rPr>
                <w:rFonts w:hint="default" w:ascii="Times New Roman" w:hAnsi="Times New Roman" w:cs="Times New Roman"/>
                <w:color w:val="auto"/>
                <w:spacing w:val="2"/>
                <w:position w:val="17"/>
              </w:rPr>
              <w:t>。</w:t>
            </w:r>
          </w:p>
          <w:p w14:paraId="55B63CB6">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lang w:val="en-US" w:eastAsia="zh-CN" w:bidi="ar"/>
              </w:rPr>
              <w:t>预测值计算</w:t>
            </w:r>
          </w:p>
          <w:p w14:paraId="4A8E7A1C">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预测点的贡献值和背景值按能量叠加方法计算得到的声级。噪声预测值（Leq）</w:t>
            </w:r>
          </w:p>
          <w:p w14:paraId="73C9FC2F">
            <w:pPr>
              <w:pStyle w:val="5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计算公式为：</w:t>
            </w:r>
          </w:p>
          <w:p w14:paraId="227D4AF1">
            <w:pPr>
              <w:keepNext w:val="0"/>
              <w:keepLines w:val="0"/>
              <w:suppressLineNumbers w:val="0"/>
              <w:spacing w:before="145" w:beforeAutospacing="0" w:after="0" w:afterAutospacing="0" w:line="360" w:lineRule="auto"/>
              <w:ind w:left="0" w:right="0" w:firstLine="2935"/>
              <w:rPr>
                <w:rFonts w:hint="default" w:ascii="Times New Roman" w:hAnsi="Times New Roman" w:cs="Times New Roman"/>
                <w:color w:val="auto"/>
              </w:rPr>
            </w:pPr>
            <w:r>
              <w:rPr>
                <w:rFonts w:hint="default" w:ascii="Times New Roman" w:hAnsi="Times New Roman" w:cs="Times New Roman"/>
                <w:color w:val="auto"/>
                <w:position w:val="-8"/>
              </w:rPr>
              <w:drawing>
                <wp:inline distT="0" distB="0" distL="114300" distR="114300">
                  <wp:extent cx="1743710" cy="271145"/>
                  <wp:effectExtent l="0" t="0" r="8890" b="14605"/>
                  <wp:docPr id="47" name="图片 61"/>
                  <wp:cNvGraphicFramePr/>
                  <a:graphic xmlns:a="http://schemas.openxmlformats.org/drawingml/2006/main">
                    <a:graphicData uri="http://schemas.openxmlformats.org/drawingml/2006/picture">
                      <pic:pic xmlns:pic="http://schemas.openxmlformats.org/drawingml/2006/picture">
                        <pic:nvPicPr>
                          <pic:cNvPr id="47" name="图片 61"/>
                          <pic:cNvPicPr/>
                        </pic:nvPicPr>
                        <pic:blipFill>
                          <a:blip r:embed="rId26"/>
                          <a:stretch>
                            <a:fillRect/>
                          </a:stretch>
                        </pic:blipFill>
                        <pic:spPr>
                          <a:xfrm>
                            <a:off x="0" y="0"/>
                            <a:ext cx="1743710" cy="271145"/>
                          </a:xfrm>
                          <a:prstGeom prst="rect">
                            <a:avLst/>
                          </a:prstGeom>
                          <a:noFill/>
                          <a:ln>
                            <a:noFill/>
                          </a:ln>
                        </pic:spPr>
                      </pic:pic>
                    </a:graphicData>
                  </a:graphic>
                </wp:inline>
              </w:drawing>
            </w:r>
          </w:p>
          <w:p w14:paraId="7524AF90">
            <w:pPr>
              <w:pStyle w:val="66"/>
              <w:keepNext w:val="0"/>
              <w:keepLines w:val="0"/>
              <w:suppressLineNumbers w:val="0"/>
              <w:spacing w:before="136" w:beforeAutospacing="0" w:after="0" w:afterAutospacing="0" w:line="360" w:lineRule="auto"/>
              <w:ind w:left="590" w:right="0"/>
              <w:rPr>
                <w:rFonts w:hint="default" w:ascii="Times New Roman" w:hAnsi="Times New Roman" w:cs="Times New Roman"/>
                <w:color w:val="auto"/>
              </w:rPr>
            </w:pPr>
            <w:r>
              <w:rPr>
                <w:rFonts w:hint="default" w:ascii="Times New Roman" w:hAnsi="Times New Roman" w:cs="Times New Roman"/>
                <w:color w:val="auto"/>
                <w:spacing w:val="-1"/>
                <w:position w:val="3"/>
              </w:rPr>
              <w:t>式中：</w:t>
            </w:r>
            <w:r>
              <w:rPr>
                <w:rFonts w:hint="default" w:ascii="Times New Roman" w:hAnsi="Times New Roman" w:eastAsia="Times New Roman" w:cs="Times New Roman"/>
                <w:color w:val="auto"/>
                <w:spacing w:val="-1"/>
                <w:position w:val="3"/>
              </w:rPr>
              <w:t>L</w:t>
            </w:r>
            <w:r>
              <w:rPr>
                <w:rFonts w:hint="default" w:ascii="Times New Roman" w:hAnsi="Times New Roman" w:eastAsia="Times New Roman" w:cs="Times New Roman"/>
                <w:color w:val="auto"/>
                <w:spacing w:val="-1"/>
                <w:position w:val="2"/>
                <w:sz w:val="15"/>
                <w:szCs w:val="15"/>
              </w:rPr>
              <w:t>eq</w:t>
            </w:r>
            <w:r>
              <w:rPr>
                <w:rFonts w:hint="default" w:ascii="Times New Roman" w:hAnsi="Times New Roman" w:eastAsia="Times New Roman" w:cs="Times New Roman"/>
                <w:color w:val="auto"/>
                <w:spacing w:val="-1"/>
                <w:position w:val="3"/>
              </w:rPr>
              <w:t>——</w:t>
            </w:r>
            <w:r>
              <w:rPr>
                <w:rFonts w:hint="default" w:ascii="Times New Roman" w:hAnsi="Times New Roman" w:cs="Times New Roman"/>
                <w:color w:val="auto"/>
                <w:spacing w:val="-1"/>
                <w:position w:val="3"/>
              </w:rPr>
              <w:t>预测点的噪声预测值，</w:t>
            </w:r>
            <w:r>
              <w:rPr>
                <w:rFonts w:hint="default" w:ascii="Times New Roman" w:hAnsi="Times New Roman" w:eastAsia="Times New Roman" w:cs="Times New Roman"/>
                <w:color w:val="auto"/>
                <w:spacing w:val="-1"/>
                <w:position w:val="3"/>
              </w:rPr>
              <w:t>dB</w:t>
            </w:r>
            <w:r>
              <w:rPr>
                <w:rFonts w:hint="default" w:ascii="Times New Roman" w:hAnsi="Times New Roman" w:cs="Times New Roman"/>
                <w:color w:val="auto"/>
                <w:spacing w:val="-1"/>
                <w:position w:val="3"/>
              </w:rPr>
              <w:t>；</w:t>
            </w:r>
          </w:p>
          <w:p w14:paraId="00DD8243">
            <w:pPr>
              <w:pStyle w:val="66"/>
              <w:keepNext w:val="0"/>
              <w:keepLines w:val="0"/>
              <w:suppressLineNumbers w:val="0"/>
              <w:spacing w:before="125" w:beforeAutospacing="0" w:after="0" w:afterAutospacing="0" w:line="360" w:lineRule="auto"/>
              <w:ind w:left="1301" w:right="1452"/>
              <w:rPr>
                <w:rFonts w:hint="default" w:ascii="Times New Roman" w:hAnsi="Times New Roman" w:cs="Times New Roman"/>
                <w:color w:val="auto"/>
                <w:lang w:val="zh-CN"/>
              </w:rPr>
            </w:pPr>
            <w:r>
              <w:rPr>
                <w:rFonts w:hint="default" w:ascii="Times New Roman" w:hAnsi="Times New Roman" w:eastAsia="Times New Roman" w:cs="Times New Roman"/>
                <w:color w:val="auto"/>
                <w:spacing w:val="-2"/>
              </w:rPr>
              <w:t>L</w:t>
            </w:r>
            <w:r>
              <w:rPr>
                <w:rFonts w:hint="default" w:ascii="Times New Roman" w:hAnsi="Times New Roman" w:eastAsia="Times New Roman" w:cs="Times New Roman"/>
                <w:color w:val="auto"/>
                <w:spacing w:val="-2"/>
                <w:position w:val="-1"/>
                <w:sz w:val="15"/>
                <w:szCs w:val="15"/>
              </w:rPr>
              <w:t>eqg</w:t>
            </w:r>
            <w:r>
              <w:rPr>
                <w:rFonts w:hint="default" w:ascii="Times New Roman" w:hAnsi="Times New Roman" w:eastAsia="Times New Roman" w:cs="Times New Roman"/>
                <w:color w:val="auto"/>
                <w:spacing w:val="-2"/>
              </w:rPr>
              <w:t>——</w:t>
            </w:r>
            <w:r>
              <w:rPr>
                <w:rFonts w:hint="default" w:ascii="Times New Roman" w:hAnsi="Times New Roman" w:cs="Times New Roman"/>
                <w:color w:val="auto"/>
                <w:spacing w:val="-2"/>
              </w:rPr>
              <w:t>建设项目声源在预测点产生的噪声贡</w:t>
            </w:r>
            <w:r>
              <w:rPr>
                <w:rFonts w:hint="default" w:ascii="Times New Roman" w:hAnsi="Times New Roman" w:cs="Times New Roman"/>
                <w:color w:val="auto"/>
                <w:spacing w:val="-3"/>
              </w:rPr>
              <w:t>献值，</w:t>
            </w:r>
            <w:r>
              <w:rPr>
                <w:rFonts w:hint="default" w:ascii="Times New Roman" w:hAnsi="Times New Roman" w:eastAsia="Times New Roman" w:cs="Times New Roman"/>
                <w:color w:val="auto"/>
                <w:spacing w:val="-3"/>
              </w:rPr>
              <w:t>dB</w:t>
            </w:r>
            <w:r>
              <w:rPr>
                <w:rFonts w:hint="default" w:ascii="Times New Roman" w:hAnsi="Times New Roman" w:cs="Times New Roman"/>
                <w:color w:val="auto"/>
                <w:spacing w:val="-3"/>
              </w:rPr>
              <w:t>；</w:t>
            </w:r>
            <w:r>
              <w:rPr>
                <w:rFonts w:hint="default" w:ascii="Times New Roman" w:hAnsi="Times New Roman" w:cs="Times New Roman"/>
                <w:color w:val="auto"/>
              </w:rPr>
              <w:t xml:space="preserve"> </w:t>
            </w:r>
            <w:r>
              <w:rPr>
                <w:rFonts w:hint="default" w:ascii="Times New Roman" w:hAnsi="Times New Roman" w:eastAsia="Times New Roman" w:cs="Times New Roman"/>
                <w:color w:val="auto"/>
              </w:rPr>
              <w:t>L</w:t>
            </w:r>
            <w:r>
              <w:rPr>
                <w:rFonts w:hint="default" w:ascii="Times New Roman" w:hAnsi="Times New Roman" w:eastAsia="Times New Roman" w:cs="Times New Roman"/>
                <w:color w:val="auto"/>
                <w:position w:val="-1"/>
                <w:sz w:val="15"/>
                <w:szCs w:val="15"/>
              </w:rPr>
              <w:t>eqb</w:t>
            </w:r>
            <w:r>
              <w:rPr>
                <w:rFonts w:hint="default" w:ascii="Times New Roman" w:hAnsi="Times New Roman" w:eastAsia="Times New Roman" w:cs="Times New Roman"/>
                <w:color w:val="auto"/>
              </w:rPr>
              <w:t>——</w:t>
            </w:r>
            <w:r>
              <w:rPr>
                <w:rFonts w:hint="default" w:ascii="Times New Roman" w:hAnsi="Times New Roman" w:cs="Times New Roman"/>
                <w:color w:val="auto"/>
              </w:rPr>
              <w:t>预测点的背景噪声值，</w:t>
            </w:r>
            <w:r>
              <w:rPr>
                <w:rFonts w:hint="default" w:ascii="Times New Roman" w:hAnsi="Times New Roman" w:eastAsia="Times New Roman" w:cs="Times New Roman"/>
                <w:color w:val="auto"/>
              </w:rPr>
              <w:t>dB</w:t>
            </w:r>
            <w:r>
              <w:rPr>
                <w:rFonts w:hint="default" w:ascii="Times New Roman" w:hAnsi="Times New Roman" w:cs="Times New Roman"/>
                <w:color w:val="auto"/>
              </w:rPr>
              <w:t>。</w:t>
            </w:r>
          </w:p>
          <w:p w14:paraId="6297F947">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根据厂区平面布置、车间布置及已获得的噪声源噪声数据和声波从各声源到预测点的传播条件，计算项目主要设备噪声对周围区域声环境的影响，其最大影响范围计算结果详见下表。</w:t>
            </w:r>
          </w:p>
          <w:p w14:paraId="1823FA27">
            <w:pPr>
              <w:keepNext w:val="0"/>
              <w:keepLines w:val="0"/>
              <w:pageBreakBefore w:val="0"/>
              <w:widowControl w:val="0"/>
              <w:numPr>
                <w:ilvl w:val="0"/>
                <w:numId w:val="0"/>
              </w:numPr>
              <w:suppressLineNumbers w:val="0"/>
              <w:tabs>
                <w:tab w:val="left" w:pos="36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4-</w:t>
            </w:r>
            <w:r>
              <w:rPr>
                <w:rFonts w:hint="eastAsia" w:cs="Times New Roman"/>
                <w:b/>
                <w:bCs/>
                <w:color w:val="auto"/>
                <w:kern w:val="2"/>
                <w:sz w:val="24"/>
                <w:szCs w:val="24"/>
                <w:highlight w:val="none"/>
                <w:lang w:val="en-US" w:eastAsia="zh-CN" w:bidi="ar-SA"/>
              </w:rPr>
              <w:t>11</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项目厂界噪声预测结果</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单位：dB(A)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374"/>
              <w:gridCol w:w="1171"/>
              <w:gridCol w:w="1172"/>
              <w:gridCol w:w="1053"/>
              <w:gridCol w:w="1053"/>
            </w:tblGrid>
            <w:tr w14:paraId="6430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94" w:type="dxa"/>
                  <w:vMerge w:val="restart"/>
                  <w:noWrap w:val="0"/>
                  <w:vAlign w:val="center"/>
                </w:tcPr>
                <w:p w14:paraId="28F1E128">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2378" w:type="dxa"/>
                  <w:vMerge w:val="restart"/>
                  <w:noWrap w:val="0"/>
                  <w:vAlign w:val="center"/>
                </w:tcPr>
                <w:p w14:paraId="263DB563">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位置</w:t>
                  </w:r>
                </w:p>
              </w:tc>
              <w:tc>
                <w:tcPr>
                  <w:tcW w:w="2345" w:type="dxa"/>
                  <w:gridSpan w:val="2"/>
                  <w:noWrap w:val="0"/>
                  <w:vAlign w:val="center"/>
                </w:tcPr>
                <w:p w14:paraId="3F62AB46">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lang w:eastAsia="zh-TW"/>
                    </w:rPr>
                  </w:pPr>
                  <w:r>
                    <w:rPr>
                      <w:rFonts w:hint="eastAsia" w:ascii="Times New Roman" w:hAnsi="Times New Roman" w:cs="Times New Roman"/>
                      <w:color w:val="auto"/>
                      <w:szCs w:val="21"/>
                      <w:lang w:eastAsia="zh-TW"/>
                    </w:rPr>
                    <w:t>预测值</w:t>
                  </w:r>
                </w:p>
              </w:tc>
              <w:tc>
                <w:tcPr>
                  <w:tcW w:w="2108" w:type="dxa"/>
                  <w:gridSpan w:val="2"/>
                  <w:noWrap w:val="0"/>
                  <w:vAlign w:val="center"/>
                </w:tcPr>
                <w:p w14:paraId="3AC0AEBA">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color w:val="auto"/>
                      <w:kern w:val="0"/>
                      <w:szCs w:val="21"/>
                      <w:lang w:eastAsia="zh-TW"/>
                    </w:rPr>
                  </w:pPr>
                  <w:r>
                    <w:rPr>
                      <w:rFonts w:hint="eastAsia" w:ascii="Times New Roman" w:hAnsi="Times New Roman" w:cs="Times New Roman"/>
                      <w:color w:val="auto"/>
                      <w:kern w:val="0"/>
                      <w:szCs w:val="21"/>
                      <w:lang w:eastAsia="zh-TW"/>
                    </w:rPr>
                    <w:t>标准值</w:t>
                  </w:r>
                </w:p>
              </w:tc>
            </w:tr>
            <w:tr w14:paraId="6BA4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94" w:type="dxa"/>
                  <w:vMerge w:val="continue"/>
                  <w:noWrap w:val="0"/>
                  <w:vAlign w:val="center"/>
                </w:tcPr>
                <w:p w14:paraId="2F04C19A">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p>
              </w:tc>
              <w:tc>
                <w:tcPr>
                  <w:tcW w:w="2378" w:type="dxa"/>
                  <w:vMerge w:val="continue"/>
                  <w:noWrap w:val="0"/>
                  <w:vAlign w:val="center"/>
                </w:tcPr>
                <w:p w14:paraId="3C3B0EDB">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p>
              </w:tc>
              <w:tc>
                <w:tcPr>
                  <w:tcW w:w="1172" w:type="dxa"/>
                  <w:noWrap w:val="0"/>
                  <w:vAlign w:val="center"/>
                </w:tcPr>
                <w:p w14:paraId="67311B3E">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lang w:eastAsia="zh-TW"/>
                    </w:rPr>
                  </w:pPr>
                  <w:r>
                    <w:rPr>
                      <w:rFonts w:hint="eastAsia" w:ascii="Times New Roman" w:hAnsi="Times New Roman" w:cs="Times New Roman"/>
                      <w:color w:val="auto"/>
                      <w:szCs w:val="21"/>
                      <w:lang w:eastAsia="zh-TW"/>
                    </w:rPr>
                    <w:t>昼间</w:t>
                  </w:r>
                </w:p>
              </w:tc>
              <w:tc>
                <w:tcPr>
                  <w:tcW w:w="1173" w:type="dxa"/>
                  <w:noWrap w:val="0"/>
                  <w:vAlign w:val="center"/>
                </w:tcPr>
                <w:p w14:paraId="40B1C4F8">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夜间</w:t>
                  </w:r>
                </w:p>
              </w:tc>
              <w:tc>
                <w:tcPr>
                  <w:tcW w:w="1054" w:type="dxa"/>
                  <w:noWrap w:val="0"/>
                  <w:vAlign w:val="center"/>
                </w:tcPr>
                <w:p w14:paraId="51EB9384">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color w:val="auto"/>
                      <w:kern w:val="0"/>
                      <w:szCs w:val="21"/>
                      <w:lang w:eastAsia="zh-TW"/>
                    </w:rPr>
                  </w:pPr>
                  <w:r>
                    <w:rPr>
                      <w:rFonts w:hint="eastAsia" w:ascii="Times New Roman" w:hAnsi="Times New Roman" w:cs="Times New Roman"/>
                      <w:color w:val="auto"/>
                      <w:kern w:val="0"/>
                      <w:szCs w:val="21"/>
                      <w:lang w:eastAsia="zh-TW"/>
                    </w:rPr>
                    <w:t>昼间</w:t>
                  </w:r>
                </w:p>
              </w:tc>
              <w:tc>
                <w:tcPr>
                  <w:tcW w:w="1054" w:type="dxa"/>
                  <w:noWrap w:val="0"/>
                  <w:vAlign w:val="center"/>
                </w:tcPr>
                <w:p w14:paraId="081A515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夜间</w:t>
                  </w:r>
                </w:p>
              </w:tc>
            </w:tr>
            <w:tr w14:paraId="456D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4" w:type="dxa"/>
                  <w:noWrap w:val="0"/>
                  <w:vAlign w:val="center"/>
                </w:tcPr>
                <w:p w14:paraId="3649681A">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2378" w:type="dxa"/>
                  <w:noWrap w:val="0"/>
                  <w:vAlign w:val="center"/>
                </w:tcPr>
                <w:p w14:paraId="5D0707B5">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东厂界</w:t>
                  </w:r>
                </w:p>
              </w:tc>
              <w:tc>
                <w:tcPr>
                  <w:tcW w:w="2345" w:type="dxa"/>
                  <w:gridSpan w:val="2"/>
                  <w:noWrap w:val="0"/>
                  <w:vAlign w:val="center"/>
                </w:tcPr>
                <w:p w14:paraId="62AC0A55">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7</w:t>
                  </w:r>
                  <w:r>
                    <w:rPr>
                      <w:rFonts w:hint="eastAsia" w:ascii="Times New Roman" w:hAnsi="Times New Roman" w:cs="Times New Roman"/>
                      <w:color w:val="auto"/>
                      <w:szCs w:val="21"/>
                    </w:rPr>
                    <w:t>.3</w:t>
                  </w:r>
                </w:p>
              </w:tc>
              <w:tc>
                <w:tcPr>
                  <w:tcW w:w="1054" w:type="dxa"/>
                  <w:vMerge w:val="restart"/>
                  <w:noWrap w:val="0"/>
                  <w:vAlign w:val="center"/>
                </w:tcPr>
                <w:p w14:paraId="752E6F2A">
                  <w:pPr>
                    <w:pStyle w:val="67"/>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sz w:val="21"/>
                      <w:szCs w:val="21"/>
                      <w:lang w:val="en-US" w:eastAsia="zh-CN"/>
                    </w:rPr>
                  </w:pPr>
                  <w:r>
                    <w:rPr>
                      <w:rFonts w:hint="eastAsia" w:eastAsia="宋体"/>
                      <w:color w:val="auto"/>
                      <w:sz w:val="21"/>
                      <w:szCs w:val="21"/>
                      <w:lang w:val="en-US" w:eastAsia="zh-CN"/>
                    </w:rPr>
                    <w:t>65</w:t>
                  </w:r>
                </w:p>
              </w:tc>
              <w:tc>
                <w:tcPr>
                  <w:tcW w:w="1054" w:type="dxa"/>
                  <w:vMerge w:val="restart"/>
                  <w:noWrap w:val="0"/>
                  <w:vAlign w:val="center"/>
                </w:tcPr>
                <w:p w14:paraId="45A90A31">
                  <w:pPr>
                    <w:pStyle w:val="67"/>
                    <w:keepNext w:val="0"/>
                    <w:keepLines w:val="0"/>
                    <w:suppressLineNumbers w:val="0"/>
                    <w:spacing w:before="0" w:beforeAutospacing="0" w:after="0" w:afterAutospacing="0"/>
                    <w:ind w:left="0" w:right="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55</w:t>
                  </w:r>
                </w:p>
              </w:tc>
            </w:tr>
            <w:tr w14:paraId="0922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94" w:type="dxa"/>
                  <w:noWrap w:val="0"/>
                  <w:vAlign w:val="center"/>
                </w:tcPr>
                <w:p w14:paraId="7A14F61A">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2</w:t>
                  </w:r>
                </w:p>
              </w:tc>
              <w:tc>
                <w:tcPr>
                  <w:tcW w:w="2378" w:type="dxa"/>
                  <w:noWrap w:val="0"/>
                  <w:vAlign w:val="center"/>
                </w:tcPr>
                <w:p w14:paraId="1979414C">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南厂界</w:t>
                  </w:r>
                </w:p>
              </w:tc>
              <w:tc>
                <w:tcPr>
                  <w:tcW w:w="2345" w:type="dxa"/>
                  <w:gridSpan w:val="2"/>
                  <w:noWrap w:val="0"/>
                  <w:vAlign w:val="center"/>
                </w:tcPr>
                <w:p w14:paraId="5232EA9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6</w:t>
                  </w:r>
                  <w:r>
                    <w:rPr>
                      <w:rFonts w:hint="eastAsia" w:ascii="Times New Roman" w:hAnsi="Times New Roman" w:cs="Times New Roman"/>
                      <w:color w:val="auto"/>
                      <w:szCs w:val="21"/>
                    </w:rPr>
                    <w:t>.4</w:t>
                  </w:r>
                </w:p>
              </w:tc>
              <w:tc>
                <w:tcPr>
                  <w:tcW w:w="1054" w:type="dxa"/>
                  <w:vMerge w:val="continue"/>
                  <w:noWrap w:val="0"/>
                  <w:vAlign w:val="center"/>
                </w:tcPr>
                <w:p w14:paraId="78CE2992">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c>
                <w:tcPr>
                  <w:tcW w:w="1054" w:type="dxa"/>
                  <w:vMerge w:val="continue"/>
                  <w:noWrap w:val="0"/>
                  <w:vAlign w:val="center"/>
                </w:tcPr>
                <w:p w14:paraId="70395D90">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r>
            <w:tr w14:paraId="6FD5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94" w:type="dxa"/>
                  <w:noWrap w:val="0"/>
                  <w:vAlign w:val="center"/>
                </w:tcPr>
                <w:p w14:paraId="418FF95F">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p>
              </w:tc>
              <w:tc>
                <w:tcPr>
                  <w:tcW w:w="2378" w:type="dxa"/>
                  <w:noWrap w:val="0"/>
                  <w:vAlign w:val="center"/>
                </w:tcPr>
                <w:p w14:paraId="7B0CD4D4">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西厂界</w:t>
                  </w:r>
                </w:p>
              </w:tc>
              <w:tc>
                <w:tcPr>
                  <w:tcW w:w="2345" w:type="dxa"/>
                  <w:gridSpan w:val="2"/>
                  <w:noWrap w:val="0"/>
                  <w:vAlign w:val="center"/>
                </w:tcPr>
                <w:p w14:paraId="18ECADF9">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6</w:t>
                  </w:r>
                  <w:r>
                    <w:rPr>
                      <w:rFonts w:hint="eastAsia" w:ascii="Times New Roman" w:hAnsi="Times New Roman" w:cs="Times New Roman"/>
                      <w:color w:val="auto"/>
                      <w:szCs w:val="21"/>
                    </w:rPr>
                    <w:t>.8</w:t>
                  </w:r>
                </w:p>
              </w:tc>
              <w:tc>
                <w:tcPr>
                  <w:tcW w:w="1054" w:type="dxa"/>
                  <w:vMerge w:val="continue"/>
                  <w:noWrap w:val="0"/>
                  <w:vAlign w:val="center"/>
                </w:tcPr>
                <w:p w14:paraId="30A31B65">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c>
                <w:tcPr>
                  <w:tcW w:w="1054" w:type="dxa"/>
                  <w:vMerge w:val="continue"/>
                  <w:noWrap w:val="0"/>
                  <w:vAlign w:val="center"/>
                </w:tcPr>
                <w:p w14:paraId="6DE111D8">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r>
            <w:tr w14:paraId="2ECA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94" w:type="dxa"/>
                  <w:noWrap w:val="0"/>
                  <w:vAlign w:val="center"/>
                </w:tcPr>
                <w:p w14:paraId="7FADA0A9">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4</w:t>
                  </w:r>
                </w:p>
              </w:tc>
              <w:tc>
                <w:tcPr>
                  <w:tcW w:w="2378" w:type="dxa"/>
                  <w:noWrap w:val="0"/>
                  <w:vAlign w:val="center"/>
                </w:tcPr>
                <w:p w14:paraId="5783A28F">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北厂界</w:t>
                  </w:r>
                </w:p>
              </w:tc>
              <w:tc>
                <w:tcPr>
                  <w:tcW w:w="2345" w:type="dxa"/>
                  <w:gridSpan w:val="2"/>
                  <w:noWrap w:val="0"/>
                  <w:vAlign w:val="center"/>
                </w:tcPr>
                <w:p w14:paraId="76396446">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8</w:t>
                  </w:r>
                  <w:r>
                    <w:rPr>
                      <w:rFonts w:hint="eastAsia" w:ascii="Times New Roman" w:hAnsi="Times New Roman" w:cs="Times New Roman"/>
                      <w:color w:val="auto"/>
                      <w:szCs w:val="21"/>
                    </w:rPr>
                    <w:t>.2</w:t>
                  </w:r>
                </w:p>
              </w:tc>
              <w:tc>
                <w:tcPr>
                  <w:tcW w:w="1054" w:type="dxa"/>
                  <w:vMerge w:val="continue"/>
                  <w:noWrap w:val="0"/>
                  <w:vAlign w:val="center"/>
                </w:tcPr>
                <w:p w14:paraId="63017099">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c>
                <w:tcPr>
                  <w:tcW w:w="1054" w:type="dxa"/>
                  <w:vMerge w:val="continue"/>
                  <w:noWrap w:val="0"/>
                  <w:vAlign w:val="center"/>
                </w:tcPr>
                <w:p w14:paraId="74B8E405">
                  <w:pPr>
                    <w:pStyle w:val="67"/>
                    <w:keepNext w:val="0"/>
                    <w:keepLines w:val="0"/>
                    <w:suppressLineNumbers w:val="0"/>
                    <w:spacing w:before="0" w:beforeAutospacing="0" w:after="0" w:afterAutospacing="0"/>
                    <w:ind w:left="0" w:right="0" w:firstLine="420"/>
                    <w:jc w:val="center"/>
                    <w:rPr>
                      <w:rFonts w:hint="eastAsia" w:ascii="宋体" w:hAnsi="宋体" w:eastAsia="宋体" w:cs="宋体"/>
                      <w:color w:val="auto"/>
                      <w:sz w:val="21"/>
                      <w:szCs w:val="21"/>
                    </w:rPr>
                  </w:pPr>
                </w:p>
              </w:tc>
            </w:tr>
          </w:tbl>
          <w:p w14:paraId="7A8B8E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由预测结果可知，</w:t>
            </w:r>
            <w:r>
              <w:rPr>
                <w:rFonts w:hint="eastAsia" w:ascii="Times New Roman" w:hAnsi="Times New Roman" w:eastAsia="宋体" w:cs="Times New Roman"/>
                <w:color w:val="auto"/>
                <w:sz w:val="24"/>
                <w:highlight w:val="none"/>
                <w:lang w:val="en-US" w:eastAsia="zh-CN"/>
              </w:rPr>
              <w:t>声环境质量可以满足《声环境质量标准》（GB3096-2008）中</w:t>
            </w:r>
            <w:r>
              <w:rPr>
                <w:rFonts w:hint="eastAsia" w:cs="Times New Roman"/>
                <w:color w:val="auto"/>
                <w:sz w:val="24"/>
                <w:highlight w:val="none"/>
                <w:lang w:val="en-US" w:eastAsia="zh-CN"/>
              </w:rPr>
              <w:t>3类</w:t>
            </w:r>
            <w:r>
              <w:rPr>
                <w:rFonts w:hint="eastAsia" w:ascii="Times New Roman" w:hAnsi="Times New Roman" w:eastAsia="宋体" w:cs="Times New Roman"/>
                <w:color w:val="auto"/>
                <w:sz w:val="24"/>
                <w:highlight w:val="none"/>
                <w:lang w:val="en-US" w:eastAsia="zh-CN"/>
              </w:rPr>
              <w:t>标准，不会改变区域声环境功能。</w:t>
            </w:r>
          </w:p>
          <w:p w14:paraId="4F88FCF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rPr>
            </w:pPr>
            <w:r>
              <w:rPr>
                <w:rFonts w:hint="default" w:ascii="Times New Roman" w:hAnsi="Times New Roman" w:cs="Times New Roman"/>
                <w:b/>
                <w:bCs/>
                <w:sz w:val="24"/>
              </w:rPr>
              <w:t>噪声监测计划</w:t>
            </w:r>
          </w:p>
          <w:p w14:paraId="023B75B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根据《排污单位自行监测技术指南总则》（HJ819—2017）中“5.4厂界环境噪声监测，5.4.2监测频次厂界环境噪声每季度至少开展一次监测，夜间生产的要监测夜间噪声。”的要求，本项目运营期厂界噪声</w:t>
            </w:r>
            <w:r>
              <w:rPr>
                <w:rFonts w:hint="default" w:ascii="Times New Roman" w:hAnsi="Times New Roman" w:cs="Times New Roman"/>
                <w:color w:val="000000"/>
                <w:kern w:val="0"/>
                <w:sz w:val="24"/>
                <w:lang w:bidi="ar"/>
              </w:rPr>
              <w:t>监测情况如下表所示。</w:t>
            </w:r>
          </w:p>
          <w:p w14:paraId="1AA89EFE">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1"/>
                <w:szCs w:val="21"/>
              </w:rPr>
              <w:t>表4</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12</w:t>
            </w:r>
            <w:r>
              <w:rPr>
                <w:rFonts w:hint="default" w:ascii="Times New Roman" w:hAnsi="Times New Roman" w:cs="Times New Roman"/>
                <w:b/>
                <w:bCs/>
                <w:sz w:val="21"/>
                <w:szCs w:val="21"/>
              </w:rPr>
              <w:t>运营期厂界噪声监测计划</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2730"/>
              <w:gridCol w:w="2725"/>
              <w:gridCol w:w="1587"/>
            </w:tblGrid>
            <w:tr w14:paraId="00D7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14" w:type="pct"/>
                  <w:noWrap w:val="0"/>
                  <w:tcMar>
                    <w:left w:w="57" w:type="dxa"/>
                    <w:right w:w="57" w:type="dxa"/>
                  </w:tcMar>
                  <w:vAlign w:val="center"/>
                </w:tcPr>
                <w:p w14:paraId="2D67A7F4">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监测类别</w:t>
                  </w:r>
                </w:p>
              </w:tc>
              <w:tc>
                <w:tcPr>
                  <w:tcW w:w="1622" w:type="pct"/>
                  <w:noWrap w:val="0"/>
                  <w:vAlign w:val="center"/>
                </w:tcPr>
                <w:p w14:paraId="5A528383">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监测项目</w:t>
                  </w:r>
                </w:p>
              </w:tc>
              <w:tc>
                <w:tcPr>
                  <w:tcW w:w="1619" w:type="pct"/>
                  <w:noWrap w:val="0"/>
                  <w:vAlign w:val="center"/>
                </w:tcPr>
                <w:p w14:paraId="211D8002">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监测布点</w:t>
                  </w:r>
                </w:p>
              </w:tc>
              <w:tc>
                <w:tcPr>
                  <w:tcW w:w="943" w:type="pct"/>
                  <w:noWrap w:val="0"/>
                  <w:vAlign w:val="center"/>
                </w:tcPr>
                <w:p w14:paraId="3C4DEF74">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监测频次</w:t>
                  </w:r>
                </w:p>
              </w:tc>
            </w:tr>
            <w:tr w14:paraId="511A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14" w:type="pct"/>
                  <w:noWrap w:val="0"/>
                  <w:tcMar>
                    <w:left w:w="57" w:type="dxa"/>
                    <w:right w:w="57" w:type="dxa"/>
                  </w:tcMar>
                  <w:vAlign w:val="center"/>
                </w:tcPr>
                <w:p w14:paraId="5A1A1DE6">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噪声</w:t>
                  </w:r>
                </w:p>
              </w:tc>
              <w:tc>
                <w:tcPr>
                  <w:tcW w:w="1622" w:type="pct"/>
                  <w:noWrap w:val="0"/>
                  <w:vAlign w:val="center"/>
                </w:tcPr>
                <w:p w14:paraId="43A9B2B3">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等效连续A声级L</w:t>
                  </w:r>
                  <w:r>
                    <w:rPr>
                      <w:rFonts w:hint="default" w:ascii="Times New Roman" w:hAnsi="Times New Roman" w:cs="Times New Roman"/>
                      <w:szCs w:val="21"/>
                      <w:vertAlign w:val="subscript"/>
                    </w:rPr>
                    <w:t>eq</w:t>
                  </w:r>
                </w:p>
              </w:tc>
              <w:tc>
                <w:tcPr>
                  <w:tcW w:w="1619" w:type="pct"/>
                  <w:noWrap w:val="0"/>
                  <w:vAlign w:val="center"/>
                </w:tcPr>
                <w:p w14:paraId="58EAA2D3">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东、南、西、北厂界外1m</w:t>
                  </w:r>
                </w:p>
              </w:tc>
              <w:tc>
                <w:tcPr>
                  <w:tcW w:w="943" w:type="pct"/>
                  <w:noWrap w:val="0"/>
                  <w:vAlign w:val="center"/>
                </w:tcPr>
                <w:p w14:paraId="4F52F05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1次/季度</w:t>
                  </w:r>
                </w:p>
              </w:tc>
            </w:tr>
          </w:tbl>
          <w:p w14:paraId="4846FBF0">
            <w:pPr>
              <w:pStyle w:val="13"/>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四、运营期固体废物</w:t>
            </w:r>
          </w:p>
          <w:p w14:paraId="699626B7">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本项目主要固体废弃物有本项目生产过程中产生的固废主要包括一般固废（废包装</w:t>
            </w:r>
            <w:r>
              <w:rPr>
                <w:rFonts w:hint="eastAsia" w:cs="Times New Roman"/>
                <w:color w:val="auto"/>
                <w:kern w:val="2"/>
                <w:sz w:val="24"/>
                <w:szCs w:val="24"/>
                <w:highlight w:val="none"/>
                <w:lang w:val="en-US" w:eastAsia="zh-CN" w:bidi="ar-SA"/>
              </w:rPr>
              <w:t>材料</w:t>
            </w:r>
            <w:r>
              <w:rPr>
                <w:rFonts w:hint="eastAsia" w:ascii="Times New Roman" w:hAnsi="Times New Roman" w:eastAsia="宋体" w:cs="Times New Roman"/>
                <w:color w:val="auto"/>
                <w:kern w:val="2"/>
                <w:sz w:val="24"/>
                <w:szCs w:val="24"/>
                <w:highlight w:val="none"/>
                <w:lang w:val="en-US" w:eastAsia="zh-CN" w:bidi="ar-SA"/>
              </w:rPr>
              <w:t>、不合格产品、废边角料）和危险废物（</w:t>
            </w:r>
            <w:r>
              <w:rPr>
                <w:rFonts w:hint="default" w:ascii="Times New Roman" w:hAnsi="Times New Roman" w:cs="Times New Roman"/>
                <w:bCs/>
                <w:color w:val="auto"/>
                <w:sz w:val="24"/>
              </w:rPr>
              <w:t>废润滑油</w:t>
            </w:r>
            <w:r>
              <w:rPr>
                <w:rFonts w:hint="eastAsia" w:ascii="Times New Roman" w:hAnsi="Times New Roman" w:cs="Times New Roman"/>
                <w:bCs/>
                <w:color w:val="auto"/>
                <w:sz w:val="24"/>
                <w:lang w:val="en-US" w:eastAsia="zh-CN"/>
              </w:rPr>
              <w:t>及油桶</w:t>
            </w:r>
            <w:r>
              <w:rPr>
                <w:rFonts w:hint="eastAsia" w:ascii="Times New Roman" w:hAnsi="Times New Roman" w:eastAsia="宋体" w:cs="Times New Roman"/>
                <w:color w:val="auto"/>
                <w:kern w:val="2"/>
                <w:sz w:val="24"/>
                <w:szCs w:val="24"/>
                <w:highlight w:val="none"/>
                <w:lang w:val="en-US" w:eastAsia="zh-CN" w:bidi="ar-SA"/>
              </w:rPr>
              <w:t>、废真空泵油、废</w:t>
            </w:r>
            <w:r>
              <w:rPr>
                <w:rFonts w:hint="eastAsia" w:cs="Times New Roman"/>
                <w:color w:val="auto"/>
                <w:kern w:val="2"/>
                <w:sz w:val="24"/>
                <w:szCs w:val="24"/>
                <w:highlight w:val="none"/>
                <w:lang w:val="en-US" w:eastAsia="zh-CN" w:bidi="ar-SA"/>
              </w:rPr>
              <w:t>切削液、废液压油</w:t>
            </w:r>
            <w:r>
              <w:rPr>
                <w:rFonts w:hint="eastAsia" w:ascii="Times New Roman" w:hAnsi="Times New Roman" w:eastAsia="宋体" w:cs="Times New Roman"/>
                <w:color w:val="auto"/>
                <w:kern w:val="2"/>
                <w:sz w:val="24"/>
                <w:szCs w:val="24"/>
                <w:highlight w:val="none"/>
                <w:lang w:val="en-US" w:eastAsia="zh-CN" w:bidi="ar-SA"/>
              </w:rPr>
              <w:t>）和生活垃圾等。</w:t>
            </w:r>
          </w:p>
          <w:p w14:paraId="2CC279DE">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（1）生活垃圾</w:t>
            </w:r>
          </w:p>
          <w:p w14:paraId="7681E628">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项目运营期约</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0人办公，生活垃圾量按0.5</w:t>
            </w:r>
            <w:r>
              <w:rPr>
                <w:rFonts w:hint="eastAsia" w:cs="Times New Roman"/>
                <w:color w:val="auto"/>
                <w:kern w:val="2"/>
                <w:sz w:val="24"/>
                <w:szCs w:val="24"/>
                <w:highlight w:val="none"/>
                <w:lang w:val="en-US" w:eastAsia="zh-CN" w:bidi="ar-SA"/>
              </w:rPr>
              <w:t>kg</w:t>
            </w:r>
            <w:r>
              <w:rPr>
                <w:rFonts w:hint="default" w:ascii="Times New Roman" w:hAnsi="Times New Roman" w:eastAsia="宋体" w:cs="Times New Roman"/>
                <w:color w:val="auto"/>
                <w:kern w:val="2"/>
                <w:sz w:val="24"/>
                <w:szCs w:val="24"/>
                <w:highlight w:val="none"/>
                <w:lang w:val="en-US" w:eastAsia="zh-CN" w:bidi="ar-SA"/>
              </w:rPr>
              <w:t>/人·d计，则生活垃圾产生量为</w:t>
            </w:r>
            <w:r>
              <w:rPr>
                <w:rFonts w:hint="eastAsia" w:cs="Times New Roman"/>
                <w:color w:val="auto"/>
                <w:kern w:val="2"/>
                <w:sz w:val="24"/>
                <w:szCs w:val="24"/>
                <w:highlight w:val="none"/>
                <w:lang w:val="en-US" w:eastAsia="zh-CN" w:bidi="ar-SA"/>
              </w:rPr>
              <w:t>40kg</w:t>
            </w:r>
            <w:r>
              <w:rPr>
                <w:rFonts w:hint="default" w:ascii="Times New Roman" w:hAnsi="Times New Roman" w:eastAsia="宋体" w:cs="Times New Roman"/>
                <w:color w:val="auto"/>
                <w:kern w:val="2"/>
                <w:sz w:val="24"/>
                <w:szCs w:val="24"/>
                <w:highlight w:val="none"/>
                <w:lang w:val="en-US" w:eastAsia="zh-CN" w:bidi="ar-SA"/>
              </w:rPr>
              <w:t>/d（</w:t>
            </w:r>
            <w:r>
              <w:rPr>
                <w:rFonts w:hint="eastAsia" w:cs="Times New Roman"/>
                <w:color w:val="auto"/>
                <w:kern w:val="2"/>
                <w:sz w:val="24"/>
                <w:szCs w:val="24"/>
                <w:highlight w:val="none"/>
                <w:lang w:val="en-US" w:eastAsia="zh-CN" w:bidi="ar-SA"/>
              </w:rPr>
              <w:t>12</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，此部分固废收集后由环卫部门统一清理</w:t>
            </w:r>
            <w:r>
              <w:rPr>
                <w:rFonts w:hint="default" w:ascii="Times New Roman" w:hAnsi="Times New Roman" w:eastAsia="宋体" w:cs="Times New Roman"/>
                <w:color w:val="auto"/>
                <w:kern w:val="2"/>
                <w:sz w:val="24"/>
                <w:szCs w:val="24"/>
                <w:highlight w:val="none"/>
                <w:lang w:val="en-US" w:eastAsia="zh-CN" w:bidi="ar-SA"/>
              </w:rPr>
              <w:t>。</w:t>
            </w:r>
          </w:p>
          <w:p w14:paraId="19565864">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（2）一般工业固废</w:t>
            </w:r>
          </w:p>
          <w:p w14:paraId="2A044D89">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①废包装</w:t>
            </w:r>
            <w:r>
              <w:rPr>
                <w:rFonts w:hint="eastAsia" w:ascii="Times New Roman" w:hAnsi="Times New Roman" w:eastAsia="宋体" w:cs="Times New Roman"/>
                <w:color w:val="auto"/>
                <w:kern w:val="2"/>
                <w:sz w:val="24"/>
                <w:szCs w:val="24"/>
                <w:highlight w:val="none"/>
                <w:lang w:val="en-US" w:eastAsia="zh-CN" w:bidi="ar-SA"/>
              </w:rPr>
              <w:t>材料</w:t>
            </w:r>
          </w:p>
          <w:p w14:paraId="754A6D68">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Cs/>
                <w:color w:val="auto"/>
                <w:sz w:val="24"/>
                <w:lang w:val="en-US" w:bidi="ar-SA"/>
              </w:rPr>
              <w:t>根据污染源核</w:t>
            </w:r>
            <w:r>
              <w:rPr>
                <w:rFonts w:hint="default" w:ascii="Times New Roman" w:hAnsi="Times New Roman" w:eastAsia="宋体" w:cs="Times New Roman"/>
                <w:color w:val="auto"/>
                <w:kern w:val="2"/>
                <w:sz w:val="24"/>
                <w:szCs w:val="24"/>
                <w:highlight w:val="none"/>
                <w:lang w:val="en-US" w:eastAsia="zh-CN" w:bidi="ar-SA"/>
              </w:rPr>
              <w:t>企业生产过程中原料进购及产品包装都会产生一定量的废弃包装物，</w:t>
            </w:r>
            <w:r>
              <w:rPr>
                <w:rFonts w:hint="eastAsia" w:ascii="Times New Roman" w:hAnsi="Times New Roman" w:eastAsia="宋体" w:cs="Times New Roman"/>
                <w:color w:val="auto"/>
                <w:kern w:val="2"/>
                <w:sz w:val="24"/>
                <w:szCs w:val="24"/>
                <w:highlight w:val="none"/>
                <w:lang w:val="en-US" w:eastAsia="zh-CN" w:bidi="ar-SA"/>
              </w:rPr>
              <w:t>根据项目原辅材料消耗量及包装形式，本项目废弃包装袋/桶产生量约原料的0.</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0.2</w:t>
            </w:r>
            <w:r>
              <w:rPr>
                <w:rFonts w:hint="eastAsia"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kern w:val="2"/>
                <w:sz w:val="24"/>
                <w:szCs w:val="24"/>
                <w:highlight w:val="none"/>
                <w:lang w:val="en-US" w:eastAsia="zh-CN" w:bidi="ar-SA"/>
              </w:rPr>
              <w:t>外售废旧物资回收单位综合处理。</w:t>
            </w:r>
          </w:p>
          <w:p w14:paraId="13776CB2">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2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eastAsia="宋体" w:cs="Times New Roman"/>
                <w:color w:val="auto"/>
                <w:kern w:val="2"/>
                <w:sz w:val="24"/>
                <w:szCs w:val="24"/>
                <w:highlight w:val="none"/>
                <w:lang w:val="en-US" w:eastAsia="zh-CN" w:bidi="ar-SA"/>
              </w:rPr>
              <w:t>不合格产品</w:t>
            </w:r>
          </w:p>
          <w:p w14:paraId="354634F3">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本项目不合格产品产生量约为0.5t/a，暂存于一般工业固体废物暂存区后外售碳纤维回收公司处理。</w:t>
            </w:r>
          </w:p>
          <w:p w14:paraId="6547DBFA">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w:t>
            </w:r>
            <w:r>
              <w:rPr>
                <w:rFonts w:hint="eastAsia" w:ascii="Times New Roman" w:hAnsi="Times New Roman" w:eastAsia="宋体" w:cs="Times New Roman"/>
                <w:color w:val="auto"/>
                <w:kern w:val="2"/>
                <w:sz w:val="24"/>
                <w:szCs w:val="24"/>
                <w:highlight w:val="none"/>
                <w:lang w:val="en-US" w:eastAsia="zh-CN" w:bidi="ar-SA"/>
              </w:rPr>
              <w:t>废边角料</w:t>
            </w:r>
          </w:p>
          <w:p w14:paraId="625BB58B">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本项目在机加过程中会产生废边角料，产生量为0.5t/a，暂存于一般工业固体废物暂存区后外售碳纤维回收公司处理。</w:t>
            </w:r>
          </w:p>
          <w:p w14:paraId="2386121A">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）危险废物</w:t>
            </w:r>
          </w:p>
          <w:p w14:paraId="49072734">
            <w:pPr>
              <w:pStyle w:val="55"/>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bCs/>
                <w:color w:val="auto"/>
                <w:sz w:val="24"/>
                <w:lang w:val="en-US" w:bidi="ar-SA"/>
              </w:rPr>
              <w:t>废真空泵油</w:t>
            </w:r>
          </w:p>
          <w:p w14:paraId="456D03D4">
            <w:pPr>
              <w:pStyle w:val="55"/>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bidi="ar-SA"/>
              </w:rPr>
            </w:pPr>
            <w:r>
              <w:rPr>
                <w:rFonts w:hint="eastAsia" w:ascii="Times New Roman" w:hAnsi="Times New Roman" w:eastAsia="宋体" w:cs="Times New Roman"/>
                <w:bCs/>
                <w:color w:val="auto"/>
                <w:sz w:val="24"/>
                <w:lang w:val="en-US" w:bidi="ar-SA"/>
              </w:rPr>
              <w:t>项目在使用真空泵时会产生废真空泵油，产生量约为0.6t/a，属于危险废物（HW08</w:t>
            </w:r>
            <w:r>
              <w:rPr>
                <w:rFonts w:hint="eastAsia" w:ascii="Times New Roman" w:hAnsi="Times New Roman" w:cs="Times New Roman"/>
                <w:bCs/>
                <w:color w:val="auto"/>
                <w:sz w:val="24"/>
                <w:lang w:val="en-US" w:eastAsia="zh-CN" w:bidi="ar-SA"/>
              </w:rPr>
              <w:t xml:space="preserve"> </w:t>
            </w:r>
            <w:r>
              <w:rPr>
                <w:rFonts w:hint="eastAsia" w:ascii="Times New Roman" w:hAnsi="Times New Roman" w:eastAsia="宋体" w:cs="Times New Roman"/>
                <w:bCs/>
                <w:color w:val="auto"/>
                <w:sz w:val="24"/>
                <w:lang w:val="en-US" w:bidi="ar-SA"/>
              </w:rPr>
              <w:t>900-214-08），暂存于危险废物暂存间定期交由有资质处理。</w:t>
            </w:r>
          </w:p>
          <w:p w14:paraId="38D74C76">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2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eastAsia="宋体" w:cs="Times New Roman"/>
                <w:color w:val="auto"/>
                <w:kern w:val="2"/>
                <w:sz w:val="24"/>
                <w:szCs w:val="24"/>
                <w:highlight w:val="none"/>
                <w:lang w:val="en-US" w:eastAsia="zh-CN" w:bidi="ar-SA"/>
              </w:rPr>
              <w:t>废切削液</w:t>
            </w:r>
          </w:p>
          <w:p w14:paraId="3B981983">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根据建设单位提供的资料，本项目切削液年用量为</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t，切削液约60%损失，则项目产生的废切削液</w:t>
            </w:r>
            <w:r>
              <w:rPr>
                <w:rFonts w:hint="eastAsia" w:cs="Times New Roman"/>
                <w:color w:val="auto"/>
                <w:kern w:val="2"/>
                <w:sz w:val="24"/>
                <w:szCs w:val="24"/>
                <w:highlight w:val="none"/>
                <w:lang w:val="en-US" w:eastAsia="zh-CN" w:bidi="ar-SA"/>
              </w:rPr>
              <w:t>1.6</w:t>
            </w:r>
            <w:r>
              <w:rPr>
                <w:rFonts w:hint="eastAsia" w:ascii="Times New Roman" w:hAnsi="Times New Roman" w:eastAsia="宋体" w:cs="Times New Roman"/>
                <w:color w:val="auto"/>
                <w:kern w:val="2"/>
                <w:sz w:val="24"/>
                <w:szCs w:val="24"/>
                <w:highlight w:val="none"/>
                <w:lang w:val="en-US" w:eastAsia="zh-CN" w:bidi="ar-SA"/>
              </w:rPr>
              <w:t>t/a，对照《国家危险废物名录（202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）》，废切削液属于HW09类（危废代码900-006-09）危险废物，该部分废物经危废间暂存后定期交由有资质的单位进行处置。</w:t>
            </w:r>
          </w:p>
          <w:p w14:paraId="3E29951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宋体" w:hAnsi="宋体" w:eastAsia="宋体" w:cs="宋体"/>
                <w:bCs/>
                <w:color w:val="auto"/>
                <w:sz w:val="24"/>
                <w:lang w:val="en-US" w:eastAsia="zh-CN"/>
              </w:rPr>
              <w:t>③</w:t>
            </w:r>
            <w:r>
              <w:rPr>
                <w:rFonts w:hint="default" w:ascii="Times New Roman" w:hAnsi="Times New Roman" w:cs="Times New Roman"/>
                <w:bCs/>
                <w:color w:val="auto"/>
                <w:sz w:val="24"/>
              </w:rPr>
              <w:t>废润滑油</w:t>
            </w:r>
            <w:r>
              <w:rPr>
                <w:rFonts w:hint="eastAsia" w:ascii="Times New Roman" w:hAnsi="Times New Roman" w:cs="Times New Roman"/>
                <w:bCs/>
                <w:color w:val="auto"/>
                <w:sz w:val="24"/>
                <w:lang w:val="en-US" w:eastAsia="zh-CN"/>
              </w:rPr>
              <w:t>及油桶</w:t>
            </w:r>
          </w:p>
          <w:p w14:paraId="61FFEA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主要来源于机械设备上以减少摩擦，保护机械及其工件，</w:t>
            </w:r>
            <w:r>
              <w:rPr>
                <w:rFonts w:hint="eastAsia" w:ascii="Times New Roman" w:hAnsi="Times New Roman" w:cs="Times New Roman"/>
                <w:bCs/>
                <w:color w:val="auto"/>
                <w:sz w:val="24"/>
              </w:rPr>
              <w:t>废润滑油产生量为0.1t/a。</w:t>
            </w:r>
            <w:r>
              <w:rPr>
                <w:rFonts w:hint="eastAsia" w:ascii="Times New Roman" w:hAnsi="Times New Roman" w:cs="Times New Roman"/>
                <w:bCs/>
                <w:color w:val="auto"/>
                <w:sz w:val="24"/>
                <w:lang w:val="en-US" w:eastAsia="zh-CN"/>
              </w:rPr>
              <w:t>润滑油使用后会产生废润滑油桶</w:t>
            </w:r>
            <w:r>
              <w:rPr>
                <w:rFonts w:hint="default" w:ascii="Times New Roman" w:hAnsi="Times New Roman" w:cs="Times New Roman"/>
                <w:bCs/>
                <w:color w:val="auto"/>
                <w:sz w:val="24"/>
              </w:rPr>
              <w:t>，其产生量为0.0</w:t>
            </w:r>
            <w:r>
              <w:rPr>
                <w:rFonts w:hint="eastAsia" w:cs="Times New Roman"/>
                <w:bCs/>
                <w:color w:val="auto"/>
                <w:sz w:val="24"/>
                <w:lang w:val="en-US" w:eastAsia="zh-CN"/>
              </w:rPr>
              <w:t>5</w:t>
            </w:r>
            <w:r>
              <w:rPr>
                <w:rFonts w:hint="default" w:ascii="Times New Roman" w:hAnsi="Times New Roman" w:cs="Times New Roman"/>
                <w:bCs/>
                <w:color w:val="auto"/>
                <w:sz w:val="24"/>
              </w:rPr>
              <w:t>t/a，属于《国家危险废物名录》（20</w:t>
            </w:r>
            <w:r>
              <w:rPr>
                <w:rFonts w:hint="eastAsia" w:ascii="Times New Roman" w:hAnsi="Times New Roman" w:cs="Times New Roman"/>
                <w:bCs/>
                <w:color w:val="auto"/>
                <w:sz w:val="24"/>
                <w:lang w:val="en-US" w:eastAsia="zh-CN"/>
              </w:rPr>
              <w:t>25</w:t>
            </w:r>
            <w:r>
              <w:rPr>
                <w:rFonts w:hint="default" w:ascii="Times New Roman" w:hAnsi="Times New Roman" w:cs="Times New Roman"/>
                <w:bCs/>
                <w:color w:val="auto"/>
                <w:sz w:val="24"/>
              </w:rPr>
              <w:t>）中HW08废矿物油与含矿物油废物，废物代码：900-249-08。废润滑油</w:t>
            </w:r>
            <w:r>
              <w:rPr>
                <w:rFonts w:hint="eastAsia" w:ascii="Times New Roman" w:hAnsi="Times New Roman" w:cs="Times New Roman"/>
                <w:bCs/>
                <w:color w:val="auto"/>
                <w:sz w:val="24"/>
                <w:lang w:val="en-US" w:eastAsia="zh-CN"/>
              </w:rPr>
              <w:t>及油桶</w:t>
            </w:r>
            <w:r>
              <w:rPr>
                <w:rFonts w:hint="default" w:ascii="Times New Roman" w:hAnsi="Times New Roman" w:cs="Times New Roman"/>
                <w:bCs/>
                <w:color w:val="auto"/>
                <w:sz w:val="24"/>
              </w:rPr>
              <w:t>统一收集后，暂存于</w:t>
            </w:r>
            <w:r>
              <w:rPr>
                <w:rFonts w:hint="eastAsia" w:ascii="Times New Roman" w:hAnsi="Times New Roman" w:cs="Times New Roman"/>
                <w:bCs/>
                <w:color w:val="auto"/>
                <w:sz w:val="24"/>
              </w:rPr>
              <w:t>危废暂存间</w:t>
            </w:r>
            <w:r>
              <w:rPr>
                <w:rFonts w:hint="default" w:ascii="Times New Roman" w:hAnsi="Times New Roman" w:cs="Times New Roman"/>
                <w:bCs/>
                <w:color w:val="auto"/>
                <w:sz w:val="24"/>
              </w:rPr>
              <w:t>，定期交由有资质单位处置。</w:t>
            </w:r>
          </w:p>
          <w:p w14:paraId="6DBFC5BB">
            <w:pPr>
              <w:pStyle w:val="55"/>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bidi="ar-SA"/>
              </w:rPr>
            </w:pPr>
            <w:r>
              <w:rPr>
                <w:rFonts w:hint="eastAsia" w:ascii="宋体" w:hAnsi="宋体" w:eastAsia="宋体" w:cs="宋体"/>
                <w:color w:val="auto"/>
                <w:kern w:val="2"/>
                <w:sz w:val="24"/>
                <w:szCs w:val="24"/>
                <w:highlight w:val="none"/>
                <w:lang w:val="en-US" w:eastAsia="zh-CN" w:bidi="ar-SA"/>
              </w:rPr>
              <w:t>④</w:t>
            </w:r>
            <w:r>
              <w:rPr>
                <w:rFonts w:hint="eastAsia" w:ascii="Times New Roman" w:hAnsi="Times New Roman" w:eastAsia="宋体" w:cs="Times New Roman"/>
                <w:bCs/>
                <w:color w:val="auto"/>
                <w:sz w:val="24"/>
                <w:lang w:val="en-US" w:bidi="ar-SA"/>
              </w:rPr>
              <w:t>废</w:t>
            </w:r>
            <w:r>
              <w:rPr>
                <w:rFonts w:hint="eastAsia" w:ascii="Times New Roman" w:hAnsi="Times New Roman" w:eastAsia="宋体" w:cs="Times New Roman"/>
                <w:bCs/>
                <w:color w:val="auto"/>
                <w:sz w:val="24"/>
                <w:lang w:val="en-US" w:eastAsia="zh-CN" w:bidi="ar-SA"/>
              </w:rPr>
              <w:t>液压</w:t>
            </w:r>
            <w:r>
              <w:rPr>
                <w:rFonts w:hint="eastAsia" w:ascii="Times New Roman" w:hAnsi="Times New Roman" w:eastAsia="宋体" w:cs="Times New Roman"/>
                <w:bCs/>
                <w:color w:val="auto"/>
                <w:sz w:val="24"/>
                <w:lang w:val="en-US" w:bidi="ar-SA"/>
              </w:rPr>
              <w:t>油</w:t>
            </w:r>
          </w:p>
          <w:p w14:paraId="248CDCE8">
            <w:pPr>
              <w:pStyle w:val="55"/>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bidi="ar-SA"/>
              </w:rPr>
            </w:pPr>
            <w:r>
              <w:rPr>
                <w:rFonts w:hint="eastAsia" w:ascii="Times New Roman" w:hAnsi="Times New Roman" w:eastAsia="宋体" w:cs="Times New Roman"/>
                <w:bCs/>
                <w:color w:val="auto"/>
                <w:sz w:val="24"/>
                <w:lang w:val="en-US" w:bidi="ar-SA"/>
              </w:rPr>
              <w:t>项目在使用</w:t>
            </w:r>
            <w:r>
              <w:rPr>
                <w:rFonts w:hint="eastAsia" w:ascii="Times New Roman" w:hAnsi="Times New Roman" w:eastAsia="宋体" w:cs="Times New Roman"/>
                <w:bCs/>
                <w:color w:val="auto"/>
                <w:sz w:val="24"/>
                <w:lang w:val="en-US" w:eastAsia="zh-CN" w:bidi="ar-SA"/>
              </w:rPr>
              <w:t>压力机</w:t>
            </w:r>
            <w:r>
              <w:rPr>
                <w:rFonts w:hint="eastAsia" w:ascii="Times New Roman" w:hAnsi="Times New Roman" w:eastAsia="宋体" w:cs="Times New Roman"/>
                <w:bCs/>
                <w:color w:val="auto"/>
                <w:sz w:val="24"/>
                <w:lang w:val="en-US" w:bidi="ar-SA"/>
              </w:rPr>
              <w:t>时会产生废</w:t>
            </w:r>
            <w:r>
              <w:rPr>
                <w:rFonts w:hint="eastAsia" w:ascii="Times New Roman" w:hAnsi="Times New Roman" w:eastAsia="宋体" w:cs="Times New Roman"/>
                <w:bCs/>
                <w:color w:val="auto"/>
                <w:sz w:val="24"/>
                <w:lang w:val="en-US" w:eastAsia="zh-CN" w:bidi="ar-SA"/>
              </w:rPr>
              <w:t>液压</w:t>
            </w:r>
            <w:r>
              <w:rPr>
                <w:rFonts w:hint="eastAsia" w:ascii="Times New Roman" w:hAnsi="Times New Roman" w:eastAsia="宋体" w:cs="Times New Roman"/>
                <w:bCs/>
                <w:color w:val="auto"/>
                <w:sz w:val="24"/>
                <w:lang w:val="en-US" w:bidi="ar-SA"/>
              </w:rPr>
              <w:t>油，产生量约为0.</w:t>
            </w:r>
            <w:r>
              <w:rPr>
                <w:rFonts w:hint="eastAsia" w:ascii="Times New Roman" w:hAnsi="Times New Roman" w:eastAsia="宋体" w:cs="Times New Roman"/>
                <w:bCs/>
                <w:color w:val="auto"/>
                <w:sz w:val="24"/>
                <w:lang w:val="en-US" w:eastAsia="zh-CN" w:bidi="ar-SA"/>
              </w:rPr>
              <w:t>2</w:t>
            </w:r>
            <w:r>
              <w:rPr>
                <w:rFonts w:hint="eastAsia" w:ascii="Times New Roman" w:hAnsi="Times New Roman" w:eastAsia="宋体" w:cs="Times New Roman"/>
                <w:bCs/>
                <w:color w:val="auto"/>
                <w:sz w:val="24"/>
                <w:lang w:val="en-US" w:bidi="ar-SA"/>
              </w:rPr>
              <w:t>t/a，属于危险废物（HW08</w:t>
            </w:r>
            <w:r>
              <w:rPr>
                <w:rFonts w:hint="eastAsia" w:ascii="Times New Roman" w:hAnsi="Times New Roman" w:cs="Times New Roman"/>
                <w:bCs/>
                <w:color w:val="auto"/>
                <w:sz w:val="24"/>
                <w:lang w:val="en-US" w:eastAsia="zh-CN" w:bidi="ar-SA"/>
              </w:rPr>
              <w:t xml:space="preserve"> </w:t>
            </w:r>
            <w:r>
              <w:rPr>
                <w:rFonts w:hint="eastAsia" w:ascii="Times New Roman" w:hAnsi="Times New Roman" w:eastAsia="宋体" w:cs="Times New Roman"/>
                <w:bCs/>
                <w:color w:val="auto"/>
                <w:sz w:val="24"/>
                <w:lang w:val="en-US" w:bidi="ar-SA"/>
              </w:rPr>
              <w:t>900-214-08），暂存于危险废物暂存间定期交由有资质处理。</w:t>
            </w:r>
          </w:p>
          <w:p w14:paraId="20FCC68E">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项目危险废物统一分类收集后暂存于危废暂存间，</w:t>
            </w:r>
            <w:r>
              <w:rPr>
                <w:rFonts w:hint="default" w:ascii="Times New Roman" w:hAnsi="Times New Roman" w:eastAsia="宋体" w:cs="Times New Roman"/>
                <w:color w:val="auto"/>
                <w:kern w:val="2"/>
                <w:sz w:val="24"/>
                <w:szCs w:val="24"/>
                <w:highlight w:val="none"/>
                <w:lang w:val="en-US" w:eastAsia="zh-CN" w:bidi="ar-SA"/>
              </w:rPr>
              <w:t>要求企业委托有</w:t>
            </w:r>
            <w:r>
              <w:rPr>
                <w:rFonts w:hint="eastAsia" w:ascii="Times New Roman" w:hAnsi="Times New Roman" w:eastAsia="宋体" w:cs="Times New Roman"/>
                <w:color w:val="auto"/>
                <w:kern w:val="2"/>
                <w:sz w:val="24"/>
                <w:szCs w:val="24"/>
                <w:highlight w:val="none"/>
                <w:lang w:val="en-US" w:eastAsia="zh-CN" w:bidi="ar-SA"/>
              </w:rPr>
              <w:t>危废处理</w:t>
            </w:r>
            <w:r>
              <w:rPr>
                <w:rFonts w:hint="default" w:ascii="Times New Roman" w:hAnsi="Times New Roman" w:eastAsia="宋体" w:cs="Times New Roman"/>
                <w:color w:val="auto"/>
                <w:kern w:val="2"/>
                <w:sz w:val="24"/>
                <w:szCs w:val="24"/>
                <w:highlight w:val="none"/>
                <w:lang w:val="en-US" w:eastAsia="zh-CN" w:bidi="ar-SA"/>
              </w:rPr>
              <w:t>资质的单位</w:t>
            </w:r>
            <w:r>
              <w:rPr>
                <w:rFonts w:hint="eastAsia" w:ascii="Times New Roman" w:hAnsi="Times New Roman" w:eastAsia="宋体" w:cs="Times New Roman"/>
                <w:color w:val="auto"/>
                <w:kern w:val="2"/>
                <w:sz w:val="24"/>
                <w:szCs w:val="24"/>
                <w:highlight w:val="none"/>
                <w:lang w:val="en-US" w:eastAsia="zh-CN" w:bidi="ar-SA"/>
              </w:rPr>
              <w:t>收集</w:t>
            </w:r>
            <w:r>
              <w:rPr>
                <w:rFonts w:hint="default" w:ascii="Times New Roman" w:hAnsi="Times New Roman" w:eastAsia="宋体" w:cs="Times New Roman"/>
                <w:color w:val="auto"/>
                <w:kern w:val="2"/>
                <w:sz w:val="24"/>
                <w:szCs w:val="24"/>
                <w:highlight w:val="none"/>
                <w:lang w:val="en-US" w:eastAsia="zh-CN" w:bidi="ar-SA"/>
              </w:rPr>
              <w:t>处置。</w:t>
            </w:r>
          </w:p>
          <w:p w14:paraId="2139C43F">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项目固体废物</w:t>
            </w:r>
            <w:r>
              <w:rPr>
                <w:rFonts w:hint="default" w:ascii="Times New Roman" w:hAnsi="Times New Roman" w:eastAsia="宋体" w:cs="Times New Roman"/>
                <w:color w:val="auto"/>
                <w:kern w:val="2"/>
                <w:sz w:val="24"/>
                <w:szCs w:val="24"/>
                <w:highlight w:val="none"/>
                <w:lang w:val="en-US" w:eastAsia="zh-CN" w:bidi="ar-SA"/>
              </w:rPr>
              <w:t>具体产生及处理情况见下表。</w:t>
            </w:r>
          </w:p>
          <w:p w14:paraId="2F02FBDC">
            <w:pPr>
              <w:keepNext w:val="0"/>
              <w:keepLines w:val="0"/>
              <w:numPr>
                <w:ilvl w:val="0"/>
                <w:numId w:val="0"/>
              </w:numPr>
              <w:suppressLineNumbers w:val="0"/>
              <w:snapToGrid w:val="0"/>
              <w:spacing w:before="0" w:beforeAutospacing="0" w:after="0" w:afterAutospacing="0" w:line="480" w:lineRule="atLeast"/>
              <w:ind w:left="0" w:leftChars="0" w:right="0" w:firstLine="2530" w:firstLineChars="1200"/>
              <w:jc w:val="both"/>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4</w:t>
            </w:r>
            <w:r>
              <w:rPr>
                <w:rFonts w:hint="default" w:ascii="Times New Roman" w:hAnsi="Times New Roman" w:cs="Times New Roman"/>
                <w:b/>
                <w:bCs/>
              </w:rPr>
              <w:t>-</w:t>
            </w:r>
            <w:r>
              <w:rPr>
                <w:rFonts w:hint="eastAsia" w:cs="Times New Roman"/>
                <w:b/>
                <w:bCs/>
                <w:lang w:val="en-US" w:eastAsia="zh-CN"/>
              </w:rPr>
              <w:t>13</w:t>
            </w:r>
            <w:r>
              <w:rPr>
                <w:rFonts w:hint="default" w:ascii="Times New Roman" w:hAnsi="Times New Roman" w:cs="Times New Roman"/>
                <w:b/>
                <w:bCs/>
              </w:rPr>
              <w:t xml:space="preserve"> 固废产生情况一览表  单位：t/a</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063"/>
              <w:gridCol w:w="1189"/>
              <w:gridCol w:w="773"/>
              <w:gridCol w:w="839"/>
              <w:gridCol w:w="808"/>
              <w:gridCol w:w="867"/>
              <w:gridCol w:w="1196"/>
              <w:gridCol w:w="1196"/>
            </w:tblGrid>
            <w:tr w14:paraId="76F3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87" w:type="pct"/>
                  <w:noWrap w:val="0"/>
                  <w:vAlign w:val="center"/>
                </w:tcPr>
                <w:p w14:paraId="1AE2621B">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序号</w:t>
                  </w:r>
                </w:p>
              </w:tc>
              <w:tc>
                <w:tcPr>
                  <w:tcW w:w="631" w:type="pct"/>
                  <w:noWrap w:val="0"/>
                  <w:vAlign w:val="center"/>
                </w:tcPr>
                <w:p w14:paraId="6673FCA0">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eastAsia" w:ascii="Times New Roman" w:hAnsi="Times New Roman" w:cs="Times New Roman"/>
                      <w:lang w:val="en-US" w:eastAsia="zh-CN"/>
                    </w:rPr>
                    <w:t>固废名称</w:t>
                  </w:r>
                </w:p>
              </w:tc>
              <w:tc>
                <w:tcPr>
                  <w:tcW w:w="706" w:type="pct"/>
                  <w:noWrap w:val="0"/>
                  <w:vAlign w:val="center"/>
                </w:tcPr>
                <w:p w14:paraId="0E4C98EC">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产生工序</w:t>
                  </w:r>
                </w:p>
              </w:tc>
              <w:tc>
                <w:tcPr>
                  <w:tcW w:w="459" w:type="pct"/>
                  <w:noWrap w:val="0"/>
                  <w:vAlign w:val="center"/>
                </w:tcPr>
                <w:p w14:paraId="5D974835">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形态</w:t>
                  </w:r>
                </w:p>
              </w:tc>
              <w:tc>
                <w:tcPr>
                  <w:tcW w:w="498" w:type="pct"/>
                  <w:noWrap w:val="0"/>
                  <w:vAlign w:val="center"/>
                </w:tcPr>
                <w:p w14:paraId="1885E28B">
                  <w:pPr>
                    <w:pStyle w:val="52"/>
                    <w:suppressLineNumbers w:val="0"/>
                    <w:spacing w:before="0" w:beforeAutospacing="0" w:after="0" w:afterAutospacing="0"/>
                    <w:ind w:left="0" w:right="0"/>
                    <w:rPr>
                      <w:rFonts w:hint="eastAsia" w:ascii="Times New Roman" w:hAnsi="Times New Roman" w:cs="Times New Roman"/>
                      <w:lang w:val="en-US" w:eastAsia="zh-CN"/>
                    </w:rPr>
                  </w:pPr>
                  <w:r>
                    <w:rPr>
                      <w:rFonts w:hint="default" w:ascii="Times New Roman" w:hAnsi="Times New Roman" w:cs="Times New Roman"/>
                      <w:lang w:val="en-US" w:eastAsia="zh-CN"/>
                    </w:rPr>
                    <w:t>预测</w:t>
                  </w:r>
                </w:p>
                <w:p w14:paraId="5304DC9C">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产生量</w:t>
                  </w:r>
                  <w:r>
                    <w:rPr>
                      <w:rFonts w:hint="eastAsia" w:ascii="Times New Roman" w:hAnsi="Times New Roman" w:cs="Times New Roman"/>
                      <w:lang w:val="en-US" w:eastAsia="zh-CN"/>
                    </w:rPr>
                    <w:t>(</w:t>
                  </w:r>
                  <w:r>
                    <w:rPr>
                      <w:rFonts w:hint="default" w:ascii="Times New Roman" w:hAnsi="Times New Roman" w:cs="Times New Roman"/>
                      <w:lang w:val="en-US" w:eastAsia="zh-CN"/>
                    </w:rPr>
                    <w:t>t/a</w:t>
                  </w:r>
                  <w:r>
                    <w:rPr>
                      <w:rFonts w:hint="eastAsia" w:ascii="Times New Roman" w:hAnsi="Times New Roman" w:cs="Times New Roman"/>
                      <w:lang w:val="en-US" w:eastAsia="zh-CN"/>
                    </w:rPr>
                    <w:t>)</w:t>
                  </w:r>
                </w:p>
              </w:tc>
              <w:tc>
                <w:tcPr>
                  <w:tcW w:w="480" w:type="pct"/>
                  <w:noWrap w:val="0"/>
                  <w:vAlign w:val="center"/>
                </w:tcPr>
                <w:p w14:paraId="52C97898">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属性</w:t>
                  </w:r>
                </w:p>
              </w:tc>
              <w:tc>
                <w:tcPr>
                  <w:tcW w:w="515" w:type="pct"/>
                  <w:noWrap w:val="0"/>
                  <w:vAlign w:val="center"/>
                </w:tcPr>
                <w:p w14:paraId="67ABA28F">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废物类别</w:t>
                  </w:r>
                </w:p>
              </w:tc>
              <w:tc>
                <w:tcPr>
                  <w:tcW w:w="710" w:type="pct"/>
                  <w:noWrap w:val="0"/>
                  <w:vAlign w:val="center"/>
                </w:tcPr>
                <w:p w14:paraId="65366591">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废物代码</w:t>
                  </w:r>
                </w:p>
              </w:tc>
              <w:tc>
                <w:tcPr>
                  <w:tcW w:w="710" w:type="pct"/>
                  <w:noWrap w:val="0"/>
                  <w:vAlign w:val="center"/>
                </w:tcPr>
                <w:p w14:paraId="19A26917">
                  <w:pPr>
                    <w:pStyle w:val="52"/>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处置措施</w:t>
                  </w:r>
                </w:p>
              </w:tc>
            </w:tr>
            <w:tr w14:paraId="61E8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87" w:type="pct"/>
                  <w:noWrap w:val="0"/>
                  <w:vAlign w:val="center"/>
                </w:tcPr>
                <w:p w14:paraId="1D699D86">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w:t>
                  </w:r>
                </w:p>
              </w:tc>
              <w:tc>
                <w:tcPr>
                  <w:tcW w:w="631" w:type="pct"/>
                  <w:noWrap w:val="0"/>
                  <w:vAlign w:val="center"/>
                </w:tcPr>
                <w:p w14:paraId="78D393D7">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废包装</w:t>
                  </w:r>
                  <w:r>
                    <w:rPr>
                      <w:rFonts w:hint="eastAsia" w:cs="Times New Roman"/>
                      <w:b w:val="0"/>
                      <w:bCs/>
                      <w:lang w:val="en-US" w:eastAsia="zh-CN"/>
                    </w:rPr>
                    <w:t>材料</w:t>
                  </w:r>
                </w:p>
              </w:tc>
              <w:tc>
                <w:tcPr>
                  <w:tcW w:w="706" w:type="pct"/>
                  <w:noWrap w:val="0"/>
                  <w:vAlign w:val="center"/>
                </w:tcPr>
                <w:p w14:paraId="39BADE83">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cs="Times New Roman"/>
                      <w:b w:val="0"/>
                      <w:bCs/>
                      <w:lang w:val="en-US" w:eastAsia="zh-CN"/>
                    </w:rPr>
                    <w:t>拆包</w:t>
                  </w:r>
                </w:p>
              </w:tc>
              <w:tc>
                <w:tcPr>
                  <w:tcW w:w="459" w:type="pct"/>
                  <w:noWrap w:val="0"/>
                  <w:vAlign w:val="center"/>
                </w:tcPr>
                <w:p w14:paraId="4E1DAA7A">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固态</w:t>
                  </w:r>
                </w:p>
              </w:tc>
              <w:tc>
                <w:tcPr>
                  <w:tcW w:w="498" w:type="pct"/>
                  <w:noWrap w:val="0"/>
                  <w:vAlign w:val="center"/>
                </w:tcPr>
                <w:p w14:paraId="4617C266">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0.2</w:t>
                  </w:r>
                </w:p>
              </w:tc>
              <w:tc>
                <w:tcPr>
                  <w:tcW w:w="480" w:type="pct"/>
                  <w:noWrap w:val="0"/>
                  <w:vAlign w:val="center"/>
                </w:tcPr>
                <w:p w14:paraId="3A4058C5">
                  <w:pPr>
                    <w:pStyle w:val="52"/>
                    <w:suppressLineNumbers w:val="0"/>
                    <w:spacing w:before="0" w:beforeAutospacing="0" w:after="0" w:afterAutospacing="0"/>
                    <w:ind w:left="0" w:right="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一般固废</w:t>
                  </w:r>
                </w:p>
              </w:tc>
              <w:tc>
                <w:tcPr>
                  <w:tcW w:w="515" w:type="pct"/>
                  <w:noWrap w:val="0"/>
                  <w:vAlign w:val="center"/>
                </w:tcPr>
                <w:p w14:paraId="11DDC98F">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w:t>
                  </w:r>
                </w:p>
              </w:tc>
              <w:tc>
                <w:tcPr>
                  <w:tcW w:w="710" w:type="pct"/>
                  <w:noWrap w:val="0"/>
                  <w:vAlign w:val="center"/>
                </w:tcPr>
                <w:p w14:paraId="1F80D4B8">
                  <w:pPr>
                    <w:keepNext w:val="0"/>
                    <w:keepLines w:val="0"/>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olor w:val="auto"/>
                      <w:kern w:val="0"/>
                      <w:szCs w:val="21"/>
                    </w:rPr>
                    <w:t>900-999-99</w:t>
                  </w:r>
                </w:p>
              </w:tc>
              <w:tc>
                <w:tcPr>
                  <w:tcW w:w="710" w:type="pct"/>
                  <w:noWrap w:val="0"/>
                  <w:vAlign w:val="center"/>
                </w:tcPr>
                <w:p w14:paraId="135204A6">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收集后外售</w:t>
                  </w:r>
                </w:p>
              </w:tc>
            </w:tr>
            <w:tr w14:paraId="6FE0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87" w:type="pct"/>
                  <w:noWrap w:val="0"/>
                  <w:vAlign w:val="center"/>
                </w:tcPr>
                <w:p w14:paraId="2BE9DE96">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2</w:t>
                  </w:r>
                </w:p>
              </w:tc>
              <w:tc>
                <w:tcPr>
                  <w:tcW w:w="631" w:type="pct"/>
                  <w:noWrap w:val="0"/>
                  <w:vAlign w:val="center"/>
                </w:tcPr>
                <w:p w14:paraId="65B6FC3A">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不合格产品</w:t>
                  </w:r>
                </w:p>
              </w:tc>
              <w:tc>
                <w:tcPr>
                  <w:tcW w:w="706" w:type="pct"/>
                  <w:noWrap w:val="0"/>
                  <w:vAlign w:val="center"/>
                </w:tcPr>
                <w:p w14:paraId="607D0B19">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检测</w:t>
                  </w:r>
                </w:p>
              </w:tc>
              <w:tc>
                <w:tcPr>
                  <w:tcW w:w="459" w:type="pct"/>
                  <w:noWrap w:val="0"/>
                  <w:vAlign w:val="center"/>
                </w:tcPr>
                <w:p w14:paraId="450EB626">
                  <w:pPr>
                    <w:keepNext w:val="0"/>
                    <w:keepLines w:val="0"/>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固态</w:t>
                  </w:r>
                </w:p>
              </w:tc>
              <w:tc>
                <w:tcPr>
                  <w:tcW w:w="498" w:type="pct"/>
                  <w:noWrap w:val="0"/>
                  <w:vAlign w:val="center"/>
                </w:tcPr>
                <w:p w14:paraId="733F922E">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0.5</w:t>
                  </w:r>
                </w:p>
              </w:tc>
              <w:tc>
                <w:tcPr>
                  <w:tcW w:w="480" w:type="pct"/>
                  <w:noWrap w:val="0"/>
                  <w:vAlign w:val="center"/>
                </w:tcPr>
                <w:p w14:paraId="57D8A505">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default" w:ascii="Times New Roman" w:hAnsi="Times New Roman" w:cs="Times New Roman"/>
                      <w:b w:val="0"/>
                      <w:bCs/>
                      <w:lang w:val="en-US" w:eastAsia="zh-CN"/>
                    </w:rPr>
                    <w:t>一般固废</w:t>
                  </w:r>
                </w:p>
              </w:tc>
              <w:tc>
                <w:tcPr>
                  <w:tcW w:w="515" w:type="pct"/>
                  <w:noWrap w:val="0"/>
                  <w:vAlign w:val="center"/>
                </w:tcPr>
                <w:p w14:paraId="3FA890A4">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w:t>
                  </w:r>
                </w:p>
              </w:tc>
              <w:tc>
                <w:tcPr>
                  <w:tcW w:w="710" w:type="pct"/>
                  <w:noWrap w:val="0"/>
                  <w:vAlign w:val="center"/>
                </w:tcPr>
                <w:p w14:paraId="3A5EF3F5">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color w:val="auto"/>
                      <w:kern w:val="0"/>
                      <w:szCs w:val="21"/>
                    </w:rPr>
                    <w:t>900-999-99</w:t>
                  </w:r>
                </w:p>
              </w:tc>
              <w:tc>
                <w:tcPr>
                  <w:tcW w:w="710" w:type="pct"/>
                  <w:noWrap w:val="0"/>
                  <w:vAlign w:val="center"/>
                </w:tcPr>
                <w:p w14:paraId="0984272D">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外售碳纤维回收公司</w:t>
                  </w:r>
                </w:p>
              </w:tc>
            </w:tr>
            <w:tr w14:paraId="40C5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87" w:type="pct"/>
                  <w:noWrap w:val="0"/>
                  <w:vAlign w:val="center"/>
                </w:tcPr>
                <w:p w14:paraId="67418542">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w:t>
                  </w:r>
                </w:p>
              </w:tc>
              <w:tc>
                <w:tcPr>
                  <w:tcW w:w="631" w:type="pct"/>
                  <w:noWrap w:val="0"/>
                  <w:vAlign w:val="center"/>
                </w:tcPr>
                <w:p w14:paraId="6B18607A">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废边角料</w:t>
                  </w:r>
                </w:p>
              </w:tc>
              <w:tc>
                <w:tcPr>
                  <w:tcW w:w="706" w:type="pct"/>
                  <w:noWrap w:val="0"/>
                  <w:vAlign w:val="center"/>
                </w:tcPr>
                <w:p w14:paraId="3467ABAC">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加工</w:t>
                  </w:r>
                  <w:r>
                    <w:rPr>
                      <w:rFonts w:hint="eastAsia" w:ascii="Times New Roman" w:hAnsi="Times New Roman" w:cs="Times New Roman"/>
                      <w:b w:val="0"/>
                      <w:bCs/>
                      <w:lang w:val="en-US" w:eastAsia="zh-CN"/>
                    </w:rPr>
                    <w:t>工序</w:t>
                  </w:r>
                </w:p>
              </w:tc>
              <w:tc>
                <w:tcPr>
                  <w:tcW w:w="459" w:type="pct"/>
                  <w:noWrap w:val="0"/>
                  <w:vAlign w:val="center"/>
                </w:tcPr>
                <w:p w14:paraId="593DF549">
                  <w:pPr>
                    <w:keepNext w:val="0"/>
                    <w:keepLines w:val="0"/>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固态</w:t>
                  </w:r>
                </w:p>
              </w:tc>
              <w:tc>
                <w:tcPr>
                  <w:tcW w:w="498" w:type="pct"/>
                  <w:noWrap w:val="0"/>
                  <w:vAlign w:val="center"/>
                </w:tcPr>
                <w:p w14:paraId="09A0AC5A">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0.5</w:t>
                  </w:r>
                </w:p>
              </w:tc>
              <w:tc>
                <w:tcPr>
                  <w:tcW w:w="480" w:type="pct"/>
                  <w:noWrap w:val="0"/>
                  <w:vAlign w:val="center"/>
                </w:tcPr>
                <w:p w14:paraId="6F272995">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default" w:ascii="Times New Roman" w:hAnsi="Times New Roman" w:cs="Times New Roman"/>
                      <w:b w:val="0"/>
                      <w:bCs/>
                      <w:lang w:val="en-US" w:eastAsia="zh-CN"/>
                    </w:rPr>
                    <w:t>一般固废</w:t>
                  </w:r>
                </w:p>
              </w:tc>
              <w:tc>
                <w:tcPr>
                  <w:tcW w:w="515" w:type="pct"/>
                  <w:noWrap w:val="0"/>
                  <w:vAlign w:val="center"/>
                </w:tcPr>
                <w:p w14:paraId="0D2A0B2D">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w:t>
                  </w:r>
                </w:p>
              </w:tc>
              <w:tc>
                <w:tcPr>
                  <w:tcW w:w="710" w:type="pct"/>
                  <w:noWrap w:val="0"/>
                  <w:vAlign w:val="center"/>
                </w:tcPr>
                <w:p w14:paraId="1F6AFE9F">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color w:val="auto"/>
                      <w:kern w:val="0"/>
                      <w:szCs w:val="21"/>
                    </w:rPr>
                    <w:t>900-999-99</w:t>
                  </w:r>
                </w:p>
              </w:tc>
              <w:tc>
                <w:tcPr>
                  <w:tcW w:w="710" w:type="pct"/>
                  <w:noWrap w:val="0"/>
                  <w:vAlign w:val="center"/>
                </w:tcPr>
                <w:p w14:paraId="462205F0">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外售碳纤维回收公司</w:t>
                  </w:r>
                </w:p>
              </w:tc>
            </w:tr>
            <w:tr w14:paraId="3855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87" w:type="pct"/>
                  <w:noWrap w:val="0"/>
                  <w:vAlign w:val="center"/>
                </w:tcPr>
                <w:p w14:paraId="1AE41488">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4</w:t>
                  </w:r>
                </w:p>
              </w:tc>
              <w:tc>
                <w:tcPr>
                  <w:tcW w:w="631" w:type="pct"/>
                  <w:noWrap w:val="0"/>
                  <w:vAlign w:val="center"/>
                </w:tcPr>
                <w:p w14:paraId="52B6A958">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废真空泵油</w:t>
                  </w:r>
                </w:p>
              </w:tc>
              <w:tc>
                <w:tcPr>
                  <w:tcW w:w="706" w:type="pct"/>
                  <w:noWrap w:val="0"/>
                  <w:vAlign w:val="center"/>
                </w:tcPr>
                <w:p w14:paraId="3342F2C7">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抽真空</w:t>
                  </w:r>
                </w:p>
              </w:tc>
              <w:tc>
                <w:tcPr>
                  <w:tcW w:w="459" w:type="pct"/>
                  <w:noWrap w:val="0"/>
                  <w:vAlign w:val="center"/>
                </w:tcPr>
                <w:p w14:paraId="25F4ACF0">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液态</w:t>
                  </w:r>
                </w:p>
              </w:tc>
              <w:tc>
                <w:tcPr>
                  <w:tcW w:w="498" w:type="pct"/>
                  <w:noWrap w:val="0"/>
                  <w:vAlign w:val="center"/>
                </w:tcPr>
                <w:p w14:paraId="2497BC3B">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0.6</w:t>
                  </w:r>
                </w:p>
              </w:tc>
              <w:tc>
                <w:tcPr>
                  <w:tcW w:w="480" w:type="pct"/>
                  <w:noWrap w:val="0"/>
                  <w:vAlign w:val="center"/>
                </w:tcPr>
                <w:p w14:paraId="3A296BE5">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default" w:ascii="Times New Roman" w:hAnsi="Times New Roman" w:cs="Times New Roman"/>
                      <w:b w:val="0"/>
                      <w:bCs/>
                      <w:lang w:val="en-US" w:eastAsia="zh-CN"/>
                    </w:rPr>
                    <w:t>危险废物</w:t>
                  </w:r>
                </w:p>
              </w:tc>
              <w:tc>
                <w:tcPr>
                  <w:tcW w:w="515" w:type="pct"/>
                  <w:noWrap w:val="0"/>
                  <w:vAlign w:val="center"/>
                </w:tcPr>
                <w:p w14:paraId="28C3BE8A">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HW08</w:t>
                  </w:r>
                </w:p>
              </w:tc>
              <w:tc>
                <w:tcPr>
                  <w:tcW w:w="710" w:type="pct"/>
                  <w:noWrap w:val="0"/>
                  <w:vAlign w:val="center"/>
                </w:tcPr>
                <w:p w14:paraId="52D22181">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900-214-08</w:t>
                  </w:r>
                </w:p>
              </w:tc>
              <w:tc>
                <w:tcPr>
                  <w:tcW w:w="710" w:type="pct"/>
                  <w:vMerge w:val="restart"/>
                  <w:noWrap w:val="0"/>
                  <w:vAlign w:val="center"/>
                </w:tcPr>
                <w:p w14:paraId="1C1B8DC0">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委托有资质单位处置</w:t>
                  </w:r>
                </w:p>
              </w:tc>
            </w:tr>
            <w:tr w14:paraId="4C33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87" w:type="pct"/>
                  <w:noWrap w:val="0"/>
                  <w:vAlign w:val="center"/>
                </w:tcPr>
                <w:p w14:paraId="13E7467B">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5</w:t>
                  </w:r>
                </w:p>
              </w:tc>
              <w:tc>
                <w:tcPr>
                  <w:tcW w:w="631" w:type="pct"/>
                  <w:noWrap w:val="0"/>
                  <w:vAlign w:val="center"/>
                </w:tcPr>
                <w:p w14:paraId="145D2236">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废</w:t>
                  </w:r>
                  <w:r>
                    <w:rPr>
                      <w:rFonts w:hint="eastAsia" w:cs="Times New Roman"/>
                      <w:b w:val="0"/>
                      <w:bCs/>
                      <w:lang w:val="en-US" w:eastAsia="zh-CN"/>
                    </w:rPr>
                    <w:t>切削液</w:t>
                  </w:r>
                </w:p>
              </w:tc>
              <w:tc>
                <w:tcPr>
                  <w:tcW w:w="706" w:type="pct"/>
                  <w:noWrap w:val="0"/>
                  <w:vAlign w:val="center"/>
                </w:tcPr>
                <w:p w14:paraId="222BB25D">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cs="Times New Roman"/>
                      <w:b w:val="0"/>
                      <w:bCs/>
                      <w:lang w:val="en-US" w:eastAsia="zh-CN"/>
                    </w:rPr>
                    <w:t>加工</w:t>
                  </w:r>
                  <w:r>
                    <w:rPr>
                      <w:rFonts w:hint="eastAsia" w:ascii="Times New Roman" w:hAnsi="Times New Roman" w:cs="Times New Roman"/>
                      <w:b w:val="0"/>
                      <w:bCs/>
                      <w:lang w:val="en-US" w:eastAsia="zh-CN"/>
                    </w:rPr>
                    <w:t>工序</w:t>
                  </w:r>
                </w:p>
              </w:tc>
              <w:tc>
                <w:tcPr>
                  <w:tcW w:w="459" w:type="pct"/>
                  <w:noWrap w:val="0"/>
                  <w:vAlign w:val="center"/>
                </w:tcPr>
                <w:p w14:paraId="3B7017D1">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液态</w:t>
                  </w:r>
                </w:p>
              </w:tc>
              <w:tc>
                <w:tcPr>
                  <w:tcW w:w="498" w:type="pct"/>
                  <w:noWrap w:val="0"/>
                  <w:vAlign w:val="center"/>
                </w:tcPr>
                <w:p w14:paraId="746B4EAA">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1.6</w:t>
                  </w:r>
                </w:p>
              </w:tc>
              <w:tc>
                <w:tcPr>
                  <w:tcW w:w="480" w:type="pct"/>
                  <w:noWrap w:val="0"/>
                  <w:vAlign w:val="center"/>
                </w:tcPr>
                <w:p w14:paraId="0564177F">
                  <w:pPr>
                    <w:keepNext w:val="0"/>
                    <w:keepLines w:val="0"/>
                    <w:suppressLineNumbers w:val="0"/>
                    <w:spacing w:before="0" w:beforeAutospacing="0" w:after="0" w:afterAutospacing="0"/>
                    <w:ind w:left="0" w:right="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危险废物</w:t>
                  </w:r>
                </w:p>
              </w:tc>
              <w:tc>
                <w:tcPr>
                  <w:tcW w:w="515" w:type="pct"/>
                  <w:noWrap w:val="0"/>
                  <w:vAlign w:val="center"/>
                </w:tcPr>
                <w:p w14:paraId="1FA4BF6C">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HW</w:t>
                  </w:r>
                  <w:r>
                    <w:rPr>
                      <w:rFonts w:hint="eastAsia" w:cs="Times New Roman"/>
                      <w:b w:val="0"/>
                      <w:bCs/>
                      <w:lang w:val="en-US" w:eastAsia="zh-CN"/>
                    </w:rPr>
                    <w:t>09</w:t>
                  </w:r>
                </w:p>
              </w:tc>
              <w:tc>
                <w:tcPr>
                  <w:tcW w:w="710" w:type="pct"/>
                  <w:noWrap w:val="0"/>
                  <w:vAlign w:val="center"/>
                </w:tcPr>
                <w:p w14:paraId="21C5FEE7">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900-006-09</w:t>
                  </w:r>
                </w:p>
              </w:tc>
              <w:tc>
                <w:tcPr>
                  <w:tcW w:w="710" w:type="pct"/>
                  <w:vMerge w:val="continue"/>
                  <w:noWrap w:val="0"/>
                  <w:vAlign w:val="center"/>
                </w:tcPr>
                <w:p w14:paraId="4B6734FE">
                  <w:pPr>
                    <w:pStyle w:val="52"/>
                    <w:suppressLineNumbers w:val="0"/>
                    <w:spacing w:before="0" w:beforeAutospacing="0" w:after="0" w:afterAutospacing="0"/>
                    <w:ind w:left="0" w:right="0"/>
                    <w:rPr>
                      <w:rFonts w:hint="eastAsia" w:ascii="Times New Roman" w:hAnsi="Times New Roman" w:cs="Times New Roman"/>
                      <w:b w:val="0"/>
                      <w:bCs/>
                      <w:lang w:val="en-US" w:eastAsia="zh-CN"/>
                    </w:rPr>
                  </w:pPr>
                </w:p>
              </w:tc>
            </w:tr>
            <w:tr w14:paraId="5958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7" w:type="pct"/>
                  <w:noWrap w:val="0"/>
                  <w:vAlign w:val="center"/>
                </w:tcPr>
                <w:p w14:paraId="7BEFEEA6">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6</w:t>
                  </w:r>
                </w:p>
              </w:tc>
              <w:tc>
                <w:tcPr>
                  <w:tcW w:w="631" w:type="pct"/>
                  <w:noWrap w:val="0"/>
                  <w:vAlign w:val="center"/>
                </w:tcPr>
                <w:p w14:paraId="32BA8E41">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废润滑油及油桶</w:t>
                  </w:r>
                </w:p>
              </w:tc>
              <w:tc>
                <w:tcPr>
                  <w:tcW w:w="706" w:type="pct"/>
                  <w:noWrap w:val="0"/>
                  <w:vAlign w:val="center"/>
                </w:tcPr>
                <w:p w14:paraId="7FDA999C">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设备保养</w:t>
                  </w:r>
                </w:p>
              </w:tc>
              <w:tc>
                <w:tcPr>
                  <w:tcW w:w="459" w:type="pct"/>
                  <w:noWrap w:val="0"/>
                  <w:vAlign w:val="center"/>
                </w:tcPr>
                <w:p w14:paraId="46AA010C">
                  <w:pPr>
                    <w:pStyle w:val="52"/>
                    <w:suppressLineNumbers w:val="0"/>
                    <w:spacing w:before="0" w:beforeAutospacing="0" w:after="0" w:afterAutospacing="0"/>
                    <w:ind w:left="0" w:leftChars="0" w:right="0" w:rightChars="0" w:firstLine="0" w:firstLineChars="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液/固</w:t>
                  </w:r>
                </w:p>
              </w:tc>
              <w:tc>
                <w:tcPr>
                  <w:tcW w:w="498" w:type="pct"/>
                  <w:noWrap w:val="0"/>
                  <w:vAlign w:val="center"/>
                </w:tcPr>
                <w:p w14:paraId="18A8150C">
                  <w:pPr>
                    <w:pStyle w:val="52"/>
                    <w:suppressLineNumbers w:val="0"/>
                    <w:spacing w:before="0" w:beforeAutospacing="0" w:after="0" w:afterAutospacing="0"/>
                    <w:ind w:left="0" w:leftChars="0" w:right="0" w:rightChars="0" w:firstLine="0" w:firstLineChars="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0.15</w:t>
                  </w:r>
                </w:p>
              </w:tc>
              <w:tc>
                <w:tcPr>
                  <w:tcW w:w="480" w:type="pct"/>
                  <w:noWrap w:val="0"/>
                  <w:vAlign w:val="center"/>
                </w:tcPr>
                <w:p w14:paraId="2554E3C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危险废物</w:t>
                  </w:r>
                </w:p>
              </w:tc>
              <w:tc>
                <w:tcPr>
                  <w:tcW w:w="515" w:type="pct"/>
                  <w:noWrap w:val="0"/>
                  <w:vAlign w:val="center"/>
                </w:tcPr>
                <w:p w14:paraId="37D80C6F">
                  <w:pPr>
                    <w:pStyle w:val="52"/>
                    <w:suppressLineNumbers w:val="0"/>
                    <w:spacing w:before="0" w:beforeAutospacing="0" w:after="0" w:afterAutospacing="0"/>
                    <w:ind w:left="0" w:leftChars="0" w:right="0" w:rightChars="0" w:firstLine="0" w:firstLineChars="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HW08</w:t>
                  </w:r>
                </w:p>
              </w:tc>
              <w:tc>
                <w:tcPr>
                  <w:tcW w:w="710" w:type="pct"/>
                  <w:noWrap w:val="0"/>
                  <w:vAlign w:val="center"/>
                </w:tcPr>
                <w:p w14:paraId="7B8B64BC">
                  <w:pPr>
                    <w:pStyle w:val="52"/>
                    <w:suppressLineNumbers w:val="0"/>
                    <w:spacing w:before="0" w:beforeAutospacing="0" w:after="0" w:afterAutospacing="0"/>
                    <w:ind w:left="0" w:leftChars="0" w:right="0" w:rightChars="0" w:firstLine="0" w:firstLineChars="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900-249-08</w:t>
                  </w:r>
                </w:p>
              </w:tc>
              <w:tc>
                <w:tcPr>
                  <w:tcW w:w="710" w:type="pct"/>
                  <w:vMerge w:val="continue"/>
                  <w:noWrap w:val="0"/>
                  <w:vAlign w:val="center"/>
                </w:tcPr>
                <w:p w14:paraId="7286DA45">
                  <w:pPr>
                    <w:pStyle w:val="52"/>
                    <w:suppressLineNumbers w:val="0"/>
                    <w:spacing w:before="0" w:beforeAutospacing="0" w:after="0" w:afterAutospacing="0"/>
                    <w:ind w:left="0" w:right="0"/>
                    <w:rPr>
                      <w:rFonts w:hint="eastAsia" w:ascii="Times New Roman" w:hAnsi="Times New Roman" w:cs="Times New Roman"/>
                      <w:b w:val="0"/>
                      <w:bCs/>
                      <w:lang w:val="en-US" w:eastAsia="zh-CN"/>
                    </w:rPr>
                  </w:pPr>
                </w:p>
              </w:tc>
            </w:tr>
            <w:tr w14:paraId="08F0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7" w:type="pct"/>
                  <w:noWrap w:val="0"/>
                  <w:vAlign w:val="center"/>
                </w:tcPr>
                <w:p w14:paraId="1AA43A91">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7</w:t>
                  </w:r>
                </w:p>
              </w:tc>
              <w:tc>
                <w:tcPr>
                  <w:tcW w:w="631" w:type="pct"/>
                  <w:noWrap w:val="0"/>
                  <w:vAlign w:val="center"/>
                </w:tcPr>
                <w:p w14:paraId="391BCE86">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废液压油</w:t>
                  </w:r>
                </w:p>
              </w:tc>
              <w:tc>
                <w:tcPr>
                  <w:tcW w:w="706" w:type="pct"/>
                  <w:noWrap w:val="0"/>
                  <w:vAlign w:val="center"/>
                </w:tcPr>
                <w:p w14:paraId="5B293ADA">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热压机</w:t>
                  </w:r>
                </w:p>
              </w:tc>
              <w:tc>
                <w:tcPr>
                  <w:tcW w:w="459" w:type="pct"/>
                  <w:noWrap w:val="0"/>
                  <w:vAlign w:val="center"/>
                </w:tcPr>
                <w:p w14:paraId="0976DBC8">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液态</w:t>
                  </w:r>
                </w:p>
              </w:tc>
              <w:tc>
                <w:tcPr>
                  <w:tcW w:w="498" w:type="pct"/>
                  <w:noWrap w:val="0"/>
                  <w:vAlign w:val="center"/>
                </w:tcPr>
                <w:p w14:paraId="40784999">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0.2</w:t>
                  </w:r>
                </w:p>
              </w:tc>
              <w:tc>
                <w:tcPr>
                  <w:tcW w:w="480" w:type="pct"/>
                  <w:noWrap w:val="0"/>
                  <w:vAlign w:val="center"/>
                </w:tcPr>
                <w:p w14:paraId="6F016E9B">
                  <w:pPr>
                    <w:keepNext w:val="0"/>
                    <w:keepLines w:val="0"/>
                    <w:suppressLineNumbers w:val="0"/>
                    <w:spacing w:before="0" w:beforeAutospacing="0" w:after="0" w:afterAutospacing="0"/>
                    <w:ind w:left="0" w:right="0"/>
                    <w:jc w:val="center"/>
                    <w:rPr>
                      <w:rFonts w:hint="eastAsia" w:ascii="Times New Roman" w:hAnsi="Times New Roman" w:cs="Times New Roman"/>
                      <w:b w:val="0"/>
                      <w:bCs/>
                      <w:lang w:val="en-US" w:eastAsia="zh-CN"/>
                    </w:rPr>
                  </w:pPr>
                  <w:r>
                    <w:rPr>
                      <w:rFonts w:hint="default" w:ascii="Times New Roman" w:hAnsi="Times New Roman" w:cs="Times New Roman"/>
                      <w:b w:val="0"/>
                      <w:bCs/>
                      <w:lang w:val="en-US" w:eastAsia="zh-CN"/>
                    </w:rPr>
                    <w:t>危险废物</w:t>
                  </w:r>
                </w:p>
              </w:tc>
              <w:tc>
                <w:tcPr>
                  <w:tcW w:w="867" w:type="dxa"/>
                  <w:noWrap w:val="0"/>
                  <w:vAlign w:val="center"/>
                </w:tcPr>
                <w:p w14:paraId="3F7C98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HW08</w:t>
                  </w:r>
                </w:p>
              </w:tc>
              <w:tc>
                <w:tcPr>
                  <w:tcW w:w="1196" w:type="dxa"/>
                  <w:noWrap w:val="0"/>
                  <w:vAlign w:val="center"/>
                </w:tcPr>
                <w:p w14:paraId="4F32F83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900-214-08</w:t>
                  </w:r>
                </w:p>
              </w:tc>
              <w:tc>
                <w:tcPr>
                  <w:tcW w:w="710" w:type="pct"/>
                  <w:vMerge w:val="continue"/>
                  <w:noWrap w:val="0"/>
                  <w:vAlign w:val="center"/>
                </w:tcPr>
                <w:p w14:paraId="2C262EF0">
                  <w:pPr>
                    <w:pStyle w:val="52"/>
                    <w:suppressLineNumbers w:val="0"/>
                    <w:spacing w:before="0" w:beforeAutospacing="0" w:after="0" w:afterAutospacing="0"/>
                    <w:ind w:left="0" w:right="0"/>
                    <w:rPr>
                      <w:rFonts w:hint="eastAsia" w:ascii="Times New Roman" w:hAnsi="Times New Roman" w:cs="Times New Roman"/>
                      <w:b w:val="0"/>
                      <w:bCs/>
                      <w:lang w:val="en-US" w:eastAsia="zh-CN"/>
                    </w:rPr>
                  </w:pPr>
                </w:p>
              </w:tc>
            </w:tr>
            <w:tr w14:paraId="2E19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noWrap w:val="0"/>
                  <w:vAlign w:val="center"/>
                </w:tcPr>
                <w:p w14:paraId="15993AD0">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8</w:t>
                  </w:r>
                </w:p>
              </w:tc>
              <w:tc>
                <w:tcPr>
                  <w:tcW w:w="631" w:type="pct"/>
                  <w:noWrap w:val="0"/>
                  <w:vAlign w:val="center"/>
                </w:tcPr>
                <w:p w14:paraId="628F2283">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职工生活垃圾</w:t>
                  </w:r>
                </w:p>
              </w:tc>
              <w:tc>
                <w:tcPr>
                  <w:tcW w:w="706" w:type="pct"/>
                  <w:noWrap w:val="0"/>
                  <w:vAlign w:val="center"/>
                </w:tcPr>
                <w:p w14:paraId="0CFC6EA1">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职工生活</w:t>
                  </w:r>
                </w:p>
              </w:tc>
              <w:tc>
                <w:tcPr>
                  <w:tcW w:w="459" w:type="pct"/>
                  <w:noWrap w:val="0"/>
                  <w:vAlign w:val="center"/>
                </w:tcPr>
                <w:p w14:paraId="226704BF">
                  <w:pPr>
                    <w:pStyle w:val="52"/>
                    <w:suppressLineNumbers w:val="0"/>
                    <w:spacing w:before="0" w:beforeAutospacing="0" w:after="0" w:afterAutospacing="0"/>
                    <w:ind w:left="0" w:right="0"/>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固态</w:t>
                  </w:r>
                </w:p>
              </w:tc>
              <w:tc>
                <w:tcPr>
                  <w:tcW w:w="498" w:type="pct"/>
                  <w:noWrap w:val="0"/>
                  <w:vAlign w:val="center"/>
                </w:tcPr>
                <w:p w14:paraId="6358AD40">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cs="Times New Roman"/>
                      <w:b w:val="0"/>
                      <w:bCs/>
                      <w:lang w:val="en-US" w:eastAsia="zh-CN"/>
                    </w:rPr>
                    <w:t>12</w:t>
                  </w:r>
                </w:p>
              </w:tc>
              <w:tc>
                <w:tcPr>
                  <w:tcW w:w="480" w:type="pct"/>
                  <w:noWrap w:val="0"/>
                  <w:vAlign w:val="center"/>
                </w:tcPr>
                <w:p w14:paraId="74C24088">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一般固废</w:t>
                  </w:r>
                </w:p>
              </w:tc>
              <w:tc>
                <w:tcPr>
                  <w:tcW w:w="515" w:type="pct"/>
                  <w:noWrap w:val="0"/>
                  <w:vAlign w:val="center"/>
                </w:tcPr>
                <w:p w14:paraId="5E1BF42F">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w:t>
                  </w:r>
                </w:p>
              </w:tc>
              <w:tc>
                <w:tcPr>
                  <w:tcW w:w="710" w:type="pct"/>
                  <w:noWrap w:val="0"/>
                  <w:vAlign w:val="center"/>
                </w:tcPr>
                <w:p w14:paraId="53ECD88B">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w:t>
                  </w:r>
                </w:p>
              </w:tc>
              <w:tc>
                <w:tcPr>
                  <w:tcW w:w="710" w:type="pct"/>
                  <w:noWrap w:val="0"/>
                  <w:vAlign w:val="center"/>
                </w:tcPr>
                <w:p w14:paraId="744DAFA1">
                  <w:pPr>
                    <w:pStyle w:val="52"/>
                    <w:suppressLineNumbers w:val="0"/>
                    <w:spacing w:before="0" w:beforeAutospacing="0" w:after="0" w:afterAutospacing="0"/>
                    <w:ind w:left="0" w:right="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委托环卫部门清运</w:t>
                  </w:r>
                </w:p>
              </w:tc>
            </w:tr>
          </w:tbl>
          <w:p w14:paraId="61714B04">
            <w:pPr>
              <w:keepNext w:val="0"/>
              <w:keepLines w:val="0"/>
              <w:suppressLineNumbers w:val="0"/>
              <w:autoSpaceDE w:val="0"/>
              <w:autoSpaceDN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rPr>
            </w:pPr>
            <w:r>
              <w:rPr>
                <w:rFonts w:hint="eastAsia" w:ascii="Times New Roman" w:hAnsi="Times New Roman" w:cs="Times New Roman"/>
                <w:color w:val="auto"/>
                <w:sz w:val="24"/>
                <w:szCs w:val="32"/>
                <w:highlight w:val="none"/>
              </w:rPr>
              <w:t xml:space="preserve"> </w:t>
            </w:r>
            <w:r>
              <w:rPr>
                <w:rFonts w:hint="default" w:ascii="Times New Roman" w:hAnsi="Times New Roman" w:cs="Times New Roman"/>
                <w:color w:val="auto"/>
                <w:sz w:val="24"/>
                <w:szCs w:val="32"/>
                <w:highlight w:val="none"/>
              </w:rPr>
              <w:t>固废环境管理要求</w:t>
            </w:r>
          </w:p>
          <w:p w14:paraId="3503AC5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bCs/>
                <w:color w:val="auto"/>
                <w:sz w:val="24"/>
                <w:highlight w:val="none"/>
              </w:rPr>
            </w:pPr>
            <w:r>
              <w:rPr>
                <w:rFonts w:hint="eastAsia" w:ascii="Times New Roman" w:hAnsi="Times New Roman" w:cs="Times New Roman"/>
                <w:color w:val="auto"/>
                <w:sz w:val="24"/>
                <w:highlight w:val="none"/>
              </w:rPr>
              <w:t>（1）</w:t>
            </w:r>
            <w:r>
              <w:rPr>
                <w:rFonts w:hint="default" w:ascii="Times New Roman" w:hAnsi="Times New Roman" w:cs="Times New Roman"/>
                <w:color w:val="auto"/>
                <w:sz w:val="24"/>
                <w:highlight w:val="none"/>
              </w:rPr>
              <w:t>一般固废环境管理要求</w:t>
            </w:r>
          </w:p>
          <w:p w14:paraId="76B430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项目一般工业固废应按照相关要求分类收集贮存，暂存场所应</w:t>
            </w:r>
            <w:r>
              <w:rPr>
                <w:rFonts w:hint="eastAsia" w:ascii="Times New Roman" w:hAnsi="Times New Roman" w:cs="Times New Roman"/>
                <w:color w:val="auto"/>
                <w:sz w:val="24"/>
                <w:highlight w:val="none"/>
              </w:rPr>
              <w:t>参照执行</w:t>
            </w:r>
            <w:r>
              <w:rPr>
                <w:rFonts w:hint="default" w:ascii="Times New Roman" w:hAnsi="Times New Roman" w:cs="Times New Roman"/>
                <w:color w:val="auto"/>
                <w:sz w:val="24"/>
                <w:highlight w:val="none"/>
              </w:rPr>
              <w:t>《一般工业固体废物贮存和填埋污染控制标准》（GB18599-20</w:t>
            </w:r>
            <w:r>
              <w:rPr>
                <w:rFonts w:hint="eastAsia" w:ascii="Times New Roman" w:hAnsi="Times New Roman" w:cs="Times New Roman"/>
                <w:color w:val="auto"/>
                <w:sz w:val="24"/>
                <w:highlight w:val="none"/>
              </w:rPr>
              <w:t>20</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和</w:t>
            </w:r>
            <w:r>
              <w:rPr>
                <w:rFonts w:hint="eastAsia" w:ascii="Times New Roman" w:hAnsi="Times New Roman" w:cs="Times New Roman"/>
                <w:color w:val="auto"/>
                <w:sz w:val="24"/>
                <w:highlight w:val="none"/>
                <w:lang w:val="en-AU"/>
              </w:rPr>
              <w:t>《排污许可证申请与核发技术规范</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val="en-AU"/>
              </w:rPr>
              <w:t>工业固体废物（试行）》（HJ</w:t>
            </w:r>
            <w:r>
              <w:rPr>
                <w:rFonts w:hint="eastAsia" w:ascii="Times New Roman" w:hAnsi="Times New Roman" w:cs="Times New Roman"/>
                <w:color w:val="auto"/>
                <w:sz w:val="24"/>
                <w:highlight w:val="none"/>
                <w:lang w:val="en-AU" w:eastAsia="zh-CN"/>
              </w:rPr>
              <w:t>17000</w:t>
            </w:r>
            <w:r>
              <w:rPr>
                <w:rFonts w:hint="eastAsia" w:ascii="Times New Roman" w:hAnsi="Times New Roman" w:cs="Times New Roman"/>
                <w:color w:val="auto"/>
                <w:sz w:val="24"/>
                <w:highlight w:val="none"/>
                <w:lang w:val="en-AU"/>
              </w:rPr>
              <w:t>-2021）</w:t>
            </w:r>
            <w:r>
              <w:rPr>
                <w:rFonts w:hint="eastAsia" w:ascii="Times New Roman" w:hAnsi="Times New Roman" w:cs="Times New Roman"/>
                <w:color w:val="auto"/>
                <w:sz w:val="24"/>
                <w:highlight w:val="none"/>
              </w:rPr>
              <w:t>中</w:t>
            </w:r>
            <w:r>
              <w:rPr>
                <w:rFonts w:hint="default" w:ascii="Times New Roman" w:hAnsi="Times New Roman" w:cs="Times New Roman"/>
                <w:color w:val="auto"/>
                <w:sz w:val="24"/>
                <w:highlight w:val="none"/>
              </w:rPr>
              <w:t>一般工业固体废物污染防控技术要求</w:t>
            </w:r>
            <w:r>
              <w:rPr>
                <w:rFonts w:hint="eastAsia" w:ascii="Times New Roman" w:hAnsi="Times New Roman" w:cs="Times New Roman"/>
                <w:color w:val="auto"/>
                <w:sz w:val="24"/>
                <w:highlight w:val="none"/>
              </w:rPr>
              <w:t>。</w:t>
            </w:r>
            <w:r>
              <w:rPr>
                <w:rFonts w:hint="eastAsia" w:ascii="Times New Roman" w:hAnsi="Times New Roman" w:cs="Times New Roman"/>
                <w:color w:val="auto"/>
                <w:kern w:val="0"/>
                <w:sz w:val="24"/>
                <w:highlight w:val="none"/>
                <w:lang w:bidi="ar"/>
              </w:rPr>
              <w:t>具体要求如下：</w:t>
            </w:r>
          </w:p>
          <w:p w14:paraId="439BD8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a、设分区暂存，确保各类一般固废得到合理处置；</w:t>
            </w:r>
          </w:p>
          <w:p w14:paraId="02C9DC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b、防扬散、防流失、防渗漏，分区暂存各固废；</w:t>
            </w:r>
          </w:p>
          <w:p w14:paraId="763893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c、一般固废在运输过程中要防止散落地面，以免产生二次污染；</w:t>
            </w:r>
          </w:p>
          <w:p w14:paraId="796B17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d、一般固废均按其资源化、无害化的方式进行处置；</w:t>
            </w:r>
          </w:p>
          <w:p w14:paraId="17F813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e、场所地面与裙角要用竖固、防渗的建筑材料建造，基础必须防渗，应设计建造径流疏导系统，保证能防止暴雨不会流到临时堆放的场所；</w:t>
            </w:r>
          </w:p>
          <w:p w14:paraId="467304F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防风、防雨、防晒</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，外围设置围堰，并做好密闭处理，禁止危险废物及生活</w:t>
            </w:r>
            <w:r>
              <w:rPr>
                <w:rFonts w:hint="eastAsia" w:ascii="Times New Roman" w:hAnsi="Times New Roman" w:cs="Times New Roman"/>
                <w:color w:val="auto"/>
                <w:sz w:val="24"/>
                <w:highlight w:val="none"/>
              </w:rPr>
              <w:t>垃圾</w:t>
            </w:r>
            <w:r>
              <w:rPr>
                <w:rFonts w:hint="default" w:ascii="Times New Roman" w:hAnsi="Times New Roman" w:cs="Times New Roman"/>
                <w:color w:val="auto"/>
                <w:sz w:val="24"/>
                <w:highlight w:val="none"/>
              </w:rPr>
              <w:t>混入。</w:t>
            </w:r>
          </w:p>
          <w:p w14:paraId="623213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（2）危险废物境管理要求</w:t>
            </w:r>
          </w:p>
          <w:p w14:paraId="65E3487D">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对照</w:t>
            </w:r>
            <w:r>
              <w:rPr>
                <w:rFonts w:hint="eastAsia" w:ascii="Times New Roman" w:hAnsi="Times New Roman" w:cs="Times New Roman"/>
                <w:bCs/>
                <w:color w:val="auto"/>
                <w:sz w:val="24"/>
                <w:highlight w:val="none"/>
              </w:rPr>
              <w:t>《国家危险废物名录（2025 年版）》</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rPr>
              <w:t>废润滑油</w:t>
            </w:r>
            <w:r>
              <w:rPr>
                <w:rFonts w:hint="eastAsia" w:ascii="Times New Roman" w:hAnsi="Times New Roman" w:cs="Times New Roman"/>
                <w:bCs/>
                <w:color w:val="auto"/>
                <w:sz w:val="24"/>
                <w:lang w:val="en-US" w:eastAsia="zh-CN"/>
              </w:rPr>
              <w:t>及油桶</w:t>
            </w:r>
            <w:r>
              <w:rPr>
                <w:rFonts w:hint="eastAsia" w:ascii="Times New Roman" w:hAnsi="Times New Roman" w:eastAsia="宋体" w:cs="Times New Roman"/>
                <w:color w:val="auto"/>
                <w:kern w:val="2"/>
                <w:sz w:val="24"/>
                <w:szCs w:val="24"/>
                <w:highlight w:val="none"/>
                <w:lang w:val="en-US" w:eastAsia="zh-CN" w:bidi="ar-SA"/>
              </w:rPr>
              <w:t>、废真空泵油、废</w:t>
            </w:r>
            <w:r>
              <w:rPr>
                <w:rFonts w:hint="eastAsia" w:cs="Times New Roman"/>
                <w:color w:val="auto"/>
                <w:kern w:val="2"/>
                <w:sz w:val="24"/>
                <w:szCs w:val="24"/>
                <w:highlight w:val="none"/>
                <w:lang w:val="en-US" w:eastAsia="zh-CN" w:bidi="ar-SA"/>
              </w:rPr>
              <w:t>切削液、废液压油</w:t>
            </w:r>
            <w:r>
              <w:rPr>
                <w:rFonts w:hint="default" w:ascii="Times New Roman" w:hAnsi="Times New Roman" w:cs="Times New Roman"/>
                <w:color w:val="auto"/>
                <w:sz w:val="24"/>
                <w:highlight w:val="none"/>
              </w:rPr>
              <w:t>属于危险废物，项目危险废物</w:t>
            </w:r>
            <w:r>
              <w:rPr>
                <w:rFonts w:hint="eastAsia" w:ascii="Times New Roman" w:hAnsi="Times New Roman" w:cs="Times New Roman"/>
                <w:color w:val="auto"/>
                <w:sz w:val="24"/>
                <w:highlight w:val="none"/>
              </w:rPr>
              <w:t>应</w:t>
            </w:r>
            <w:r>
              <w:rPr>
                <w:rFonts w:hint="default" w:ascii="Times New Roman" w:hAnsi="Times New Roman" w:cs="Times New Roman"/>
                <w:color w:val="auto"/>
                <w:sz w:val="24"/>
                <w:highlight w:val="none"/>
              </w:rPr>
              <w:t>收集后暂存于危险废物暂存间内</w:t>
            </w:r>
            <w:r>
              <w:rPr>
                <w:rFonts w:hint="eastAsia" w:ascii="Times New Roman" w:hAnsi="Times New Roman" w:cs="Times New Roman"/>
                <w:color w:val="auto"/>
                <w:sz w:val="24"/>
                <w:highlight w:val="none"/>
              </w:rPr>
              <w:t>，定期委托有资质单位处理</w:t>
            </w:r>
            <w:r>
              <w:rPr>
                <w:rFonts w:hint="default" w:ascii="Times New Roman" w:hAnsi="Times New Roman" w:cs="Times New Roman"/>
                <w:color w:val="auto"/>
                <w:sz w:val="24"/>
                <w:highlight w:val="none"/>
              </w:rPr>
              <w:t>。项目</w:t>
            </w:r>
            <w:r>
              <w:rPr>
                <w:rFonts w:hint="eastAsia" w:ascii="Times New Roman" w:hAnsi="Times New Roman" w:cs="Times New Roman"/>
                <w:color w:val="auto"/>
                <w:sz w:val="24"/>
                <w:highlight w:val="none"/>
              </w:rPr>
              <w:t>拟</w:t>
            </w:r>
            <w:r>
              <w:rPr>
                <w:rFonts w:hint="default" w:ascii="Times New Roman" w:hAnsi="Times New Roman" w:cs="Times New Roman"/>
                <w:color w:val="auto"/>
                <w:sz w:val="24"/>
                <w:highlight w:val="none"/>
              </w:rPr>
              <w:t>建设危险废物暂存间</w:t>
            </w:r>
            <w:r>
              <w:rPr>
                <w:rFonts w:hint="eastAsia" w:cs="Times New Roman"/>
                <w:color w:val="auto"/>
                <w:sz w:val="24"/>
                <w:highlight w:val="none"/>
                <w:lang w:val="en-US" w:eastAsia="zh-CN"/>
              </w:rPr>
              <w:t>10m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应</w:t>
            </w:r>
            <w:r>
              <w:rPr>
                <w:rFonts w:hint="default" w:ascii="Times New Roman" w:hAnsi="Times New Roman" w:cs="Times New Roman"/>
                <w:color w:val="auto"/>
                <w:sz w:val="24"/>
                <w:highlight w:val="none"/>
              </w:rPr>
              <w:t>严格按照《危险废物贮存污染控制标准》</w:t>
            </w:r>
            <w:r>
              <w:rPr>
                <w:rFonts w:hint="eastAsia" w:ascii="Times New Roman" w:hAnsi="Times New Roman" w:cs="Times New Roman"/>
                <w:color w:val="auto"/>
                <w:sz w:val="24"/>
                <w:highlight w:val="none"/>
                <w:lang w:val="en-AU"/>
              </w:rPr>
              <w:t>（GB18597-20</w:t>
            </w:r>
            <w:r>
              <w:rPr>
                <w:rFonts w:hint="eastAsia" w:ascii="Times New Roman" w:hAnsi="Times New Roman" w:cs="Times New Roman"/>
                <w:color w:val="auto"/>
                <w:sz w:val="24"/>
                <w:highlight w:val="none"/>
              </w:rPr>
              <w:t>23</w:t>
            </w:r>
            <w:r>
              <w:rPr>
                <w:rFonts w:hint="eastAsia" w:ascii="Times New Roman" w:hAnsi="Times New Roman" w:cs="Times New Roman"/>
                <w:color w:val="auto"/>
                <w:sz w:val="24"/>
                <w:highlight w:val="none"/>
                <w:lang w:val="en-AU"/>
              </w:rPr>
              <w:t>）</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AU"/>
              </w:rPr>
              <w:t>《排污许可证申请与核发技术规范</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AU"/>
              </w:rPr>
              <w:t>工业固体废物（试行）》（HJ</w:t>
            </w:r>
            <w:r>
              <w:rPr>
                <w:rFonts w:hint="eastAsia" w:ascii="Times New Roman" w:hAnsi="Times New Roman" w:cs="Times New Roman"/>
                <w:color w:val="auto"/>
                <w:sz w:val="24"/>
                <w:highlight w:val="none"/>
                <w:lang w:val="en-AU" w:eastAsia="zh-CN"/>
              </w:rPr>
              <w:t>17000</w:t>
            </w:r>
            <w:r>
              <w:rPr>
                <w:rFonts w:hint="default" w:ascii="Times New Roman" w:hAnsi="Times New Roman" w:cs="Times New Roman"/>
                <w:color w:val="auto"/>
                <w:sz w:val="24"/>
                <w:highlight w:val="none"/>
                <w:lang w:val="en-AU"/>
              </w:rPr>
              <w:t>-2021）</w:t>
            </w:r>
            <w:r>
              <w:rPr>
                <w:rFonts w:hint="default" w:ascii="Times New Roman" w:hAnsi="Times New Roman" w:cs="Times New Roman"/>
                <w:color w:val="auto"/>
                <w:sz w:val="24"/>
                <w:highlight w:val="none"/>
              </w:rPr>
              <w:t>中危险废物污染防控技术要求</w:t>
            </w:r>
            <w:r>
              <w:rPr>
                <w:rFonts w:hint="eastAsia" w:ascii="Times New Roman" w:hAnsi="Times New Roman" w:cs="Times New Roman"/>
                <w:color w:val="auto"/>
                <w:sz w:val="24"/>
                <w:highlight w:val="none"/>
              </w:rPr>
              <w:t>建设及管理</w:t>
            </w:r>
            <w:r>
              <w:rPr>
                <w:rFonts w:hint="default" w:ascii="Times New Roman" w:hAnsi="Times New Roman" w:cs="Times New Roman"/>
                <w:color w:val="auto"/>
                <w:sz w:val="24"/>
                <w:highlight w:val="none"/>
              </w:rPr>
              <w:t>。</w:t>
            </w:r>
          </w:p>
          <w:p w14:paraId="3259A703">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Ⅰ.危险废物污染防控技术要求</w:t>
            </w:r>
          </w:p>
          <w:p w14:paraId="4960E749">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ⅰ.委托贮存/利用/处置环节污染防控技术要求</w:t>
            </w:r>
          </w:p>
          <w:p w14:paraId="5CF96CCA">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14:paraId="1F747467">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ⅱ.自行贮存设施污染防控技术要求</w:t>
            </w:r>
          </w:p>
          <w:p w14:paraId="29270941">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泄露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w:t>
            </w:r>
          </w:p>
          <w:p w14:paraId="3F25A85E">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排污单位生产运营期间危险废物自行贮存设施的环境管理和相关设施运行维护还应符合GB15562.2、GB18484、GB18597、GB30485、HJ2025和HJ2042 等相关标准规范要求。</w:t>
            </w:r>
          </w:p>
          <w:p w14:paraId="778FB9ED">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ⅲ.危险废物环境管理台账记录要求</w:t>
            </w:r>
          </w:p>
          <w:p w14:paraId="6ECF6FB0">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排污单位应建立环境管理台账，危险废物环境管理台账记录应符合《危险废物产生单位管理计划制定指南》等标准及管理文件的相关要求。待危险废物环境管理台账相关标准或管理文件发布实施后，从其规定。</w:t>
            </w:r>
          </w:p>
          <w:p w14:paraId="33F9568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综上，项目产生的各类固废均能得到综合利用和妥善处理，满足环保要求，对环境影响较小。</w:t>
            </w:r>
          </w:p>
          <w:p w14:paraId="48DD8783">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五、地下水、土壤环境影响</w:t>
            </w:r>
          </w:p>
          <w:p w14:paraId="002F0A71">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（一）本项目对地下水、土壤的影响</w:t>
            </w:r>
          </w:p>
          <w:p w14:paraId="676F79DD">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本项目对地下水、土壤的影响主要为：</w:t>
            </w:r>
            <w:r>
              <w:rPr>
                <w:rFonts w:hint="eastAsia" w:cs="Times New Roman"/>
                <w:color w:val="auto"/>
                <w:sz w:val="24"/>
                <w:highlight w:val="none"/>
                <w:lang w:val="en-US" w:eastAsia="zh-CN"/>
              </w:rPr>
              <w:t>产业园现有的化粪池</w:t>
            </w:r>
            <w:r>
              <w:rPr>
                <w:rFonts w:hint="eastAsia" w:ascii="Times New Roman" w:hAnsi="Times New Roman" w:eastAsia="宋体" w:cs="Times New Roman"/>
                <w:color w:val="auto"/>
                <w:sz w:val="24"/>
                <w:highlight w:val="none"/>
                <w:lang w:val="en-US" w:eastAsia="zh-CN"/>
              </w:rPr>
              <w:t>渗漏从而造成渗透对地下水水质、对土壤环境的影响。</w:t>
            </w:r>
          </w:p>
          <w:p w14:paraId="4C8248C0">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（二）地下水污染防治措施</w:t>
            </w:r>
          </w:p>
          <w:p w14:paraId="05A92597">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污水处理设施等设施采取了相应的重点防渗措施。</w:t>
            </w:r>
          </w:p>
          <w:p w14:paraId="7B8176EE">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通过以上对地下水的环境影响分析，对建项目提出防渗措施：</w:t>
            </w:r>
          </w:p>
          <w:p w14:paraId="593E84B1">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（1）危废暂存间、</w:t>
            </w:r>
            <w:r>
              <w:rPr>
                <w:rFonts w:hint="eastAsia" w:cs="Times New Roman"/>
                <w:color w:val="auto"/>
                <w:sz w:val="24"/>
                <w:highlight w:val="none"/>
                <w:lang w:val="en-US" w:eastAsia="zh-CN"/>
              </w:rPr>
              <w:t>产业园现有的化粪池</w:t>
            </w:r>
            <w:r>
              <w:rPr>
                <w:rFonts w:hint="eastAsia" w:ascii="Times New Roman" w:hAnsi="Times New Roman" w:eastAsia="宋体" w:cs="Times New Roman"/>
                <w:color w:val="auto"/>
                <w:sz w:val="24"/>
                <w:highlight w:val="none"/>
                <w:lang w:val="en-US" w:eastAsia="zh-CN"/>
              </w:rPr>
              <w:t>、事故池等采取采取重点防渗，使重点污染区各单元防渗层渗透系数≤10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w:t>
            </w:r>
          </w:p>
          <w:p w14:paraId="5A24D94F">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（2）其他区域采取一般防渗，使一般污染区各单元防渗层渗透系数≤10</w:t>
            </w:r>
            <w:r>
              <w:rPr>
                <w:rFonts w:hint="eastAsia" w:ascii="Times New Roman" w:hAnsi="Times New Roman" w:eastAsia="宋体" w:cs="Times New Roman"/>
                <w:color w:val="auto"/>
                <w:sz w:val="24"/>
                <w:highlight w:val="none"/>
                <w:vertAlign w:val="superscript"/>
                <w:lang w:val="en-US" w:eastAsia="zh-CN"/>
              </w:rPr>
              <w:t>-7</w:t>
            </w:r>
            <w:r>
              <w:rPr>
                <w:rFonts w:hint="eastAsia" w:ascii="Times New Roman" w:hAnsi="Times New Roman" w:eastAsia="宋体" w:cs="Times New Roman"/>
                <w:color w:val="auto"/>
                <w:sz w:val="24"/>
                <w:highlight w:val="none"/>
                <w:lang w:val="en-US" w:eastAsia="zh-CN"/>
              </w:rPr>
              <w:t xml:space="preserve"> cm/s。</w:t>
            </w:r>
          </w:p>
          <w:p w14:paraId="3FCC511C">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取以上措施后，项目对可能产生地下水影响的各项途径均进行有效预防，在确保各项防渗措施得以落实，并加强维护前提下，可有效控制项目区内的生活污水下渗现象和物料泄漏渗透现象，避免污染地下水，因此项目对区域地下水环境影响较小。</w:t>
            </w:r>
          </w:p>
          <w:p w14:paraId="13E9B24F">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通过以上对地下水的环境影响分析，对建项目提出防渗措施见下表</w:t>
            </w:r>
            <w:r>
              <w:rPr>
                <w:rFonts w:hint="default" w:ascii="Times New Roman" w:hAnsi="Times New Roman" w:eastAsia="宋体" w:cs="Times New Roman"/>
                <w:color w:val="auto"/>
                <w:sz w:val="24"/>
                <w:highlight w:val="none"/>
              </w:rPr>
              <w:t>：</w:t>
            </w:r>
          </w:p>
          <w:p w14:paraId="3428397C">
            <w:pPr>
              <w:keepNext w:val="0"/>
              <w:keepLines w:val="0"/>
              <w:suppressLineNumbers w:val="0"/>
              <w:spacing w:before="0" w:beforeAutospacing="0" w:after="0" w:afterAutospacing="0" w:line="360" w:lineRule="auto"/>
              <w:ind w:left="0" w:right="0"/>
              <w:contextualSpacing/>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rPr>
              <w:t>4</w:t>
            </w:r>
            <w:r>
              <w:rPr>
                <w:rFonts w:hint="eastAsia"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14</w:t>
            </w:r>
            <w:r>
              <w:rPr>
                <w:rFonts w:hint="eastAsia" w:ascii="Times New Roman" w:hAnsi="Times New Roman" w:eastAsia="宋体" w:cs="Times New Roman"/>
                <w:b/>
                <w:bCs/>
                <w:color w:val="auto"/>
                <w:sz w:val="21"/>
                <w:szCs w:val="21"/>
                <w:highlight w:val="none"/>
              </w:rPr>
              <w:t xml:space="preserve">  地下水污染防治分区情况表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2850"/>
              <w:gridCol w:w="4323"/>
            </w:tblGrid>
            <w:tr w14:paraId="382B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noWrap w:val="0"/>
                  <w:vAlign w:val="center"/>
                </w:tcPr>
                <w:p w14:paraId="4F6C97E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rPr>
                  </w:pPr>
                  <w:r>
                    <w:rPr>
                      <w:rFonts w:hint="eastAsia" w:ascii="Times New Roman" w:hAnsi="Times New Roman" w:cs="Times New Roman"/>
                    </w:rPr>
                    <w:t>名称</w:t>
                  </w:r>
                </w:p>
              </w:tc>
              <w:tc>
                <w:tcPr>
                  <w:tcW w:w="3210" w:type="dxa"/>
                  <w:noWrap w:val="0"/>
                  <w:vAlign w:val="center"/>
                </w:tcPr>
                <w:p w14:paraId="43FC30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eastAsia" w:ascii="Times New Roman" w:hAnsi="Times New Roman" w:cs="Times New Roman"/>
                    </w:rPr>
                    <w:t>范围</w:t>
                  </w:r>
                </w:p>
              </w:tc>
              <w:tc>
                <w:tcPr>
                  <w:tcW w:w="4825" w:type="dxa"/>
                  <w:noWrap w:val="0"/>
                  <w:vAlign w:val="center"/>
                </w:tcPr>
                <w:p w14:paraId="79C1BE9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rPr>
                  </w:pPr>
                  <w:r>
                    <w:rPr>
                      <w:rFonts w:hint="eastAsia" w:ascii="Times New Roman" w:hAnsi="Times New Roman" w:cs="Times New Roman"/>
                    </w:rPr>
                    <w:t>防渗结构要求</w:t>
                  </w:r>
                </w:p>
              </w:tc>
            </w:tr>
            <w:tr w14:paraId="3EED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noWrap w:val="0"/>
                  <w:vAlign w:val="center"/>
                </w:tcPr>
                <w:p w14:paraId="0593BE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eastAsia" w:ascii="Times New Roman" w:hAnsi="Times New Roman" w:cs="Times New Roman"/>
                    </w:rPr>
                    <w:t>重点防渗</w:t>
                  </w:r>
                </w:p>
              </w:tc>
              <w:tc>
                <w:tcPr>
                  <w:tcW w:w="3210" w:type="dxa"/>
                  <w:noWrap w:val="0"/>
                  <w:vAlign w:val="center"/>
                </w:tcPr>
                <w:p w14:paraId="777AC1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eastAsia" w:ascii="Times New Roman" w:hAnsi="Times New Roman" w:cs="Times New Roman"/>
                      <w:lang w:val="en-US" w:eastAsia="zh-CN"/>
                    </w:rPr>
                    <w:t>危废暂存间</w:t>
                  </w:r>
                  <w:r>
                    <w:rPr>
                      <w:rFonts w:hint="default" w:ascii="Times New Roman" w:hAnsi="Times New Roman" w:cs="Times New Roman"/>
                    </w:rPr>
                    <w:t>、</w:t>
                  </w:r>
                  <w:r>
                    <w:rPr>
                      <w:rFonts w:hint="eastAsia" w:cs="Times New Roman"/>
                      <w:lang w:eastAsia="zh-CN"/>
                    </w:rPr>
                    <w:t>产业园现有的化粪池</w:t>
                  </w:r>
                  <w:r>
                    <w:rPr>
                      <w:rFonts w:hint="eastAsia" w:ascii="Times New Roman" w:hAnsi="Times New Roman" w:cs="Times New Roman"/>
                    </w:rPr>
                    <w:t>、事故池</w:t>
                  </w:r>
                  <w:r>
                    <w:rPr>
                      <w:rFonts w:hint="default" w:ascii="Times New Roman" w:hAnsi="Times New Roman" w:cs="Times New Roman"/>
                    </w:rPr>
                    <w:t>等</w:t>
                  </w:r>
                </w:p>
              </w:tc>
              <w:tc>
                <w:tcPr>
                  <w:tcW w:w="4825" w:type="dxa"/>
                  <w:noWrap w:val="0"/>
                  <w:vAlign w:val="center"/>
                </w:tcPr>
                <w:p w14:paraId="3DE571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底部用水泥硬化，四周壁用砖砌再用水泥硬化防渗，全池涂环氧树脂防腐防渗，防渗材料采用环氧树脂（渗透系数≤10</w:t>
                  </w:r>
                  <w:r>
                    <w:rPr>
                      <w:rFonts w:hint="default" w:ascii="Times New Roman" w:hAnsi="Times New Roman" w:cs="Times New Roman"/>
                      <w:vertAlign w:val="superscript"/>
                    </w:rPr>
                    <w:t>-</w:t>
                  </w:r>
                  <w:r>
                    <w:rPr>
                      <w:rFonts w:hint="eastAsia" w:ascii="Times New Roman" w:hAnsi="Times New Roman" w:cs="Times New Roman"/>
                      <w:vertAlign w:val="superscript"/>
                    </w:rPr>
                    <w:t>10</w:t>
                  </w:r>
                  <w:r>
                    <w:rPr>
                      <w:rFonts w:hint="default" w:ascii="Times New Roman" w:hAnsi="Times New Roman" w:cs="Times New Roman"/>
                    </w:rPr>
                    <w:t>m/s﹚</w:t>
                  </w:r>
                </w:p>
              </w:tc>
            </w:tr>
            <w:tr w14:paraId="7589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noWrap w:val="0"/>
                  <w:vAlign w:val="center"/>
                </w:tcPr>
                <w:p w14:paraId="31E5D4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eastAsia" w:ascii="Times New Roman" w:hAnsi="Times New Roman" w:cs="Times New Roman"/>
                    </w:rPr>
                    <w:t>简单防渗</w:t>
                  </w:r>
                </w:p>
              </w:tc>
              <w:tc>
                <w:tcPr>
                  <w:tcW w:w="3210" w:type="dxa"/>
                  <w:noWrap w:val="0"/>
                  <w:vAlign w:val="center"/>
                </w:tcPr>
                <w:p w14:paraId="38BC4B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eastAsia" w:ascii="Times New Roman" w:hAnsi="Times New Roman" w:cs="Times New Roman"/>
                    </w:rPr>
                    <w:t>其他区域</w:t>
                  </w:r>
                </w:p>
              </w:tc>
              <w:tc>
                <w:tcPr>
                  <w:tcW w:w="4825" w:type="dxa"/>
                  <w:noWrap w:val="0"/>
                  <w:vAlign w:val="center"/>
                </w:tcPr>
                <w:p w14:paraId="079C37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面采取粘土铺底，再在上层铺10~15cm的水泥进行硬化，通过上述措施可使一般污染区各单元防渗层渗透系数≤10</w:t>
                  </w:r>
                  <w:r>
                    <w:rPr>
                      <w:rFonts w:hint="default" w:ascii="Times New Roman" w:hAnsi="Times New Roman" w:cs="Times New Roman"/>
                      <w:vertAlign w:val="superscript"/>
                    </w:rPr>
                    <w:t>-7</w:t>
                  </w:r>
                  <w:r>
                    <w:rPr>
                      <w:rFonts w:hint="default" w:ascii="Times New Roman" w:hAnsi="Times New Roman" w:cs="Times New Roman"/>
                    </w:rPr>
                    <w:t>cm/s</w:t>
                  </w:r>
                </w:p>
              </w:tc>
            </w:tr>
          </w:tbl>
          <w:p w14:paraId="0E99227B">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六、环境风险</w:t>
            </w:r>
          </w:p>
          <w:p w14:paraId="0AE103DC">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（一）风险等级</w:t>
            </w:r>
          </w:p>
          <w:p w14:paraId="7C78EBE5">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根据《建设项目环境风险评价技术导则》（HJ0169-2018），计算所涉及的项目涉及的突然环境事件风险物质的最大存在总量与其在附录B中对应临界量的比值Q。在不同厂区的同一种物质，按其在厂界内的最大存在总量计算。</w:t>
            </w:r>
          </w:p>
          <w:p w14:paraId="5F329803">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当只涉及一种危险物质时，计算该物质的总量与其临界量比值，即为Q；</w:t>
            </w:r>
          </w:p>
          <w:p w14:paraId="44576444">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当存在多种危险物质时，则按下是计算物质总量与其临界量比值（Q）：</w:t>
            </w:r>
          </w:p>
          <w:p w14:paraId="67A4159F">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drawing>
                <wp:anchor distT="0" distB="0" distL="114300" distR="114300" simplePos="0" relativeHeight="251673600" behindDoc="0" locked="0" layoutInCell="1" allowOverlap="1">
                  <wp:simplePos x="0" y="0"/>
                  <wp:positionH relativeFrom="page">
                    <wp:posOffset>1830705</wp:posOffset>
                  </wp:positionH>
                  <wp:positionV relativeFrom="page">
                    <wp:posOffset>7369810</wp:posOffset>
                  </wp:positionV>
                  <wp:extent cx="1590675" cy="438150"/>
                  <wp:effectExtent l="0" t="0" r="9525" b="0"/>
                  <wp:wrapNone/>
                  <wp:docPr id="16"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2" descr="IMG_256"/>
                          <pic:cNvPicPr>
                            <a:picLocks noChangeAspect="1"/>
                          </pic:cNvPicPr>
                        </pic:nvPicPr>
                        <pic:blipFill>
                          <a:blip r:embed="rId27"/>
                          <a:stretch>
                            <a:fillRect/>
                          </a:stretch>
                        </pic:blipFill>
                        <pic:spPr>
                          <a:xfrm>
                            <a:off x="0" y="0"/>
                            <a:ext cx="1590675" cy="438150"/>
                          </a:xfrm>
                          <a:prstGeom prst="rect">
                            <a:avLst/>
                          </a:prstGeom>
                          <a:noFill/>
                          <a:ln>
                            <a:noFill/>
                          </a:ln>
                        </pic:spPr>
                      </pic:pic>
                    </a:graphicData>
                  </a:graphic>
                </wp:anchor>
              </w:drawing>
            </w:r>
          </w:p>
          <w:p w14:paraId="6904481D">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p>
          <w:p w14:paraId="6A33CCD3">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式中：q1，q2，…，qn——每种危险物质的最大存在总量，t；</w:t>
            </w:r>
          </w:p>
          <w:p w14:paraId="228515CA">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 xml:space="preserve">    Q1，Q2，…，Qn——每种危险物质的临界量，t。</w:t>
            </w:r>
          </w:p>
          <w:p w14:paraId="5B2DFBDB">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 xml:space="preserve">    当Q&lt;1时，该项目环境风险潜势为I。</w:t>
            </w:r>
          </w:p>
          <w:p w14:paraId="02F51339">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 xml:space="preserve">    当Q≥1时，将Q值划分为：</w:t>
            </w:r>
          </w:p>
          <w:p w14:paraId="6A436078">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（1）1≤Q&lt;10；（2）10≤Q&lt;100；（3）Q≥100。</w:t>
            </w:r>
          </w:p>
          <w:p w14:paraId="2B22BE69">
            <w:pPr>
              <w:keepNext w:val="0"/>
              <w:keepLines w:val="0"/>
              <w:suppressLineNumbers w:val="0"/>
              <w:autoSpaceDE w:val="0"/>
              <w:autoSpaceDN w:val="0"/>
              <w:spacing w:before="0" w:beforeAutospacing="0" w:after="0" w:afterAutospacing="0" w:line="460" w:lineRule="exact"/>
              <w:ind w:left="0" w:right="0" w:firstLine="480" w:firstLineChars="200"/>
              <w:rPr>
                <w:rFonts w:hint="eastAsia" w:eastAsia="F1"/>
                <w:color w:val="auto"/>
                <w:kern w:val="28"/>
                <w:sz w:val="24"/>
              </w:rPr>
            </w:pPr>
            <w:r>
              <w:rPr>
                <w:rFonts w:hint="eastAsia" w:eastAsia="F1"/>
                <w:color w:val="auto"/>
                <w:kern w:val="28"/>
                <w:sz w:val="24"/>
              </w:rPr>
              <w:t>本项目主要的风险物质为</w:t>
            </w:r>
            <w:r>
              <w:rPr>
                <w:rFonts w:hint="eastAsia" w:eastAsia="F1"/>
                <w:color w:val="auto"/>
                <w:kern w:val="28"/>
                <w:sz w:val="24"/>
                <w:lang w:val="en-US" w:eastAsia="zh-CN"/>
              </w:rPr>
              <w:t>天然气</w:t>
            </w:r>
            <w:r>
              <w:rPr>
                <w:rFonts w:hint="eastAsia" w:ascii="Times New Roman" w:hAnsi="Times New Roman" w:cs="Times New Roman"/>
                <w:color w:val="000000"/>
                <w:sz w:val="24"/>
                <w:szCs w:val="24"/>
                <w:lang w:val="en-US" w:eastAsia="zh-CN"/>
              </w:rPr>
              <w:t>（厂区天然气管道内暂存的量，管道长度约100m，直径约为360mm）</w:t>
            </w:r>
            <w:r>
              <w:rPr>
                <w:rFonts w:hint="eastAsia" w:eastAsia="F1"/>
                <w:color w:val="auto"/>
                <w:kern w:val="28"/>
                <w:sz w:val="24"/>
                <w:lang w:val="en-US" w:eastAsia="zh-CN"/>
              </w:rPr>
              <w:t>、</w:t>
            </w:r>
            <w:r>
              <w:rPr>
                <w:rFonts w:hint="eastAsia"/>
                <w:color w:val="auto"/>
                <w:kern w:val="0"/>
                <w:sz w:val="24"/>
              </w:rPr>
              <w:t>润滑油、切削液</w:t>
            </w:r>
            <w:r>
              <w:rPr>
                <w:rFonts w:hint="eastAsia"/>
                <w:color w:val="auto"/>
                <w:kern w:val="0"/>
                <w:szCs w:val="21"/>
              </w:rPr>
              <w:t>、</w:t>
            </w:r>
            <w:r>
              <w:rPr>
                <w:rFonts w:hint="default" w:eastAsia="F1"/>
                <w:color w:val="auto"/>
                <w:kern w:val="28"/>
                <w:sz w:val="24"/>
              </w:rPr>
              <w:t>废润滑油</w:t>
            </w:r>
            <w:r>
              <w:rPr>
                <w:rFonts w:hint="eastAsia" w:eastAsia="F1"/>
                <w:color w:val="auto"/>
                <w:kern w:val="28"/>
                <w:sz w:val="24"/>
              </w:rPr>
              <w:t>、废切削液、</w:t>
            </w:r>
            <w:r>
              <w:rPr>
                <w:rFonts w:hint="eastAsia" w:eastAsia="F1"/>
                <w:color w:val="auto"/>
                <w:kern w:val="28"/>
                <w:sz w:val="24"/>
                <w:lang w:val="en-US" w:eastAsia="zh-CN"/>
              </w:rPr>
              <w:t>液压油、废液压油、真空泵油、废真空泵油</w:t>
            </w:r>
            <w:r>
              <w:rPr>
                <w:rFonts w:hint="eastAsia" w:eastAsia="F1"/>
                <w:color w:val="auto"/>
                <w:kern w:val="28"/>
                <w:sz w:val="24"/>
              </w:rPr>
              <w:t>等。风险物质与临界量比值具体下见。</w:t>
            </w:r>
          </w:p>
          <w:p w14:paraId="78F2E2ED">
            <w:pPr>
              <w:keepNext w:val="0"/>
              <w:keepLines w:val="0"/>
              <w:widowControl/>
              <w:suppressLineNumbers w:val="0"/>
              <w:snapToGrid w:val="0"/>
              <w:spacing w:before="0" w:beforeAutospacing="0" w:after="0" w:afterAutospacing="0"/>
              <w:ind w:left="0" w:right="0"/>
              <w:jc w:val="center"/>
              <w:rPr>
                <w:rFonts w:hint="eastAsia"/>
                <w:b/>
                <w:bCs/>
                <w:color w:val="auto"/>
                <w:kern w:val="0"/>
              </w:rPr>
            </w:pPr>
            <w:r>
              <w:rPr>
                <w:rFonts w:hint="eastAsia"/>
                <w:b/>
                <w:bCs/>
                <w:color w:val="auto"/>
                <w:kern w:val="0"/>
              </w:rPr>
              <w:t>表4-1</w:t>
            </w:r>
            <w:r>
              <w:rPr>
                <w:rFonts w:hint="eastAsia"/>
                <w:b/>
                <w:bCs/>
                <w:color w:val="auto"/>
                <w:kern w:val="0"/>
                <w:lang w:val="en-US" w:eastAsia="zh-CN"/>
              </w:rPr>
              <w:t>5</w:t>
            </w:r>
            <w:r>
              <w:rPr>
                <w:rFonts w:hint="eastAsia"/>
                <w:b/>
                <w:bCs/>
                <w:color w:val="auto"/>
                <w:kern w:val="0"/>
              </w:rPr>
              <w:t xml:space="preserve">  环境风险物质与临界量比值一览表</w:t>
            </w:r>
          </w:p>
          <w:tbl>
            <w:tblPr>
              <w:tblStyle w:val="22"/>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2099"/>
              <w:gridCol w:w="1912"/>
              <w:gridCol w:w="1721"/>
              <w:gridCol w:w="1721"/>
            </w:tblGrid>
            <w:tr w14:paraId="11EE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6" w:type="dxa"/>
                  <w:noWrap w:val="0"/>
                  <w:vAlign w:val="center"/>
                </w:tcPr>
                <w:p w14:paraId="34AFC526">
                  <w:pPr>
                    <w:pStyle w:val="30"/>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序号</w:t>
                  </w:r>
                </w:p>
              </w:tc>
              <w:tc>
                <w:tcPr>
                  <w:tcW w:w="2099" w:type="dxa"/>
                  <w:noWrap w:val="0"/>
                  <w:vAlign w:val="center"/>
                </w:tcPr>
                <w:p w14:paraId="748D0035">
                  <w:pPr>
                    <w:pStyle w:val="30"/>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物质名称</w:t>
                  </w:r>
                </w:p>
              </w:tc>
              <w:tc>
                <w:tcPr>
                  <w:tcW w:w="1912" w:type="dxa"/>
                  <w:noWrap w:val="0"/>
                  <w:vAlign w:val="center"/>
                </w:tcPr>
                <w:p w14:paraId="0D19E1CA">
                  <w:pPr>
                    <w:pStyle w:val="30"/>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最大存在量q</w:t>
                  </w:r>
                  <w:r>
                    <w:rPr>
                      <w:rFonts w:hint="default"/>
                      <w:b/>
                      <w:bCs/>
                      <w:color w:val="auto"/>
                      <w:sz w:val="21"/>
                      <w:szCs w:val="21"/>
                      <w:vertAlign w:val="subscript"/>
                    </w:rPr>
                    <w:t>n</w:t>
                  </w:r>
                  <w:r>
                    <w:rPr>
                      <w:rFonts w:hint="default"/>
                      <w:b/>
                      <w:bCs/>
                      <w:color w:val="auto"/>
                      <w:sz w:val="21"/>
                      <w:szCs w:val="21"/>
                    </w:rPr>
                    <w:t>（t）</w:t>
                  </w:r>
                </w:p>
              </w:tc>
              <w:tc>
                <w:tcPr>
                  <w:tcW w:w="1721" w:type="dxa"/>
                  <w:noWrap w:val="0"/>
                  <w:vAlign w:val="center"/>
                </w:tcPr>
                <w:p w14:paraId="7D4CA4A8">
                  <w:pPr>
                    <w:pStyle w:val="30"/>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临界量Q</w:t>
                  </w:r>
                  <w:r>
                    <w:rPr>
                      <w:rFonts w:hint="default"/>
                      <w:b/>
                      <w:bCs/>
                      <w:color w:val="auto"/>
                      <w:sz w:val="21"/>
                      <w:szCs w:val="21"/>
                      <w:vertAlign w:val="subscript"/>
                    </w:rPr>
                    <w:t>n</w:t>
                  </w:r>
                  <w:r>
                    <w:rPr>
                      <w:rFonts w:hint="default"/>
                      <w:b/>
                      <w:bCs/>
                      <w:color w:val="auto"/>
                      <w:sz w:val="21"/>
                      <w:szCs w:val="21"/>
                    </w:rPr>
                    <w:t>（t）</w:t>
                  </w:r>
                </w:p>
              </w:tc>
              <w:tc>
                <w:tcPr>
                  <w:tcW w:w="1721" w:type="dxa"/>
                  <w:noWrap w:val="0"/>
                  <w:vAlign w:val="center"/>
                </w:tcPr>
                <w:p w14:paraId="72478AB8">
                  <w:pPr>
                    <w:pStyle w:val="30"/>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q</w:t>
                  </w:r>
                  <w:r>
                    <w:rPr>
                      <w:rFonts w:hint="default"/>
                      <w:b/>
                      <w:bCs/>
                      <w:color w:val="auto"/>
                      <w:sz w:val="21"/>
                      <w:szCs w:val="21"/>
                      <w:vertAlign w:val="subscript"/>
                    </w:rPr>
                    <w:t>n</w:t>
                  </w:r>
                  <w:r>
                    <w:rPr>
                      <w:rFonts w:hint="default"/>
                      <w:b/>
                      <w:bCs/>
                      <w:color w:val="auto"/>
                      <w:sz w:val="21"/>
                      <w:szCs w:val="21"/>
                    </w:rPr>
                    <w:t>/Q</w:t>
                  </w:r>
                  <w:r>
                    <w:rPr>
                      <w:rFonts w:hint="default"/>
                      <w:b/>
                      <w:bCs/>
                      <w:color w:val="auto"/>
                      <w:sz w:val="21"/>
                      <w:szCs w:val="21"/>
                      <w:vertAlign w:val="subscript"/>
                    </w:rPr>
                    <w:t>n</w:t>
                  </w:r>
                </w:p>
              </w:tc>
            </w:tr>
            <w:tr w14:paraId="0A5E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6" w:type="dxa"/>
                  <w:noWrap w:val="0"/>
                  <w:vAlign w:val="center"/>
                </w:tcPr>
                <w:p w14:paraId="426808BF">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1</w:t>
                  </w:r>
                </w:p>
              </w:tc>
              <w:tc>
                <w:tcPr>
                  <w:tcW w:w="2099" w:type="dxa"/>
                  <w:noWrap w:val="0"/>
                  <w:vAlign w:val="center"/>
                </w:tcPr>
                <w:p w14:paraId="6AB29613">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润滑油</w:t>
                  </w:r>
                </w:p>
              </w:tc>
              <w:tc>
                <w:tcPr>
                  <w:tcW w:w="1912" w:type="dxa"/>
                  <w:noWrap w:val="0"/>
                  <w:vAlign w:val="center"/>
                </w:tcPr>
                <w:p w14:paraId="60B7834D">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0.1</w:t>
                  </w:r>
                </w:p>
              </w:tc>
              <w:tc>
                <w:tcPr>
                  <w:tcW w:w="1721" w:type="dxa"/>
                  <w:noWrap w:val="0"/>
                  <w:vAlign w:val="center"/>
                </w:tcPr>
                <w:p w14:paraId="2A9B5AA9">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2500</w:t>
                  </w:r>
                </w:p>
              </w:tc>
              <w:tc>
                <w:tcPr>
                  <w:tcW w:w="1721" w:type="dxa"/>
                  <w:noWrap w:val="0"/>
                  <w:vAlign w:val="center"/>
                </w:tcPr>
                <w:p w14:paraId="38717F89">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0.00004</w:t>
                  </w:r>
                </w:p>
              </w:tc>
            </w:tr>
            <w:tr w14:paraId="69BD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6" w:type="dxa"/>
                  <w:noWrap w:val="0"/>
                  <w:vAlign w:val="center"/>
                </w:tcPr>
                <w:p w14:paraId="2C3BABAF">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2</w:t>
                  </w:r>
                </w:p>
              </w:tc>
              <w:tc>
                <w:tcPr>
                  <w:tcW w:w="2099" w:type="dxa"/>
                  <w:noWrap w:val="0"/>
                  <w:vAlign w:val="center"/>
                </w:tcPr>
                <w:p w14:paraId="53A531F1">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废润滑油</w:t>
                  </w:r>
                </w:p>
              </w:tc>
              <w:tc>
                <w:tcPr>
                  <w:tcW w:w="1912" w:type="dxa"/>
                  <w:noWrap w:val="0"/>
                  <w:vAlign w:val="center"/>
                </w:tcPr>
                <w:p w14:paraId="5EF5D135">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0.06</w:t>
                  </w:r>
                </w:p>
              </w:tc>
              <w:tc>
                <w:tcPr>
                  <w:tcW w:w="1721" w:type="dxa"/>
                  <w:noWrap w:val="0"/>
                  <w:vAlign w:val="center"/>
                </w:tcPr>
                <w:p w14:paraId="11E7018A">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2500</w:t>
                  </w:r>
                </w:p>
              </w:tc>
              <w:tc>
                <w:tcPr>
                  <w:tcW w:w="1721" w:type="dxa"/>
                  <w:noWrap w:val="0"/>
                  <w:vAlign w:val="center"/>
                </w:tcPr>
                <w:p w14:paraId="38CAFC23">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0.000024</w:t>
                  </w:r>
                </w:p>
              </w:tc>
            </w:tr>
            <w:tr w14:paraId="7ACA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46" w:type="dxa"/>
                  <w:noWrap w:val="0"/>
                  <w:vAlign w:val="center"/>
                </w:tcPr>
                <w:p w14:paraId="043BE8ED">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3</w:t>
                  </w:r>
                </w:p>
              </w:tc>
              <w:tc>
                <w:tcPr>
                  <w:tcW w:w="2099" w:type="dxa"/>
                  <w:noWrap w:val="0"/>
                  <w:vAlign w:val="center"/>
                </w:tcPr>
                <w:p w14:paraId="030CA1C9">
                  <w:pPr>
                    <w:pStyle w:val="30"/>
                    <w:keepNext w:val="0"/>
                    <w:keepLines w:val="0"/>
                    <w:suppressLineNumbers w:val="0"/>
                    <w:spacing w:before="0" w:beforeAutospacing="0" w:after="0" w:afterAutospacing="0"/>
                    <w:ind w:left="0" w:right="0"/>
                    <w:jc w:val="center"/>
                    <w:rPr>
                      <w:rFonts w:hint="eastAsia" w:cs="宋体"/>
                      <w:bCs/>
                      <w:color w:val="auto"/>
                      <w:kern w:val="0"/>
                      <w:sz w:val="21"/>
                      <w:szCs w:val="21"/>
                    </w:rPr>
                  </w:pPr>
                  <w:r>
                    <w:rPr>
                      <w:rFonts w:hint="default"/>
                      <w:color w:val="auto"/>
                      <w:sz w:val="21"/>
                      <w:szCs w:val="21"/>
                    </w:rPr>
                    <w:t>切削液</w:t>
                  </w:r>
                </w:p>
              </w:tc>
              <w:tc>
                <w:tcPr>
                  <w:tcW w:w="1912" w:type="dxa"/>
                  <w:noWrap w:val="0"/>
                  <w:vAlign w:val="center"/>
                </w:tcPr>
                <w:p w14:paraId="251D7B12">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0.5</w:t>
                  </w:r>
                </w:p>
              </w:tc>
              <w:tc>
                <w:tcPr>
                  <w:tcW w:w="1721" w:type="dxa"/>
                  <w:noWrap w:val="0"/>
                  <w:vAlign w:val="center"/>
                </w:tcPr>
                <w:p w14:paraId="5433FA0E">
                  <w:pPr>
                    <w:keepNext w:val="0"/>
                    <w:keepLines w:val="0"/>
                    <w:suppressLineNumbers w:val="0"/>
                    <w:spacing w:before="0" w:beforeAutospacing="0" w:after="0" w:afterAutospacing="0"/>
                    <w:ind w:left="0" w:right="0"/>
                    <w:jc w:val="center"/>
                    <w:rPr>
                      <w:rFonts w:hint="eastAsia" w:cs="宋体"/>
                      <w:bCs/>
                      <w:color w:val="auto"/>
                      <w:kern w:val="0"/>
                      <w:szCs w:val="21"/>
                    </w:rPr>
                  </w:pPr>
                  <w:r>
                    <w:rPr>
                      <w:rFonts w:hint="eastAsia" w:cs="宋体"/>
                      <w:bCs/>
                      <w:color w:val="auto"/>
                      <w:kern w:val="0"/>
                      <w:szCs w:val="21"/>
                    </w:rPr>
                    <w:t>2500</w:t>
                  </w:r>
                </w:p>
              </w:tc>
              <w:tc>
                <w:tcPr>
                  <w:tcW w:w="1721" w:type="dxa"/>
                  <w:noWrap w:val="0"/>
                  <w:vAlign w:val="center"/>
                </w:tcPr>
                <w:p w14:paraId="37BA865F">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0.0002</w:t>
                  </w:r>
                </w:p>
              </w:tc>
            </w:tr>
            <w:tr w14:paraId="34E7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46" w:type="dxa"/>
                  <w:noWrap w:val="0"/>
                  <w:vAlign w:val="center"/>
                </w:tcPr>
                <w:p w14:paraId="1E6D25C3">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4</w:t>
                  </w:r>
                </w:p>
              </w:tc>
              <w:tc>
                <w:tcPr>
                  <w:tcW w:w="2099" w:type="dxa"/>
                  <w:noWrap w:val="0"/>
                  <w:vAlign w:val="center"/>
                </w:tcPr>
                <w:p w14:paraId="5D276363">
                  <w:pPr>
                    <w:pStyle w:val="30"/>
                    <w:keepNext w:val="0"/>
                    <w:keepLines w:val="0"/>
                    <w:suppressLineNumbers w:val="0"/>
                    <w:spacing w:before="0" w:beforeAutospacing="0" w:after="0" w:afterAutospacing="0"/>
                    <w:ind w:left="0" w:right="0"/>
                    <w:jc w:val="center"/>
                    <w:rPr>
                      <w:rFonts w:hint="eastAsia" w:cs="宋体"/>
                      <w:bCs/>
                      <w:color w:val="auto"/>
                      <w:kern w:val="0"/>
                      <w:sz w:val="21"/>
                      <w:szCs w:val="21"/>
                    </w:rPr>
                  </w:pPr>
                  <w:r>
                    <w:rPr>
                      <w:rFonts w:hint="eastAsia"/>
                      <w:color w:val="auto"/>
                      <w:sz w:val="21"/>
                      <w:szCs w:val="21"/>
                    </w:rPr>
                    <w:t>废</w:t>
                  </w:r>
                  <w:r>
                    <w:rPr>
                      <w:rFonts w:hint="default"/>
                      <w:color w:val="auto"/>
                      <w:sz w:val="21"/>
                      <w:szCs w:val="21"/>
                    </w:rPr>
                    <w:t>切削液</w:t>
                  </w:r>
                </w:p>
              </w:tc>
              <w:tc>
                <w:tcPr>
                  <w:tcW w:w="1912" w:type="dxa"/>
                  <w:noWrap w:val="0"/>
                  <w:vAlign w:val="center"/>
                </w:tcPr>
                <w:p w14:paraId="0C4CF403">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0.3</w:t>
                  </w:r>
                </w:p>
              </w:tc>
              <w:tc>
                <w:tcPr>
                  <w:tcW w:w="1721" w:type="dxa"/>
                  <w:noWrap w:val="0"/>
                  <w:vAlign w:val="center"/>
                </w:tcPr>
                <w:p w14:paraId="0A4A03FF">
                  <w:pPr>
                    <w:keepNext w:val="0"/>
                    <w:keepLines w:val="0"/>
                    <w:suppressLineNumbers w:val="0"/>
                    <w:spacing w:before="0" w:beforeAutospacing="0" w:after="0" w:afterAutospacing="0"/>
                    <w:ind w:left="0" w:right="0"/>
                    <w:jc w:val="center"/>
                    <w:rPr>
                      <w:rFonts w:hint="eastAsia" w:cs="宋体"/>
                      <w:bCs/>
                      <w:color w:val="auto"/>
                      <w:kern w:val="0"/>
                      <w:szCs w:val="21"/>
                    </w:rPr>
                  </w:pPr>
                  <w:r>
                    <w:rPr>
                      <w:rFonts w:hint="eastAsia" w:cs="宋体"/>
                      <w:bCs/>
                      <w:color w:val="auto"/>
                      <w:kern w:val="0"/>
                      <w:szCs w:val="21"/>
                    </w:rPr>
                    <w:t>2500</w:t>
                  </w:r>
                </w:p>
              </w:tc>
              <w:tc>
                <w:tcPr>
                  <w:tcW w:w="1721" w:type="dxa"/>
                  <w:noWrap w:val="0"/>
                  <w:vAlign w:val="center"/>
                </w:tcPr>
                <w:p w14:paraId="459D6755">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0.0001</w:t>
                  </w:r>
                </w:p>
              </w:tc>
            </w:tr>
            <w:tr w14:paraId="05D6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46" w:type="dxa"/>
                  <w:noWrap w:val="0"/>
                  <w:vAlign w:val="center"/>
                </w:tcPr>
                <w:p w14:paraId="58BAAF94">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5</w:t>
                  </w:r>
                </w:p>
              </w:tc>
              <w:tc>
                <w:tcPr>
                  <w:tcW w:w="2099" w:type="dxa"/>
                  <w:noWrap w:val="0"/>
                  <w:vAlign w:val="center"/>
                </w:tcPr>
                <w:p w14:paraId="76A17305">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液压油</w:t>
                  </w:r>
                </w:p>
              </w:tc>
              <w:tc>
                <w:tcPr>
                  <w:tcW w:w="1912" w:type="dxa"/>
                  <w:noWrap w:val="0"/>
                  <w:vAlign w:val="center"/>
                </w:tcPr>
                <w:p w14:paraId="5A5B31AA">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0.1</w:t>
                  </w:r>
                </w:p>
              </w:tc>
              <w:tc>
                <w:tcPr>
                  <w:tcW w:w="1721" w:type="dxa"/>
                  <w:noWrap w:val="0"/>
                  <w:vAlign w:val="center"/>
                </w:tcPr>
                <w:p w14:paraId="71A9D153">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2500</w:t>
                  </w:r>
                </w:p>
              </w:tc>
              <w:tc>
                <w:tcPr>
                  <w:tcW w:w="1721" w:type="dxa"/>
                  <w:noWrap w:val="0"/>
                  <w:vAlign w:val="center"/>
                </w:tcPr>
                <w:p w14:paraId="7077DFBB">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0.00004</w:t>
                  </w:r>
                </w:p>
              </w:tc>
            </w:tr>
            <w:tr w14:paraId="507B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46" w:type="dxa"/>
                  <w:noWrap w:val="0"/>
                  <w:vAlign w:val="center"/>
                </w:tcPr>
                <w:p w14:paraId="332D7145">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6</w:t>
                  </w:r>
                </w:p>
              </w:tc>
              <w:tc>
                <w:tcPr>
                  <w:tcW w:w="2099" w:type="dxa"/>
                  <w:noWrap w:val="0"/>
                  <w:vAlign w:val="center"/>
                </w:tcPr>
                <w:p w14:paraId="5C6A0E84">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废液压油</w:t>
                  </w:r>
                </w:p>
              </w:tc>
              <w:tc>
                <w:tcPr>
                  <w:tcW w:w="1912" w:type="dxa"/>
                  <w:noWrap w:val="0"/>
                  <w:vAlign w:val="center"/>
                </w:tcPr>
                <w:p w14:paraId="77011381">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0.05</w:t>
                  </w:r>
                </w:p>
              </w:tc>
              <w:tc>
                <w:tcPr>
                  <w:tcW w:w="1721" w:type="dxa"/>
                  <w:noWrap w:val="0"/>
                  <w:vAlign w:val="center"/>
                </w:tcPr>
                <w:p w14:paraId="130C2A6E">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2500</w:t>
                  </w:r>
                </w:p>
              </w:tc>
              <w:tc>
                <w:tcPr>
                  <w:tcW w:w="1721" w:type="dxa"/>
                  <w:noWrap w:val="0"/>
                  <w:vAlign w:val="center"/>
                </w:tcPr>
                <w:p w14:paraId="1C7E7231">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0.00002</w:t>
                  </w:r>
                </w:p>
              </w:tc>
            </w:tr>
            <w:tr w14:paraId="0168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46" w:type="dxa"/>
                  <w:noWrap w:val="0"/>
                  <w:vAlign w:val="center"/>
                </w:tcPr>
                <w:p w14:paraId="2BF6B894">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7</w:t>
                  </w:r>
                </w:p>
              </w:tc>
              <w:tc>
                <w:tcPr>
                  <w:tcW w:w="2099" w:type="dxa"/>
                  <w:noWrap w:val="0"/>
                  <w:vAlign w:val="center"/>
                </w:tcPr>
                <w:p w14:paraId="4D17D798">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天然气（以甲烷计）</w:t>
                  </w:r>
                </w:p>
              </w:tc>
              <w:tc>
                <w:tcPr>
                  <w:tcW w:w="1912" w:type="dxa"/>
                  <w:noWrap w:val="0"/>
                  <w:vAlign w:val="center"/>
                </w:tcPr>
                <w:p w14:paraId="67319CD3">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0.01</w:t>
                  </w:r>
                </w:p>
              </w:tc>
              <w:tc>
                <w:tcPr>
                  <w:tcW w:w="1721" w:type="dxa"/>
                  <w:noWrap w:val="0"/>
                  <w:vAlign w:val="center"/>
                </w:tcPr>
                <w:p w14:paraId="70C643D5">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10</w:t>
                  </w:r>
                </w:p>
              </w:tc>
              <w:tc>
                <w:tcPr>
                  <w:tcW w:w="1721" w:type="dxa"/>
                  <w:noWrap w:val="0"/>
                  <w:vAlign w:val="center"/>
                </w:tcPr>
                <w:p w14:paraId="2A81F815">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0.01</w:t>
                  </w:r>
                </w:p>
              </w:tc>
            </w:tr>
            <w:tr w14:paraId="0E28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46" w:type="dxa"/>
                  <w:noWrap w:val="0"/>
                  <w:vAlign w:val="center"/>
                </w:tcPr>
                <w:p w14:paraId="5B90AD54">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8</w:t>
                  </w:r>
                </w:p>
              </w:tc>
              <w:tc>
                <w:tcPr>
                  <w:tcW w:w="2099" w:type="dxa"/>
                  <w:noWrap w:val="0"/>
                  <w:vAlign w:val="center"/>
                </w:tcPr>
                <w:p w14:paraId="63E5AFB9">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真空泵油</w:t>
                  </w:r>
                </w:p>
              </w:tc>
              <w:tc>
                <w:tcPr>
                  <w:tcW w:w="1912" w:type="dxa"/>
                  <w:noWrap w:val="0"/>
                  <w:vAlign w:val="center"/>
                </w:tcPr>
                <w:p w14:paraId="47CBE1D0">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0.1</w:t>
                  </w:r>
                </w:p>
              </w:tc>
              <w:tc>
                <w:tcPr>
                  <w:tcW w:w="1721" w:type="dxa"/>
                  <w:noWrap w:val="0"/>
                  <w:vAlign w:val="center"/>
                </w:tcPr>
                <w:p w14:paraId="71F39F9D">
                  <w:pPr>
                    <w:keepNext w:val="0"/>
                    <w:keepLines w:val="0"/>
                    <w:suppressLineNumbers w:val="0"/>
                    <w:spacing w:before="0" w:beforeAutospacing="0" w:after="0" w:afterAutospacing="0"/>
                    <w:ind w:left="0" w:right="0"/>
                    <w:jc w:val="center"/>
                    <w:rPr>
                      <w:rFonts w:hint="eastAsia" w:ascii="Times New Roman" w:hAnsi="Times New Roman"/>
                      <w:bCs/>
                      <w:color w:val="auto"/>
                      <w:kern w:val="0"/>
                      <w:sz w:val="21"/>
                      <w:szCs w:val="21"/>
                      <w:lang w:val="en-US" w:eastAsia="zh-CN" w:bidi="ar-SA"/>
                    </w:rPr>
                  </w:pPr>
                  <w:r>
                    <w:rPr>
                      <w:rFonts w:hint="eastAsia" w:cs="宋体"/>
                      <w:bCs/>
                      <w:color w:val="auto"/>
                      <w:kern w:val="0"/>
                      <w:szCs w:val="21"/>
                    </w:rPr>
                    <w:t>2500</w:t>
                  </w:r>
                </w:p>
              </w:tc>
              <w:tc>
                <w:tcPr>
                  <w:tcW w:w="1721" w:type="dxa"/>
                  <w:noWrap w:val="0"/>
                  <w:vAlign w:val="center"/>
                </w:tcPr>
                <w:p w14:paraId="33E38CE8">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0.00004</w:t>
                  </w:r>
                </w:p>
              </w:tc>
            </w:tr>
            <w:tr w14:paraId="151F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46" w:type="dxa"/>
                  <w:noWrap w:val="0"/>
                  <w:vAlign w:val="center"/>
                </w:tcPr>
                <w:p w14:paraId="0B5A0F26">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9</w:t>
                  </w:r>
                </w:p>
              </w:tc>
              <w:tc>
                <w:tcPr>
                  <w:tcW w:w="2099" w:type="dxa"/>
                  <w:noWrap w:val="0"/>
                  <w:vAlign w:val="center"/>
                </w:tcPr>
                <w:p w14:paraId="13CD8702">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废真空泵油</w:t>
                  </w:r>
                </w:p>
              </w:tc>
              <w:tc>
                <w:tcPr>
                  <w:tcW w:w="1912" w:type="dxa"/>
                  <w:noWrap w:val="0"/>
                  <w:vAlign w:val="center"/>
                </w:tcPr>
                <w:p w14:paraId="0C25DABF">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0.06</w:t>
                  </w:r>
                </w:p>
              </w:tc>
              <w:tc>
                <w:tcPr>
                  <w:tcW w:w="1721" w:type="dxa"/>
                  <w:noWrap w:val="0"/>
                  <w:vAlign w:val="center"/>
                </w:tcPr>
                <w:p w14:paraId="491E5112">
                  <w:pPr>
                    <w:keepNext w:val="0"/>
                    <w:keepLines w:val="0"/>
                    <w:suppressLineNumbers w:val="0"/>
                    <w:spacing w:before="0" w:beforeAutospacing="0" w:after="0" w:afterAutospacing="0"/>
                    <w:ind w:left="0" w:right="0"/>
                    <w:jc w:val="center"/>
                    <w:rPr>
                      <w:rFonts w:hint="eastAsia" w:ascii="Times New Roman" w:hAnsi="Times New Roman"/>
                      <w:bCs/>
                      <w:color w:val="auto"/>
                      <w:kern w:val="0"/>
                      <w:sz w:val="21"/>
                      <w:szCs w:val="21"/>
                      <w:lang w:val="en-US" w:eastAsia="zh-CN" w:bidi="ar-SA"/>
                    </w:rPr>
                  </w:pPr>
                  <w:r>
                    <w:rPr>
                      <w:rFonts w:hint="eastAsia" w:cs="宋体"/>
                      <w:bCs/>
                      <w:color w:val="auto"/>
                      <w:kern w:val="0"/>
                      <w:szCs w:val="21"/>
                    </w:rPr>
                    <w:t>2500</w:t>
                  </w:r>
                </w:p>
              </w:tc>
              <w:tc>
                <w:tcPr>
                  <w:tcW w:w="1721" w:type="dxa"/>
                  <w:noWrap w:val="0"/>
                  <w:vAlign w:val="center"/>
                </w:tcPr>
                <w:p w14:paraId="6FB4B21A">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0.000024</w:t>
                  </w:r>
                </w:p>
              </w:tc>
            </w:tr>
            <w:tr w14:paraId="1867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8" w:type="dxa"/>
                  <w:gridSpan w:val="4"/>
                  <w:noWrap w:val="0"/>
                  <w:vAlign w:val="center"/>
                </w:tcPr>
                <w:p w14:paraId="24B0CB26">
                  <w:pPr>
                    <w:pStyle w:val="77"/>
                    <w:keepNext w:val="0"/>
                    <w:keepLines w:val="0"/>
                    <w:suppressLineNumbers w:val="0"/>
                    <w:spacing w:before="0" w:beforeAutospacing="0" w:after="0" w:afterAutospacing="0"/>
                    <w:ind w:left="0" w:right="0"/>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合计</w:t>
                  </w:r>
                </w:p>
              </w:tc>
              <w:tc>
                <w:tcPr>
                  <w:tcW w:w="1721" w:type="dxa"/>
                  <w:noWrap w:val="0"/>
                  <w:vAlign w:val="center"/>
                </w:tcPr>
                <w:p w14:paraId="0658B8FB">
                  <w:pPr>
                    <w:pStyle w:val="77"/>
                    <w:keepNext w:val="0"/>
                    <w:keepLines w:val="0"/>
                    <w:suppressLineNumbers w:val="0"/>
                    <w:spacing w:before="0" w:beforeAutospacing="0" w:after="0" w:afterAutospacing="0"/>
                    <w:ind w:left="0" w:right="0"/>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fldChar w:fldCharType="begin"/>
                  </w:r>
                  <w:r>
                    <w:rPr>
                      <w:rFonts w:hint="eastAsia" w:ascii="Times New Roman" w:hAnsi="Times New Roman"/>
                      <w:bCs/>
                      <w:color w:val="auto"/>
                      <w:kern w:val="0"/>
                      <w:sz w:val="21"/>
                      <w:szCs w:val="21"/>
                      <w:lang w:val="en-US" w:eastAsia="zh-CN" w:bidi="ar-SA"/>
                    </w:rPr>
                    <w:instrText xml:space="preserve"> = sum(E2:E10) \* MERGEFORMAT </w:instrText>
                  </w:r>
                  <w:r>
                    <w:rPr>
                      <w:rFonts w:hint="eastAsia" w:ascii="Times New Roman" w:hAnsi="Times New Roman"/>
                      <w:bCs/>
                      <w:color w:val="auto"/>
                      <w:kern w:val="0"/>
                      <w:sz w:val="21"/>
                      <w:szCs w:val="21"/>
                      <w:lang w:val="en-US" w:eastAsia="zh-CN" w:bidi="ar-SA"/>
                    </w:rPr>
                    <w:fldChar w:fldCharType="separate"/>
                  </w:r>
                  <w:r>
                    <w:rPr>
                      <w:rFonts w:hint="eastAsia" w:ascii="Times New Roman" w:hAnsi="Times New Roman"/>
                      <w:bCs/>
                      <w:color w:val="auto"/>
                      <w:kern w:val="0"/>
                      <w:sz w:val="21"/>
                      <w:szCs w:val="21"/>
                      <w:lang w:val="en-US" w:eastAsia="zh-CN" w:bidi="ar-SA"/>
                    </w:rPr>
                    <w:t>0.010488</w:t>
                  </w:r>
                  <w:r>
                    <w:rPr>
                      <w:rFonts w:hint="eastAsia" w:ascii="Times New Roman" w:hAnsi="Times New Roman"/>
                      <w:bCs/>
                      <w:color w:val="auto"/>
                      <w:kern w:val="0"/>
                      <w:sz w:val="21"/>
                      <w:szCs w:val="21"/>
                      <w:lang w:val="en-US" w:eastAsia="zh-CN" w:bidi="ar-SA"/>
                    </w:rPr>
                    <w:fldChar w:fldCharType="end"/>
                  </w:r>
                </w:p>
              </w:tc>
            </w:tr>
          </w:tbl>
          <w:p w14:paraId="1B0846D4">
            <w:pPr>
              <w:keepNext w:val="0"/>
              <w:keepLines w:val="0"/>
              <w:suppressLineNumbers w:val="0"/>
              <w:spacing w:before="0" w:beforeAutospacing="0" w:after="0" w:afterAutospacing="0" w:line="360" w:lineRule="auto"/>
              <w:ind w:left="0" w:right="0" w:firstLine="480" w:firstLineChars="200"/>
              <w:rPr>
                <w:rFonts w:hint="eastAsia"/>
                <w:color w:val="auto"/>
              </w:rPr>
            </w:pPr>
            <w:r>
              <w:rPr>
                <w:rFonts w:hint="eastAsia" w:ascii="宋体" w:hAnsi="宋体" w:cs="宋体"/>
                <w:bCs/>
                <w:color w:val="auto"/>
                <w:sz w:val="24"/>
              </w:rPr>
              <w:t>由上表可知，Q＜1，环境风险潜势为</w:t>
            </w:r>
            <w:r>
              <w:rPr>
                <w:rFonts w:hint="eastAsia" w:ascii="宋体" w:hAnsi="宋体" w:cs="宋体"/>
                <w:color w:val="auto"/>
                <w:kern w:val="0"/>
                <w:sz w:val="24"/>
              </w:rPr>
              <w:t>Ⅰ，进行简单分析。</w:t>
            </w:r>
          </w:p>
          <w:p w14:paraId="5E5C1F94">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auto"/>
                <w:sz w:val="24"/>
              </w:rPr>
            </w:pPr>
            <w:r>
              <w:rPr>
                <w:rFonts w:hint="eastAsia" w:ascii="宋体" w:hAnsi="宋体" w:cs="宋体"/>
                <w:bCs/>
                <w:color w:val="auto"/>
                <w:sz w:val="24"/>
              </w:rPr>
              <w:t>（二）环境风险物质和风险源分布情况</w:t>
            </w:r>
          </w:p>
          <w:p w14:paraId="5A0B1940">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sz w:val="24"/>
              </w:rPr>
              <w:fldChar w:fldCharType="begin"/>
            </w:r>
            <w:r>
              <w:rPr>
                <w:rFonts w:hint="default"/>
                <w:color w:val="auto"/>
                <w:sz w:val="24"/>
              </w:rPr>
              <w:instrText xml:space="preserve"> = 1 \* GB3 </w:instrText>
            </w:r>
            <w:r>
              <w:rPr>
                <w:rFonts w:hint="default"/>
                <w:color w:val="auto"/>
                <w:sz w:val="24"/>
              </w:rPr>
              <w:fldChar w:fldCharType="separate"/>
            </w:r>
            <w:r>
              <w:rPr>
                <w:rFonts w:hint="default"/>
                <w:color w:val="auto"/>
                <w:sz w:val="24"/>
              </w:rPr>
              <w:t>①</w:t>
            </w:r>
            <w:r>
              <w:rPr>
                <w:rFonts w:hint="default"/>
                <w:color w:val="auto"/>
                <w:sz w:val="24"/>
              </w:rPr>
              <w:fldChar w:fldCharType="end"/>
            </w:r>
            <w:r>
              <w:rPr>
                <w:rFonts w:hint="default"/>
                <w:color w:val="auto"/>
                <w:kern w:val="0"/>
                <w:sz w:val="24"/>
              </w:rPr>
              <w:t>物质风险性识别</w:t>
            </w:r>
          </w:p>
          <w:p w14:paraId="78784113">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本项目</w:t>
            </w:r>
            <w:r>
              <w:rPr>
                <w:rFonts w:hint="eastAsia"/>
                <w:color w:val="auto"/>
                <w:kern w:val="0"/>
                <w:sz w:val="24"/>
              </w:rPr>
              <w:t>风险物质为</w:t>
            </w:r>
            <w:r>
              <w:rPr>
                <w:rFonts w:hint="eastAsia" w:eastAsia="F1"/>
                <w:color w:val="auto"/>
                <w:kern w:val="28"/>
                <w:sz w:val="24"/>
                <w:lang w:val="en-US" w:eastAsia="zh-CN"/>
              </w:rPr>
              <w:t>天然气、</w:t>
            </w:r>
            <w:r>
              <w:rPr>
                <w:rFonts w:hint="eastAsia"/>
                <w:color w:val="auto"/>
                <w:kern w:val="0"/>
                <w:sz w:val="24"/>
              </w:rPr>
              <w:t>润滑油、切削液</w:t>
            </w:r>
            <w:r>
              <w:rPr>
                <w:rFonts w:hint="eastAsia"/>
                <w:color w:val="auto"/>
                <w:kern w:val="0"/>
                <w:szCs w:val="21"/>
              </w:rPr>
              <w:t>、</w:t>
            </w:r>
            <w:r>
              <w:rPr>
                <w:rFonts w:hint="default" w:eastAsia="F1"/>
                <w:color w:val="auto"/>
                <w:kern w:val="28"/>
                <w:sz w:val="24"/>
              </w:rPr>
              <w:t>废润滑油</w:t>
            </w:r>
            <w:r>
              <w:rPr>
                <w:rFonts w:hint="eastAsia" w:eastAsia="F1"/>
                <w:color w:val="auto"/>
                <w:kern w:val="28"/>
                <w:sz w:val="24"/>
              </w:rPr>
              <w:t>、废切削液、</w:t>
            </w:r>
            <w:r>
              <w:rPr>
                <w:rFonts w:hint="eastAsia" w:eastAsia="F1"/>
                <w:color w:val="auto"/>
                <w:kern w:val="28"/>
                <w:sz w:val="24"/>
                <w:lang w:val="en-US" w:eastAsia="zh-CN"/>
              </w:rPr>
              <w:t>液压油、废液压油、真空泵油、废真空泵油</w:t>
            </w:r>
            <w:r>
              <w:rPr>
                <w:rFonts w:hint="eastAsia"/>
                <w:color w:val="auto"/>
                <w:kern w:val="0"/>
                <w:sz w:val="24"/>
              </w:rPr>
              <w:t>等</w:t>
            </w:r>
            <w:r>
              <w:rPr>
                <w:rFonts w:hint="default"/>
                <w:color w:val="auto"/>
                <w:kern w:val="0"/>
                <w:sz w:val="24"/>
              </w:rPr>
              <w:t>。</w:t>
            </w:r>
          </w:p>
          <w:p w14:paraId="72BD6CE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fldChar w:fldCharType="begin"/>
            </w:r>
            <w:r>
              <w:rPr>
                <w:rFonts w:hint="default"/>
                <w:color w:val="auto"/>
                <w:sz w:val="24"/>
              </w:rPr>
              <w:instrText xml:space="preserve"> = 2 \* GB3 </w:instrText>
            </w:r>
            <w:r>
              <w:rPr>
                <w:rFonts w:hint="default"/>
                <w:color w:val="auto"/>
                <w:sz w:val="24"/>
              </w:rPr>
              <w:fldChar w:fldCharType="separate"/>
            </w:r>
            <w:r>
              <w:rPr>
                <w:rFonts w:hint="default"/>
                <w:color w:val="auto"/>
                <w:sz w:val="24"/>
              </w:rPr>
              <w:t>②</w:t>
            </w:r>
            <w:r>
              <w:rPr>
                <w:rFonts w:hint="default"/>
                <w:color w:val="auto"/>
                <w:sz w:val="24"/>
              </w:rPr>
              <w:fldChar w:fldCharType="end"/>
            </w:r>
            <w:r>
              <w:rPr>
                <w:rFonts w:hint="eastAsia"/>
                <w:color w:val="auto"/>
                <w:sz w:val="24"/>
              </w:rPr>
              <w:t>生产系统</w:t>
            </w:r>
            <w:r>
              <w:rPr>
                <w:rFonts w:hint="default"/>
                <w:color w:val="auto"/>
                <w:sz w:val="24"/>
              </w:rPr>
              <w:t>风险识别</w:t>
            </w:r>
          </w:p>
          <w:p w14:paraId="7596599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项目建成后的风险单元具体情况见下表。</w:t>
            </w:r>
          </w:p>
          <w:p w14:paraId="0E10D0CA">
            <w:pPr>
              <w:keepNext w:val="0"/>
              <w:keepLines w:val="0"/>
              <w:widowControl/>
              <w:suppressLineNumbers w:val="0"/>
              <w:snapToGrid w:val="0"/>
              <w:spacing w:before="0" w:beforeAutospacing="0" w:after="0" w:afterAutospacing="0"/>
              <w:ind w:left="0" w:right="0"/>
              <w:jc w:val="center"/>
              <w:rPr>
                <w:rFonts w:hint="eastAsia"/>
                <w:b/>
                <w:bCs/>
                <w:color w:val="auto"/>
                <w:kern w:val="0"/>
              </w:rPr>
            </w:pPr>
            <w:r>
              <w:rPr>
                <w:rFonts w:hint="eastAsia"/>
                <w:b/>
                <w:bCs/>
                <w:color w:val="auto"/>
                <w:kern w:val="0"/>
              </w:rPr>
              <w:t>表4-1</w:t>
            </w:r>
            <w:r>
              <w:rPr>
                <w:rFonts w:hint="eastAsia"/>
                <w:b/>
                <w:bCs/>
                <w:color w:val="auto"/>
                <w:kern w:val="0"/>
                <w:lang w:val="en-US" w:eastAsia="zh-CN"/>
              </w:rPr>
              <w:t>6</w:t>
            </w:r>
            <w:r>
              <w:rPr>
                <w:rFonts w:hint="eastAsia"/>
                <w:b/>
                <w:bCs/>
                <w:color w:val="auto"/>
                <w:kern w:val="0"/>
              </w:rPr>
              <w:t xml:space="preserve"> 功能单元系统设置情况及物料情况</w:t>
            </w:r>
          </w:p>
          <w:tbl>
            <w:tblPr>
              <w:tblStyle w:val="21"/>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091"/>
              <w:gridCol w:w="4672"/>
            </w:tblGrid>
            <w:tr w14:paraId="7FD4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716" w:type="dxa"/>
                  <w:noWrap w:val="0"/>
                  <w:vAlign w:val="center"/>
                </w:tcPr>
                <w:p w14:paraId="64030E06">
                  <w:pPr>
                    <w:pStyle w:val="52"/>
                    <w:keepLines w:val="0"/>
                    <w:suppressLineNumbers w:val="0"/>
                    <w:spacing w:before="0" w:beforeAutospacing="0" w:after="0" w:afterAutospacing="0" w:line="240" w:lineRule="auto"/>
                    <w:ind w:left="0" w:right="0"/>
                    <w:rPr>
                      <w:rFonts w:hint="eastAsia"/>
                      <w:color w:val="auto"/>
                      <w:szCs w:val="21"/>
                    </w:rPr>
                  </w:pPr>
                  <w:r>
                    <w:rPr>
                      <w:rFonts w:hint="eastAsia"/>
                      <w:color w:val="auto"/>
                      <w:szCs w:val="21"/>
                    </w:rPr>
                    <w:t>风险源</w:t>
                  </w:r>
                </w:p>
              </w:tc>
              <w:tc>
                <w:tcPr>
                  <w:tcW w:w="2091" w:type="dxa"/>
                  <w:noWrap w:val="0"/>
                  <w:vAlign w:val="center"/>
                </w:tcPr>
                <w:p w14:paraId="072F6307">
                  <w:pPr>
                    <w:pStyle w:val="52"/>
                    <w:keepLines w:val="0"/>
                    <w:suppressLineNumbers w:val="0"/>
                    <w:spacing w:before="0" w:beforeAutospacing="0" w:after="0" w:afterAutospacing="0" w:line="240" w:lineRule="auto"/>
                    <w:ind w:left="0" w:right="0"/>
                    <w:rPr>
                      <w:rFonts w:hint="default"/>
                      <w:color w:val="auto"/>
                      <w:szCs w:val="21"/>
                    </w:rPr>
                  </w:pPr>
                  <w:r>
                    <w:rPr>
                      <w:rFonts w:hint="eastAsia"/>
                      <w:color w:val="auto"/>
                      <w:szCs w:val="21"/>
                    </w:rPr>
                    <w:t>风险物质</w:t>
                  </w:r>
                </w:p>
              </w:tc>
              <w:tc>
                <w:tcPr>
                  <w:tcW w:w="4672" w:type="dxa"/>
                  <w:noWrap w:val="0"/>
                  <w:vAlign w:val="center"/>
                </w:tcPr>
                <w:p w14:paraId="7D28F983">
                  <w:pPr>
                    <w:pStyle w:val="52"/>
                    <w:keepLines w:val="0"/>
                    <w:suppressLineNumbers w:val="0"/>
                    <w:spacing w:before="0" w:beforeAutospacing="0" w:after="0" w:afterAutospacing="0" w:line="240" w:lineRule="auto"/>
                    <w:ind w:left="0" w:right="0"/>
                    <w:rPr>
                      <w:rFonts w:hint="default"/>
                      <w:color w:val="auto"/>
                      <w:szCs w:val="21"/>
                    </w:rPr>
                  </w:pPr>
                  <w:r>
                    <w:rPr>
                      <w:rFonts w:hint="eastAsia"/>
                      <w:color w:val="auto"/>
                      <w:szCs w:val="21"/>
                    </w:rPr>
                    <w:t>危害后果</w:t>
                  </w:r>
                </w:p>
              </w:tc>
            </w:tr>
            <w:tr w14:paraId="7F50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6" w:type="dxa"/>
                  <w:noWrap w:val="0"/>
                  <w:vAlign w:val="center"/>
                </w:tcPr>
                <w:p w14:paraId="4FCD034A">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危废暂存间</w:t>
                  </w:r>
                </w:p>
              </w:tc>
              <w:tc>
                <w:tcPr>
                  <w:tcW w:w="2091" w:type="dxa"/>
                  <w:noWrap w:val="0"/>
                  <w:vAlign w:val="center"/>
                </w:tcPr>
                <w:p w14:paraId="461E298F">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废润滑油、废切削液</w:t>
                  </w:r>
                  <w:r>
                    <w:rPr>
                      <w:rFonts w:hint="eastAsia"/>
                      <w:color w:val="auto"/>
                      <w:kern w:val="0"/>
                      <w:szCs w:val="21"/>
                      <w:lang w:eastAsia="zh-CN"/>
                    </w:rPr>
                    <w:t>、</w:t>
                  </w:r>
                  <w:r>
                    <w:rPr>
                      <w:rFonts w:hint="eastAsia"/>
                      <w:color w:val="auto"/>
                      <w:kern w:val="0"/>
                      <w:szCs w:val="21"/>
                      <w:lang w:val="en-US" w:eastAsia="zh-CN"/>
                    </w:rPr>
                    <w:t>废液压油</w:t>
                  </w:r>
                  <w:r>
                    <w:rPr>
                      <w:rFonts w:hint="eastAsia"/>
                      <w:color w:val="auto"/>
                      <w:kern w:val="0"/>
                      <w:szCs w:val="21"/>
                    </w:rPr>
                    <w:t>等</w:t>
                  </w:r>
                </w:p>
              </w:tc>
              <w:tc>
                <w:tcPr>
                  <w:tcW w:w="4672" w:type="dxa"/>
                  <w:noWrap w:val="0"/>
                  <w:vAlign w:val="center"/>
                </w:tcPr>
                <w:p w14:paraId="4B3A27F0">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为易燃物质，燃烧产生污染物， 污染大气环境，泄露污染土壤、地下水</w:t>
                  </w:r>
                </w:p>
              </w:tc>
            </w:tr>
            <w:tr w14:paraId="1EDF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16" w:type="dxa"/>
                  <w:noWrap w:val="0"/>
                  <w:vAlign w:val="center"/>
                </w:tcPr>
                <w:p w14:paraId="008C5B4B">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原料区</w:t>
                  </w:r>
                </w:p>
              </w:tc>
              <w:tc>
                <w:tcPr>
                  <w:tcW w:w="2091" w:type="dxa"/>
                  <w:noWrap w:val="0"/>
                  <w:vAlign w:val="center"/>
                </w:tcPr>
                <w:p w14:paraId="3DEBA60D">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rPr>
                    <w:t>润滑油、</w:t>
                  </w:r>
                  <w:r>
                    <w:rPr>
                      <w:rFonts w:hint="eastAsia"/>
                      <w:color w:val="auto"/>
                      <w:kern w:val="0"/>
                      <w:szCs w:val="21"/>
                      <w:lang w:val="en-US" w:eastAsia="zh-CN"/>
                    </w:rPr>
                    <w:t>液压油、液压油等</w:t>
                  </w:r>
                </w:p>
              </w:tc>
              <w:tc>
                <w:tcPr>
                  <w:tcW w:w="4672" w:type="dxa"/>
                  <w:noWrap w:val="0"/>
                  <w:vAlign w:val="center"/>
                </w:tcPr>
                <w:p w14:paraId="42FA335D">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属于易燃物质，燃烧产生污染物，污染大气环境，油漆泄露污染土壤、地下水</w:t>
                  </w:r>
                </w:p>
              </w:tc>
            </w:tr>
          </w:tbl>
          <w:p w14:paraId="4385BD2B">
            <w:pPr>
              <w:keepNext w:val="0"/>
              <w:keepLines w:val="0"/>
              <w:suppressLineNumbers w:val="0"/>
              <w:spacing w:before="0" w:beforeAutospacing="0" w:after="0" w:afterAutospacing="0" w:line="360" w:lineRule="auto"/>
              <w:ind w:left="0" w:right="0" w:firstLine="480" w:firstLineChars="200"/>
              <w:rPr>
                <w:rFonts w:hint="default" w:ascii="宋体" w:hAnsi="宋体" w:cs="宋体"/>
                <w:bCs/>
                <w:color w:val="auto"/>
                <w:sz w:val="24"/>
              </w:rPr>
            </w:pPr>
            <w:r>
              <w:rPr>
                <w:rFonts w:hint="eastAsia" w:ascii="宋体" w:hAnsi="宋体" w:cs="宋体"/>
                <w:bCs/>
                <w:color w:val="auto"/>
                <w:sz w:val="24"/>
              </w:rPr>
              <w:t>（三）</w:t>
            </w:r>
            <w:r>
              <w:rPr>
                <w:rFonts w:hint="default" w:ascii="宋体" w:hAnsi="宋体" w:cs="宋体"/>
                <w:bCs/>
                <w:color w:val="auto"/>
                <w:sz w:val="24"/>
              </w:rPr>
              <w:t>风险防范和应急措施</w:t>
            </w:r>
          </w:p>
          <w:p w14:paraId="31D90F9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营运期的环境风险主要为以下几个方面：</w:t>
            </w:r>
          </w:p>
          <w:p w14:paraId="1CDEE31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（1）火灾：火灾是常见的风险事故，企业采用的原辅材料以及生产的产品具有可燃性，原料采用包装袋包装，属于可燃物，企业在使用过程中注意明火，可能引发火灾事故，对周围大气环境及水环境产生影响。</w:t>
            </w:r>
          </w:p>
          <w:p w14:paraId="74794B9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（2）废气治理设施故障：项目工艺粉尘、有机废气经集气</w:t>
            </w:r>
            <w:r>
              <w:rPr>
                <w:rFonts w:hint="eastAsia" w:cs="Times New Roman"/>
                <w:bCs/>
                <w:color w:val="auto"/>
                <w:sz w:val="24"/>
                <w:lang w:val="en-US" w:eastAsia="zh-CN"/>
              </w:rPr>
              <w:t>设施</w:t>
            </w:r>
            <w:r>
              <w:rPr>
                <w:rFonts w:hint="eastAsia" w:ascii="Times New Roman" w:hAnsi="Times New Roman" w:eastAsia="宋体" w:cs="Times New Roman"/>
                <w:bCs/>
                <w:color w:val="auto"/>
                <w:sz w:val="24"/>
                <w:lang w:val="en-US" w:eastAsia="zh-CN"/>
              </w:rPr>
              <w:t>收集后，通过相应的废气处理设施净化处理后，经不低于15米高的排气筒高空排放。若废气处理设施出现故障，废气无法得到有效处理，超标排放，对周边环境空气造成不利影响。</w:t>
            </w:r>
          </w:p>
          <w:p w14:paraId="07B98C7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（3）原料仓库和危废暂存间</w:t>
            </w:r>
          </w:p>
          <w:p w14:paraId="7BADE7A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项目原辅材料中</w:t>
            </w:r>
            <w:r>
              <w:rPr>
                <w:rFonts w:hint="eastAsia"/>
                <w:color w:val="auto"/>
                <w:sz w:val="24"/>
              </w:rPr>
              <w:t>润滑油、切削液、</w:t>
            </w:r>
            <w:r>
              <w:rPr>
                <w:rFonts w:hint="eastAsia"/>
                <w:color w:val="auto"/>
                <w:sz w:val="24"/>
                <w:lang w:val="en-US" w:eastAsia="zh-CN"/>
              </w:rPr>
              <w:t>液压油</w:t>
            </w:r>
            <w:r>
              <w:rPr>
                <w:rFonts w:hint="eastAsia"/>
                <w:color w:val="auto"/>
                <w:sz w:val="24"/>
              </w:rPr>
              <w:t>等易燃物质</w:t>
            </w:r>
            <w:r>
              <w:rPr>
                <w:rFonts w:hint="eastAsia" w:ascii="Times New Roman" w:hAnsi="Times New Roman" w:eastAsia="宋体" w:cs="Times New Roman"/>
                <w:bCs/>
                <w:color w:val="auto"/>
                <w:sz w:val="24"/>
                <w:lang w:val="en-US" w:eastAsia="zh-CN"/>
              </w:rPr>
              <w:t>，需要单独设置仓库用于储存；企业单独设置危废暂存间用于存放危险废物。仓库和危废暂存间注意防火措施和泄露，严禁明火。若发生火灾事故，对周边环境空气和地表水环境造成不利影响；若出现泄露渗漏事故，对地下水和土壤造成不利影响。</w:t>
            </w:r>
          </w:p>
          <w:p w14:paraId="00B7624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kern w:val="2"/>
                <w:sz w:val="24"/>
                <w:szCs w:val="24"/>
                <w:lang w:val="en-US" w:eastAsia="zh-CN" w:bidi="ar-SA"/>
              </w:rPr>
            </w:pPr>
            <w:r>
              <w:rPr>
                <w:rFonts w:hint="eastAsia" w:ascii="Times New Roman" w:hAnsi="Times New Roman" w:eastAsia="宋体" w:cs="Times New Roman"/>
                <w:bCs/>
                <w:color w:val="auto"/>
                <w:sz w:val="24"/>
                <w:lang w:val="en-US" w:eastAsia="zh-CN"/>
              </w:rPr>
              <w:t>通过上述危险、有害因素产生的原因及可能造成的事故后果等的分析，确定本项目的主要危险、有害因素见</w:t>
            </w:r>
            <w:r>
              <w:rPr>
                <w:rFonts w:hint="eastAsia" w:cs="Times New Roman"/>
                <w:bCs/>
                <w:color w:val="auto"/>
                <w:sz w:val="24"/>
                <w:lang w:val="en-US" w:eastAsia="zh-CN"/>
              </w:rPr>
              <w:t>下表</w:t>
            </w:r>
            <w:r>
              <w:rPr>
                <w:rFonts w:hint="eastAsia" w:ascii="Times New Roman" w:hAnsi="Times New Roman" w:eastAsia="宋体" w:cs="Times New Roman"/>
                <w:bCs/>
                <w:color w:val="auto"/>
                <w:sz w:val="24"/>
                <w:lang w:val="en-US" w:eastAsia="zh-CN"/>
              </w:rPr>
              <w:t>。</w:t>
            </w:r>
          </w:p>
          <w:p w14:paraId="3905B042">
            <w:pPr>
              <w:pStyle w:val="6"/>
              <w:keepNext w:val="0"/>
              <w:keepLines w:val="0"/>
              <w:suppressLineNumbers w:val="0"/>
              <w:spacing w:before="0" w:beforeAutospacing="0" w:afterAutospacing="0"/>
              <w:ind w:right="0"/>
              <w:jc w:val="center"/>
              <w:rPr>
                <w:rFonts w:hint="default" w:ascii="Times New Roman" w:hAnsi="Times New Roman" w:cs="Times New Roman"/>
                <w:lang w:val="en-US" w:eastAsia="zh-CN"/>
              </w:rPr>
            </w:pPr>
            <w:r>
              <w:rPr>
                <w:rFonts w:hint="eastAsia" w:ascii="Times New Roman" w:hAnsi="Times New Roman" w:cs="Times New Roman"/>
                <w:lang w:val="en-US" w:eastAsia="zh-CN"/>
              </w:rPr>
              <w:t>表4-1</w:t>
            </w:r>
            <w:r>
              <w:rPr>
                <w:rFonts w:hint="eastAsia" w:cs="Times New Roman"/>
                <w:lang w:val="en-US" w:eastAsia="zh-CN"/>
              </w:rPr>
              <w:t>7</w:t>
            </w:r>
            <w:r>
              <w:rPr>
                <w:rFonts w:hint="default" w:ascii="Times New Roman" w:hAnsi="Times New Roman" w:cs="Times New Roman"/>
                <w:lang w:val="en-US" w:eastAsia="zh-CN"/>
              </w:rPr>
              <w:t>主要危险、有害因素</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374"/>
              <w:gridCol w:w="3334"/>
            </w:tblGrid>
            <w:tr w14:paraId="3797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8" w:type="pct"/>
                  <w:noWrap w:val="0"/>
                  <w:vAlign w:val="center"/>
                </w:tcPr>
                <w:p w14:paraId="510C2794">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危险源</w:t>
                  </w:r>
                </w:p>
              </w:tc>
              <w:tc>
                <w:tcPr>
                  <w:tcW w:w="1411" w:type="pct"/>
                  <w:noWrap w:val="0"/>
                  <w:vAlign w:val="center"/>
                </w:tcPr>
                <w:p w14:paraId="43717ACF">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危险、有害因素</w:t>
                  </w:r>
                </w:p>
              </w:tc>
              <w:tc>
                <w:tcPr>
                  <w:tcW w:w="1981" w:type="pct"/>
                  <w:noWrap w:val="0"/>
                  <w:vAlign w:val="center"/>
                </w:tcPr>
                <w:p w14:paraId="004D609B">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可能造成后果</w:t>
                  </w:r>
                </w:p>
              </w:tc>
            </w:tr>
            <w:tr w14:paraId="0B21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8" w:type="pct"/>
                  <w:noWrap w:val="0"/>
                  <w:vAlign w:val="center"/>
                </w:tcPr>
                <w:p w14:paraId="4F120CB5">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生产车间</w:t>
                  </w:r>
                </w:p>
              </w:tc>
              <w:tc>
                <w:tcPr>
                  <w:tcW w:w="1411" w:type="pct"/>
                  <w:noWrap w:val="0"/>
                  <w:vAlign w:val="center"/>
                </w:tcPr>
                <w:p w14:paraId="53E6C143">
                  <w:pPr>
                    <w:keepNext w:val="0"/>
                    <w:keepLines w:val="0"/>
                    <w:suppressLineNumbers w:val="0"/>
                    <w:tabs>
                      <w:tab w:val="left" w:pos="0"/>
                    </w:tabs>
                    <w:snapToGrid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火灾</w:t>
                  </w:r>
                </w:p>
              </w:tc>
              <w:tc>
                <w:tcPr>
                  <w:tcW w:w="1981" w:type="pct"/>
                  <w:noWrap w:val="0"/>
                  <w:vAlign w:val="center"/>
                </w:tcPr>
                <w:p w14:paraId="68EB8129">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财产损失</w:t>
                  </w:r>
                  <w:r>
                    <w:rPr>
                      <w:rFonts w:hint="eastAsia" w:ascii="Times New Roman" w:hAnsi="Times New Roman" w:cs="Times New Roman"/>
                    </w:rPr>
                    <w:t>、污染环境、</w:t>
                  </w:r>
                  <w:r>
                    <w:rPr>
                      <w:rFonts w:hint="default" w:ascii="Times New Roman" w:hAnsi="Times New Roman" w:cs="Times New Roman"/>
                    </w:rPr>
                    <w:t>人身事故</w:t>
                  </w:r>
                </w:p>
              </w:tc>
            </w:tr>
            <w:tr w14:paraId="29D9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8" w:type="pct"/>
                  <w:noWrap w:val="0"/>
                  <w:vAlign w:val="center"/>
                </w:tcPr>
                <w:p w14:paraId="1F79BC87">
                  <w:pPr>
                    <w:keepNext w:val="0"/>
                    <w:keepLines w:val="0"/>
                    <w:suppressLineNumbers w:val="0"/>
                    <w:tabs>
                      <w:tab w:val="left" w:pos="0"/>
                    </w:tabs>
                    <w:snapToGrid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废气治理设施</w:t>
                  </w:r>
                </w:p>
              </w:tc>
              <w:tc>
                <w:tcPr>
                  <w:tcW w:w="1411" w:type="pct"/>
                  <w:noWrap w:val="0"/>
                  <w:vAlign w:val="center"/>
                </w:tcPr>
                <w:p w14:paraId="015D097B">
                  <w:pPr>
                    <w:keepNext w:val="0"/>
                    <w:keepLines w:val="0"/>
                    <w:suppressLineNumbers w:val="0"/>
                    <w:tabs>
                      <w:tab w:val="left" w:pos="0"/>
                    </w:tabs>
                    <w:snapToGrid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失效</w:t>
                  </w:r>
                </w:p>
              </w:tc>
              <w:tc>
                <w:tcPr>
                  <w:tcW w:w="1981" w:type="pct"/>
                  <w:noWrap w:val="0"/>
                  <w:vAlign w:val="center"/>
                </w:tcPr>
                <w:p w14:paraId="6F94EE1F">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财产损失</w:t>
                  </w:r>
                  <w:r>
                    <w:rPr>
                      <w:rFonts w:hint="eastAsia" w:ascii="Times New Roman" w:hAnsi="Times New Roman" w:cs="Times New Roman"/>
                    </w:rPr>
                    <w:t>、污染环境</w:t>
                  </w:r>
                </w:p>
              </w:tc>
            </w:tr>
            <w:tr w14:paraId="7A86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8" w:type="pct"/>
                  <w:noWrap w:val="0"/>
                  <w:vAlign w:val="center"/>
                </w:tcPr>
                <w:p w14:paraId="348262EF">
                  <w:pPr>
                    <w:keepNext w:val="0"/>
                    <w:keepLines w:val="0"/>
                    <w:suppressLineNumbers w:val="0"/>
                    <w:tabs>
                      <w:tab w:val="left" w:pos="0"/>
                    </w:tabs>
                    <w:snapToGrid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仓库和危废暂存间</w:t>
                  </w:r>
                </w:p>
              </w:tc>
              <w:tc>
                <w:tcPr>
                  <w:tcW w:w="1411" w:type="pct"/>
                  <w:noWrap w:val="0"/>
                  <w:vAlign w:val="center"/>
                </w:tcPr>
                <w:p w14:paraId="4B1B2160">
                  <w:pPr>
                    <w:keepNext w:val="0"/>
                    <w:keepLines w:val="0"/>
                    <w:suppressLineNumbers w:val="0"/>
                    <w:tabs>
                      <w:tab w:val="left" w:pos="0"/>
                    </w:tabs>
                    <w:snapToGrid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火灾、泄露</w:t>
                  </w:r>
                </w:p>
              </w:tc>
              <w:tc>
                <w:tcPr>
                  <w:tcW w:w="1981" w:type="pct"/>
                  <w:noWrap w:val="0"/>
                  <w:vAlign w:val="center"/>
                </w:tcPr>
                <w:p w14:paraId="614D7417">
                  <w:pPr>
                    <w:keepNext w:val="0"/>
                    <w:keepLines w:val="0"/>
                    <w:suppressLineNumbers w:val="0"/>
                    <w:tabs>
                      <w:tab w:val="left" w:pos="0"/>
                    </w:tabs>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财产损失</w:t>
                  </w:r>
                  <w:r>
                    <w:rPr>
                      <w:rFonts w:hint="eastAsia" w:ascii="Times New Roman" w:hAnsi="Times New Roman" w:cs="Times New Roman"/>
                    </w:rPr>
                    <w:t>、污染环境、</w:t>
                  </w:r>
                  <w:r>
                    <w:rPr>
                      <w:rFonts w:hint="default" w:ascii="Times New Roman" w:hAnsi="Times New Roman" w:cs="Times New Roman"/>
                    </w:rPr>
                    <w:t>人身事故</w:t>
                  </w:r>
                </w:p>
              </w:tc>
            </w:tr>
          </w:tbl>
          <w:p w14:paraId="6BAF505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本项目不涉及危险化学品，生产场所和存储区均未构成重大危险源。根据本项目风险识别情况，本项目最大可信事故为火灾事故对环境产生的影响。</w:t>
            </w:r>
          </w:p>
          <w:p w14:paraId="212C1E3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风险防范和应急措施</w:t>
            </w:r>
          </w:p>
          <w:p w14:paraId="0A157D7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1）火灾影响分析</w:t>
            </w:r>
          </w:p>
          <w:p w14:paraId="43D8529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火灾事故的影响主要表现热辐射及燃烧废气对周围环境的影响。如果热辐射非常高可能引起其他易燃物质起火。此外，热辐射也会使有机体燃烧。由燃烧产生的废气大气污染一般比较小，从以往对事故的监测来看，对周围大气环境尚未形成较大的污染。此类事故最大的危害是附近人员的安全问题，在一定程度导致的人员伤亡和巨大财产损失，对外环境影响小。</w:t>
            </w:r>
          </w:p>
          <w:p w14:paraId="05F1F7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2）污染治理设施实效防治对策</w:t>
            </w:r>
          </w:p>
          <w:p w14:paraId="27BF49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a加强管理，定期检测和维修，以确保污染治理设施正常运转外，建议采取如下措施：</w:t>
            </w:r>
          </w:p>
          <w:p w14:paraId="30DA97E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加强对废气治理设备的管理和维修，严格杜绝废气系统的瘫痪的事故发生。</w:t>
            </w:r>
          </w:p>
          <w:p w14:paraId="366C394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如废气治理设施失效，应立即停止相应厂房内的挤出生产，并进行及时修理，及时请当地环境监测部门监测大气环境质量，以便迅速采取相应减轻危害的补救措施。</w:t>
            </w:r>
          </w:p>
          <w:p w14:paraId="2663AD3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b应加强火源的管理，严禁烟火带入，对设备需进行维修焊接，应经安全部门确认、准许，并有记录。机动车在厂内行驶，须安装阻火器，必要设备安装防火、防爆装置。</w:t>
            </w:r>
          </w:p>
          <w:p w14:paraId="182720E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c要有完善的安全消防措施。从平面布置上，本厂的仓库和生产装置区等各功能区之间应按国家消防安全规定，设置足够的安全距离和道路，以便安全疏散和消防。仓库应设置完善的报警联锁系统、以及水消防系统和ABC类干粉灭火器等。在必要的地方分别安装了火灾探测器、有毒气体探测器、感烟或感温探测器等，构成自动报警监测系统，并且对该系统作定期检查。</w:t>
            </w:r>
          </w:p>
          <w:p w14:paraId="2BD3C71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lang w:val="en-US" w:eastAsia="zh-CN"/>
              </w:rPr>
              <w:t>应急物资及设施</w:t>
            </w:r>
          </w:p>
          <w:p w14:paraId="619FC9C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要求企业针对厂区内存在的环境风险事故，配备相应的应急设施与物资。具体配备设备类型应包括：消防器材（如灭火器、消防栓、消防泵等）；急求物资如急救箱；其余如应急照明等应急物资。</w:t>
            </w:r>
          </w:p>
          <w:p w14:paraId="3B22A6B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应急消防事故水池的设置</w:t>
            </w:r>
          </w:p>
          <w:p w14:paraId="4619C56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雨水和污水接管口分别设置截流阀，发生泄露、火灾或爆炸事故时，泄露物、事故伴生、次生消防水流入雨水收集系统或污水收集系统，紧急关闭截流阀，可将泄露物、消防水截流在雨水收集系统或污水收集系统内，整个雨水收集系统或污水收集系统不能容纳伴生、次生污水时，则临时架设系统泵，将伴生、次生污水打入厂区应急事故水池内。</w:t>
            </w:r>
          </w:p>
          <w:p w14:paraId="70AFB68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eastAsia="宋体" w:cs="Times New Roman"/>
                <w:bCs/>
                <w:color w:val="auto"/>
                <w:sz w:val="24"/>
                <w:lang w:val="en-US" w:eastAsia="zh-CN"/>
              </w:rPr>
              <w:t>根据《水体污染防控紧急措施设计导则》中对事故应急池大小的规定：</w:t>
            </w:r>
          </w:p>
          <w:p w14:paraId="1494FD6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 总 =（V1 +V2 -V3）max+V4 +V5</w:t>
            </w:r>
          </w:p>
          <w:p w14:paraId="1B49FFD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注：（V1 +V2 -V3）max 是指对收集系统范围内不同罐组或装置分别计算V1 +V2 -V3，取其中最大值。</w:t>
            </w:r>
          </w:p>
          <w:p w14:paraId="4E49BEB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V1 ——收集系统范围内发生事故的一个罐组或一套装置的物料量。V1=0。</w:t>
            </w:r>
          </w:p>
          <w:p w14:paraId="440C1F1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V2 ——发生事故的储罐或装置的消防水量，m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w:t>
            </w:r>
          </w:p>
          <w:p w14:paraId="78FE90A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项目的消防用水量主要为室内消防用水量。由于项目内的生产车间、原辅材料仓库、危废/固废暂存室均位于室内，因此本次评价仅关注室内消防用水排放的部分。对照《消防给水及消火栓系统技术规范》（GB50973-2014）、《化工建设项目环境保护设计规范》（GB50483-2009）、《事故状态下水体污染的预防与控制技术要求》（Q/SY1190-2009），以及中国石化安环[2006]10号“关于印发《水体环境风险防控要点》（试行）的通知”及“水体污染防控紧急措施设计导则”，来确定事故应急池容量。根据《消防给水及消火栓系统技术规范》（GB50973-2014）表3.5.2建筑物室内消火栓设计流量，本项目生产车间火灾危险性等级为丁类，厂房高度为8m，因此室内消防栓设计流量为10L/s，同时使用消防水枪数为2，因此项目室内消防栓设计总流量为20L/s，同一时间内的火灾次数为1次，一次火灾延续时间为 60min 计算，消火栓消防用水量约72 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w:t>
            </w:r>
          </w:p>
          <w:p w14:paraId="0065139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V3 ——发生事故时可以转输到其他储存或处理设施的物料量，m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。按最坏情况考虑，V3为 0 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w:t>
            </w:r>
          </w:p>
          <w:p w14:paraId="756A94E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V4 ——发生事故时仍必须进入该收集系统的生产废水量，m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。根据项目情况，本项目发生事故时进入该收集系统的生产废水量 V4取 0 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w:t>
            </w:r>
          </w:p>
          <w:p w14:paraId="578A6F8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V5 ——发生事故时可能进入该收集系统的降雨量，m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。由于本项目生产车间和仓库均为厂房，不存在露天储存和露天生产，因此V5=0 m</w:t>
            </w:r>
            <w:r>
              <w:rPr>
                <w:rFonts w:hint="eastAsia" w:ascii="Times New Roman" w:hAnsi="Times New Roman" w:cs="Times New Roman"/>
                <w:bCs/>
                <w:color w:val="auto"/>
                <w:sz w:val="24"/>
                <w:vertAlign w:val="superscript"/>
              </w:rPr>
              <w:t>3</w:t>
            </w:r>
            <w:r>
              <w:rPr>
                <w:rFonts w:hint="eastAsia" w:ascii="Times New Roman" w:hAnsi="Times New Roman" w:cs="Times New Roman"/>
                <w:bCs/>
                <w:color w:val="auto"/>
                <w:sz w:val="24"/>
              </w:rPr>
              <w:t>。</w:t>
            </w:r>
          </w:p>
          <w:p w14:paraId="6B79464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经计算，</w:t>
            </w:r>
            <w:r>
              <w:rPr>
                <w:rFonts w:hint="eastAsia" w:ascii="Times New Roman" w:hAnsi="Times New Roman" w:cs="宋体"/>
                <w:color w:val="auto"/>
                <w:sz w:val="24"/>
              </w:rPr>
              <w:t>事故废水总量为72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ascii="Times New Roman" w:hAnsi="Times New Roman" w:cs="宋体"/>
                <w:color w:val="auto"/>
                <w:sz w:val="24"/>
              </w:rPr>
              <w:t>。拟建项目</w:t>
            </w:r>
            <w:r>
              <w:rPr>
                <w:rFonts w:hint="eastAsia" w:cs="宋体"/>
                <w:color w:val="auto"/>
                <w:sz w:val="24"/>
                <w:lang w:val="en-US" w:eastAsia="zh-CN"/>
              </w:rPr>
              <w:t>需设置的</w:t>
            </w:r>
            <w:r>
              <w:rPr>
                <w:rFonts w:hint="eastAsia" w:ascii="Times New Roman" w:hAnsi="Times New Roman" w:cs="宋体"/>
                <w:color w:val="auto"/>
                <w:sz w:val="24"/>
              </w:rPr>
              <w:t>事故池有效容积为72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ascii="Times New Roman" w:hAnsi="Times New Roman" w:cs="宋体"/>
                <w:color w:val="auto"/>
                <w:sz w:val="24"/>
              </w:rPr>
              <w:t>，</w:t>
            </w:r>
            <w:r>
              <w:rPr>
                <w:rFonts w:hint="eastAsia" w:ascii="Times New Roman" w:hAnsi="Times New Roman" w:cs="Times New Roman"/>
                <w:bCs/>
                <w:color w:val="auto"/>
                <w:sz w:val="24"/>
              </w:rPr>
              <w:t>该容积可满足事故时消防废水、泄漏的物料暂存，可避免外流进入周围环境。拟建项目事故池满足事故应急要求。</w:t>
            </w:r>
          </w:p>
          <w:p w14:paraId="7584E802">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环境风险主要体现在废水事故性排放，环境风险控制方案及应急措施主要是事故的预防、及时解决、对排入污水处理厂的超标污水进行有效控制。</w:t>
            </w:r>
          </w:p>
          <w:p w14:paraId="57E59C0E">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a 拟定操作性较强的事故应急方案，落实各项工作人员的责任，做到责任到人，并在平时定期进行演练；</w:t>
            </w:r>
          </w:p>
          <w:p w14:paraId="5A9EE340">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b加强设备的维护和管理，提高设备的完好率，关键设备要备足维修器材和备用设备，保证一旦事故发生能及时处理；</w:t>
            </w:r>
          </w:p>
          <w:p w14:paraId="1DBE71A8">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bCs/>
                <w:kern w:val="2"/>
                <w:sz w:val="24"/>
                <w:szCs w:val="24"/>
                <w:lang w:val="en-US" w:eastAsia="zh-CN" w:bidi="ar-SA"/>
              </w:rPr>
            </w:pPr>
            <w:r>
              <w:rPr>
                <w:rFonts w:hint="default" w:ascii="Times New Roman" w:hAnsi="Times New Roman" w:cs="Times New Roman"/>
                <w:color w:val="auto"/>
                <w:sz w:val="24"/>
              </w:rPr>
              <w:t>c建立可靠的运行监测系统，包括计量、采样、监测、报警等设施，发现异常情况及时调整运行参数，以控制和避免事故的发生；</w:t>
            </w:r>
          </w:p>
          <w:p w14:paraId="21DF616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5、</w:t>
            </w:r>
            <w:r>
              <w:rPr>
                <w:rFonts w:hint="default" w:ascii="Times New Roman" w:hAnsi="Times New Roman" w:eastAsia="宋体" w:cs="Times New Roman"/>
                <w:bCs/>
                <w:color w:val="auto"/>
                <w:sz w:val="24"/>
                <w:lang w:val="en-US" w:eastAsia="zh-CN"/>
              </w:rPr>
              <w:t>厂区防渗</w:t>
            </w:r>
          </w:p>
          <w:p w14:paraId="355D9D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由于事故水池内废水、危废暂存间的危废一旦发生外泄，将很容易渗入地下，造成地下水体污染，进而也可能对地表水水质产生影响；因此应对事故水池及危废暂存间进行重点防渗处理，以防止事故情况下排污、排水造成的泄漏，从而通过地表下渗至地下，对地下水造成污染，项目厂区应采用分区防渗，事故水池及危废暂存间应重点防渗。</w:t>
            </w:r>
          </w:p>
          <w:p w14:paraId="1B2CCF5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七、环保投资</w:t>
            </w:r>
          </w:p>
          <w:p w14:paraId="619EFF0D">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该项目总投资</w:t>
            </w:r>
            <w:r>
              <w:rPr>
                <w:rFonts w:hint="eastAsia" w:cs="Times New Roman"/>
                <w:kern w:val="2"/>
                <w:sz w:val="24"/>
                <w:szCs w:val="24"/>
                <w:lang w:val="en-US" w:eastAsia="zh-CN" w:bidi="ar"/>
              </w:rPr>
              <w:t>9000万</w:t>
            </w:r>
            <w:r>
              <w:rPr>
                <w:rFonts w:hint="eastAsia" w:ascii="宋体" w:hAnsi="宋体" w:eastAsia="宋体" w:cs="宋体"/>
                <w:kern w:val="2"/>
                <w:sz w:val="24"/>
                <w:szCs w:val="24"/>
                <w:lang w:val="en-US" w:eastAsia="zh-CN" w:bidi="ar"/>
              </w:rPr>
              <w:t>元，其中环</w:t>
            </w:r>
            <w:r>
              <w:rPr>
                <w:rFonts w:hint="default" w:ascii="Times New Roman" w:hAnsi="Times New Roman" w:eastAsia="宋体" w:cs="Times New Roman"/>
                <w:color w:val="auto"/>
                <w:kern w:val="2"/>
                <w:sz w:val="24"/>
                <w:szCs w:val="24"/>
                <w:lang w:val="en-US" w:eastAsia="zh-CN" w:bidi="ar"/>
              </w:rPr>
              <w:t>保投资</w:t>
            </w:r>
            <w:r>
              <w:rPr>
                <w:rFonts w:hint="default" w:ascii="Times New Roman" w:hAnsi="Times New Roman" w:cs="Times New Roman"/>
                <w:color w:val="auto"/>
                <w:kern w:val="2"/>
                <w:sz w:val="24"/>
                <w:szCs w:val="24"/>
                <w:lang w:val="en-US" w:eastAsia="zh-CN" w:bidi="ar"/>
              </w:rPr>
              <w:t>155</w:t>
            </w:r>
            <w:r>
              <w:rPr>
                <w:rFonts w:hint="default" w:ascii="Times New Roman" w:hAnsi="Times New Roman" w:eastAsia="宋体" w:cs="Times New Roman"/>
                <w:color w:val="auto"/>
                <w:kern w:val="2"/>
                <w:sz w:val="24"/>
                <w:szCs w:val="24"/>
                <w:lang w:val="en-US" w:eastAsia="zh-CN" w:bidi="ar"/>
              </w:rPr>
              <w:t>万元，占总投资的</w:t>
            </w:r>
            <w:r>
              <w:rPr>
                <w:rFonts w:hint="default" w:ascii="Times New Roman" w:hAnsi="Times New Roman" w:cs="Times New Roman"/>
                <w:color w:val="auto"/>
                <w:kern w:val="2"/>
                <w:sz w:val="24"/>
                <w:szCs w:val="24"/>
                <w:lang w:val="en-US" w:eastAsia="zh-CN" w:bidi="ar"/>
              </w:rPr>
              <w:t>1.72</w:t>
            </w:r>
            <w:r>
              <w:rPr>
                <w:rFonts w:hint="default" w:ascii="Times New Roman" w:hAnsi="Times New Roman" w:eastAsia="宋体" w:cs="Times New Roman"/>
                <w:color w:val="auto"/>
                <w:kern w:val="2"/>
                <w:sz w:val="24"/>
                <w:szCs w:val="24"/>
                <w:lang w:val="en-US" w:eastAsia="zh-CN" w:bidi="ar"/>
              </w:rPr>
              <w:t>%，主要</w:t>
            </w:r>
            <w:r>
              <w:rPr>
                <w:rFonts w:hint="eastAsia" w:ascii="宋体" w:hAnsi="宋体" w:eastAsia="宋体" w:cs="宋体"/>
                <w:kern w:val="2"/>
                <w:sz w:val="24"/>
                <w:szCs w:val="24"/>
                <w:lang w:val="en-US" w:eastAsia="zh-CN" w:bidi="ar"/>
              </w:rPr>
              <w:t>用于废气、固体废物和噪声污染的治理。环保投资估算详见下表。</w:t>
            </w:r>
          </w:p>
          <w:p w14:paraId="7808EB39">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eastAsia" w:ascii="宋体" w:hAnsi="宋体" w:eastAsia="宋体" w:cs="宋体"/>
                <w:b/>
                <w:bCs/>
                <w:kern w:val="2"/>
                <w:sz w:val="21"/>
                <w:szCs w:val="21"/>
                <w:lang w:val="en-US" w:eastAsia="zh-CN" w:bidi="ar"/>
              </w:rPr>
              <w:t>表</w:t>
            </w:r>
            <w:r>
              <w:rPr>
                <w:rFonts w:hint="default" w:ascii="Times New Roman" w:hAnsi="Times New Roman" w:eastAsia="宋体" w:cs="Times New Roman"/>
                <w:b/>
                <w:bCs/>
                <w:kern w:val="2"/>
                <w:sz w:val="21"/>
                <w:szCs w:val="21"/>
                <w:lang w:val="en-US" w:eastAsia="zh-CN" w:bidi="ar"/>
              </w:rPr>
              <w:t>4-1</w:t>
            </w:r>
            <w:r>
              <w:rPr>
                <w:rFonts w:hint="eastAsia" w:cs="Times New Roman"/>
                <w:b/>
                <w:bCs/>
                <w:kern w:val="2"/>
                <w:sz w:val="21"/>
                <w:szCs w:val="21"/>
                <w:lang w:val="en-US" w:eastAsia="zh-CN" w:bidi="ar"/>
              </w:rPr>
              <w:t>8</w:t>
            </w:r>
            <w:r>
              <w:rPr>
                <w:rFonts w:hint="default" w:ascii="Times New Roman" w:hAnsi="Times New Roman" w:eastAsia="宋体" w:cs="Times New Roman"/>
                <w:b/>
                <w:bCs/>
                <w:kern w:val="2"/>
                <w:sz w:val="21"/>
                <w:szCs w:val="21"/>
                <w:lang w:val="en-US" w:eastAsia="zh-CN" w:bidi="ar"/>
              </w:rPr>
              <w:t xml:space="preserve">  </w:t>
            </w:r>
            <w:r>
              <w:rPr>
                <w:rFonts w:hint="eastAsia" w:ascii="宋体" w:hAnsi="宋体" w:eastAsia="宋体" w:cs="宋体"/>
                <w:b/>
                <w:bCs/>
                <w:kern w:val="2"/>
                <w:sz w:val="21"/>
                <w:szCs w:val="21"/>
                <w:lang w:val="en-US" w:eastAsia="zh-CN" w:bidi="ar"/>
              </w:rPr>
              <w:t>环保治理投资估算</w:t>
            </w:r>
          </w:p>
          <w:tbl>
            <w:tblPr>
              <w:tblStyle w:val="21"/>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481"/>
              <w:gridCol w:w="456"/>
              <w:gridCol w:w="1354"/>
              <w:gridCol w:w="4754"/>
              <w:gridCol w:w="611"/>
            </w:tblGrid>
            <w:tr w14:paraId="353B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noWrap w:val="0"/>
                  <w:vAlign w:val="center"/>
                </w:tcPr>
                <w:p w14:paraId="00959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序号</w:t>
                  </w:r>
                </w:p>
              </w:tc>
              <w:tc>
                <w:tcPr>
                  <w:tcW w:w="2291" w:type="dxa"/>
                  <w:gridSpan w:val="3"/>
                  <w:noWrap w:val="0"/>
                  <w:vAlign w:val="center"/>
                </w:tcPr>
                <w:p w14:paraId="4A7FA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类别</w:t>
                  </w:r>
                </w:p>
              </w:tc>
              <w:tc>
                <w:tcPr>
                  <w:tcW w:w="4754" w:type="dxa"/>
                  <w:noWrap w:val="0"/>
                  <w:vAlign w:val="center"/>
                </w:tcPr>
                <w:p w14:paraId="547E7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项目</w:t>
                  </w:r>
                </w:p>
              </w:tc>
              <w:tc>
                <w:tcPr>
                  <w:tcW w:w="611" w:type="dxa"/>
                  <w:noWrap w:val="0"/>
                  <w:vAlign w:val="center"/>
                </w:tcPr>
                <w:p w14:paraId="4A52A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投资</w:t>
                  </w:r>
                </w:p>
              </w:tc>
            </w:tr>
            <w:tr w14:paraId="5509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noWrap w:val="0"/>
                  <w:vAlign w:val="center"/>
                </w:tcPr>
                <w:p w14:paraId="0B070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bookmarkStart w:id="3" w:name="OLE_LINK1" w:colFirst="4" w:colLast="4"/>
                  <w:r>
                    <w:rPr>
                      <w:rFonts w:hint="default" w:ascii="Times New Roman" w:hAnsi="Times New Roman" w:eastAsia="宋体" w:cs="Times New Roman"/>
                      <w:color w:val="auto"/>
                      <w:kern w:val="0"/>
                      <w:sz w:val="21"/>
                      <w:szCs w:val="21"/>
                      <w:lang w:bidi="ar"/>
                    </w:rPr>
                    <w:t>1</w:t>
                  </w:r>
                </w:p>
              </w:tc>
              <w:tc>
                <w:tcPr>
                  <w:tcW w:w="481" w:type="dxa"/>
                  <w:noWrap w:val="0"/>
                  <w:vAlign w:val="center"/>
                </w:tcPr>
                <w:p w14:paraId="46FB6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废水</w:t>
                  </w:r>
                </w:p>
              </w:tc>
              <w:tc>
                <w:tcPr>
                  <w:tcW w:w="1810" w:type="dxa"/>
                  <w:gridSpan w:val="2"/>
                  <w:noWrap w:val="0"/>
                  <w:vAlign w:val="center"/>
                </w:tcPr>
                <w:p w14:paraId="5B66E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生活污水</w:t>
                  </w:r>
                  <w:r>
                    <w:rPr>
                      <w:rFonts w:hint="eastAsia" w:ascii="Times New Roman" w:hAnsi="Times New Roman" w:eastAsia="宋体" w:cs="Times New Roman"/>
                      <w:color w:val="auto"/>
                      <w:kern w:val="0"/>
                      <w:sz w:val="21"/>
                      <w:szCs w:val="21"/>
                      <w:lang w:val="en-US" w:eastAsia="zh-CN" w:bidi="ar"/>
                    </w:rPr>
                    <w:t>、循环冷却水排水</w:t>
                  </w:r>
                </w:p>
              </w:tc>
              <w:tc>
                <w:tcPr>
                  <w:tcW w:w="4754" w:type="dxa"/>
                  <w:noWrap w:val="0"/>
                  <w:vAlign w:val="center"/>
                </w:tcPr>
                <w:p w14:paraId="44DB0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sz w:val="21"/>
                      <w:szCs w:val="21"/>
                      <w:lang w:val="en-US" w:eastAsia="zh-CN"/>
                    </w:rPr>
                    <w:t>生活污水依托园区现有化粪池</w:t>
                  </w:r>
                  <w:r>
                    <w:rPr>
                      <w:rFonts w:hint="eastAsia" w:ascii="Times New Roman" w:hAnsi="Times New Roman"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后，经市政污水管网进入龙湖工业园污水处理厂进行深度处理，循环冷却水排水为清净下水，直接通过市政污水管网进入污水处理厂进行深度处理</w:t>
                  </w:r>
                </w:p>
              </w:tc>
              <w:tc>
                <w:tcPr>
                  <w:tcW w:w="611" w:type="dxa"/>
                  <w:noWrap w:val="0"/>
                  <w:vAlign w:val="center"/>
                </w:tcPr>
                <w:p w14:paraId="1E365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2</w:t>
                  </w:r>
                </w:p>
              </w:tc>
            </w:tr>
            <w:tr w14:paraId="4FA5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3" w:type="dxa"/>
                  <w:vMerge w:val="restart"/>
                  <w:noWrap w:val="0"/>
                  <w:vAlign w:val="center"/>
                </w:tcPr>
                <w:p w14:paraId="62ECF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481" w:type="dxa"/>
                  <w:vMerge w:val="restart"/>
                  <w:noWrap w:val="0"/>
                  <w:vAlign w:val="center"/>
                </w:tcPr>
                <w:p w14:paraId="55902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废气</w:t>
                  </w:r>
                </w:p>
              </w:tc>
              <w:tc>
                <w:tcPr>
                  <w:tcW w:w="456" w:type="dxa"/>
                  <w:vMerge w:val="restart"/>
                  <w:noWrap w:val="0"/>
                  <w:vAlign w:val="center"/>
                </w:tcPr>
                <w:p w14:paraId="0DFCA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有组织</w:t>
                  </w:r>
                </w:p>
              </w:tc>
              <w:tc>
                <w:tcPr>
                  <w:tcW w:w="1354" w:type="dxa"/>
                  <w:noWrap w:val="0"/>
                  <w:vAlign w:val="center"/>
                </w:tcPr>
                <w:p w14:paraId="51D9C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r>
                    <w:rPr>
                      <w:rFonts w:hint="eastAsia" w:cs="Times New Roman"/>
                      <w:bCs/>
                      <w:color w:val="auto"/>
                      <w:sz w:val="21"/>
                      <w:szCs w:val="21"/>
                      <w:lang w:val="en-US" w:eastAsia="zh-CN"/>
                    </w:rPr>
                    <w:t>、</w:t>
                  </w:r>
                </w:p>
                <w:p w14:paraId="408BE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沉积废气、碳化废气和真空泵油雾废气</w:t>
                  </w:r>
                </w:p>
              </w:tc>
              <w:tc>
                <w:tcPr>
                  <w:tcW w:w="4754" w:type="dxa"/>
                  <w:noWrap w:val="0"/>
                  <w:vAlign w:val="center"/>
                </w:tcPr>
                <w:p w14:paraId="5C578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TO燃烧器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5</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611" w:type="dxa"/>
                  <w:vMerge w:val="restart"/>
                  <w:noWrap w:val="0"/>
                  <w:vAlign w:val="center"/>
                </w:tcPr>
                <w:p w14:paraId="278AC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w:t>
                  </w:r>
                  <w:r>
                    <w:rPr>
                      <w:rFonts w:hint="eastAsia" w:ascii="Times New Roman" w:hAnsi="Times New Roman" w:eastAsia="宋体" w:cs="Times New Roman"/>
                      <w:color w:val="auto"/>
                      <w:kern w:val="0"/>
                      <w:sz w:val="21"/>
                      <w:szCs w:val="21"/>
                      <w:lang w:val="en-US" w:eastAsia="zh-CN" w:bidi="ar"/>
                    </w:rPr>
                    <w:t>0.0</w:t>
                  </w:r>
                </w:p>
              </w:tc>
            </w:tr>
            <w:tr w14:paraId="4D62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3" w:type="dxa"/>
                  <w:vMerge w:val="continue"/>
                  <w:noWrap w:val="0"/>
                  <w:vAlign w:val="center"/>
                </w:tcPr>
                <w:p w14:paraId="09B15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481" w:type="dxa"/>
                  <w:vMerge w:val="continue"/>
                  <w:noWrap w:val="0"/>
                  <w:vAlign w:val="center"/>
                </w:tcPr>
                <w:p w14:paraId="63AFB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456" w:type="dxa"/>
                  <w:vMerge w:val="continue"/>
                  <w:noWrap w:val="0"/>
                  <w:vAlign w:val="center"/>
                </w:tcPr>
                <w:p w14:paraId="7F20F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1354" w:type="dxa"/>
                  <w:noWrap w:val="0"/>
                  <w:vAlign w:val="center"/>
                </w:tcPr>
                <w:p w14:paraId="1A253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混料粉尘和加工废气</w:t>
                  </w:r>
                </w:p>
              </w:tc>
              <w:tc>
                <w:tcPr>
                  <w:tcW w:w="4754" w:type="dxa"/>
                  <w:noWrap w:val="0"/>
                  <w:vAlign w:val="center"/>
                </w:tcPr>
                <w:p w14:paraId="07B7E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收集+</w:t>
                  </w:r>
                  <w:r>
                    <w:rPr>
                      <w:rFonts w:hint="eastAsia" w:cs="Times New Roman"/>
                      <w:b w:val="0"/>
                      <w:bCs w:val="0"/>
                      <w:color w:val="auto"/>
                      <w:sz w:val="21"/>
                      <w:szCs w:val="21"/>
                      <w:lang w:val="en-US" w:eastAsia="zh-CN" w:bidi="ar"/>
                    </w:rPr>
                    <w:t>布袋除尘器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9</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611" w:type="dxa"/>
                  <w:vMerge w:val="continue"/>
                  <w:noWrap w:val="0"/>
                  <w:vAlign w:val="center"/>
                </w:tcPr>
                <w:p w14:paraId="7E1E1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4E62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63" w:type="dxa"/>
                  <w:vMerge w:val="continue"/>
                  <w:noWrap w:val="0"/>
                  <w:vAlign w:val="center"/>
                </w:tcPr>
                <w:p w14:paraId="5765C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81" w:type="dxa"/>
                  <w:vMerge w:val="continue"/>
                  <w:noWrap w:val="0"/>
                  <w:vAlign w:val="center"/>
                </w:tcPr>
                <w:p w14:paraId="3A83A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56" w:type="dxa"/>
                  <w:vMerge w:val="restart"/>
                  <w:noWrap w:val="0"/>
                  <w:vAlign w:val="center"/>
                </w:tcPr>
                <w:p w14:paraId="4064D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无组织</w:t>
                  </w:r>
                </w:p>
              </w:tc>
              <w:tc>
                <w:tcPr>
                  <w:tcW w:w="1354" w:type="dxa"/>
                  <w:noWrap w:val="0"/>
                  <w:vAlign w:val="center"/>
                </w:tcPr>
                <w:p w14:paraId="61934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p>
              </w:tc>
              <w:tc>
                <w:tcPr>
                  <w:tcW w:w="4754" w:type="dxa"/>
                  <w:noWrap w:val="0"/>
                  <w:vAlign w:val="center"/>
                </w:tcPr>
                <w:p w14:paraId="2DA24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eastAsia="宋体" w:cs="Times New Roman"/>
                      <w:color w:val="auto"/>
                      <w:sz w:val="21"/>
                      <w:szCs w:val="21"/>
                      <w:lang w:val="en-US" w:eastAsia="zh-CN"/>
                    </w:rPr>
                    <w:t>、加强废气收集效率、</w:t>
                  </w:r>
                  <w:r>
                    <w:rPr>
                      <w:rFonts w:hint="default" w:ascii="Times New Roman" w:hAnsi="Times New Roman" w:eastAsia="宋体" w:cs="Times New Roman"/>
                      <w:color w:val="auto"/>
                      <w:sz w:val="21"/>
                      <w:szCs w:val="21"/>
                      <w:lang w:val="en-US" w:eastAsia="zh-CN"/>
                    </w:rPr>
                    <w:t>加强管理</w:t>
                  </w:r>
                </w:p>
              </w:tc>
              <w:tc>
                <w:tcPr>
                  <w:tcW w:w="611" w:type="dxa"/>
                  <w:vMerge w:val="restart"/>
                  <w:noWrap w:val="0"/>
                  <w:vAlign w:val="center"/>
                </w:tcPr>
                <w:p w14:paraId="52E4A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p>
              </w:tc>
            </w:tr>
            <w:tr w14:paraId="3A6D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63" w:type="dxa"/>
                  <w:vMerge w:val="continue"/>
                  <w:noWrap w:val="0"/>
                  <w:vAlign w:val="center"/>
                </w:tcPr>
                <w:p w14:paraId="06587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81" w:type="dxa"/>
                  <w:vMerge w:val="continue"/>
                  <w:noWrap w:val="0"/>
                  <w:vAlign w:val="center"/>
                </w:tcPr>
                <w:p w14:paraId="66211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56" w:type="dxa"/>
                  <w:vMerge w:val="continue"/>
                  <w:noWrap w:val="0"/>
                  <w:vAlign w:val="center"/>
                </w:tcPr>
                <w:p w14:paraId="60977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1354" w:type="dxa"/>
                  <w:noWrap w:val="0"/>
                  <w:vAlign w:val="center"/>
                </w:tcPr>
                <w:p w14:paraId="25FDD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渗硅废气</w:t>
                  </w:r>
                </w:p>
              </w:tc>
              <w:tc>
                <w:tcPr>
                  <w:tcW w:w="4754" w:type="dxa"/>
                  <w:noWrap w:val="0"/>
                  <w:vAlign w:val="center"/>
                </w:tcPr>
                <w:p w14:paraId="070AE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定期清扫地面、加强管理</w:t>
                  </w:r>
                </w:p>
              </w:tc>
              <w:tc>
                <w:tcPr>
                  <w:tcW w:w="611" w:type="dxa"/>
                  <w:vMerge w:val="continue"/>
                  <w:noWrap w:val="0"/>
                  <w:vAlign w:val="center"/>
                </w:tcPr>
                <w:p w14:paraId="4CE60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r>
            <w:tr w14:paraId="6AA4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tcBorders>
                    <w:bottom w:val="single" w:color="auto" w:sz="4" w:space="0"/>
                  </w:tcBorders>
                  <w:noWrap w:val="0"/>
                  <w:vAlign w:val="center"/>
                </w:tcPr>
                <w:p w14:paraId="5A74D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w:t>
                  </w:r>
                </w:p>
              </w:tc>
              <w:tc>
                <w:tcPr>
                  <w:tcW w:w="2291" w:type="dxa"/>
                  <w:gridSpan w:val="3"/>
                  <w:noWrap w:val="0"/>
                  <w:vAlign w:val="center"/>
                </w:tcPr>
                <w:p w14:paraId="0128F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噪声</w:t>
                  </w:r>
                </w:p>
              </w:tc>
              <w:tc>
                <w:tcPr>
                  <w:tcW w:w="4754" w:type="dxa"/>
                  <w:noWrap w:val="0"/>
                  <w:vAlign w:val="center"/>
                </w:tcPr>
                <w:p w14:paraId="6B583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优选低噪设备、基础减振、合理布局、墙体隔声</w:t>
                  </w:r>
                </w:p>
              </w:tc>
              <w:tc>
                <w:tcPr>
                  <w:tcW w:w="611" w:type="dxa"/>
                  <w:noWrap w:val="0"/>
                  <w:vAlign w:val="center"/>
                </w:tcPr>
                <w:p w14:paraId="0E611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5.0</w:t>
                  </w:r>
                </w:p>
              </w:tc>
            </w:tr>
            <w:tr w14:paraId="2EA4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vMerge w:val="restart"/>
                  <w:noWrap w:val="0"/>
                  <w:vAlign w:val="center"/>
                </w:tcPr>
                <w:p w14:paraId="425A7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w:t>
                  </w:r>
                </w:p>
              </w:tc>
              <w:tc>
                <w:tcPr>
                  <w:tcW w:w="481" w:type="dxa"/>
                  <w:vMerge w:val="restart"/>
                  <w:noWrap w:val="0"/>
                  <w:vAlign w:val="center"/>
                </w:tcPr>
                <w:p w14:paraId="2D438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一般固废</w:t>
                  </w:r>
                </w:p>
              </w:tc>
              <w:tc>
                <w:tcPr>
                  <w:tcW w:w="1810" w:type="dxa"/>
                  <w:gridSpan w:val="2"/>
                  <w:noWrap w:val="0"/>
                  <w:vAlign w:val="center"/>
                </w:tcPr>
                <w:p w14:paraId="65D05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bCs/>
                      <w:color w:val="auto"/>
                      <w:sz w:val="21"/>
                      <w:szCs w:val="21"/>
                      <w:lang w:val="en-US" w:eastAsia="zh-CN"/>
                    </w:rPr>
                    <w:t>生活垃圾</w:t>
                  </w:r>
                </w:p>
              </w:tc>
              <w:tc>
                <w:tcPr>
                  <w:tcW w:w="4754" w:type="dxa"/>
                  <w:noWrap w:val="0"/>
                  <w:vAlign w:val="center"/>
                </w:tcPr>
                <w:p w14:paraId="5A268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b w:val="0"/>
                      <w:bCs w:val="0"/>
                      <w:color w:val="auto"/>
                      <w:sz w:val="21"/>
                      <w:szCs w:val="21"/>
                      <w:u w:val="none"/>
                      <w:vertAlign w:val="baseline"/>
                      <w:lang w:val="en-US" w:eastAsia="zh-CN"/>
                    </w:rPr>
                    <w:t>生活垃圾由垃圾桶收集，收集后交由环卫部门处置</w:t>
                  </w:r>
                </w:p>
              </w:tc>
              <w:tc>
                <w:tcPr>
                  <w:tcW w:w="611" w:type="dxa"/>
                  <w:noWrap w:val="0"/>
                  <w:vAlign w:val="center"/>
                </w:tcPr>
                <w:p w14:paraId="57C38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r>
            <w:tr w14:paraId="332A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vMerge w:val="continue"/>
                  <w:noWrap w:val="0"/>
                  <w:vAlign w:val="center"/>
                </w:tcPr>
                <w:p w14:paraId="6F4DE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3DD58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6C0F4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废弃包装物</w:t>
                  </w:r>
                </w:p>
              </w:tc>
              <w:tc>
                <w:tcPr>
                  <w:tcW w:w="4754" w:type="dxa"/>
                  <w:vMerge w:val="restart"/>
                  <w:noWrap w:val="0"/>
                  <w:vAlign w:val="center"/>
                </w:tcPr>
                <w:p w14:paraId="3BAAB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废弃包装物外售废旧物资回收单位综合处理；不合格产品、边角料等</w:t>
                  </w:r>
                  <w:r>
                    <w:rPr>
                      <w:rFonts w:hint="eastAsia" w:cs="Times New Roman"/>
                      <w:color w:val="auto"/>
                      <w:sz w:val="21"/>
                      <w:szCs w:val="21"/>
                      <w:lang w:val="en-US" w:eastAsia="zh-CN"/>
                    </w:rPr>
                    <w:t>外售碳纤维回收公司</w:t>
                  </w:r>
                </w:p>
              </w:tc>
              <w:tc>
                <w:tcPr>
                  <w:tcW w:w="611" w:type="dxa"/>
                  <w:vMerge w:val="restart"/>
                  <w:noWrap w:val="0"/>
                  <w:vAlign w:val="center"/>
                </w:tcPr>
                <w:p w14:paraId="48861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p>
              </w:tc>
            </w:tr>
            <w:tr w14:paraId="4951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vMerge w:val="continue"/>
                  <w:noWrap w:val="0"/>
                  <w:vAlign w:val="center"/>
                </w:tcPr>
                <w:p w14:paraId="45B5F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6F02E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677F4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不合格产品</w:t>
                  </w:r>
                </w:p>
              </w:tc>
              <w:tc>
                <w:tcPr>
                  <w:tcW w:w="4754" w:type="dxa"/>
                  <w:vMerge w:val="continue"/>
                  <w:noWrap w:val="0"/>
                  <w:vAlign w:val="center"/>
                </w:tcPr>
                <w:p w14:paraId="49B15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bidi="ar"/>
                    </w:rPr>
                  </w:pPr>
                </w:p>
              </w:tc>
              <w:tc>
                <w:tcPr>
                  <w:tcW w:w="611" w:type="dxa"/>
                  <w:vMerge w:val="continue"/>
                  <w:noWrap w:val="0"/>
                  <w:vAlign w:val="center"/>
                </w:tcPr>
                <w:p w14:paraId="51B5E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p>
              </w:tc>
            </w:tr>
            <w:tr w14:paraId="4879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vMerge w:val="continue"/>
                  <w:noWrap w:val="0"/>
                  <w:vAlign w:val="center"/>
                </w:tcPr>
                <w:p w14:paraId="08DBA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22902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51689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边角料</w:t>
                  </w:r>
                </w:p>
              </w:tc>
              <w:tc>
                <w:tcPr>
                  <w:tcW w:w="4754" w:type="dxa"/>
                  <w:vMerge w:val="continue"/>
                  <w:noWrap w:val="0"/>
                  <w:vAlign w:val="center"/>
                </w:tcPr>
                <w:p w14:paraId="2A953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val="en-US" w:eastAsia="zh-CN" w:bidi="ar"/>
                    </w:rPr>
                  </w:pPr>
                </w:p>
              </w:tc>
              <w:tc>
                <w:tcPr>
                  <w:tcW w:w="611" w:type="dxa"/>
                  <w:vMerge w:val="continue"/>
                  <w:noWrap w:val="0"/>
                  <w:vAlign w:val="center"/>
                </w:tcPr>
                <w:p w14:paraId="5D583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7702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463" w:type="dxa"/>
                  <w:vMerge w:val="continue"/>
                  <w:noWrap w:val="0"/>
                  <w:vAlign w:val="center"/>
                </w:tcPr>
                <w:p w14:paraId="0934C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noWrap w:val="0"/>
                  <w:vAlign w:val="center"/>
                </w:tcPr>
                <w:p w14:paraId="72891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危险废物</w:t>
                  </w:r>
                </w:p>
              </w:tc>
              <w:tc>
                <w:tcPr>
                  <w:tcW w:w="1810" w:type="dxa"/>
                  <w:gridSpan w:val="2"/>
                  <w:noWrap w:val="0"/>
                  <w:vAlign w:val="center"/>
                </w:tcPr>
                <w:p w14:paraId="0D70F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废润滑油及油桶、废真空泵油、废切削液、废液压油</w:t>
                  </w:r>
                </w:p>
              </w:tc>
              <w:tc>
                <w:tcPr>
                  <w:tcW w:w="4754" w:type="dxa"/>
                  <w:noWrap w:val="0"/>
                  <w:vAlign w:val="center"/>
                </w:tcPr>
                <w:p w14:paraId="318C5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暂存于危废暂存间，定期交由有资质单位处置</w:t>
                  </w:r>
                </w:p>
              </w:tc>
              <w:tc>
                <w:tcPr>
                  <w:tcW w:w="611" w:type="dxa"/>
                  <w:noWrap w:val="0"/>
                  <w:vAlign w:val="center"/>
                </w:tcPr>
                <w:p w14:paraId="27655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p>
              </w:tc>
            </w:tr>
            <w:tr w14:paraId="589C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463" w:type="dxa"/>
                  <w:noWrap w:val="0"/>
                  <w:vAlign w:val="center"/>
                </w:tcPr>
                <w:p w14:paraId="14ADF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2291" w:type="dxa"/>
                  <w:gridSpan w:val="3"/>
                  <w:noWrap w:val="0"/>
                  <w:vAlign w:val="center"/>
                </w:tcPr>
                <w:p w14:paraId="0B35A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地下水</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val="en-US" w:eastAsia="zh-CN" w:bidi="ar"/>
                    </w:rPr>
                    <w:t>土壤防渗</w:t>
                  </w:r>
                </w:p>
              </w:tc>
              <w:tc>
                <w:tcPr>
                  <w:tcW w:w="4754" w:type="dxa"/>
                  <w:noWrap w:val="0"/>
                  <w:vAlign w:val="center"/>
                </w:tcPr>
                <w:p w14:paraId="55869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危险废物暂存间、事故池、</w:t>
                  </w:r>
                  <w:r>
                    <w:rPr>
                      <w:rFonts w:hint="eastAsia" w:cs="Times New Roman"/>
                      <w:color w:val="auto"/>
                      <w:kern w:val="0"/>
                      <w:sz w:val="21"/>
                      <w:szCs w:val="21"/>
                      <w:lang w:val="en-US" w:eastAsia="zh-CN" w:bidi="ar"/>
                    </w:rPr>
                    <w:t>产业园现有的化粪池</w:t>
                  </w:r>
                  <w:r>
                    <w:rPr>
                      <w:rFonts w:hint="eastAsia" w:ascii="Times New Roman" w:hAnsi="Times New Roman" w:eastAsia="宋体" w:cs="Times New Roman"/>
                      <w:color w:val="auto"/>
                      <w:kern w:val="0"/>
                      <w:sz w:val="21"/>
                      <w:szCs w:val="21"/>
                      <w:lang w:val="en-US" w:eastAsia="zh-CN" w:bidi="ar"/>
                    </w:rPr>
                    <w:t>和污水管线</w:t>
                  </w:r>
                  <w:r>
                    <w:rPr>
                      <w:rFonts w:hint="default" w:ascii="Times New Roman" w:hAnsi="Times New Roman" w:eastAsia="宋体" w:cs="Times New Roman"/>
                      <w:color w:val="auto"/>
                      <w:kern w:val="0"/>
                      <w:sz w:val="21"/>
                      <w:szCs w:val="21"/>
                      <w:lang w:val="en-US" w:eastAsia="zh-CN" w:bidi="ar"/>
                    </w:rPr>
                    <w:t>等做重点防渗；</w:t>
                  </w:r>
                  <w:r>
                    <w:rPr>
                      <w:rFonts w:hint="eastAsia" w:ascii="Times New Roman" w:hAnsi="Times New Roman" w:eastAsia="宋体" w:cs="Times New Roman"/>
                      <w:color w:val="auto"/>
                      <w:kern w:val="0"/>
                      <w:sz w:val="21"/>
                      <w:szCs w:val="21"/>
                      <w:lang w:val="en-US" w:eastAsia="zh-CN" w:bidi="ar"/>
                    </w:rPr>
                    <w:t>一般固废暂存场所</w:t>
                  </w:r>
                  <w:r>
                    <w:rPr>
                      <w:rFonts w:hint="default" w:ascii="Times New Roman" w:hAnsi="Times New Roman" w:eastAsia="宋体" w:cs="Times New Roman"/>
                      <w:color w:val="auto"/>
                      <w:kern w:val="0"/>
                      <w:sz w:val="21"/>
                      <w:szCs w:val="21"/>
                      <w:lang w:val="en-US" w:eastAsia="zh-CN" w:bidi="ar"/>
                    </w:rPr>
                    <w:t>、车间做一般防渗</w:t>
                  </w:r>
                </w:p>
              </w:tc>
              <w:tc>
                <w:tcPr>
                  <w:tcW w:w="611" w:type="dxa"/>
                  <w:noWrap w:val="0"/>
                  <w:vAlign w:val="center"/>
                </w:tcPr>
                <w:p w14:paraId="19A22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5E2B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66A62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w:t>
                  </w:r>
                </w:p>
              </w:tc>
              <w:tc>
                <w:tcPr>
                  <w:tcW w:w="2291" w:type="dxa"/>
                  <w:gridSpan w:val="3"/>
                  <w:noWrap w:val="0"/>
                  <w:vAlign w:val="center"/>
                </w:tcPr>
                <w:p w14:paraId="7B56D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w:t>
                  </w:r>
                  <w:r>
                    <w:rPr>
                      <w:rFonts w:hint="default" w:ascii="Times New Roman" w:hAnsi="Times New Roman" w:eastAsia="宋体" w:cs="Times New Roman"/>
                      <w:color w:val="auto"/>
                      <w:sz w:val="21"/>
                      <w:szCs w:val="21"/>
                      <w:lang w:val="en-US" w:eastAsia="zh-CN"/>
                    </w:rPr>
                    <w:t>风险</w:t>
                  </w:r>
                </w:p>
              </w:tc>
              <w:tc>
                <w:tcPr>
                  <w:tcW w:w="4754" w:type="dxa"/>
                  <w:noWrap w:val="0"/>
                  <w:vAlign w:val="center"/>
                </w:tcPr>
                <w:p w14:paraId="43870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设消防、火灾报警系统；编制应急预案</w:t>
                  </w:r>
                  <w:r>
                    <w:rPr>
                      <w:rFonts w:hint="eastAsia" w:ascii="Times New Roman" w:hAnsi="Times New Roman" w:eastAsia="宋体" w:cs="Times New Roman"/>
                      <w:color w:val="auto"/>
                      <w:sz w:val="21"/>
                      <w:szCs w:val="21"/>
                      <w:lang w:val="en-US" w:eastAsia="zh-CN"/>
                    </w:rPr>
                    <w:t>；建设事故池</w:t>
                  </w:r>
                </w:p>
              </w:tc>
              <w:tc>
                <w:tcPr>
                  <w:tcW w:w="611" w:type="dxa"/>
                  <w:noWrap w:val="0"/>
                  <w:vAlign w:val="center"/>
                </w:tcPr>
                <w:p w14:paraId="7D60C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60F3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4B646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2291" w:type="dxa"/>
                  <w:gridSpan w:val="3"/>
                  <w:noWrap w:val="0"/>
                  <w:vAlign w:val="center"/>
                </w:tcPr>
                <w:p w14:paraId="7CAEE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绿化</w:t>
                  </w:r>
                </w:p>
              </w:tc>
              <w:tc>
                <w:tcPr>
                  <w:tcW w:w="4754" w:type="dxa"/>
                  <w:noWrap w:val="0"/>
                  <w:vAlign w:val="center"/>
                </w:tcPr>
                <w:p w14:paraId="34551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加强</w:t>
                  </w:r>
                  <w:r>
                    <w:rPr>
                      <w:rFonts w:hint="eastAsia"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绿化</w:t>
                  </w:r>
                </w:p>
              </w:tc>
              <w:tc>
                <w:tcPr>
                  <w:tcW w:w="611" w:type="dxa"/>
                  <w:noWrap w:val="0"/>
                  <w:vAlign w:val="center"/>
                </w:tcPr>
                <w:p w14:paraId="1306E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3721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5D7AE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2291" w:type="dxa"/>
                  <w:gridSpan w:val="3"/>
                  <w:noWrap w:val="0"/>
                  <w:vAlign w:val="center"/>
                </w:tcPr>
                <w:p w14:paraId="69C63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环境管理与监测</w:t>
                  </w:r>
                </w:p>
              </w:tc>
              <w:tc>
                <w:tcPr>
                  <w:tcW w:w="4754" w:type="dxa"/>
                  <w:noWrap w:val="0"/>
                  <w:vAlign w:val="center"/>
                </w:tcPr>
                <w:p w14:paraId="2F339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定期监测</w:t>
                  </w:r>
                </w:p>
              </w:tc>
              <w:tc>
                <w:tcPr>
                  <w:tcW w:w="611" w:type="dxa"/>
                  <w:noWrap w:val="0"/>
                  <w:vAlign w:val="center"/>
                </w:tcPr>
                <w:p w14:paraId="0A350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p>
              </w:tc>
            </w:tr>
            <w:bookmarkEnd w:id="3"/>
            <w:tr w14:paraId="0D20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08" w:type="dxa"/>
                  <w:gridSpan w:val="5"/>
                  <w:tcBorders>
                    <w:bottom w:val="single" w:color="auto" w:sz="4" w:space="0"/>
                  </w:tcBorders>
                  <w:noWrap w:val="0"/>
                  <w:vAlign w:val="center"/>
                </w:tcPr>
                <w:p w14:paraId="5645A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合 计</w:t>
                  </w:r>
                </w:p>
              </w:tc>
              <w:tc>
                <w:tcPr>
                  <w:tcW w:w="611" w:type="dxa"/>
                  <w:noWrap w:val="0"/>
                  <w:vAlign w:val="center"/>
                </w:tcPr>
                <w:p w14:paraId="23529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15</w:t>
                  </w:r>
                  <w:r>
                    <w:rPr>
                      <w:rFonts w:hint="eastAsia" w:ascii="Times New Roman" w:hAnsi="Times New Roman" w:eastAsia="宋体" w:cs="Times New Roman"/>
                      <w:color w:val="auto"/>
                      <w:kern w:val="0"/>
                      <w:sz w:val="21"/>
                      <w:szCs w:val="21"/>
                      <w:lang w:val="en-US" w:eastAsia="zh-CN" w:bidi="ar"/>
                    </w:rPr>
                    <w:t>5</w:t>
                  </w:r>
                </w:p>
              </w:tc>
            </w:tr>
          </w:tbl>
          <w:p w14:paraId="2FE6E305">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p>
          <w:p w14:paraId="09B8661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val="0"/>
                <w:kern w:val="2"/>
                <w:sz w:val="24"/>
                <w:szCs w:val="24"/>
                <w:lang w:val="en-US" w:eastAsia="zh-CN" w:bidi="ar"/>
              </w:rPr>
              <w:t>八、</w:t>
            </w:r>
            <w:r>
              <w:rPr>
                <w:rFonts w:hint="eastAsia" w:ascii="宋体" w:hAnsi="宋体" w:eastAsia="宋体" w:cs="宋体"/>
                <w:b/>
                <w:bCs/>
                <w:kern w:val="2"/>
                <w:sz w:val="24"/>
                <w:szCs w:val="24"/>
                <w:lang w:val="en-US" w:eastAsia="zh-CN" w:bidi="ar"/>
              </w:rPr>
              <w:t>环评与排污许可联动</w:t>
            </w:r>
          </w:p>
          <w:p w14:paraId="3B1E9119">
            <w:pPr>
              <w:keepNext w:val="0"/>
              <w:keepLines w:val="0"/>
              <w:suppressLineNumbers w:val="0"/>
              <w:tabs>
                <w:tab w:val="left" w:pos="1215"/>
              </w:tabs>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根据安徽省生态环境厅文件</w:t>
            </w:r>
            <w:r>
              <w:rPr>
                <w:rFonts w:hint="default" w:ascii="Times New Roman" w:hAnsi="Times New Roman" w:eastAsia="宋体" w:cs="Times New Roman"/>
                <w:color w:val="auto"/>
                <w:sz w:val="24"/>
                <w:lang w:val="en-US" w:eastAsia="zh-CN"/>
              </w:rPr>
              <w:t>2021</w:t>
            </w:r>
            <w:r>
              <w:rPr>
                <w:rFonts w:hint="eastAsia" w:ascii="Times New Roman" w:hAnsi="Times New Roman" w:eastAsia="宋体" w:cs="Times New Roman"/>
                <w:color w:val="auto"/>
                <w:sz w:val="24"/>
                <w:lang w:val="en-US" w:eastAsia="zh-CN"/>
              </w:rPr>
              <w:t>年</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月</w:t>
            </w:r>
            <w:r>
              <w:rPr>
                <w:rFonts w:hint="default" w:ascii="Times New Roman" w:hAnsi="Times New Roman" w:eastAsia="宋体" w:cs="Times New Roman"/>
                <w:color w:val="auto"/>
                <w:sz w:val="24"/>
                <w:lang w:val="en-US" w:eastAsia="zh-CN"/>
              </w:rPr>
              <w:t>30</w:t>
            </w:r>
            <w:r>
              <w:rPr>
                <w:rFonts w:hint="eastAsia" w:ascii="Times New Roman" w:hAnsi="Times New Roman" w:eastAsia="宋体" w:cs="Times New Roman"/>
                <w:color w:val="auto"/>
                <w:sz w:val="24"/>
                <w:lang w:val="en-US" w:eastAsia="zh-CN"/>
              </w:rPr>
              <w:t>号《关于统筹做好固定污染源排污许可日常监管工作的通知》（皖环发</w:t>
            </w:r>
            <w:r>
              <w:rPr>
                <w:rFonts w:hint="default" w:ascii="Times New Roman" w:hAnsi="Times New Roman" w:eastAsia="宋体" w:cs="Times New Roman"/>
                <w:color w:val="auto"/>
                <w:sz w:val="24"/>
                <w:lang w:val="en-US" w:eastAsia="zh-CN"/>
              </w:rPr>
              <w:t>(2021) 7</w:t>
            </w:r>
            <w:r>
              <w:rPr>
                <w:rFonts w:hint="eastAsia" w:ascii="Times New Roman" w:hAnsi="Times New Roman" w:eastAsia="宋体" w:cs="Times New Roman"/>
                <w:color w:val="auto"/>
                <w:sz w:val="24"/>
                <w:lang w:val="en-US" w:eastAsia="zh-CN"/>
              </w:rPr>
              <w:t>号）文件内容：二、主要任务</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第（七）条积极探索排污许可与环评制度的联动试点中</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属于现行《固定污染源排污许可分类管理名录》内重点管理和简化管理的行业，建设单位在组织编制建设项目环境影响报告书</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表</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时，可结合相应行业排污许可证申请与核发技术规范，在环评文件中一并明确</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建设项目环境影响评价与排污许可联动内容</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和《建设项目排污许可申请与填报信息表》，生态环境部门在环评文件受理和审批过程中同步审核。建设单位在实际排污行为发生前申领排污许可证，应按照项目实际建设情况，结合环评内容，填报排污许可申请材料；在编制自主验收报告时，应专章分析排污许可管理要求的落实情况。排污单位应依法开展排污许可证申领或排污许可登记，落实主体责任。排污单位应切实增强自行申报的主动性，并对申报内容的真实性、准确性、规范性负责，牢固树立“持证排污、按证排污”的守法意识。</w:t>
            </w:r>
          </w:p>
          <w:p w14:paraId="02640288">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根据《固定污染源排污许可分类管理名录》，本项目所属行业类别为“三十</w:t>
            </w:r>
            <w:r>
              <w:rPr>
                <w:rFonts w:hint="eastAsia" w:cs="Times New Roman"/>
                <w:color w:val="auto"/>
                <w:sz w:val="24"/>
                <w:lang w:val="en-US" w:eastAsia="zh-CN"/>
              </w:rPr>
              <w:t>一</w:t>
            </w:r>
            <w:r>
              <w:rPr>
                <w:rFonts w:hint="eastAsia" w:ascii="Times New Roman" w:hAnsi="Times New Roman" w:eastAsia="宋体" w:cs="Times New Roman"/>
                <w:color w:val="auto"/>
                <w:sz w:val="24"/>
                <w:lang w:val="en-US" w:eastAsia="zh-CN"/>
              </w:rPr>
              <w:t xml:space="preserve">、汽车制造业 36 </w:t>
            </w:r>
            <w:r>
              <w:rPr>
                <w:rFonts w:hint="eastAsia" w:cs="Times New Roman"/>
                <w:color w:val="auto"/>
                <w:sz w:val="24"/>
                <w:lang w:val="en-US" w:eastAsia="zh-CN"/>
              </w:rPr>
              <w:t xml:space="preserve"> 85.汽车零部件及配件制造367</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，排污许可填报管理类别为“</w:t>
            </w:r>
            <w:r>
              <w:rPr>
                <w:rFonts w:hint="eastAsia" w:cs="Times New Roman"/>
                <w:color w:val="auto"/>
                <w:sz w:val="24"/>
                <w:lang w:val="en-US" w:eastAsia="zh-CN"/>
              </w:rPr>
              <w:t>简化</w:t>
            </w:r>
            <w:r>
              <w:rPr>
                <w:rFonts w:hint="eastAsia" w:ascii="Times New Roman" w:hAnsi="Times New Roman" w:eastAsia="宋体" w:cs="Times New Roman"/>
                <w:color w:val="auto"/>
                <w:sz w:val="24"/>
              </w:rPr>
              <w:t>管理”</w:t>
            </w:r>
            <w:r>
              <w:rPr>
                <w:rFonts w:hint="eastAsia" w:ascii="Times New Roman" w:hAnsi="Times New Roman" w:eastAsia="宋体" w:cs="Times New Roman"/>
                <w:color w:val="auto"/>
                <w:sz w:val="24"/>
                <w:lang w:eastAsia="zh-CN"/>
              </w:rPr>
              <w:t>。</w:t>
            </w:r>
          </w:p>
          <w:p w14:paraId="201D3070">
            <w:pPr>
              <w:keepNext w:val="0"/>
              <w:keepLines w:val="0"/>
              <w:suppressLineNumbers w:val="0"/>
              <w:tabs>
                <w:tab w:val="left" w:pos="1215"/>
              </w:tabs>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p>
          <w:p w14:paraId="6849BA26">
            <w:pPr>
              <w:pStyle w:val="18"/>
              <w:keepNext w:val="0"/>
              <w:keepLines w:val="0"/>
              <w:suppressLineNumbers w:val="0"/>
              <w:spacing w:before="0" w:beforeAutospacing="0" w:after="0" w:afterAutospacing="0"/>
              <w:ind w:left="0" w:right="0"/>
              <w:rPr>
                <w:rFonts w:hint="eastAsia" w:ascii="Times New Roman" w:hAnsi="Times New Roman" w:cs="Times New Roman"/>
              </w:rPr>
            </w:pPr>
          </w:p>
        </w:tc>
      </w:tr>
    </w:tbl>
    <w:p w14:paraId="02092126">
      <w:pPr>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42BD892">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29"/>
        <w:gridCol w:w="1073"/>
        <w:gridCol w:w="928"/>
        <w:gridCol w:w="3284"/>
        <w:gridCol w:w="2017"/>
      </w:tblGrid>
      <w:tr w14:paraId="474EB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tcBorders>
              <w:tl2br w:val="single" w:color="auto" w:sz="4" w:space="0"/>
            </w:tcBorders>
            <w:noWrap w:val="0"/>
            <w:vAlign w:val="top"/>
          </w:tcPr>
          <w:p w14:paraId="387CE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内容</w:t>
            </w:r>
          </w:p>
          <w:p w14:paraId="2A383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1049" w:type="pct"/>
            <w:gridSpan w:val="2"/>
            <w:noWrap w:val="0"/>
            <w:vAlign w:val="center"/>
          </w:tcPr>
          <w:p w14:paraId="63AF4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排放口/污染源</w:t>
            </w:r>
          </w:p>
        </w:tc>
        <w:tc>
          <w:tcPr>
            <w:tcW w:w="512" w:type="pct"/>
            <w:noWrap w:val="0"/>
            <w:vAlign w:val="center"/>
          </w:tcPr>
          <w:p w14:paraId="2C018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812" w:type="pct"/>
            <w:noWrap w:val="0"/>
            <w:vAlign w:val="center"/>
          </w:tcPr>
          <w:p w14:paraId="47B6D5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1113" w:type="pct"/>
            <w:noWrap w:val="0"/>
            <w:vAlign w:val="center"/>
          </w:tcPr>
          <w:p w14:paraId="11FF1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421BA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12" w:type="pct"/>
            <w:vMerge w:val="restart"/>
            <w:noWrap w:val="0"/>
            <w:vAlign w:val="center"/>
          </w:tcPr>
          <w:p w14:paraId="01A1D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457" w:type="pct"/>
            <w:noWrap w:val="0"/>
            <w:vAlign w:val="center"/>
          </w:tcPr>
          <w:p w14:paraId="66FC0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DA001排气筒</w:t>
            </w:r>
          </w:p>
        </w:tc>
        <w:tc>
          <w:tcPr>
            <w:tcW w:w="1073" w:type="dxa"/>
            <w:noWrap w:val="0"/>
            <w:vAlign w:val="center"/>
          </w:tcPr>
          <w:p w14:paraId="0F632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r>
              <w:rPr>
                <w:rFonts w:hint="eastAsia" w:cs="Times New Roman"/>
                <w:bCs/>
                <w:color w:val="auto"/>
                <w:sz w:val="21"/>
                <w:szCs w:val="21"/>
                <w:lang w:val="en-US" w:eastAsia="zh-CN"/>
              </w:rPr>
              <w:t>、</w:t>
            </w:r>
          </w:p>
          <w:p w14:paraId="268AD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沉积废气、碳化废气和真空泵油雾废气</w:t>
            </w:r>
          </w:p>
        </w:tc>
        <w:tc>
          <w:tcPr>
            <w:tcW w:w="512" w:type="pct"/>
            <w:noWrap w:val="0"/>
            <w:vAlign w:val="center"/>
          </w:tcPr>
          <w:p w14:paraId="34684BF3">
            <w:pPr>
              <w:keepNext w:val="0"/>
              <w:keepLines w:val="0"/>
              <w:suppressLineNumbers w:val="0"/>
              <w:adjustRightInd w:val="0"/>
              <w:snapToGrid w:val="0"/>
              <w:spacing w:before="0" w:beforeAutospacing="0" w:after="0" w:afterAutospacing="0" w:line="4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非甲烷总烃</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颗粒物、二氧化硫、氮氧化物</w:t>
            </w:r>
          </w:p>
        </w:tc>
        <w:tc>
          <w:tcPr>
            <w:tcW w:w="3284" w:type="dxa"/>
            <w:noWrap w:val="0"/>
            <w:vAlign w:val="center"/>
          </w:tcPr>
          <w:p w14:paraId="4A1503EE">
            <w:pPr>
              <w:keepNext w:val="0"/>
              <w:keepLines w:val="0"/>
              <w:suppressLineNumbers w:val="0"/>
              <w:spacing w:before="0" w:beforeAutospacing="0" w:after="0" w:afterAutospacing="0" w:line="360" w:lineRule="atLeast"/>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hAnsi="宋体"/>
                <w:color w:val="auto"/>
                <w:szCs w:val="21"/>
                <w:lang w:eastAsia="zh-CN"/>
              </w:rPr>
              <w:t>改性废气、涂层废气、</w:t>
            </w:r>
            <w:r>
              <w:rPr>
                <w:rFonts w:hint="eastAsia" w:hAnsi="宋体"/>
                <w:color w:val="auto"/>
                <w:szCs w:val="21"/>
              </w:rPr>
              <w:t>沉积废气、碳化废气和真空泵油雾废气经抽风管道收集，收集后通过</w:t>
            </w:r>
            <w:r>
              <w:rPr>
                <w:rFonts w:hint="eastAsia" w:hAnsi="宋体"/>
                <w:color w:val="auto"/>
                <w:szCs w:val="21"/>
                <w:lang w:eastAsia="zh-CN"/>
              </w:rPr>
              <w:t>TO</w:t>
            </w:r>
            <w:r>
              <w:rPr>
                <w:rFonts w:hint="eastAsia" w:hAnsi="宋体"/>
                <w:color w:val="auto"/>
                <w:szCs w:val="21"/>
              </w:rPr>
              <w:t>燃烧装置处理后通过一根15m高的排气筒DA001排放</w:t>
            </w:r>
          </w:p>
        </w:tc>
        <w:tc>
          <w:tcPr>
            <w:tcW w:w="1113" w:type="pct"/>
            <w:vMerge w:val="restart"/>
            <w:noWrap w:val="0"/>
            <w:vAlign w:val="center"/>
          </w:tcPr>
          <w:p w14:paraId="4979C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000000"/>
                <w:szCs w:val="21"/>
                <w:lang w:eastAsia="zh-CN"/>
              </w:rPr>
              <w:t>《大气污染物综合排放标准》(GB16297-1996)表2中二级标准；</w:t>
            </w:r>
            <w:r>
              <w:rPr>
                <w:rFonts w:hint="eastAsia"/>
                <w:color w:val="000000"/>
                <w:sz w:val="21"/>
                <w:szCs w:val="21"/>
              </w:rPr>
              <w:t>《工业炉窑大气污染综合治理方案》（环大气[2019]56 号）中规定的重点区域排放限值</w:t>
            </w:r>
          </w:p>
        </w:tc>
      </w:tr>
      <w:tr w14:paraId="00274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512" w:type="pct"/>
            <w:vMerge w:val="continue"/>
            <w:noWrap w:val="0"/>
            <w:vAlign w:val="center"/>
          </w:tcPr>
          <w:p w14:paraId="22F0D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57" w:type="pct"/>
            <w:noWrap w:val="0"/>
            <w:vAlign w:val="center"/>
          </w:tcPr>
          <w:p w14:paraId="60B9C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DA002排气筒</w:t>
            </w:r>
          </w:p>
        </w:tc>
        <w:tc>
          <w:tcPr>
            <w:tcW w:w="1073" w:type="dxa"/>
            <w:noWrap w:val="0"/>
            <w:vAlign w:val="center"/>
          </w:tcPr>
          <w:p w14:paraId="216E9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混料粉尘和加工废气</w:t>
            </w:r>
          </w:p>
        </w:tc>
        <w:tc>
          <w:tcPr>
            <w:tcW w:w="512" w:type="pct"/>
            <w:noWrap w:val="0"/>
            <w:vAlign w:val="center"/>
          </w:tcPr>
          <w:p w14:paraId="659882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颗粒物</w:t>
            </w:r>
          </w:p>
        </w:tc>
        <w:tc>
          <w:tcPr>
            <w:tcW w:w="3284" w:type="dxa"/>
            <w:noWrap w:val="0"/>
            <w:vAlign w:val="center"/>
          </w:tcPr>
          <w:p w14:paraId="4BDCAC5A">
            <w:pPr>
              <w:keepNext w:val="0"/>
              <w:keepLines w:val="0"/>
              <w:suppressLineNumbers w:val="0"/>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hAnsi="宋体"/>
                <w:color w:val="auto"/>
                <w:szCs w:val="21"/>
              </w:rPr>
              <w:t>项目混料粉尘和加工废气经自带集气管道收集后经布袋除尘器处理后通过一根15m高的排气筒（DA002）排放</w:t>
            </w:r>
          </w:p>
        </w:tc>
        <w:tc>
          <w:tcPr>
            <w:tcW w:w="1113" w:type="pct"/>
            <w:vMerge w:val="continue"/>
            <w:noWrap w:val="0"/>
            <w:vAlign w:val="center"/>
          </w:tcPr>
          <w:p w14:paraId="406BB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r>
      <w:tr w14:paraId="3BD02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vMerge w:val="continue"/>
            <w:noWrap w:val="0"/>
            <w:vAlign w:val="center"/>
          </w:tcPr>
          <w:p w14:paraId="32904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57" w:type="pct"/>
            <w:vMerge w:val="restart"/>
            <w:noWrap w:val="0"/>
            <w:vAlign w:val="center"/>
          </w:tcPr>
          <w:p w14:paraId="7259D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w:t>
            </w:r>
          </w:p>
        </w:tc>
        <w:tc>
          <w:tcPr>
            <w:tcW w:w="1073" w:type="dxa"/>
            <w:noWrap w:val="0"/>
            <w:vAlign w:val="center"/>
          </w:tcPr>
          <w:p w14:paraId="20776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p>
        </w:tc>
        <w:tc>
          <w:tcPr>
            <w:tcW w:w="928" w:type="dxa"/>
            <w:noWrap w:val="0"/>
            <w:vAlign w:val="center"/>
          </w:tcPr>
          <w:p w14:paraId="0A748E63">
            <w:pPr>
              <w:keepNext w:val="0"/>
              <w:keepLines w:val="0"/>
              <w:suppressLineNumbers w:val="0"/>
              <w:adjustRightInd w:val="0"/>
              <w:snapToGrid w:val="0"/>
              <w:spacing w:before="0" w:beforeAutospacing="0" w:after="0" w:afterAutospacing="0" w:line="46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非甲烷总烃</w:t>
            </w:r>
          </w:p>
        </w:tc>
        <w:tc>
          <w:tcPr>
            <w:tcW w:w="3284" w:type="dxa"/>
            <w:noWrap w:val="0"/>
            <w:vAlign w:val="center"/>
          </w:tcPr>
          <w:p w14:paraId="19BF0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eastAsia="宋体" w:cs="Times New Roman"/>
                <w:color w:val="auto"/>
                <w:sz w:val="21"/>
                <w:szCs w:val="21"/>
                <w:lang w:val="en-US" w:eastAsia="zh-CN"/>
              </w:rPr>
              <w:t>、加强废气收集效率、</w:t>
            </w:r>
            <w:r>
              <w:rPr>
                <w:rFonts w:hint="default" w:ascii="Times New Roman" w:hAnsi="Times New Roman" w:eastAsia="宋体" w:cs="Times New Roman"/>
                <w:color w:val="auto"/>
                <w:sz w:val="21"/>
                <w:szCs w:val="21"/>
                <w:lang w:val="en-US" w:eastAsia="zh-CN"/>
              </w:rPr>
              <w:t>加强管理</w:t>
            </w:r>
          </w:p>
        </w:tc>
        <w:tc>
          <w:tcPr>
            <w:tcW w:w="1113" w:type="pct"/>
            <w:vMerge w:val="continue"/>
            <w:noWrap w:val="0"/>
            <w:vAlign w:val="center"/>
          </w:tcPr>
          <w:p w14:paraId="06AB1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7D33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vMerge w:val="continue"/>
            <w:noWrap w:val="0"/>
            <w:vAlign w:val="center"/>
          </w:tcPr>
          <w:p w14:paraId="5572F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57" w:type="pct"/>
            <w:vMerge w:val="continue"/>
            <w:noWrap w:val="0"/>
            <w:vAlign w:val="center"/>
          </w:tcPr>
          <w:p w14:paraId="5F0DB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1073" w:type="dxa"/>
            <w:noWrap w:val="0"/>
            <w:vAlign w:val="center"/>
          </w:tcPr>
          <w:p w14:paraId="1781D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渗硅废气</w:t>
            </w:r>
          </w:p>
        </w:tc>
        <w:tc>
          <w:tcPr>
            <w:tcW w:w="928" w:type="dxa"/>
            <w:noWrap w:val="0"/>
            <w:vAlign w:val="center"/>
          </w:tcPr>
          <w:p w14:paraId="42AE254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颗粒物</w:t>
            </w:r>
          </w:p>
        </w:tc>
        <w:tc>
          <w:tcPr>
            <w:tcW w:w="3284" w:type="dxa"/>
            <w:noWrap w:val="0"/>
            <w:vAlign w:val="center"/>
          </w:tcPr>
          <w:p w14:paraId="4ED50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定期清扫地面、加强管理</w:t>
            </w:r>
          </w:p>
        </w:tc>
        <w:tc>
          <w:tcPr>
            <w:tcW w:w="1113" w:type="pct"/>
            <w:vMerge w:val="continue"/>
            <w:noWrap w:val="0"/>
            <w:vAlign w:val="center"/>
          </w:tcPr>
          <w:p w14:paraId="23C18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3023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noWrap w:val="0"/>
            <w:vAlign w:val="center"/>
          </w:tcPr>
          <w:p w14:paraId="74884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49" w:type="pct"/>
            <w:gridSpan w:val="2"/>
            <w:noWrap w:val="0"/>
            <w:vAlign w:val="center"/>
          </w:tcPr>
          <w:p w14:paraId="0F536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、循环冷却水排水</w:t>
            </w:r>
          </w:p>
        </w:tc>
        <w:tc>
          <w:tcPr>
            <w:tcW w:w="512" w:type="pct"/>
            <w:noWrap w:val="0"/>
            <w:vAlign w:val="center"/>
          </w:tcPr>
          <w:p w14:paraId="12CC0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-N、SS</w:t>
            </w:r>
          </w:p>
        </w:tc>
        <w:tc>
          <w:tcPr>
            <w:tcW w:w="1812" w:type="pct"/>
            <w:noWrap w:val="0"/>
            <w:vAlign w:val="center"/>
          </w:tcPr>
          <w:p w14:paraId="2F99C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生活污水依托园区现有化粪池</w:t>
            </w:r>
            <w:r>
              <w:rPr>
                <w:rFonts w:hint="eastAsia" w:ascii="Times New Roman" w:hAnsi="Times New Roman"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后，经市政污水管网进入龙湖工业园污水处理厂进行深度处理，循环冷却水排水为清净下水，直接通过市政污水管网进入污水处理厂进行深度处理</w:t>
            </w:r>
          </w:p>
        </w:tc>
        <w:tc>
          <w:tcPr>
            <w:tcW w:w="1113" w:type="pct"/>
            <w:noWrap w:val="0"/>
            <w:vAlign w:val="center"/>
          </w:tcPr>
          <w:p w14:paraId="040E3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《污水综合排放标准》（GB8978-1996）中表4中的三级标准并满足龙湖污水处理厂的接管限值</w:t>
            </w:r>
          </w:p>
        </w:tc>
      </w:tr>
      <w:tr w14:paraId="348EB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49D4D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049" w:type="pct"/>
            <w:gridSpan w:val="2"/>
            <w:noWrap w:val="0"/>
            <w:vAlign w:val="center"/>
          </w:tcPr>
          <w:p w14:paraId="2A774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w:t>
            </w:r>
          </w:p>
        </w:tc>
        <w:tc>
          <w:tcPr>
            <w:tcW w:w="512" w:type="pct"/>
            <w:noWrap w:val="0"/>
            <w:vAlign w:val="center"/>
          </w:tcPr>
          <w:p w14:paraId="2244C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812" w:type="pct"/>
            <w:noWrap w:val="0"/>
            <w:vAlign w:val="center"/>
          </w:tcPr>
          <w:p w14:paraId="77A42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优选低噪设备，合理布局、基础减振，</w:t>
            </w:r>
            <w:r>
              <w:rPr>
                <w:rFonts w:hint="eastAsia" w:ascii="Times New Roman" w:hAnsi="Times New Roman" w:eastAsia="宋体" w:cs="Times New Roman"/>
                <w:color w:val="auto"/>
                <w:sz w:val="21"/>
                <w:szCs w:val="21"/>
                <w:lang w:val="en-US" w:eastAsia="zh-CN"/>
              </w:rPr>
              <w:t>厂房墙体中加装多层复合隔声材料</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加装隔声门、厂房外噪声源加装隔声罩</w:t>
            </w:r>
            <w:r>
              <w:rPr>
                <w:rFonts w:hint="default" w:ascii="Times New Roman" w:hAnsi="Times New Roman" w:eastAsia="宋体" w:cs="Times New Roman"/>
                <w:color w:val="auto"/>
                <w:sz w:val="21"/>
                <w:szCs w:val="21"/>
                <w:lang w:val="en-US" w:eastAsia="zh-CN"/>
              </w:rPr>
              <w:t>、距离衰减</w:t>
            </w:r>
            <w:r>
              <w:rPr>
                <w:rFonts w:hint="eastAsia" w:ascii="Times New Roman" w:hAnsi="Times New Roman" w:eastAsia="宋体" w:cs="Times New Roman"/>
                <w:color w:val="auto"/>
                <w:sz w:val="21"/>
                <w:szCs w:val="21"/>
                <w:lang w:val="en-US" w:eastAsia="zh-CN"/>
              </w:rPr>
              <w:t>等</w:t>
            </w:r>
          </w:p>
        </w:tc>
        <w:tc>
          <w:tcPr>
            <w:tcW w:w="1113" w:type="pct"/>
            <w:noWrap w:val="0"/>
            <w:vAlign w:val="center"/>
          </w:tcPr>
          <w:p w14:paraId="7866B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满足《工业企业厂界环境噪声排放标准》（GB12348-2008）</w:t>
            </w:r>
            <w:r>
              <w:rPr>
                <w:rFonts w:hint="eastAsia" w:cs="Times New Roman"/>
                <w:color w:val="auto"/>
                <w:sz w:val="21"/>
                <w:szCs w:val="21"/>
                <w:lang w:val="en-US" w:eastAsia="zh-CN"/>
              </w:rPr>
              <w:t>3类</w:t>
            </w:r>
            <w:r>
              <w:rPr>
                <w:rFonts w:hint="default" w:ascii="Times New Roman" w:hAnsi="Times New Roman" w:eastAsia="宋体" w:cs="Times New Roman"/>
                <w:color w:val="auto"/>
                <w:sz w:val="21"/>
                <w:szCs w:val="21"/>
                <w:lang w:val="en-US" w:eastAsia="zh-CN"/>
              </w:rPr>
              <w:t>标准</w:t>
            </w:r>
          </w:p>
        </w:tc>
      </w:tr>
      <w:tr w14:paraId="3362C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072A4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w:t>
            </w:r>
          </w:p>
          <w:p w14:paraId="6D3FE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辐射</w:t>
            </w:r>
          </w:p>
        </w:tc>
        <w:tc>
          <w:tcPr>
            <w:tcW w:w="1049" w:type="pct"/>
            <w:gridSpan w:val="2"/>
            <w:noWrap w:val="0"/>
            <w:vAlign w:val="center"/>
          </w:tcPr>
          <w:p w14:paraId="34DED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2" w:type="pct"/>
            <w:noWrap w:val="0"/>
            <w:vAlign w:val="center"/>
          </w:tcPr>
          <w:p w14:paraId="5869B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2" w:type="pct"/>
            <w:noWrap w:val="0"/>
            <w:vAlign w:val="center"/>
          </w:tcPr>
          <w:p w14:paraId="02BD0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3" w:type="pct"/>
            <w:noWrap w:val="0"/>
            <w:vAlign w:val="center"/>
          </w:tcPr>
          <w:p w14:paraId="69F33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87F3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14:paraId="260E7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14:paraId="114FA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4487" w:type="pct"/>
            <w:gridSpan w:val="5"/>
            <w:noWrap w:val="0"/>
            <w:vAlign w:val="center"/>
          </w:tcPr>
          <w:p w14:paraId="6A8EA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生活垃圾收集后由环卫部门统一清理；废弃包装物外售废旧物资回收单位综合处理；不合格产品、边角料等</w:t>
            </w:r>
            <w:r>
              <w:rPr>
                <w:rFonts w:hint="eastAsia" w:cs="Times New Roman"/>
                <w:color w:val="auto"/>
                <w:sz w:val="21"/>
                <w:szCs w:val="21"/>
                <w:lang w:val="en-US" w:eastAsia="zh-CN"/>
              </w:rPr>
              <w:t>外售碳纤维回收公司</w:t>
            </w:r>
            <w:r>
              <w:rPr>
                <w:rFonts w:hint="default" w:ascii="Times New Roman" w:hAnsi="Times New Roman" w:eastAsia="宋体" w:cs="Times New Roman"/>
                <w:color w:val="auto"/>
                <w:sz w:val="21"/>
                <w:szCs w:val="21"/>
                <w:lang w:val="en-US" w:eastAsia="zh-CN"/>
              </w:rPr>
              <w:t>；废润滑油及油桶、废真空泵油、废切削液、废液压油收集后由有资质的单位统一处理。一般固废在暂存满足《一般工业固体废物贮存和填埋污染控制标准》（GB 18599-2020）中相关要求</w:t>
            </w:r>
            <w:r>
              <w:rPr>
                <w:rFonts w:hint="eastAsia" w:ascii="Times New Roman" w:hAnsi="Times New Roman" w:eastAsia="宋体" w:cs="Times New Roman"/>
                <w:color w:val="auto"/>
                <w:sz w:val="21"/>
                <w:szCs w:val="21"/>
                <w:lang w:val="en-US" w:eastAsia="zh-CN"/>
              </w:rPr>
              <w:t>；危险废物暂存于危废暂存间，定期交由有资质单位处置。危废固废暂存间建设满足《危险废物贮存污染控制标准》（GB18597-2023）中的要求。</w:t>
            </w:r>
          </w:p>
        </w:tc>
      </w:tr>
      <w:tr w14:paraId="35D03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73858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14:paraId="0D7B7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4487" w:type="pct"/>
            <w:gridSpan w:val="5"/>
            <w:noWrap w:val="0"/>
            <w:vAlign w:val="center"/>
          </w:tcPr>
          <w:p w14:paraId="254FB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危险废物暂存间、事故池</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产业园现有的化粪池</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污水管线等做重点防渗；一般固废暂存场所、车间做一般防渗</w:t>
            </w:r>
            <w:r>
              <w:rPr>
                <w:rFonts w:hint="eastAsia" w:ascii="Times New Roman" w:hAnsi="Times New Roman" w:eastAsia="宋体" w:cs="Times New Roman"/>
                <w:color w:val="auto"/>
                <w:sz w:val="21"/>
                <w:szCs w:val="21"/>
                <w:lang w:val="en-US" w:eastAsia="zh-CN"/>
              </w:rPr>
              <w:t>。</w:t>
            </w:r>
          </w:p>
        </w:tc>
      </w:tr>
      <w:tr w14:paraId="3A8F8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0A13C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4487" w:type="pct"/>
            <w:gridSpan w:val="5"/>
            <w:noWrap w:val="0"/>
            <w:vAlign w:val="center"/>
          </w:tcPr>
          <w:p w14:paraId="650A7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不涉及</w:t>
            </w:r>
          </w:p>
        </w:tc>
      </w:tr>
      <w:tr w14:paraId="6AE42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03046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环境风险防范措施</w:t>
            </w:r>
          </w:p>
        </w:tc>
        <w:tc>
          <w:tcPr>
            <w:tcW w:w="4487" w:type="pct"/>
            <w:gridSpan w:val="5"/>
            <w:noWrap w:val="0"/>
            <w:vAlign w:val="center"/>
          </w:tcPr>
          <w:p w14:paraId="1B4E1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设消防、火灾报警系统；</w:t>
            </w:r>
            <w:r>
              <w:rPr>
                <w:rFonts w:hint="default" w:ascii="Times New Roman" w:hAnsi="Times New Roman" w:eastAsia="宋体" w:cs="Times New Roman"/>
                <w:color w:val="auto"/>
                <w:kern w:val="0"/>
                <w:sz w:val="21"/>
                <w:szCs w:val="21"/>
                <w:lang w:eastAsia="zh-CN" w:bidi="ar"/>
              </w:rPr>
              <w:t>编制应急预案</w:t>
            </w:r>
            <w:r>
              <w:rPr>
                <w:rFonts w:hint="eastAsia" w:ascii="Times New Roman" w:hAnsi="Times New Roman" w:eastAsia="宋体" w:cs="Times New Roman"/>
                <w:color w:val="auto"/>
                <w:kern w:val="0"/>
                <w:sz w:val="21"/>
                <w:szCs w:val="21"/>
                <w:lang w:eastAsia="zh-CN" w:bidi="ar"/>
              </w:rPr>
              <w:t>；</w:t>
            </w:r>
            <w:r>
              <w:rPr>
                <w:rFonts w:hint="default" w:ascii="Times New Roman" w:hAnsi="Times New Roman" w:cs="Times New Roman"/>
                <w:sz w:val="21"/>
                <w:szCs w:val="21"/>
              </w:rPr>
              <w:t>应急事故池容积不小于</w:t>
            </w:r>
            <w:r>
              <w:rPr>
                <w:rFonts w:hint="eastAsia" w:ascii="Times New Roman" w:hAnsi="Times New Roman" w:cs="Times New Roman"/>
                <w:sz w:val="21"/>
                <w:szCs w:val="21"/>
                <w:lang w:val="en-US" w:eastAsia="zh-CN"/>
              </w:rPr>
              <w:t>72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p>
        </w:tc>
      </w:tr>
      <w:tr w14:paraId="2FA89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14:paraId="4749D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8" w:lineRule="exact"/>
              <w:ind w:left="0" w:right="0"/>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其他环境管理要求</w:t>
            </w:r>
          </w:p>
        </w:tc>
        <w:tc>
          <w:tcPr>
            <w:tcW w:w="4487" w:type="pct"/>
            <w:gridSpan w:val="5"/>
            <w:noWrap w:val="0"/>
            <w:vAlign w:val="center"/>
          </w:tcPr>
          <w:p w14:paraId="48E13AE5">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自行</w:t>
            </w:r>
            <w:r>
              <w:rPr>
                <w:rFonts w:hint="default" w:ascii="Times New Roman" w:hAnsi="Times New Roman" w:eastAsia="宋体" w:cs="Times New Roman"/>
                <w:color w:val="auto"/>
                <w:sz w:val="24"/>
                <w:szCs w:val="24"/>
                <w:lang w:val="en-US" w:eastAsia="zh-CN"/>
              </w:rPr>
              <w:t>监测</w:t>
            </w:r>
            <w:r>
              <w:rPr>
                <w:rFonts w:hint="eastAsia" w:ascii="Times New Roman" w:hAnsi="Times New Roman" w:eastAsia="宋体" w:cs="Times New Roman"/>
                <w:color w:val="auto"/>
                <w:sz w:val="24"/>
                <w:szCs w:val="24"/>
                <w:lang w:val="en-US" w:eastAsia="zh-CN"/>
              </w:rPr>
              <w:t>；</w:t>
            </w:r>
          </w:p>
          <w:p w14:paraId="3107F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cs="Times New Roman"/>
                <w:color w:val="auto"/>
                <w:sz w:val="24"/>
                <w:szCs w:val="24"/>
                <w:lang w:eastAsia="zh-CN"/>
              </w:rPr>
              <w:t>根据</w:t>
            </w:r>
            <w:r>
              <w:rPr>
                <w:rFonts w:hint="eastAsia" w:cs="Times New Roman"/>
                <w:color w:val="auto"/>
                <w:kern w:val="0"/>
                <w:sz w:val="24"/>
                <w:szCs w:val="20"/>
                <w:lang w:val="en-US" w:eastAsia="zh-CN" w:bidi="ar-SA"/>
              </w:rPr>
              <w:t>《排污单位自行监测技术指南总则》(HJ 819-2017)、</w:t>
            </w:r>
            <w:r>
              <w:rPr>
                <w:rFonts w:hint="eastAsia" w:ascii="Times New Roman" w:hAnsi="Times New Roman" w:eastAsia="宋体" w:cs="Times New Roman"/>
                <w:color w:val="auto"/>
                <w:kern w:val="0"/>
                <w:sz w:val="24"/>
                <w:szCs w:val="20"/>
                <w:lang w:val="en-US" w:eastAsia="zh-CN" w:bidi="ar-SA"/>
              </w:rPr>
              <w:t>《排污许可证申请与核发技术规范·汽车制造业》(HJ971-2018)、《排污许可申请与核发技术规范 总则》（HJ942-2018），提出环境监测计划</w:t>
            </w:r>
            <w:r>
              <w:rPr>
                <w:rFonts w:hint="default" w:ascii="Times New Roman" w:hAnsi="Times New Roman" w:eastAsia="宋体" w:cs="Times New Roman"/>
                <w:color w:val="auto"/>
                <w:kern w:val="0"/>
                <w:sz w:val="24"/>
                <w:szCs w:val="20"/>
                <w:lang w:val="en-US" w:eastAsia="zh-CN" w:bidi="ar-SA"/>
              </w:rPr>
              <w:t>。</w:t>
            </w:r>
          </w:p>
          <w:p w14:paraId="020BA9D0">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eastAsia" w:ascii="Times New Roman" w:hAnsi="Times New Roman" w:eastAsia="宋体" w:cs="Times New Roman"/>
                <w:b/>
                <w:bCs/>
                <w:color w:val="auto"/>
                <w:sz w:val="21"/>
                <w:szCs w:val="21"/>
                <w:lang w:val="en-US" w:eastAsia="zh-CN"/>
              </w:rPr>
              <w:t>表5-1  废气污染物监测计划</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757"/>
              <w:gridCol w:w="898"/>
              <w:gridCol w:w="998"/>
              <w:gridCol w:w="2718"/>
              <w:gridCol w:w="1560"/>
            </w:tblGrid>
            <w:tr w14:paraId="5CE3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4" w:type="pct"/>
                  <w:tcBorders>
                    <w:top w:val="single" w:color="000000" w:sz="4" w:space="0"/>
                    <w:left w:val="single" w:color="000000" w:sz="4" w:space="0"/>
                    <w:bottom w:val="single" w:color="000000" w:sz="4" w:space="0"/>
                    <w:right w:val="single" w:color="000000" w:sz="4" w:space="0"/>
                  </w:tcBorders>
                  <w:noWrap w:val="0"/>
                  <w:vAlign w:val="center"/>
                </w:tcPr>
                <w:p w14:paraId="6BB15C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监测时期</w:t>
                  </w:r>
                </w:p>
              </w:tc>
              <w:tc>
                <w:tcPr>
                  <w:tcW w:w="479" w:type="pct"/>
                  <w:tcBorders>
                    <w:top w:val="single" w:color="000000" w:sz="4" w:space="0"/>
                    <w:left w:val="nil"/>
                    <w:bottom w:val="single" w:color="000000" w:sz="4" w:space="0"/>
                    <w:right w:val="single" w:color="000000" w:sz="4" w:space="0"/>
                  </w:tcBorders>
                  <w:noWrap w:val="0"/>
                  <w:vAlign w:val="center"/>
                </w:tcPr>
                <w:p w14:paraId="4F8EB7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199" w:type="pct"/>
                  <w:gridSpan w:val="2"/>
                  <w:tcBorders>
                    <w:top w:val="single" w:color="000000" w:sz="4" w:space="0"/>
                    <w:left w:val="nil"/>
                    <w:bottom w:val="single" w:color="000000" w:sz="4" w:space="0"/>
                    <w:right w:val="single" w:color="000000" w:sz="4" w:space="0"/>
                  </w:tcBorders>
                  <w:noWrap w:val="0"/>
                  <w:vAlign w:val="center"/>
                </w:tcPr>
                <w:p w14:paraId="60D1F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719" w:type="pct"/>
                  <w:tcBorders>
                    <w:top w:val="single" w:color="000000" w:sz="4" w:space="0"/>
                    <w:left w:val="nil"/>
                    <w:bottom w:val="single" w:color="000000" w:sz="4" w:space="0"/>
                    <w:right w:val="single" w:color="000000" w:sz="4" w:space="0"/>
                  </w:tcBorders>
                  <w:noWrap w:val="0"/>
                  <w:vAlign w:val="center"/>
                </w:tcPr>
                <w:p w14:paraId="29D927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w:t>
                  </w:r>
                </w:p>
              </w:tc>
              <w:tc>
                <w:tcPr>
                  <w:tcW w:w="987" w:type="pct"/>
                  <w:tcBorders>
                    <w:top w:val="single" w:color="000000" w:sz="4" w:space="0"/>
                    <w:left w:val="nil"/>
                    <w:bottom w:val="single" w:color="000000" w:sz="4" w:space="0"/>
                    <w:right w:val="single" w:color="000000" w:sz="4" w:space="0"/>
                  </w:tcBorders>
                  <w:noWrap w:val="0"/>
                  <w:vAlign w:val="center"/>
                </w:tcPr>
                <w:p w14:paraId="2EE262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14:paraId="001B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14" w:type="pct"/>
                  <w:vMerge w:val="restart"/>
                  <w:tcBorders>
                    <w:left w:val="single" w:color="000000" w:sz="4" w:space="0"/>
                    <w:right w:val="single" w:color="000000" w:sz="4" w:space="0"/>
                  </w:tcBorders>
                  <w:noWrap w:val="0"/>
                  <w:vAlign w:val="center"/>
                </w:tcPr>
                <w:p w14:paraId="0C9E0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运营期</w:t>
                  </w:r>
                </w:p>
              </w:tc>
              <w:tc>
                <w:tcPr>
                  <w:tcW w:w="479" w:type="pct"/>
                  <w:vMerge w:val="restart"/>
                  <w:tcBorders>
                    <w:top w:val="single" w:color="000000" w:sz="4" w:space="0"/>
                    <w:left w:val="nil"/>
                    <w:right w:val="single" w:color="000000" w:sz="4" w:space="0"/>
                  </w:tcBorders>
                  <w:noWrap w:val="0"/>
                  <w:vAlign w:val="center"/>
                </w:tcPr>
                <w:p w14:paraId="11771C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废气</w:t>
                  </w:r>
                </w:p>
              </w:tc>
              <w:tc>
                <w:tcPr>
                  <w:tcW w:w="568" w:type="pct"/>
                  <w:vMerge w:val="restart"/>
                  <w:tcBorders>
                    <w:top w:val="single" w:color="000000" w:sz="4" w:space="0"/>
                    <w:left w:val="nil"/>
                    <w:right w:val="single" w:color="000000" w:sz="4" w:space="0"/>
                  </w:tcBorders>
                  <w:noWrap w:val="0"/>
                  <w:vAlign w:val="center"/>
                </w:tcPr>
                <w:p w14:paraId="67C7F9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631" w:type="pct"/>
                  <w:tcBorders>
                    <w:top w:val="single" w:color="000000" w:sz="4" w:space="0"/>
                    <w:left w:val="nil"/>
                    <w:bottom w:val="single" w:color="000000" w:sz="4" w:space="0"/>
                    <w:right w:val="single" w:color="000000" w:sz="4" w:space="0"/>
                  </w:tcBorders>
                  <w:noWrap w:val="0"/>
                  <w:vAlign w:val="center"/>
                </w:tcPr>
                <w:p w14:paraId="2644EF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非甲烷总烃</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颗粒物、二氧化硫、氮氧化物</w:t>
                  </w:r>
                </w:p>
              </w:tc>
              <w:tc>
                <w:tcPr>
                  <w:tcW w:w="1719" w:type="pct"/>
                  <w:tcBorders>
                    <w:top w:val="single" w:color="000000" w:sz="4" w:space="0"/>
                    <w:left w:val="nil"/>
                    <w:bottom w:val="single" w:color="000000" w:sz="4" w:space="0"/>
                    <w:right w:val="single" w:color="000000" w:sz="4" w:space="0"/>
                  </w:tcBorders>
                  <w:noWrap w:val="0"/>
                  <w:vAlign w:val="center"/>
                </w:tcPr>
                <w:p w14:paraId="346E65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bCs/>
                      <w:kern w:val="0"/>
                      <w:szCs w:val="21"/>
                      <w:lang w:val="en-US" w:eastAsia="zh-CN"/>
                    </w:rPr>
                    <w:t>DA001</w:t>
                  </w:r>
                </w:p>
              </w:tc>
              <w:tc>
                <w:tcPr>
                  <w:tcW w:w="987" w:type="pct"/>
                  <w:tcBorders>
                    <w:top w:val="single" w:color="000000" w:sz="4" w:space="0"/>
                    <w:left w:val="nil"/>
                    <w:bottom w:val="single" w:color="000000" w:sz="4" w:space="0"/>
                    <w:right w:val="single" w:color="000000" w:sz="4" w:space="0"/>
                  </w:tcBorders>
                  <w:noWrap w:val="0"/>
                  <w:vAlign w:val="center"/>
                </w:tcPr>
                <w:p w14:paraId="746FC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lang w:val="en-US" w:eastAsia="zh-CN"/>
                    </w:rPr>
                    <w:t>每年一次</w:t>
                  </w:r>
                </w:p>
              </w:tc>
            </w:tr>
            <w:tr w14:paraId="328A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21B46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602075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568" w:type="pct"/>
                  <w:vMerge w:val="continue"/>
                  <w:tcBorders>
                    <w:left w:val="nil"/>
                    <w:bottom w:val="single" w:color="000000" w:sz="4" w:space="0"/>
                    <w:right w:val="single" w:color="000000" w:sz="4" w:space="0"/>
                  </w:tcBorders>
                  <w:noWrap w:val="0"/>
                  <w:vAlign w:val="center"/>
                </w:tcPr>
                <w:p w14:paraId="10D90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631" w:type="pct"/>
                  <w:tcBorders>
                    <w:top w:val="single" w:color="000000" w:sz="4" w:space="0"/>
                    <w:left w:val="nil"/>
                    <w:bottom w:val="single" w:color="000000" w:sz="4" w:space="0"/>
                    <w:right w:val="single" w:color="000000" w:sz="4" w:space="0"/>
                  </w:tcBorders>
                  <w:noWrap w:val="0"/>
                  <w:vAlign w:val="center"/>
                </w:tcPr>
                <w:p w14:paraId="1F91B6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颗粒物</w:t>
                  </w:r>
                </w:p>
              </w:tc>
              <w:tc>
                <w:tcPr>
                  <w:tcW w:w="1719" w:type="pct"/>
                  <w:tcBorders>
                    <w:top w:val="single" w:color="000000" w:sz="4" w:space="0"/>
                    <w:left w:val="nil"/>
                    <w:bottom w:val="single" w:color="000000" w:sz="4" w:space="0"/>
                    <w:right w:val="single" w:color="000000" w:sz="4" w:space="0"/>
                  </w:tcBorders>
                  <w:noWrap w:val="0"/>
                  <w:vAlign w:val="center"/>
                </w:tcPr>
                <w:p w14:paraId="56C9A4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kern w:val="0"/>
                      <w:szCs w:val="21"/>
                      <w:lang w:val="en-US" w:eastAsia="zh-CN"/>
                    </w:rPr>
                    <w:t>DA002</w:t>
                  </w:r>
                </w:p>
              </w:tc>
              <w:tc>
                <w:tcPr>
                  <w:tcW w:w="987" w:type="pct"/>
                  <w:tcBorders>
                    <w:top w:val="single" w:color="000000" w:sz="4" w:space="0"/>
                    <w:left w:val="nil"/>
                    <w:bottom w:val="single" w:color="000000" w:sz="4" w:space="0"/>
                    <w:right w:val="single" w:color="000000" w:sz="4" w:space="0"/>
                  </w:tcBorders>
                  <w:noWrap w:val="0"/>
                  <w:vAlign w:val="center"/>
                </w:tcPr>
                <w:p w14:paraId="0A650A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lang w:val="en-US" w:eastAsia="zh-CN"/>
                    </w:rPr>
                    <w:t>每年一次</w:t>
                  </w:r>
                </w:p>
              </w:tc>
            </w:tr>
            <w:tr w14:paraId="0CC9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6AC9F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798963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568" w:type="pct"/>
                  <w:vMerge w:val="restart"/>
                  <w:tcBorders>
                    <w:top w:val="single" w:color="000000" w:sz="4" w:space="0"/>
                    <w:left w:val="nil"/>
                    <w:right w:val="single" w:color="000000" w:sz="4" w:space="0"/>
                  </w:tcBorders>
                  <w:noWrap w:val="0"/>
                  <w:vAlign w:val="center"/>
                </w:tcPr>
                <w:p w14:paraId="72CD03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w:t>
                  </w:r>
                </w:p>
              </w:tc>
              <w:tc>
                <w:tcPr>
                  <w:tcW w:w="631" w:type="pct"/>
                  <w:tcBorders>
                    <w:top w:val="single" w:color="000000" w:sz="4" w:space="0"/>
                    <w:left w:val="nil"/>
                    <w:bottom w:val="single" w:color="000000" w:sz="4" w:space="0"/>
                    <w:right w:val="single" w:color="000000" w:sz="4" w:space="0"/>
                  </w:tcBorders>
                  <w:noWrap w:val="0"/>
                  <w:vAlign w:val="center"/>
                </w:tcPr>
                <w:p w14:paraId="3A07A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719" w:type="pct"/>
                  <w:tcBorders>
                    <w:top w:val="single" w:color="000000" w:sz="4" w:space="0"/>
                    <w:left w:val="nil"/>
                    <w:bottom w:val="single" w:color="000000" w:sz="4" w:space="0"/>
                    <w:right w:val="single" w:color="000000" w:sz="4" w:space="0"/>
                  </w:tcBorders>
                  <w:noWrap w:val="0"/>
                  <w:vAlign w:val="center"/>
                </w:tcPr>
                <w:p w14:paraId="4CD5FC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厂界外上风向1处，下风向3处</w:t>
                  </w:r>
                </w:p>
              </w:tc>
              <w:tc>
                <w:tcPr>
                  <w:tcW w:w="987" w:type="pct"/>
                  <w:tcBorders>
                    <w:top w:val="single" w:color="000000" w:sz="4" w:space="0"/>
                    <w:left w:val="nil"/>
                    <w:bottom w:val="single" w:color="000000" w:sz="4" w:space="0"/>
                    <w:right w:val="single" w:color="000000" w:sz="4" w:space="0"/>
                  </w:tcBorders>
                  <w:noWrap w:val="0"/>
                  <w:vAlign w:val="center"/>
                </w:tcPr>
                <w:p w14:paraId="1A27FD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每年一次</w:t>
                  </w:r>
                </w:p>
              </w:tc>
            </w:tr>
            <w:tr w14:paraId="399D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14" w:type="pct"/>
                  <w:vMerge w:val="continue"/>
                  <w:tcBorders>
                    <w:left w:val="single" w:color="000000" w:sz="4" w:space="0"/>
                    <w:right w:val="single" w:color="000000" w:sz="4" w:space="0"/>
                  </w:tcBorders>
                  <w:noWrap w:val="0"/>
                  <w:vAlign w:val="center"/>
                </w:tcPr>
                <w:p w14:paraId="4A861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479" w:type="pct"/>
                  <w:vMerge w:val="continue"/>
                  <w:tcBorders>
                    <w:left w:val="nil"/>
                    <w:right w:val="single" w:color="000000" w:sz="4" w:space="0"/>
                  </w:tcBorders>
                  <w:noWrap w:val="0"/>
                  <w:vAlign w:val="center"/>
                </w:tcPr>
                <w:p w14:paraId="5EB378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568" w:type="pct"/>
                  <w:vMerge w:val="continue"/>
                  <w:tcBorders>
                    <w:left w:val="nil"/>
                    <w:bottom w:val="single" w:color="000000" w:sz="4" w:space="0"/>
                    <w:right w:val="single" w:color="000000" w:sz="4" w:space="0"/>
                  </w:tcBorders>
                  <w:noWrap w:val="0"/>
                  <w:vAlign w:val="center"/>
                </w:tcPr>
                <w:p w14:paraId="188BC0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c>
                <w:tcPr>
                  <w:tcW w:w="631" w:type="pct"/>
                  <w:tcBorders>
                    <w:top w:val="single" w:color="000000" w:sz="4" w:space="0"/>
                    <w:left w:val="nil"/>
                    <w:bottom w:val="single" w:color="000000" w:sz="4" w:space="0"/>
                    <w:right w:val="single" w:color="000000" w:sz="4" w:space="0"/>
                  </w:tcBorders>
                  <w:noWrap w:val="0"/>
                  <w:vAlign w:val="center"/>
                </w:tcPr>
                <w:p w14:paraId="14903D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kern w:val="0"/>
                      <w:szCs w:val="21"/>
                    </w:rPr>
                    <w:t>非甲烷总烃</w:t>
                  </w:r>
                </w:p>
              </w:tc>
              <w:tc>
                <w:tcPr>
                  <w:tcW w:w="1719" w:type="pct"/>
                  <w:tcBorders>
                    <w:top w:val="single" w:color="000000" w:sz="4" w:space="0"/>
                    <w:left w:val="nil"/>
                    <w:bottom w:val="single" w:color="000000" w:sz="4" w:space="0"/>
                    <w:right w:val="single" w:color="000000" w:sz="4" w:space="0"/>
                  </w:tcBorders>
                  <w:noWrap w:val="0"/>
                  <w:vAlign w:val="center"/>
                </w:tcPr>
                <w:p w14:paraId="7EC826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color w:val="auto"/>
                      <w:szCs w:val="21"/>
                    </w:rPr>
                    <w:t>厂房外</w:t>
                  </w:r>
                  <w:r>
                    <w:rPr>
                      <w:rFonts w:hint="eastAsia" w:ascii="Times New Roman" w:hAnsi="Times New Roman" w:cs="Times New Roman"/>
                      <w:bCs/>
                      <w:color w:val="auto"/>
                      <w:szCs w:val="21"/>
                    </w:rPr>
                    <w:t>厂区内</w:t>
                  </w:r>
                  <w:r>
                    <w:rPr>
                      <w:rFonts w:hint="eastAsia" w:ascii="Times New Roman" w:hAnsi="Times New Roman" w:eastAsia="宋体" w:cs="Times New Roman"/>
                      <w:color w:val="auto"/>
                      <w:sz w:val="21"/>
                      <w:szCs w:val="21"/>
                      <w:lang w:val="en-US" w:eastAsia="zh-CN"/>
                    </w:rPr>
                    <w:t>1处；厂界外上风向1处，下风向3处</w:t>
                  </w:r>
                </w:p>
              </w:tc>
              <w:tc>
                <w:tcPr>
                  <w:tcW w:w="987" w:type="pct"/>
                  <w:tcBorders>
                    <w:top w:val="single" w:color="000000" w:sz="4" w:space="0"/>
                    <w:left w:val="nil"/>
                    <w:bottom w:val="single" w:color="000000" w:sz="4" w:space="0"/>
                    <w:right w:val="single" w:color="000000" w:sz="4" w:space="0"/>
                  </w:tcBorders>
                  <w:noWrap w:val="0"/>
                  <w:vAlign w:val="center"/>
                </w:tcPr>
                <w:p w14:paraId="433CFA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每年一次</w:t>
                  </w:r>
                </w:p>
              </w:tc>
            </w:tr>
          </w:tbl>
          <w:p w14:paraId="42184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2、标识牌的设置</w:t>
            </w:r>
          </w:p>
          <w:p w14:paraId="54B38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应按《关于印发排放口标志牌技术规范的通知》（环办</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2005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95号）中相关规定实施，统计所有排污口的名称、位置、数量、以及排放污染物的名称、数量等内容上报当地环保部门，以便进行验收和排污口规范性管理。图形符号分别为提示图形和警告图形符号两种，分别为（GB15562.1-1995）、（GB15562.2-1995）执行，环境保护图形标志的形状及颜色见下表：</w:t>
            </w:r>
          </w:p>
          <w:p w14:paraId="46D36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b/>
                <w:bCs/>
                <w:color w:val="auto"/>
                <w:sz w:val="24"/>
                <w:szCs w:val="24"/>
                <w:lang w:val="en-US" w:eastAsia="zh-CN"/>
              </w:rPr>
              <w:t>表5-2  环境保护图形符号一览表</w:t>
            </w:r>
          </w:p>
          <w:tbl>
            <w:tblPr>
              <w:tblStyle w:val="22"/>
              <w:tblW w:w="8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482"/>
              <w:gridCol w:w="3087"/>
              <w:gridCol w:w="2406"/>
            </w:tblGrid>
            <w:tr w14:paraId="4D21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14:paraId="30DF32C7">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bCs/>
                      <w:color w:val="auto"/>
                      <w:kern w:val="2"/>
                      <w:sz w:val="21"/>
                      <w:szCs w:val="21"/>
                      <w:lang w:val="en-US" w:eastAsia="zh-CN" w:bidi="ar"/>
                    </w:rPr>
                  </w:pPr>
                  <w:r>
                    <w:rPr>
                      <w:rFonts w:hint="eastAsia" w:ascii="宋体" w:hAnsi="宋体" w:eastAsia="宋体" w:cs="宋体"/>
                      <w:b/>
                      <w:bCs/>
                      <w:color w:val="auto"/>
                      <w:kern w:val="2"/>
                      <w:sz w:val="21"/>
                      <w:szCs w:val="21"/>
                      <w:lang w:val="en-US" w:eastAsia="zh-CN" w:bidi="ar"/>
                    </w:rPr>
                    <w:t>序号</w:t>
                  </w:r>
                </w:p>
              </w:tc>
              <w:tc>
                <w:tcPr>
                  <w:tcW w:w="1482" w:type="dxa"/>
                  <w:noWrap w:val="0"/>
                  <w:vAlign w:val="center"/>
                </w:tcPr>
                <w:p w14:paraId="2C5F90D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bCs/>
                      <w:color w:val="auto"/>
                      <w:kern w:val="2"/>
                      <w:sz w:val="21"/>
                      <w:szCs w:val="21"/>
                      <w:lang w:val="en-US" w:eastAsia="zh-CN" w:bidi="ar"/>
                    </w:rPr>
                  </w:pPr>
                  <w:r>
                    <w:rPr>
                      <w:rFonts w:hint="eastAsia" w:ascii="宋体" w:hAnsi="宋体" w:eastAsia="宋体" w:cs="宋体"/>
                      <w:b/>
                      <w:bCs/>
                      <w:color w:val="auto"/>
                      <w:kern w:val="2"/>
                      <w:sz w:val="21"/>
                      <w:szCs w:val="21"/>
                      <w:lang w:val="en-US" w:eastAsia="zh-CN" w:bidi="ar"/>
                    </w:rPr>
                    <w:t>排放口</w:t>
                  </w:r>
                </w:p>
              </w:tc>
              <w:tc>
                <w:tcPr>
                  <w:tcW w:w="3087" w:type="dxa"/>
                  <w:noWrap w:val="0"/>
                  <w:vAlign w:val="center"/>
                </w:tcPr>
                <w:p w14:paraId="6A924E6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bCs/>
                      <w:color w:val="auto"/>
                      <w:kern w:val="2"/>
                      <w:sz w:val="21"/>
                      <w:szCs w:val="21"/>
                      <w:lang w:val="en-US" w:eastAsia="zh-CN" w:bidi="ar"/>
                    </w:rPr>
                  </w:pPr>
                  <w:r>
                    <w:rPr>
                      <w:rFonts w:hint="eastAsia" w:ascii="宋体" w:hAnsi="宋体" w:eastAsia="宋体" w:cs="宋体"/>
                      <w:b/>
                      <w:bCs/>
                      <w:color w:val="auto"/>
                      <w:kern w:val="2"/>
                      <w:sz w:val="21"/>
                      <w:szCs w:val="21"/>
                      <w:lang w:val="en-US" w:eastAsia="zh-CN" w:bidi="ar"/>
                    </w:rPr>
                    <w:t>提示/警告图形标识</w:t>
                  </w:r>
                </w:p>
              </w:tc>
              <w:tc>
                <w:tcPr>
                  <w:tcW w:w="2406" w:type="dxa"/>
                  <w:noWrap w:val="0"/>
                  <w:vAlign w:val="center"/>
                </w:tcPr>
                <w:p w14:paraId="4BD3631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bCs/>
                      <w:color w:val="auto"/>
                      <w:kern w:val="2"/>
                      <w:sz w:val="21"/>
                      <w:szCs w:val="21"/>
                      <w:lang w:val="en-US" w:eastAsia="zh-CN" w:bidi="ar"/>
                    </w:rPr>
                  </w:pPr>
                  <w:r>
                    <w:rPr>
                      <w:rFonts w:hint="eastAsia" w:ascii="宋体" w:hAnsi="宋体" w:eastAsia="宋体" w:cs="宋体"/>
                      <w:b/>
                      <w:bCs/>
                      <w:color w:val="auto"/>
                      <w:kern w:val="2"/>
                      <w:sz w:val="21"/>
                      <w:szCs w:val="21"/>
                      <w:lang w:val="en-US" w:eastAsia="zh-CN" w:bidi="ar"/>
                    </w:rPr>
                    <w:t>功能</w:t>
                  </w:r>
                </w:p>
              </w:tc>
            </w:tr>
            <w:tr w14:paraId="26B3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14:paraId="4BE504E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 w:val="0"/>
                      <w:bCs w:val="0"/>
                      <w:color w:val="auto"/>
                      <w:kern w:val="2"/>
                      <w:sz w:val="21"/>
                      <w:szCs w:val="21"/>
                      <w:lang w:val="en-US" w:eastAsia="zh-CN" w:bidi="ar"/>
                    </w:rPr>
                    <w:t>1</w:t>
                  </w:r>
                </w:p>
              </w:tc>
              <w:tc>
                <w:tcPr>
                  <w:tcW w:w="1482" w:type="dxa"/>
                  <w:noWrap w:val="0"/>
                  <w:vAlign w:val="center"/>
                </w:tcPr>
                <w:p w14:paraId="5C94D34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排气筒</w:t>
                  </w:r>
                </w:p>
              </w:tc>
              <w:tc>
                <w:tcPr>
                  <w:tcW w:w="3087" w:type="dxa"/>
                  <w:noWrap w:val="0"/>
                  <w:vAlign w:val="center"/>
                </w:tcPr>
                <w:p w14:paraId="0E47EB4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drawing>
                      <wp:inline distT="0" distB="0" distL="114300" distR="114300">
                        <wp:extent cx="687070" cy="694055"/>
                        <wp:effectExtent l="0" t="0" r="17780" b="10795"/>
                        <wp:docPr id="48" name="图片 57" descr="说明: 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7" descr="说明: 说明: 说明: 13003"/>
                                <pic:cNvPicPr>
                                  <a:picLocks noChangeAspect="1"/>
                                </pic:cNvPicPr>
                              </pic:nvPicPr>
                              <pic:blipFill>
                                <a:blip r:embed="rId28"/>
                                <a:stretch>
                                  <a:fillRect/>
                                </a:stretch>
                              </pic:blipFill>
                              <pic:spPr>
                                <a:xfrm>
                                  <a:off x="0" y="0"/>
                                  <a:ext cx="687070" cy="694055"/>
                                </a:xfrm>
                                <a:prstGeom prst="rect">
                                  <a:avLst/>
                                </a:prstGeom>
                                <a:noFill/>
                                <a:ln>
                                  <a:noFill/>
                                </a:ln>
                              </pic:spPr>
                            </pic:pic>
                          </a:graphicData>
                        </a:graphic>
                      </wp:inline>
                    </w:drawing>
                  </w:r>
                </w:p>
              </w:tc>
              <w:tc>
                <w:tcPr>
                  <w:tcW w:w="2406" w:type="dxa"/>
                  <w:noWrap w:val="0"/>
                  <w:vAlign w:val="center"/>
                </w:tcPr>
                <w:p w14:paraId="64DE778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表示废气向大气排放</w:t>
                  </w:r>
                </w:p>
              </w:tc>
            </w:tr>
            <w:tr w14:paraId="78A9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14:paraId="5A31F6C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 w:val="0"/>
                      <w:bCs w:val="0"/>
                      <w:color w:val="auto"/>
                      <w:kern w:val="2"/>
                      <w:sz w:val="21"/>
                      <w:szCs w:val="21"/>
                      <w:lang w:val="en-US" w:eastAsia="zh-CN" w:bidi="ar"/>
                    </w:rPr>
                    <w:t>2</w:t>
                  </w:r>
                </w:p>
              </w:tc>
              <w:tc>
                <w:tcPr>
                  <w:tcW w:w="1482" w:type="dxa"/>
                  <w:noWrap w:val="0"/>
                  <w:vAlign w:val="center"/>
                </w:tcPr>
                <w:p w14:paraId="7305B5F7">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噪声源</w:t>
                  </w:r>
                </w:p>
              </w:tc>
              <w:tc>
                <w:tcPr>
                  <w:tcW w:w="3087" w:type="dxa"/>
                  <w:noWrap w:val="0"/>
                  <w:vAlign w:val="center"/>
                </w:tcPr>
                <w:p w14:paraId="7917C4E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drawing>
                      <wp:inline distT="0" distB="0" distL="114300" distR="114300">
                        <wp:extent cx="714375" cy="714375"/>
                        <wp:effectExtent l="0" t="0" r="9525" b="9525"/>
                        <wp:docPr id="49" name="图片 58" descr="说明: 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8" descr="说明: 说明: 说明: 200602201518049853"/>
                                <pic:cNvPicPr>
                                  <a:picLocks noChangeAspect="1"/>
                                </pic:cNvPicPr>
                              </pic:nvPicPr>
                              <pic:blipFill>
                                <a:blip r:embed="rId29"/>
                                <a:stretch>
                                  <a:fillRect/>
                                </a:stretch>
                              </pic:blipFill>
                              <pic:spPr>
                                <a:xfrm>
                                  <a:off x="0" y="0"/>
                                  <a:ext cx="714375" cy="714375"/>
                                </a:xfrm>
                                <a:prstGeom prst="rect">
                                  <a:avLst/>
                                </a:prstGeom>
                                <a:noFill/>
                                <a:ln>
                                  <a:noFill/>
                                </a:ln>
                              </pic:spPr>
                            </pic:pic>
                          </a:graphicData>
                        </a:graphic>
                      </wp:inline>
                    </w:drawing>
                  </w:r>
                </w:p>
              </w:tc>
              <w:tc>
                <w:tcPr>
                  <w:tcW w:w="2406" w:type="dxa"/>
                  <w:noWrap w:val="0"/>
                  <w:vAlign w:val="center"/>
                </w:tcPr>
                <w:p w14:paraId="2778844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表示噪声向外环境排放</w:t>
                  </w:r>
                </w:p>
              </w:tc>
            </w:tr>
          </w:tbl>
          <w:p w14:paraId="5403D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val="0"/>
                <w:bCs/>
                <w:color w:val="auto"/>
                <w:sz w:val="24"/>
                <w:szCs w:val="24"/>
              </w:rPr>
            </w:pPr>
            <w:r>
              <w:rPr>
                <w:rFonts w:hint="eastAsia" w:ascii="Times New Roman" w:hAnsi="Times New Roman" w:eastAsia="仿宋_GB2312" w:cs="Times New Roman"/>
                <w:b w:val="0"/>
                <w:bCs/>
                <w:color w:val="auto"/>
                <w:sz w:val="24"/>
                <w:szCs w:val="24"/>
                <w:lang w:val="en-US" w:eastAsia="zh-CN"/>
              </w:rPr>
              <w:t>3</w:t>
            </w:r>
            <w:r>
              <w:rPr>
                <w:rFonts w:hint="default" w:ascii="Times New Roman" w:hAnsi="Times New Roman" w:eastAsia="宋体" w:cs="Times New Roman"/>
                <w:b w:val="0"/>
                <w:bCs/>
                <w:color w:val="auto"/>
                <w:sz w:val="24"/>
                <w:szCs w:val="24"/>
              </w:rPr>
              <w:t>、环保投资</w:t>
            </w:r>
          </w:p>
          <w:p w14:paraId="670C5B6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color w:val="auto"/>
                <w:sz w:val="24"/>
                <w:szCs w:val="24"/>
              </w:rPr>
              <w:t>该项目总</w:t>
            </w:r>
            <w:r>
              <w:rPr>
                <w:rFonts w:hint="default" w:ascii="Times New Roman" w:hAnsi="Times New Roman" w:eastAsia="宋体" w:cs="Times New Roman"/>
                <w:bCs/>
                <w:color w:val="auto"/>
                <w:sz w:val="24"/>
                <w:szCs w:val="24"/>
              </w:rPr>
              <w:t>投资</w:t>
            </w:r>
            <w:r>
              <w:rPr>
                <w:rFonts w:hint="eastAsia" w:cs="Times New Roman"/>
                <w:bCs/>
                <w:color w:val="auto"/>
                <w:sz w:val="24"/>
                <w:szCs w:val="24"/>
                <w:lang w:val="en-US" w:eastAsia="zh-CN"/>
              </w:rPr>
              <w:t>9000万</w:t>
            </w:r>
            <w:r>
              <w:rPr>
                <w:rFonts w:hint="default" w:ascii="Times New Roman" w:hAnsi="Times New Roman" w:eastAsia="宋体" w:cs="Times New Roman"/>
                <w:color w:val="auto"/>
                <w:sz w:val="24"/>
                <w:szCs w:val="24"/>
              </w:rPr>
              <w:t>元</w:t>
            </w:r>
            <w:r>
              <w:rPr>
                <w:rFonts w:hint="default" w:ascii="Times New Roman" w:hAnsi="Times New Roman" w:eastAsia="宋体" w:cs="Times New Roman"/>
                <w:bCs/>
                <w:color w:val="auto"/>
                <w:sz w:val="24"/>
                <w:szCs w:val="24"/>
              </w:rPr>
              <w:t>，其中环保投资万元，占总投资的</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，主要用于大气、废水、固体废物和噪声污染的治理。环保投资估算详见下表。</w:t>
            </w:r>
          </w:p>
          <w:p w14:paraId="2BE97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5-3</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 xml:space="preserve"> 环保治理投资估算</w:t>
            </w:r>
            <w:r>
              <w:rPr>
                <w:rFonts w:hint="eastAsia" w:ascii="Times New Roman" w:hAnsi="Times New Roman" w:eastAsia="宋体" w:cs="Times New Roman"/>
                <w:b/>
                <w:color w:val="auto"/>
                <w:kern w:val="0"/>
                <w:sz w:val="24"/>
                <w:szCs w:val="24"/>
                <w:lang w:val="en-US" w:eastAsia="zh-CN"/>
              </w:rPr>
              <w:t xml:space="preserve">  单位：</w:t>
            </w:r>
            <w:r>
              <w:rPr>
                <w:rFonts w:hint="default" w:ascii="Times New Roman" w:hAnsi="Times New Roman" w:eastAsia="宋体" w:cs="Times New Roman"/>
                <w:b/>
                <w:bCs/>
                <w:color w:val="auto"/>
                <w:kern w:val="0"/>
                <w:sz w:val="21"/>
                <w:szCs w:val="21"/>
                <w:lang w:bidi="ar"/>
              </w:rPr>
              <w:t>万元</w:t>
            </w:r>
          </w:p>
          <w:tbl>
            <w:tblPr>
              <w:tblStyle w:val="21"/>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81"/>
              <w:gridCol w:w="456"/>
              <w:gridCol w:w="1354"/>
              <w:gridCol w:w="4754"/>
              <w:gridCol w:w="611"/>
            </w:tblGrid>
            <w:tr w14:paraId="578C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noWrap w:val="0"/>
                  <w:vAlign w:val="center"/>
                </w:tcPr>
                <w:p w14:paraId="27645C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序号</w:t>
                  </w:r>
                </w:p>
              </w:tc>
              <w:tc>
                <w:tcPr>
                  <w:tcW w:w="2291" w:type="dxa"/>
                  <w:gridSpan w:val="3"/>
                  <w:noWrap w:val="0"/>
                  <w:vAlign w:val="center"/>
                </w:tcPr>
                <w:p w14:paraId="276D9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类别</w:t>
                  </w:r>
                </w:p>
              </w:tc>
              <w:tc>
                <w:tcPr>
                  <w:tcW w:w="4754" w:type="dxa"/>
                  <w:noWrap w:val="0"/>
                  <w:vAlign w:val="center"/>
                </w:tcPr>
                <w:p w14:paraId="2B1D6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项目</w:t>
                  </w:r>
                </w:p>
              </w:tc>
              <w:tc>
                <w:tcPr>
                  <w:tcW w:w="611" w:type="dxa"/>
                  <w:noWrap w:val="0"/>
                  <w:vAlign w:val="center"/>
                </w:tcPr>
                <w:p w14:paraId="48A64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投资</w:t>
                  </w:r>
                </w:p>
              </w:tc>
            </w:tr>
            <w:tr w14:paraId="0FBD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noWrap w:val="0"/>
                  <w:vAlign w:val="center"/>
                </w:tcPr>
                <w:p w14:paraId="39C9F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481" w:type="dxa"/>
                  <w:noWrap w:val="0"/>
                  <w:vAlign w:val="center"/>
                </w:tcPr>
                <w:p w14:paraId="2D661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废水</w:t>
                  </w:r>
                </w:p>
              </w:tc>
              <w:tc>
                <w:tcPr>
                  <w:tcW w:w="1810" w:type="dxa"/>
                  <w:gridSpan w:val="2"/>
                  <w:noWrap w:val="0"/>
                  <w:vAlign w:val="center"/>
                </w:tcPr>
                <w:p w14:paraId="0366B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生活污水</w:t>
                  </w:r>
                  <w:r>
                    <w:rPr>
                      <w:rFonts w:hint="eastAsia" w:ascii="Times New Roman" w:hAnsi="Times New Roman" w:eastAsia="宋体" w:cs="Times New Roman"/>
                      <w:color w:val="auto"/>
                      <w:kern w:val="0"/>
                      <w:sz w:val="21"/>
                      <w:szCs w:val="21"/>
                      <w:lang w:val="en-US" w:eastAsia="zh-CN" w:bidi="ar"/>
                    </w:rPr>
                    <w:t>、循环冷却水排水</w:t>
                  </w:r>
                </w:p>
              </w:tc>
              <w:tc>
                <w:tcPr>
                  <w:tcW w:w="4754" w:type="dxa"/>
                  <w:noWrap w:val="0"/>
                  <w:vAlign w:val="center"/>
                </w:tcPr>
                <w:p w14:paraId="23F48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sz w:val="21"/>
                      <w:szCs w:val="21"/>
                      <w:lang w:val="en-US" w:eastAsia="zh-CN"/>
                    </w:rPr>
                    <w:t>生活污水依托园区现有化粪池</w:t>
                  </w:r>
                  <w:r>
                    <w:rPr>
                      <w:rFonts w:hint="eastAsia" w:ascii="Times New Roman" w:hAnsi="Times New Roman"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后，经市政污水管网进入龙湖工业园污水处理厂进行深度处理，循环冷却水排水为清净下水，直接通过市政污水管网进入污水处理厂进行深度处理</w:t>
                  </w:r>
                </w:p>
              </w:tc>
              <w:tc>
                <w:tcPr>
                  <w:tcW w:w="611" w:type="dxa"/>
                  <w:noWrap w:val="0"/>
                  <w:vAlign w:val="center"/>
                </w:tcPr>
                <w:p w14:paraId="4D119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2</w:t>
                  </w:r>
                </w:p>
              </w:tc>
            </w:tr>
            <w:tr w14:paraId="603D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3" w:type="dxa"/>
                  <w:vMerge w:val="restart"/>
                  <w:noWrap w:val="0"/>
                  <w:vAlign w:val="center"/>
                </w:tcPr>
                <w:p w14:paraId="4E745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481" w:type="dxa"/>
                  <w:vMerge w:val="restart"/>
                  <w:noWrap w:val="0"/>
                  <w:vAlign w:val="center"/>
                </w:tcPr>
                <w:p w14:paraId="35D1E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废气</w:t>
                  </w:r>
                </w:p>
              </w:tc>
              <w:tc>
                <w:tcPr>
                  <w:tcW w:w="456" w:type="dxa"/>
                  <w:vMerge w:val="restart"/>
                  <w:noWrap w:val="0"/>
                  <w:vAlign w:val="center"/>
                </w:tcPr>
                <w:p w14:paraId="7A140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有组织</w:t>
                  </w:r>
                </w:p>
              </w:tc>
              <w:tc>
                <w:tcPr>
                  <w:tcW w:w="1354" w:type="dxa"/>
                  <w:noWrap w:val="0"/>
                  <w:vAlign w:val="center"/>
                </w:tcPr>
                <w:p w14:paraId="18733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r>
                    <w:rPr>
                      <w:rFonts w:hint="eastAsia" w:cs="Times New Roman"/>
                      <w:bCs/>
                      <w:color w:val="auto"/>
                      <w:sz w:val="21"/>
                      <w:szCs w:val="21"/>
                      <w:lang w:val="en-US" w:eastAsia="zh-CN"/>
                    </w:rPr>
                    <w:t>、</w:t>
                  </w:r>
                </w:p>
                <w:p w14:paraId="126B6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沉积废气、碳化废气和真空泵油雾废气</w:t>
                  </w:r>
                </w:p>
              </w:tc>
              <w:tc>
                <w:tcPr>
                  <w:tcW w:w="4754" w:type="dxa"/>
                  <w:noWrap w:val="0"/>
                  <w:vAlign w:val="center"/>
                </w:tcPr>
                <w:p w14:paraId="5D436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TO燃烧器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5</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611" w:type="dxa"/>
                  <w:vMerge w:val="restart"/>
                  <w:noWrap w:val="0"/>
                  <w:vAlign w:val="center"/>
                </w:tcPr>
                <w:p w14:paraId="6FDD2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w:t>
                  </w:r>
                  <w:r>
                    <w:rPr>
                      <w:rFonts w:hint="eastAsia" w:ascii="Times New Roman" w:hAnsi="Times New Roman" w:eastAsia="宋体" w:cs="Times New Roman"/>
                      <w:color w:val="auto"/>
                      <w:kern w:val="0"/>
                      <w:sz w:val="21"/>
                      <w:szCs w:val="21"/>
                      <w:lang w:val="en-US" w:eastAsia="zh-CN" w:bidi="ar"/>
                    </w:rPr>
                    <w:t>0.0</w:t>
                  </w:r>
                </w:p>
              </w:tc>
            </w:tr>
            <w:tr w14:paraId="50F1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3" w:type="dxa"/>
                  <w:vMerge w:val="continue"/>
                  <w:noWrap w:val="0"/>
                  <w:vAlign w:val="center"/>
                </w:tcPr>
                <w:p w14:paraId="27E5E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481" w:type="dxa"/>
                  <w:vMerge w:val="continue"/>
                  <w:noWrap w:val="0"/>
                  <w:vAlign w:val="center"/>
                </w:tcPr>
                <w:p w14:paraId="0BBEA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456" w:type="dxa"/>
                  <w:vMerge w:val="continue"/>
                  <w:noWrap w:val="0"/>
                  <w:vAlign w:val="center"/>
                </w:tcPr>
                <w:p w14:paraId="573AD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rPr>
                  </w:pPr>
                </w:p>
              </w:tc>
              <w:tc>
                <w:tcPr>
                  <w:tcW w:w="1354" w:type="dxa"/>
                  <w:noWrap w:val="0"/>
                  <w:vAlign w:val="center"/>
                </w:tcPr>
                <w:p w14:paraId="6D8FE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混料粉尘和加工废气</w:t>
                  </w:r>
                </w:p>
              </w:tc>
              <w:tc>
                <w:tcPr>
                  <w:tcW w:w="4754" w:type="dxa"/>
                  <w:noWrap w:val="0"/>
                  <w:vAlign w:val="center"/>
                </w:tcPr>
                <w:p w14:paraId="338E9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bidi="ar"/>
                    </w:rPr>
                    <w:t>“</w:t>
                  </w:r>
                  <w:r>
                    <w:rPr>
                      <w:rFonts w:hint="eastAsia" w:cs="Times New Roman"/>
                      <w:b w:val="0"/>
                      <w:bCs w:val="0"/>
                      <w:color w:val="auto"/>
                      <w:sz w:val="21"/>
                      <w:szCs w:val="21"/>
                      <w:lang w:val="en-US" w:eastAsia="zh-CN" w:bidi="ar"/>
                    </w:rPr>
                    <w:t>管道收集</w:t>
                  </w:r>
                  <w:r>
                    <w:rPr>
                      <w:rFonts w:hint="default" w:ascii="Times New Roman" w:hAnsi="Times New Roman" w:eastAsia="宋体" w:cs="Times New Roman"/>
                      <w:b w:val="0"/>
                      <w:bCs w:val="0"/>
                      <w:color w:val="auto"/>
                      <w:sz w:val="21"/>
                      <w:szCs w:val="21"/>
                      <w:lang w:val="en-US" w:eastAsia="zh-CN" w:bidi="ar"/>
                    </w:rPr>
                    <w:t>收集+</w:t>
                  </w:r>
                  <w:r>
                    <w:rPr>
                      <w:rFonts w:hint="eastAsia" w:cs="Times New Roman"/>
                      <w:b w:val="0"/>
                      <w:bCs w:val="0"/>
                      <w:color w:val="auto"/>
                      <w:sz w:val="21"/>
                      <w:szCs w:val="21"/>
                      <w:lang w:val="en-US" w:eastAsia="zh-CN" w:bidi="ar"/>
                    </w:rPr>
                    <w:t>布袋除尘器</w:t>
                  </w:r>
                  <w:r>
                    <w:rPr>
                      <w:rFonts w:hint="default" w:ascii="Times New Roman" w:hAnsi="Times New Roman" w:eastAsia="宋体" w:cs="Times New Roman"/>
                      <w:b w:val="0"/>
                      <w:bCs w:val="0"/>
                      <w:color w:val="auto"/>
                      <w:sz w:val="21"/>
                      <w:szCs w:val="21"/>
                      <w:lang w:val="en-US" w:eastAsia="zh-CN" w:bidi="ar"/>
                    </w:rPr>
                    <w:t>（处理效率</w:t>
                  </w:r>
                  <w:r>
                    <w:rPr>
                      <w:rFonts w:hint="eastAsia" w:ascii="Times New Roman" w:hAnsi="Times New Roman" w:eastAsia="宋体" w:cs="Times New Roman"/>
                      <w:b w:val="0"/>
                      <w:bCs w:val="0"/>
                      <w:color w:val="auto"/>
                      <w:sz w:val="21"/>
                      <w:szCs w:val="21"/>
                      <w:lang w:val="en-US" w:eastAsia="zh-CN" w:bidi="ar"/>
                    </w:rPr>
                    <w:t>9</w:t>
                  </w:r>
                  <w:r>
                    <w:rPr>
                      <w:rFonts w:hint="eastAsia" w:cs="Times New Roman"/>
                      <w:b w:val="0"/>
                      <w:bCs w:val="0"/>
                      <w:color w:val="auto"/>
                      <w:sz w:val="21"/>
                      <w:szCs w:val="21"/>
                      <w:lang w:val="en-US" w:eastAsia="zh-CN" w:bidi="ar"/>
                    </w:rPr>
                    <w:t>9</w:t>
                  </w:r>
                  <w:r>
                    <w:rPr>
                      <w:rFonts w:hint="eastAsia"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sz w:val="21"/>
                      <w:szCs w:val="21"/>
                      <w:lang w:val="en-US" w:eastAsia="zh-CN" w:bidi="ar"/>
                    </w:rPr>
                    <w:t>）”处理后，</w:t>
                  </w:r>
                  <w:r>
                    <w:rPr>
                      <w:rFonts w:hint="eastAsia" w:ascii="Times New Roman" w:hAnsi="Times New Roman" w:eastAsia="宋体" w:cs="Times New Roman"/>
                      <w:b w:val="0"/>
                      <w:bCs w:val="0"/>
                      <w:color w:val="auto"/>
                      <w:sz w:val="21"/>
                      <w:szCs w:val="21"/>
                      <w:lang w:val="en-US" w:eastAsia="zh-CN" w:bidi="ar"/>
                    </w:rPr>
                    <w:t>经15m高排气筒排放</w:t>
                  </w:r>
                </w:p>
              </w:tc>
              <w:tc>
                <w:tcPr>
                  <w:tcW w:w="611" w:type="dxa"/>
                  <w:vMerge w:val="continue"/>
                  <w:noWrap w:val="0"/>
                  <w:vAlign w:val="center"/>
                </w:tcPr>
                <w:p w14:paraId="59F78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p>
              </w:tc>
            </w:tr>
            <w:tr w14:paraId="4310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63" w:type="dxa"/>
                  <w:vMerge w:val="continue"/>
                  <w:noWrap w:val="0"/>
                  <w:vAlign w:val="center"/>
                </w:tcPr>
                <w:p w14:paraId="21A1A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81" w:type="dxa"/>
                  <w:vMerge w:val="continue"/>
                  <w:noWrap w:val="0"/>
                  <w:vAlign w:val="center"/>
                </w:tcPr>
                <w:p w14:paraId="517C7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56" w:type="dxa"/>
                  <w:vMerge w:val="restart"/>
                  <w:noWrap w:val="0"/>
                  <w:vAlign w:val="center"/>
                </w:tcPr>
                <w:p w14:paraId="09FC7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无组织</w:t>
                  </w:r>
                </w:p>
              </w:tc>
              <w:tc>
                <w:tcPr>
                  <w:tcW w:w="1354" w:type="dxa"/>
                  <w:noWrap w:val="0"/>
                  <w:vAlign w:val="center"/>
                </w:tcPr>
                <w:p w14:paraId="64AB7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改性废气和涂层废气</w:t>
                  </w:r>
                </w:p>
              </w:tc>
              <w:tc>
                <w:tcPr>
                  <w:tcW w:w="4754" w:type="dxa"/>
                  <w:noWrap w:val="0"/>
                  <w:vAlign w:val="center"/>
                </w:tcPr>
                <w:p w14:paraId="725C5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eastAsia="宋体" w:cs="Times New Roman"/>
                      <w:color w:val="auto"/>
                      <w:sz w:val="21"/>
                      <w:szCs w:val="21"/>
                      <w:lang w:val="en-US" w:eastAsia="zh-CN"/>
                    </w:rPr>
                    <w:t>、加强废气收集效率、</w:t>
                  </w:r>
                  <w:r>
                    <w:rPr>
                      <w:rFonts w:hint="default" w:ascii="Times New Roman" w:hAnsi="Times New Roman" w:eastAsia="宋体" w:cs="Times New Roman"/>
                      <w:color w:val="auto"/>
                      <w:sz w:val="21"/>
                      <w:szCs w:val="21"/>
                      <w:lang w:val="en-US" w:eastAsia="zh-CN"/>
                    </w:rPr>
                    <w:t>加强管理</w:t>
                  </w:r>
                </w:p>
              </w:tc>
              <w:tc>
                <w:tcPr>
                  <w:tcW w:w="611" w:type="dxa"/>
                  <w:vMerge w:val="restart"/>
                  <w:noWrap w:val="0"/>
                  <w:vAlign w:val="center"/>
                </w:tcPr>
                <w:p w14:paraId="622C3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p>
              </w:tc>
            </w:tr>
            <w:tr w14:paraId="78A3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63" w:type="dxa"/>
                  <w:vMerge w:val="continue"/>
                  <w:noWrap w:val="0"/>
                  <w:vAlign w:val="center"/>
                </w:tcPr>
                <w:p w14:paraId="6D7A2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81" w:type="dxa"/>
                  <w:vMerge w:val="continue"/>
                  <w:noWrap w:val="0"/>
                  <w:vAlign w:val="center"/>
                </w:tcPr>
                <w:p w14:paraId="70CF6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456" w:type="dxa"/>
                  <w:vMerge w:val="continue"/>
                  <w:noWrap w:val="0"/>
                  <w:vAlign w:val="center"/>
                </w:tcPr>
                <w:p w14:paraId="06225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1354" w:type="dxa"/>
                  <w:noWrap w:val="0"/>
                  <w:vAlign w:val="center"/>
                </w:tcPr>
                <w:p w14:paraId="162CA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渗硅废气</w:t>
                  </w:r>
                </w:p>
              </w:tc>
              <w:tc>
                <w:tcPr>
                  <w:tcW w:w="4754" w:type="dxa"/>
                  <w:noWrap w:val="0"/>
                  <w:vAlign w:val="center"/>
                </w:tcPr>
                <w:p w14:paraId="4C0B1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车间封闭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定期清扫地面、加强管理</w:t>
                  </w:r>
                </w:p>
              </w:tc>
              <w:tc>
                <w:tcPr>
                  <w:tcW w:w="611" w:type="dxa"/>
                  <w:vMerge w:val="continue"/>
                  <w:noWrap w:val="0"/>
                  <w:vAlign w:val="center"/>
                </w:tcPr>
                <w:p w14:paraId="1ED4D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r>
            <w:tr w14:paraId="7DCF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tcBorders>
                    <w:bottom w:val="single" w:color="auto" w:sz="4" w:space="0"/>
                  </w:tcBorders>
                  <w:noWrap w:val="0"/>
                  <w:vAlign w:val="center"/>
                </w:tcPr>
                <w:p w14:paraId="271C3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w:t>
                  </w:r>
                </w:p>
              </w:tc>
              <w:tc>
                <w:tcPr>
                  <w:tcW w:w="2291" w:type="dxa"/>
                  <w:gridSpan w:val="3"/>
                  <w:noWrap w:val="0"/>
                  <w:vAlign w:val="center"/>
                </w:tcPr>
                <w:p w14:paraId="526BD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噪声</w:t>
                  </w:r>
                </w:p>
              </w:tc>
              <w:tc>
                <w:tcPr>
                  <w:tcW w:w="4754" w:type="dxa"/>
                  <w:noWrap w:val="0"/>
                  <w:vAlign w:val="center"/>
                </w:tcPr>
                <w:p w14:paraId="6E440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优选低噪设备、基础减振、合理布局、墙体隔声</w:t>
                  </w:r>
                </w:p>
              </w:tc>
              <w:tc>
                <w:tcPr>
                  <w:tcW w:w="611" w:type="dxa"/>
                  <w:noWrap w:val="0"/>
                  <w:vAlign w:val="center"/>
                </w:tcPr>
                <w:p w14:paraId="1F70E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5.0</w:t>
                  </w:r>
                </w:p>
              </w:tc>
            </w:tr>
            <w:tr w14:paraId="6983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vMerge w:val="restart"/>
                  <w:noWrap w:val="0"/>
                  <w:vAlign w:val="center"/>
                </w:tcPr>
                <w:p w14:paraId="4013D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w:t>
                  </w:r>
                </w:p>
              </w:tc>
              <w:tc>
                <w:tcPr>
                  <w:tcW w:w="481" w:type="dxa"/>
                  <w:vMerge w:val="restart"/>
                  <w:noWrap w:val="0"/>
                  <w:vAlign w:val="center"/>
                </w:tcPr>
                <w:p w14:paraId="03967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一般固废</w:t>
                  </w:r>
                </w:p>
              </w:tc>
              <w:tc>
                <w:tcPr>
                  <w:tcW w:w="1810" w:type="dxa"/>
                  <w:gridSpan w:val="2"/>
                  <w:noWrap w:val="0"/>
                  <w:vAlign w:val="center"/>
                </w:tcPr>
                <w:p w14:paraId="2E982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bCs/>
                      <w:color w:val="auto"/>
                      <w:sz w:val="21"/>
                      <w:szCs w:val="21"/>
                      <w:lang w:val="en-US" w:eastAsia="zh-CN"/>
                    </w:rPr>
                    <w:t>生活垃圾</w:t>
                  </w:r>
                </w:p>
              </w:tc>
              <w:tc>
                <w:tcPr>
                  <w:tcW w:w="4754" w:type="dxa"/>
                  <w:noWrap w:val="0"/>
                  <w:vAlign w:val="center"/>
                </w:tcPr>
                <w:p w14:paraId="171F0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b w:val="0"/>
                      <w:bCs w:val="0"/>
                      <w:color w:val="auto"/>
                      <w:sz w:val="21"/>
                      <w:szCs w:val="21"/>
                      <w:u w:val="none"/>
                      <w:vertAlign w:val="baseline"/>
                      <w:lang w:val="en-US" w:eastAsia="zh-CN"/>
                    </w:rPr>
                    <w:t>生活垃圾由垃圾桶收集，收集后交由环卫部门处置</w:t>
                  </w:r>
                </w:p>
              </w:tc>
              <w:tc>
                <w:tcPr>
                  <w:tcW w:w="611" w:type="dxa"/>
                  <w:noWrap w:val="0"/>
                  <w:vAlign w:val="center"/>
                </w:tcPr>
                <w:p w14:paraId="2F396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r>
            <w:tr w14:paraId="3B2E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vMerge w:val="continue"/>
                  <w:noWrap w:val="0"/>
                  <w:vAlign w:val="center"/>
                </w:tcPr>
                <w:p w14:paraId="13D5F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07399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36AB4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废弃包装物</w:t>
                  </w:r>
                </w:p>
              </w:tc>
              <w:tc>
                <w:tcPr>
                  <w:tcW w:w="4754" w:type="dxa"/>
                  <w:vMerge w:val="restart"/>
                  <w:noWrap w:val="0"/>
                  <w:vAlign w:val="center"/>
                </w:tcPr>
                <w:p w14:paraId="6E22E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废弃包装物外售废旧物资回收单位综合处理；不合格产品、边角料等</w:t>
                  </w:r>
                  <w:r>
                    <w:rPr>
                      <w:rFonts w:hint="eastAsia" w:cs="Times New Roman"/>
                      <w:color w:val="auto"/>
                      <w:sz w:val="21"/>
                      <w:szCs w:val="21"/>
                      <w:lang w:val="en-US" w:eastAsia="zh-CN"/>
                    </w:rPr>
                    <w:t>外售碳纤维回收公司</w:t>
                  </w:r>
                </w:p>
              </w:tc>
              <w:tc>
                <w:tcPr>
                  <w:tcW w:w="611" w:type="dxa"/>
                  <w:vMerge w:val="restart"/>
                  <w:noWrap w:val="0"/>
                  <w:vAlign w:val="center"/>
                </w:tcPr>
                <w:p w14:paraId="1E7D1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p>
              </w:tc>
            </w:tr>
            <w:tr w14:paraId="4408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3" w:type="dxa"/>
                  <w:vMerge w:val="continue"/>
                  <w:noWrap w:val="0"/>
                  <w:vAlign w:val="center"/>
                </w:tcPr>
                <w:p w14:paraId="67AC1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78A12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12E52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不合格产品</w:t>
                  </w:r>
                </w:p>
              </w:tc>
              <w:tc>
                <w:tcPr>
                  <w:tcW w:w="4754" w:type="dxa"/>
                  <w:vMerge w:val="continue"/>
                  <w:noWrap w:val="0"/>
                  <w:vAlign w:val="center"/>
                </w:tcPr>
                <w:p w14:paraId="6CC8F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bidi="ar"/>
                    </w:rPr>
                  </w:pPr>
                </w:p>
              </w:tc>
              <w:tc>
                <w:tcPr>
                  <w:tcW w:w="611" w:type="dxa"/>
                  <w:vMerge w:val="continue"/>
                  <w:noWrap w:val="0"/>
                  <w:vAlign w:val="center"/>
                </w:tcPr>
                <w:p w14:paraId="6A4C1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p>
              </w:tc>
            </w:tr>
            <w:tr w14:paraId="667A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vMerge w:val="continue"/>
                  <w:noWrap w:val="0"/>
                  <w:vAlign w:val="center"/>
                </w:tcPr>
                <w:p w14:paraId="5F208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vMerge w:val="continue"/>
                  <w:noWrap w:val="0"/>
                  <w:vAlign w:val="center"/>
                </w:tcPr>
                <w:p w14:paraId="26AAF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1810" w:type="dxa"/>
                  <w:gridSpan w:val="2"/>
                  <w:noWrap w:val="0"/>
                  <w:vAlign w:val="center"/>
                </w:tcPr>
                <w:p w14:paraId="462CE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边角料</w:t>
                  </w:r>
                </w:p>
              </w:tc>
              <w:tc>
                <w:tcPr>
                  <w:tcW w:w="4754" w:type="dxa"/>
                  <w:vMerge w:val="continue"/>
                  <w:noWrap w:val="0"/>
                  <w:vAlign w:val="center"/>
                </w:tcPr>
                <w:p w14:paraId="08E9F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lang w:val="en-US" w:eastAsia="zh-CN" w:bidi="ar"/>
                    </w:rPr>
                  </w:pPr>
                </w:p>
              </w:tc>
              <w:tc>
                <w:tcPr>
                  <w:tcW w:w="611" w:type="dxa"/>
                  <w:vMerge w:val="continue"/>
                  <w:noWrap w:val="0"/>
                  <w:vAlign w:val="center"/>
                </w:tcPr>
                <w:p w14:paraId="49450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56B4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463" w:type="dxa"/>
                  <w:vMerge w:val="continue"/>
                  <w:noWrap w:val="0"/>
                  <w:vAlign w:val="center"/>
                </w:tcPr>
                <w:p w14:paraId="3C6D7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p>
              </w:tc>
              <w:tc>
                <w:tcPr>
                  <w:tcW w:w="481" w:type="dxa"/>
                  <w:noWrap w:val="0"/>
                  <w:vAlign w:val="center"/>
                </w:tcPr>
                <w:p w14:paraId="2567C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危险废物</w:t>
                  </w:r>
                </w:p>
              </w:tc>
              <w:tc>
                <w:tcPr>
                  <w:tcW w:w="1810" w:type="dxa"/>
                  <w:gridSpan w:val="2"/>
                  <w:noWrap w:val="0"/>
                  <w:vAlign w:val="center"/>
                </w:tcPr>
                <w:p w14:paraId="4BFD8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废润滑油及油桶、废真空泵油、废切削液、废液压油</w:t>
                  </w:r>
                </w:p>
              </w:tc>
              <w:tc>
                <w:tcPr>
                  <w:tcW w:w="4754" w:type="dxa"/>
                  <w:noWrap w:val="0"/>
                  <w:vAlign w:val="center"/>
                </w:tcPr>
                <w:p w14:paraId="21B8A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暂存于危废暂存间，定期交由有资质单位处置</w:t>
                  </w:r>
                </w:p>
              </w:tc>
              <w:tc>
                <w:tcPr>
                  <w:tcW w:w="611" w:type="dxa"/>
                  <w:noWrap w:val="0"/>
                  <w:vAlign w:val="center"/>
                </w:tcPr>
                <w:p w14:paraId="32FB9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p>
              </w:tc>
            </w:tr>
            <w:tr w14:paraId="374C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463" w:type="dxa"/>
                  <w:noWrap w:val="0"/>
                  <w:vAlign w:val="center"/>
                </w:tcPr>
                <w:p w14:paraId="2DA90A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2291" w:type="dxa"/>
                  <w:gridSpan w:val="3"/>
                  <w:noWrap w:val="0"/>
                  <w:vAlign w:val="center"/>
                </w:tcPr>
                <w:p w14:paraId="6DC18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地下水</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val="en-US" w:eastAsia="zh-CN" w:bidi="ar"/>
                    </w:rPr>
                    <w:t>土壤防渗</w:t>
                  </w:r>
                </w:p>
              </w:tc>
              <w:tc>
                <w:tcPr>
                  <w:tcW w:w="4754" w:type="dxa"/>
                  <w:noWrap w:val="0"/>
                  <w:vAlign w:val="center"/>
                </w:tcPr>
                <w:p w14:paraId="0F404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危险废物暂存间、事故池、</w:t>
                  </w:r>
                  <w:r>
                    <w:rPr>
                      <w:rFonts w:hint="eastAsia" w:cs="Times New Roman"/>
                      <w:color w:val="auto"/>
                      <w:kern w:val="0"/>
                      <w:sz w:val="21"/>
                      <w:szCs w:val="21"/>
                      <w:lang w:val="en-US" w:eastAsia="zh-CN" w:bidi="ar"/>
                    </w:rPr>
                    <w:t>产业园现有的化粪池</w:t>
                  </w:r>
                  <w:r>
                    <w:rPr>
                      <w:rFonts w:hint="eastAsia" w:ascii="Times New Roman" w:hAnsi="Times New Roman" w:eastAsia="宋体" w:cs="Times New Roman"/>
                      <w:color w:val="auto"/>
                      <w:kern w:val="0"/>
                      <w:sz w:val="21"/>
                      <w:szCs w:val="21"/>
                      <w:lang w:val="en-US" w:eastAsia="zh-CN" w:bidi="ar"/>
                    </w:rPr>
                    <w:t>和污水管线</w:t>
                  </w:r>
                  <w:r>
                    <w:rPr>
                      <w:rFonts w:hint="default" w:ascii="Times New Roman" w:hAnsi="Times New Roman" w:eastAsia="宋体" w:cs="Times New Roman"/>
                      <w:color w:val="auto"/>
                      <w:kern w:val="0"/>
                      <w:sz w:val="21"/>
                      <w:szCs w:val="21"/>
                      <w:lang w:val="en-US" w:eastAsia="zh-CN" w:bidi="ar"/>
                    </w:rPr>
                    <w:t>等做重点防渗；</w:t>
                  </w:r>
                  <w:r>
                    <w:rPr>
                      <w:rFonts w:hint="eastAsia" w:ascii="Times New Roman" w:hAnsi="Times New Roman" w:eastAsia="宋体" w:cs="Times New Roman"/>
                      <w:color w:val="auto"/>
                      <w:kern w:val="0"/>
                      <w:sz w:val="21"/>
                      <w:szCs w:val="21"/>
                      <w:lang w:val="en-US" w:eastAsia="zh-CN" w:bidi="ar"/>
                    </w:rPr>
                    <w:t>一般固废暂存场所</w:t>
                  </w:r>
                  <w:r>
                    <w:rPr>
                      <w:rFonts w:hint="default" w:ascii="Times New Roman" w:hAnsi="Times New Roman" w:eastAsia="宋体" w:cs="Times New Roman"/>
                      <w:color w:val="auto"/>
                      <w:kern w:val="0"/>
                      <w:sz w:val="21"/>
                      <w:szCs w:val="21"/>
                      <w:lang w:val="en-US" w:eastAsia="zh-CN" w:bidi="ar"/>
                    </w:rPr>
                    <w:t>、车间做一般防渗</w:t>
                  </w:r>
                </w:p>
              </w:tc>
              <w:tc>
                <w:tcPr>
                  <w:tcW w:w="611" w:type="dxa"/>
                  <w:noWrap w:val="0"/>
                  <w:vAlign w:val="center"/>
                </w:tcPr>
                <w:p w14:paraId="1CD03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1582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222AE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w:t>
                  </w:r>
                </w:p>
              </w:tc>
              <w:tc>
                <w:tcPr>
                  <w:tcW w:w="2291" w:type="dxa"/>
                  <w:gridSpan w:val="3"/>
                  <w:noWrap w:val="0"/>
                  <w:vAlign w:val="center"/>
                </w:tcPr>
                <w:p w14:paraId="2081A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w:t>
                  </w:r>
                  <w:r>
                    <w:rPr>
                      <w:rFonts w:hint="default" w:ascii="Times New Roman" w:hAnsi="Times New Roman" w:eastAsia="宋体" w:cs="Times New Roman"/>
                      <w:color w:val="auto"/>
                      <w:sz w:val="21"/>
                      <w:szCs w:val="21"/>
                      <w:lang w:val="en-US" w:eastAsia="zh-CN"/>
                    </w:rPr>
                    <w:t>风险</w:t>
                  </w:r>
                </w:p>
              </w:tc>
              <w:tc>
                <w:tcPr>
                  <w:tcW w:w="4754" w:type="dxa"/>
                  <w:noWrap w:val="0"/>
                  <w:vAlign w:val="center"/>
                </w:tcPr>
                <w:p w14:paraId="720C8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设消防、火灾报警系统；编制应急预案</w:t>
                  </w:r>
                  <w:r>
                    <w:rPr>
                      <w:rFonts w:hint="eastAsia" w:ascii="Times New Roman" w:hAnsi="Times New Roman" w:eastAsia="宋体" w:cs="Times New Roman"/>
                      <w:color w:val="auto"/>
                      <w:sz w:val="21"/>
                      <w:szCs w:val="21"/>
                      <w:lang w:val="en-US" w:eastAsia="zh-CN"/>
                    </w:rPr>
                    <w:t>；建设事故池</w:t>
                  </w:r>
                </w:p>
              </w:tc>
              <w:tc>
                <w:tcPr>
                  <w:tcW w:w="611" w:type="dxa"/>
                  <w:noWrap w:val="0"/>
                  <w:vAlign w:val="center"/>
                </w:tcPr>
                <w:p w14:paraId="4FBAA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17FF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1629A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2291" w:type="dxa"/>
                  <w:gridSpan w:val="3"/>
                  <w:noWrap w:val="0"/>
                  <w:vAlign w:val="center"/>
                </w:tcPr>
                <w:p w14:paraId="61FCB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绿化</w:t>
                  </w:r>
                </w:p>
              </w:tc>
              <w:tc>
                <w:tcPr>
                  <w:tcW w:w="4754" w:type="dxa"/>
                  <w:noWrap w:val="0"/>
                  <w:vAlign w:val="center"/>
                </w:tcPr>
                <w:p w14:paraId="5CCEE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加强</w:t>
                  </w:r>
                  <w:r>
                    <w:rPr>
                      <w:rFonts w:hint="eastAsia"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绿化</w:t>
                  </w:r>
                </w:p>
              </w:tc>
              <w:tc>
                <w:tcPr>
                  <w:tcW w:w="611" w:type="dxa"/>
                  <w:noWrap w:val="0"/>
                  <w:vAlign w:val="center"/>
                </w:tcPr>
                <w:p w14:paraId="5A029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r>
            <w:tr w14:paraId="1430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63" w:type="dxa"/>
                  <w:noWrap w:val="0"/>
                  <w:vAlign w:val="center"/>
                </w:tcPr>
                <w:p w14:paraId="339A0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2291" w:type="dxa"/>
                  <w:gridSpan w:val="3"/>
                  <w:noWrap w:val="0"/>
                  <w:vAlign w:val="center"/>
                </w:tcPr>
                <w:p w14:paraId="6F4B9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环境管理与监测</w:t>
                  </w:r>
                </w:p>
              </w:tc>
              <w:tc>
                <w:tcPr>
                  <w:tcW w:w="4754" w:type="dxa"/>
                  <w:noWrap w:val="0"/>
                  <w:vAlign w:val="center"/>
                </w:tcPr>
                <w:p w14:paraId="04AE5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定期监测</w:t>
                  </w:r>
                </w:p>
              </w:tc>
              <w:tc>
                <w:tcPr>
                  <w:tcW w:w="611" w:type="dxa"/>
                  <w:noWrap w:val="0"/>
                  <w:vAlign w:val="center"/>
                </w:tcPr>
                <w:p w14:paraId="3DBF1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p>
              </w:tc>
            </w:tr>
            <w:tr w14:paraId="2A6B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08" w:type="dxa"/>
                  <w:gridSpan w:val="5"/>
                  <w:tcBorders>
                    <w:bottom w:val="single" w:color="auto" w:sz="4" w:space="0"/>
                  </w:tcBorders>
                  <w:noWrap w:val="0"/>
                  <w:vAlign w:val="center"/>
                </w:tcPr>
                <w:p w14:paraId="342CC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合 计</w:t>
                  </w:r>
                </w:p>
              </w:tc>
              <w:tc>
                <w:tcPr>
                  <w:tcW w:w="611" w:type="dxa"/>
                  <w:noWrap w:val="0"/>
                  <w:vAlign w:val="center"/>
                </w:tcPr>
                <w:p w14:paraId="39B16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15</w:t>
                  </w:r>
                  <w:r>
                    <w:rPr>
                      <w:rFonts w:hint="eastAsia" w:ascii="Times New Roman" w:hAnsi="Times New Roman" w:eastAsia="宋体" w:cs="Times New Roman"/>
                      <w:color w:val="auto"/>
                      <w:kern w:val="0"/>
                      <w:sz w:val="21"/>
                      <w:szCs w:val="21"/>
                      <w:lang w:val="en-US" w:eastAsia="zh-CN" w:bidi="ar"/>
                    </w:rPr>
                    <w:t>5</w:t>
                  </w:r>
                </w:p>
              </w:tc>
            </w:tr>
          </w:tbl>
          <w:p w14:paraId="344CF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auto"/>
                <w:sz w:val="24"/>
                <w:szCs w:val="24"/>
                <w:lang w:val="en-US"/>
              </w:rPr>
            </w:pPr>
          </w:p>
        </w:tc>
      </w:tr>
    </w:tbl>
    <w:p w14:paraId="4C2AFED8">
      <w:pPr>
        <w:pStyle w:val="19"/>
        <w:jc w:val="center"/>
        <w:outlineLvl w:val="9"/>
        <w:rPr>
          <w:rFonts w:ascii="黑体" w:hAnsi="黑体" w:eastAsia="黑体"/>
          <w:snapToGrid w:val="0"/>
          <w:sz w:val="30"/>
          <w:szCs w:val="30"/>
        </w:rPr>
      </w:pPr>
    </w:p>
    <w:p w14:paraId="56FA0D59">
      <w:pPr>
        <w:pStyle w:val="19"/>
        <w:ind w:firstLine="240" w:firstLineChars="100"/>
        <w:jc w:val="both"/>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9CA7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82F59A9">
            <w:pPr>
              <w:keepNext w:val="0"/>
              <w:keepLines w:val="0"/>
              <w:suppressLineNumbers w:val="0"/>
              <w:spacing w:before="0" w:beforeAutospacing="0" w:after="0" w:afterAutospacing="0" w:line="460" w:lineRule="exact"/>
              <w:ind w:left="0" w:right="0" w:firstLine="480" w:firstLineChars="200"/>
              <w:rPr>
                <w:rFonts w:hint="default" w:ascii="宋体" w:hAnsi="Times New Roman" w:cs="宋体"/>
                <w:sz w:val="24"/>
              </w:rPr>
            </w:pPr>
            <w:r>
              <w:rPr>
                <w:rFonts w:hint="eastAsia" w:ascii="宋体" w:hAnsi="Times New Roman" w:cs="宋体"/>
                <w:sz w:val="24"/>
              </w:rPr>
              <w:t>综上所述，项目符合国家产业政策、相关规划，污染防治技术均为可行技术，环境影响较小，项目建成运营后，在建设单位认真落实各项环保措施，确保污染物达标排放的前提下，从环境影响角度考虑，该项目的建设是可行的。</w:t>
            </w:r>
          </w:p>
        </w:tc>
      </w:tr>
    </w:tbl>
    <w:p w14:paraId="621D088E">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99BBEFA">
      <w:pPr>
        <w:pStyle w:val="19"/>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3D89154D">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方正小标宋_GBK" w:hAnsi="黑体" w:eastAsia="方正小标宋_GBK" w:cs="Times New Roman"/>
          <w:snapToGrid w:val="0"/>
          <w:color w:val="auto"/>
          <w:kern w:val="0"/>
          <w:sz w:val="38"/>
          <w:szCs w:val="38"/>
          <w:lang w:val="en-US" w:eastAsia="zh-CN" w:bidi="ar-SA"/>
        </w:rPr>
      </w:pPr>
      <w:r>
        <w:rPr>
          <w:rFonts w:hint="eastAsia" w:ascii="方正小标宋_GBK" w:hAnsi="黑体" w:eastAsia="方正小标宋_GBK" w:cs="Times New Roman"/>
          <w:snapToGrid w:val="0"/>
          <w:color w:val="auto"/>
          <w:kern w:val="0"/>
          <w:sz w:val="38"/>
          <w:szCs w:val="38"/>
          <w:lang w:val="en-US" w:eastAsia="zh-CN" w:bidi="ar-SA"/>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34"/>
        <w:gridCol w:w="1984"/>
        <w:gridCol w:w="1276"/>
        <w:gridCol w:w="1559"/>
        <w:gridCol w:w="1701"/>
        <w:gridCol w:w="1418"/>
        <w:gridCol w:w="1984"/>
        <w:gridCol w:w="1711"/>
      </w:tblGrid>
      <w:tr w14:paraId="5D6D1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noWrap w:val="0"/>
            <w:tcMar>
              <w:left w:w="28" w:type="dxa"/>
              <w:right w:w="28" w:type="dxa"/>
            </w:tcMar>
            <w:vAlign w:val="center"/>
          </w:tcPr>
          <w:p w14:paraId="562A6405">
            <w:pPr>
              <w:pStyle w:val="46"/>
              <w:keepNext w:val="0"/>
              <w:keepLines w:val="0"/>
              <w:suppressLineNumbers w:val="0"/>
              <w:spacing w:before="0" w:beforeLines="0" w:beforeAutospacing="0" w:after="0" w:afterLines="0" w:afterAutospacing="0" w:line="240" w:lineRule="auto"/>
              <w:ind w:left="0" w:right="0"/>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1E831042">
            <w:pPr>
              <w:pStyle w:val="46"/>
              <w:keepNext w:val="0"/>
              <w:keepLines w:val="0"/>
              <w:suppressLineNumbers w:val="0"/>
              <w:spacing w:before="0" w:beforeLines="0" w:beforeAutospacing="0" w:after="0" w:afterLines="0" w:afterAutospacing="0" w:line="240" w:lineRule="auto"/>
              <w:ind w:left="0" w:right="0"/>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134" w:type="dxa"/>
            <w:noWrap w:val="0"/>
            <w:tcMar>
              <w:left w:w="28" w:type="dxa"/>
              <w:right w:w="28" w:type="dxa"/>
            </w:tcMar>
            <w:vAlign w:val="center"/>
          </w:tcPr>
          <w:p w14:paraId="0F529B28">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984" w:type="dxa"/>
            <w:noWrap w:val="0"/>
            <w:tcMar>
              <w:left w:w="28" w:type="dxa"/>
              <w:right w:w="28" w:type="dxa"/>
            </w:tcMar>
            <w:vAlign w:val="center"/>
          </w:tcPr>
          <w:p w14:paraId="08C9C065">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现有工程</w:t>
            </w:r>
          </w:p>
          <w:p w14:paraId="234F340E">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1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①</w:t>
            </w:r>
            <w:r>
              <w:rPr>
                <w:rFonts w:hint="default" w:ascii="黑体" w:hAnsi="黑体" w:eastAsia="黑体" w:cs="Times New Roman"/>
                <w:snapToGrid w:val="0"/>
                <w:color w:val="000000"/>
                <w:spacing w:val="-6"/>
                <w:kern w:val="21"/>
                <w:szCs w:val="21"/>
              </w:rPr>
              <w:fldChar w:fldCharType="end"/>
            </w:r>
          </w:p>
        </w:tc>
        <w:tc>
          <w:tcPr>
            <w:tcW w:w="1276" w:type="dxa"/>
            <w:noWrap w:val="0"/>
            <w:tcMar>
              <w:left w:w="28" w:type="dxa"/>
              <w:right w:w="28" w:type="dxa"/>
            </w:tcMar>
            <w:vAlign w:val="center"/>
          </w:tcPr>
          <w:p w14:paraId="2AF1E2BD">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现有工程</w:t>
            </w:r>
          </w:p>
          <w:p w14:paraId="111A2B23">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许可排放量</w:t>
            </w:r>
          </w:p>
          <w:p w14:paraId="1C90B70E">
            <w:pPr>
              <w:pStyle w:val="46"/>
              <w:keepNext w:val="0"/>
              <w:keepLines w:val="0"/>
              <w:suppressLineNumbers w:val="0"/>
              <w:spacing w:before="0" w:beforeLines="0" w:beforeAutospacing="0" w:after="0" w:afterLines="0" w:afterAutospacing="0"/>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2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hint="default" w:ascii="黑体" w:hAnsi="黑体" w:eastAsia="黑体" w:cs="Times New Roman"/>
                <w:snapToGrid w:val="0"/>
                <w:color w:val="000000"/>
                <w:spacing w:val="-6"/>
                <w:kern w:val="21"/>
                <w:szCs w:val="21"/>
              </w:rPr>
              <w:fldChar w:fldCharType="end"/>
            </w:r>
          </w:p>
        </w:tc>
        <w:tc>
          <w:tcPr>
            <w:tcW w:w="1559" w:type="dxa"/>
            <w:noWrap w:val="0"/>
            <w:tcMar>
              <w:left w:w="28" w:type="dxa"/>
              <w:right w:w="28" w:type="dxa"/>
            </w:tcMar>
            <w:vAlign w:val="center"/>
          </w:tcPr>
          <w:p w14:paraId="2ABE468C">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在建工程</w:t>
            </w:r>
          </w:p>
          <w:p w14:paraId="1E2DB431">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3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③</w:t>
            </w:r>
            <w:r>
              <w:rPr>
                <w:rFonts w:hint="default" w:ascii="黑体" w:hAnsi="黑体" w:eastAsia="黑体" w:cs="Times New Roman"/>
                <w:snapToGrid w:val="0"/>
                <w:color w:val="000000"/>
                <w:spacing w:val="-6"/>
                <w:kern w:val="21"/>
                <w:szCs w:val="21"/>
              </w:rPr>
              <w:fldChar w:fldCharType="end"/>
            </w:r>
          </w:p>
        </w:tc>
        <w:tc>
          <w:tcPr>
            <w:tcW w:w="1701" w:type="dxa"/>
            <w:noWrap w:val="0"/>
            <w:tcMar>
              <w:left w:w="28" w:type="dxa"/>
              <w:right w:w="28" w:type="dxa"/>
            </w:tcMar>
            <w:vAlign w:val="center"/>
          </w:tcPr>
          <w:p w14:paraId="54214F3D">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本项目</w:t>
            </w:r>
          </w:p>
          <w:p w14:paraId="515BDB53">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4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④</w:t>
            </w:r>
            <w:r>
              <w:rPr>
                <w:rFonts w:hint="default" w:ascii="黑体" w:hAnsi="黑体" w:eastAsia="黑体" w:cs="Times New Roman"/>
                <w:snapToGrid w:val="0"/>
                <w:color w:val="000000"/>
                <w:spacing w:val="-6"/>
                <w:kern w:val="21"/>
                <w:szCs w:val="21"/>
              </w:rPr>
              <w:fldChar w:fldCharType="end"/>
            </w:r>
          </w:p>
        </w:tc>
        <w:tc>
          <w:tcPr>
            <w:tcW w:w="1418" w:type="dxa"/>
            <w:noWrap w:val="0"/>
            <w:tcMar>
              <w:left w:w="28" w:type="dxa"/>
              <w:right w:w="28" w:type="dxa"/>
            </w:tcMar>
            <w:vAlign w:val="center"/>
          </w:tcPr>
          <w:p w14:paraId="447C64E2">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以新带老削减量</w:t>
            </w:r>
          </w:p>
          <w:p w14:paraId="10980395">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（新建项目不填）</w:t>
            </w:r>
            <w:r>
              <w:rPr>
                <w:rFonts w:hint="default" w:ascii="黑体" w:hAnsi="黑体" w:eastAsia="黑体" w:cs="Times New Roman"/>
                <w:snapToGrid w:val="0"/>
                <w:color w:val="000000"/>
                <w:spacing w:val="-16"/>
                <w:kern w:val="21"/>
                <w:szCs w:val="21"/>
              </w:rPr>
              <w:fldChar w:fldCharType="begin"/>
            </w:r>
            <w:r>
              <w:rPr>
                <w:rFonts w:hint="default" w:ascii="黑体" w:hAnsi="黑体" w:eastAsia="黑体" w:cs="Times New Roman"/>
                <w:snapToGrid w:val="0"/>
                <w:color w:val="000000"/>
                <w:spacing w:val="-16"/>
                <w:kern w:val="21"/>
                <w:szCs w:val="21"/>
              </w:rPr>
              <w:instrText xml:space="preserve"> = 5 \* GB3 \* MERGEFORMAT </w:instrText>
            </w:r>
            <w:r>
              <w:rPr>
                <w:rFonts w:hint="default" w:ascii="黑体" w:hAnsi="黑体" w:eastAsia="黑体" w:cs="Times New Roman"/>
                <w:snapToGrid w:val="0"/>
                <w:color w:val="000000"/>
                <w:spacing w:val="-16"/>
                <w:kern w:val="21"/>
                <w:szCs w:val="21"/>
              </w:rPr>
              <w:fldChar w:fldCharType="separate"/>
            </w:r>
            <w:r>
              <w:rPr>
                <w:rFonts w:hint="eastAsia" w:ascii="黑体" w:hAnsi="黑体" w:eastAsia="黑体" w:cs="宋体"/>
                <w:kern w:val="2"/>
                <w:szCs w:val="21"/>
              </w:rPr>
              <w:t>⑤</w:t>
            </w:r>
            <w:r>
              <w:rPr>
                <w:rFonts w:hint="default" w:ascii="黑体" w:hAnsi="黑体" w:eastAsia="黑体" w:cs="Times New Roman"/>
                <w:snapToGrid w:val="0"/>
                <w:color w:val="000000"/>
                <w:spacing w:val="-16"/>
                <w:kern w:val="21"/>
                <w:szCs w:val="21"/>
              </w:rPr>
              <w:fldChar w:fldCharType="end"/>
            </w:r>
          </w:p>
        </w:tc>
        <w:tc>
          <w:tcPr>
            <w:tcW w:w="1984" w:type="dxa"/>
            <w:noWrap w:val="0"/>
            <w:tcMar>
              <w:left w:w="28" w:type="dxa"/>
              <w:right w:w="28" w:type="dxa"/>
            </w:tcMar>
            <w:vAlign w:val="center"/>
          </w:tcPr>
          <w:p w14:paraId="5E42EC73">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本项目建成后</w:t>
            </w:r>
          </w:p>
          <w:p w14:paraId="3339AE10">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16"/>
                <w:kern w:val="21"/>
                <w:szCs w:val="21"/>
              </w:rPr>
            </w:pPr>
            <w:r>
              <w:rPr>
                <w:rFonts w:hint="eastAsia" w:ascii="黑体" w:hAnsi="黑体" w:eastAsia="黑体" w:cs="Times New Roman"/>
                <w:snapToGrid w:val="0"/>
                <w:color w:val="000000"/>
                <w:spacing w:val="-16"/>
                <w:kern w:val="21"/>
                <w:szCs w:val="21"/>
              </w:rPr>
              <w:t>全厂</w:t>
            </w:r>
            <w:r>
              <w:rPr>
                <w:rFonts w:hint="default" w:ascii="黑体" w:hAnsi="黑体" w:eastAsia="黑体" w:cs="Times New Roman"/>
                <w:snapToGrid w:val="0"/>
                <w:color w:val="000000"/>
                <w:spacing w:val="-16"/>
                <w:kern w:val="21"/>
                <w:szCs w:val="21"/>
              </w:rPr>
              <w:t>排放量（固</w:t>
            </w:r>
            <w:r>
              <w:rPr>
                <w:rFonts w:hint="eastAsia" w:ascii="黑体" w:hAnsi="黑体" w:eastAsia="黑体" w:cs="Times New Roman"/>
                <w:snapToGrid w:val="0"/>
                <w:color w:val="000000"/>
                <w:spacing w:val="-16"/>
                <w:kern w:val="21"/>
                <w:szCs w:val="21"/>
              </w:rPr>
              <w:t>体</w:t>
            </w:r>
            <w:r>
              <w:rPr>
                <w:rFonts w:hint="default" w:ascii="黑体" w:hAnsi="黑体" w:eastAsia="黑体" w:cs="Times New Roman"/>
                <w:snapToGrid w:val="0"/>
                <w:color w:val="000000"/>
                <w:spacing w:val="-16"/>
                <w:kern w:val="21"/>
                <w:szCs w:val="21"/>
              </w:rPr>
              <w:t>废</w:t>
            </w:r>
            <w:r>
              <w:rPr>
                <w:rFonts w:hint="eastAsia" w:ascii="黑体" w:hAnsi="黑体" w:eastAsia="黑体" w:cs="Times New Roman"/>
                <w:snapToGrid w:val="0"/>
                <w:color w:val="000000"/>
                <w:spacing w:val="-16"/>
                <w:kern w:val="21"/>
                <w:szCs w:val="21"/>
              </w:rPr>
              <w:t>物</w:t>
            </w:r>
            <w:r>
              <w:rPr>
                <w:rFonts w:hint="default" w:ascii="黑体" w:hAnsi="黑体" w:eastAsia="黑体" w:cs="Times New Roman"/>
                <w:snapToGrid w:val="0"/>
                <w:color w:val="000000"/>
                <w:spacing w:val="-16"/>
                <w:kern w:val="21"/>
                <w:szCs w:val="21"/>
              </w:rPr>
              <w:t>产生量）</w:t>
            </w:r>
            <w:r>
              <w:rPr>
                <w:rFonts w:hint="default" w:ascii="黑体" w:hAnsi="黑体" w:eastAsia="黑体" w:cs="Times New Roman"/>
                <w:snapToGrid w:val="0"/>
                <w:color w:val="000000"/>
                <w:spacing w:val="-16"/>
                <w:kern w:val="21"/>
                <w:szCs w:val="21"/>
              </w:rPr>
              <w:fldChar w:fldCharType="begin"/>
            </w:r>
            <w:r>
              <w:rPr>
                <w:rFonts w:hint="default" w:ascii="黑体" w:hAnsi="黑体" w:eastAsia="黑体" w:cs="Times New Roman"/>
                <w:snapToGrid w:val="0"/>
                <w:color w:val="000000"/>
                <w:spacing w:val="-16"/>
                <w:kern w:val="21"/>
                <w:szCs w:val="21"/>
              </w:rPr>
              <w:instrText xml:space="preserve"> = 6 \* GB3 \* MERGEFORMAT </w:instrText>
            </w:r>
            <w:r>
              <w:rPr>
                <w:rFonts w:hint="default" w:ascii="黑体" w:hAnsi="黑体" w:eastAsia="黑体" w:cs="Times New Roman"/>
                <w:snapToGrid w:val="0"/>
                <w:color w:val="000000"/>
                <w:spacing w:val="-16"/>
                <w:kern w:val="21"/>
                <w:szCs w:val="21"/>
              </w:rPr>
              <w:fldChar w:fldCharType="separate"/>
            </w:r>
            <w:r>
              <w:rPr>
                <w:rFonts w:hint="eastAsia" w:ascii="黑体" w:hAnsi="黑体" w:eastAsia="黑体" w:cs="宋体"/>
                <w:kern w:val="2"/>
                <w:szCs w:val="21"/>
              </w:rPr>
              <w:t>⑥</w:t>
            </w:r>
            <w:r>
              <w:rPr>
                <w:rFonts w:hint="default" w:ascii="黑体" w:hAnsi="黑体" w:eastAsia="黑体" w:cs="Times New Roman"/>
                <w:snapToGrid w:val="0"/>
                <w:color w:val="000000"/>
                <w:spacing w:val="-16"/>
                <w:kern w:val="21"/>
                <w:szCs w:val="21"/>
              </w:rPr>
              <w:fldChar w:fldCharType="end"/>
            </w:r>
          </w:p>
        </w:tc>
        <w:tc>
          <w:tcPr>
            <w:tcW w:w="1711" w:type="dxa"/>
            <w:noWrap w:val="0"/>
            <w:tcMar>
              <w:left w:w="28" w:type="dxa"/>
              <w:right w:w="28" w:type="dxa"/>
            </w:tcMar>
            <w:vAlign w:val="center"/>
          </w:tcPr>
          <w:p w14:paraId="20CE3325">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变化量</w:t>
            </w:r>
          </w:p>
          <w:p w14:paraId="1E3BF086">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7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⑦</w:t>
            </w:r>
            <w:r>
              <w:rPr>
                <w:rFonts w:hint="default" w:ascii="黑体" w:hAnsi="黑体" w:eastAsia="黑体" w:cs="Times New Roman"/>
                <w:snapToGrid w:val="0"/>
                <w:color w:val="000000"/>
                <w:spacing w:val="-6"/>
                <w:kern w:val="21"/>
                <w:szCs w:val="21"/>
              </w:rPr>
              <w:fldChar w:fldCharType="end"/>
            </w:r>
          </w:p>
        </w:tc>
      </w:tr>
      <w:tr w14:paraId="3B147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021" w:type="dxa"/>
            <w:vMerge w:val="restart"/>
            <w:noWrap w:val="0"/>
            <w:vAlign w:val="center"/>
          </w:tcPr>
          <w:p w14:paraId="6C211D8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废气</w:t>
            </w:r>
          </w:p>
        </w:tc>
        <w:tc>
          <w:tcPr>
            <w:tcW w:w="1134" w:type="dxa"/>
            <w:noWrap w:val="0"/>
            <w:vAlign w:val="center"/>
          </w:tcPr>
          <w:p w14:paraId="155BB69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lang w:eastAsia="zh-CN"/>
              </w:rPr>
              <w:t>粉尘</w:t>
            </w:r>
          </w:p>
        </w:tc>
        <w:tc>
          <w:tcPr>
            <w:tcW w:w="1984" w:type="dxa"/>
            <w:noWrap w:val="0"/>
            <w:vAlign w:val="center"/>
          </w:tcPr>
          <w:p w14:paraId="69F900C2">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700997FB">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1BC67069">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401B86CC">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eastAsia" w:ascii="Times New Roman" w:cs="Times New Roman"/>
                <w:bCs/>
                <w:sz w:val="21"/>
                <w:szCs w:val="21"/>
                <w:lang w:val="en-US" w:eastAsia="zh-CN"/>
              </w:rPr>
              <w:t>0.017</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418" w:type="dxa"/>
            <w:noWrap w:val="0"/>
            <w:vAlign w:val="center"/>
          </w:tcPr>
          <w:p w14:paraId="19C8E14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479AB12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eastAsia" w:ascii="Times New Roman" w:cs="Times New Roman"/>
                <w:bCs/>
                <w:sz w:val="21"/>
                <w:szCs w:val="21"/>
                <w:lang w:val="en-US" w:eastAsia="zh-CN"/>
              </w:rPr>
              <w:t>0.017</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711" w:type="dxa"/>
            <w:noWrap w:val="0"/>
            <w:vAlign w:val="center"/>
          </w:tcPr>
          <w:p w14:paraId="0E62500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bCs/>
                <w:sz w:val="21"/>
                <w:szCs w:val="21"/>
              </w:rPr>
              <w:t>+</w:t>
            </w:r>
            <w:r>
              <w:rPr>
                <w:rFonts w:hint="eastAsia" w:ascii="Times New Roman" w:cs="Times New Roman"/>
                <w:bCs/>
                <w:sz w:val="21"/>
                <w:szCs w:val="21"/>
                <w:lang w:val="en-US" w:eastAsia="zh-CN"/>
              </w:rPr>
              <w:t>0.017</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r>
      <w:tr w14:paraId="09570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021" w:type="dxa"/>
            <w:vMerge w:val="continue"/>
            <w:noWrap w:val="0"/>
            <w:vAlign w:val="center"/>
          </w:tcPr>
          <w:p w14:paraId="392CEB5D">
            <w:pPr>
              <w:pStyle w:val="46"/>
              <w:keepNext w:val="0"/>
              <w:keepLines w:val="0"/>
              <w:suppressLineNumbers w:val="0"/>
              <w:spacing w:before="0" w:beforeLines="0" w:beforeAutospacing="0" w:after="0" w:afterLines="0" w:afterAutospacing="0" w:line="240" w:lineRule="auto"/>
              <w:ind w:left="0" w:right="0"/>
              <w:rPr>
                <w:rFonts w:hint="default"/>
              </w:rPr>
            </w:pPr>
          </w:p>
        </w:tc>
        <w:tc>
          <w:tcPr>
            <w:tcW w:w="1134" w:type="dxa"/>
            <w:noWrap w:val="0"/>
            <w:vAlign w:val="center"/>
          </w:tcPr>
          <w:p w14:paraId="3838C40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eastAsia" w:ascii="Times New Roman" w:hAnsi="Times New Roman" w:eastAsia="宋体"/>
                <w:snapToGrid w:val="0"/>
                <w:color w:val="000000"/>
                <w:kern w:val="21"/>
                <w:sz w:val="21"/>
                <w:szCs w:val="21"/>
                <w:lang w:val="en-US" w:eastAsia="zh-CN"/>
              </w:rPr>
              <w:t>SO</w:t>
            </w:r>
            <w:r>
              <w:rPr>
                <w:rFonts w:hint="eastAsia" w:ascii="Times New Roman" w:hAnsi="Times New Roman" w:eastAsia="宋体"/>
                <w:snapToGrid w:val="0"/>
                <w:color w:val="000000"/>
                <w:kern w:val="21"/>
                <w:sz w:val="21"/>
                <w:szCs w:val="21"/>
                <w:vertAlign w:val="subscript"/>
                <w:lang w:val="en-US" w:eastAsia="zh-CN"/>
              </w:rPr>
              <w:t>2</w:t>
            </w:r>
          </w:p>
        </w:tc>
        <w:tc>
          <w:tcPr>
            <w:tcW w:w="1984" w:type="dxa"/>
            <w:noWrap w:val="0"/>
            <w:vAlign w:val="center"/>
          </w:tcPr>
          <w:p w14:paraId="35A1671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5785042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632BB34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027889B2">
            <w:pPr>
              <w:pStyle w:val="46"/>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0.008</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418" w:type="dxa"/>
            <w:noWrap w:val="0"/>
            <w:vAlign w:val="center"/>
          </w:tcPr>
          <w:p w14:paraId="3905962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3751EF59">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val="en-US" w:eastAsia="zh-CN"/>
              </w:rPr>
              <w:t>0.008</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711" w:type="dxa"/>
            <w:noWrap w:val="0"/>
            <w:vAlign w:val="center"/>
          </w:tcPr>
          <w:p w14:paraId="4B43B204">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val="en-US" w:eastAsia="zh-CN"/>
              </w:rPr>
              <w:t>+0.008</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r>
      <w:tr w14:paraId="1B91B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021" w:type="dxa"/>
            <w:vMerge w:val="continue"/>
            <w:noWrap w:val="0"/>
            <w:vAlign w:val="center"/>
          </w:tcPr>
          <w:p w14:paraId="4766021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eastAsia="zh-CN"/>
              </w:rPr>
            </w:pPr>
          </w:p>
        </w:tc>
        <w:tc>
          <w:tcPr>
            <w:tcW w:w="1134" w:type="dxa"/>
            <w:noWrap w:val="0"/>
            <w:vAlign w:val="center"/>
          </w:tcPr>
          <w:p w14:paraId="74CB48F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eastAsia" w:ascii="Times New Roman" w:hAnsi="Times New Roman" w:eastAsia="宋体"/>
                <w:snapToGrid w:val="0"/>
                <w:color w:val="000000"/>
                <w:kern w:val="21"/>
                <w:sz w:val="21"/>
                <w:szCs w:val="21"/>
                <w:lang w:val="en-US" w:eastAsia="zh-CN"/>
              </w:rPr>
              <w:t>NOx</w:t>
            </w:r>
          </w:p>
        </w:tc>
        <w:tc>
          <w:tcPr>
            <w:tcW w:w="1984" w:type="dxa"/>
            <w:noWrap w:val="0"/>
            <w:vAlign w:val="center"/>
          </w:tcPr>
          <w:p w14:paraId="5F7AA37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328CEB8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0909AC1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0E5AA90E">
            <w:pPr>
              <w:pStyle w:val="46"/>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0.076</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418" w:type="dxa"/>
            <w:noWrap w:val="0"/>
            <w:vAlign w:val="center"/>
          </w:tcPr>
          <w:p w14:paraId="6A2E06B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eastAsia="zh-CN"/>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323EEAC1">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val="en-US" w:eastAsia="zh-CN"/>
              </w:rPr>
              <w:t>0.076</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711" w:type="dxa"/>
            <w:noWrap w:val="0"/>
            <w:vAlign w:val="center"/>
          </w:tcPr>
          <w:p w14:paraId="0AA4901F">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val="en-US" w:eastAsia="zh-CN"/>
              </w:rPr>
              <w:t>+0.076</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r>
      <w:tr w14:paraId="0F2CD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vAlign w:val="center"/>
          </w:tcPr>
          <w:p w14:paraId="4ABC173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p>
        </w:tc>
        <w:tc>
          <w:tcPr>
            <w:tcW w:w="1134" w:type="dxa"/>
            <w:noWrap w:val="0"/>
            <w:vAlign w:val="center"/>
          </w:tcPr>
          <w:p w14:paraId="2FA1F764">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rPr>
            </w:pPr>
            <w:r>
              <w:rPr>
                <w:rFonts w:hint="default" w:ascii="Times New Roman" w:hAnsi="Times New Roman" w:eastAsia="宋体" w:cs="Times New Roman"/>
                <w:snapToGrid w:val="0"/>
                <w:color w:val="000000"/>
                <w:kern w:val="21"/>
                <w:sz w:val="21"/>
                <w:szCs w:val="21"/>
                <w:lang w:val="en-US" w:eastAsia="zh-CN"/>
              </w:rPr>
              <w:t>非甲烷总烃</w:t>
            </w:r>
          </w:p>
        </w:tc>
        <w:tc>
          <w:tcPr>
            <w:tcW w:w="1984" w:type="dxa"/>
            <w:noWrap w:val="0"/>
            <w:vAlign w:val="center"/>
          </w:tcPr>
          <w:p w14:paraId="5C02CD61">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437B552B">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618CA1CD">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5046453A">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eastAsia" w:ascii="Times New Roman" w:cs="Times New Roman"/>
                <w:bCs/>
                <w:sz w:val="21"/>
                <w:szCs w:val="21"/>
                <w:lang w:eastAsia="zh-CN"/>
              </w:rPr>
              <w:t>0.064</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418" w:type="dxa"/>
            <w:noWrap w:val="0"/>
            <w:vAlign w:val="center"/>
          </w:tcPr>
          <w:p w14:paraId="37F9D8E8">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56F35E8F">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eastAsia" w:ascii="Times New Roman" w:cs="Times New Roman"/>
                <w:bCs/>
                <w:sz w:val="21"/>
                <w:szCs w:val="21"/>
                <w:lang w:eastAsia="zh-CN"/>
              </w:rPr>
              <w:t>0.064</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c>
          <w:tcPr>
            <w:tcW w:w="1711" w:type="dxa"/>
            <w:noWrap w:val="0"/>
            <w:vAlign w:val="center"/>
          </w:tcPr>
          <w:p w14:paraId="7FD8A58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bCs/>
                <w:sz w:val="21"/>
                <w:szCs w:val="21"/>
              </w:rPr>
              <w:t>+</w:t>
            </w:r>
            <w:r>
              <w:rPr>
                <w:rFonts w:hint="eastAsia" w:ascii="Times New Roman" w:cs="Times New Roman"/>
                <w:bCs/>
                <w:sz w:val="21"/>
                <w:szCs w:val="21"/>
                <w:lang w:eastAsia="zh-CN"/>
              </w:rPr>
              <w:t>0.064</w:t>
            </w:r>
            <w:r>
              <w:rPr>
                <w:rFonts w:hint="default" w:ascii="Times New Roman" w:hAnsi="Times New Roman" w:eastAsia="宋体" w:cs="Times New Roman"/>
                <w:bCs/>
                <w:sz w:val="21"/>
                <w:szCs w:val="21"/>
                <w:lang w:val="en-US" w:eastAsia="zh-CN"/>
              </w:rPr>
              <w:t>t</w:t>
            </w:r>
            <w:r>
              <w:rPr>
                <w:rFonts w:hint="default" w:ascii="Times New Roman" w:hAnsi="Times New Roman" w:eastAsia="宋体" w:cs="Times New Roman"/>
                <w:bCs/>
                <w:sz w:val="21"/>
                <w:szCs w:val="21"/>
              </w:rPr>
              <w:t>/a</w:t>
            </w:r>
          </w:p>
        </w:tc>
      </w:tr>
      <w:tr w14:paraId="3435B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noWrap w:val="0"/>
            <w:vAlign w:val="center"/>
          </w:tcPr>
          <w:p w14:paraId="098EA400">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废水</w:t>
            </w:r>
          </w:p>
        </w:tc>
        <w:tc>
          <w:tcPr>
            <w:tcW w:w="1134" w:type="dxa"/>
            <w:noWrap w:val="0"/>
            <w:vAlign w:val="center"/>
          </w:tcPr>
          <w:p w14:paraId="7DACC527">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COD</w:t>
            </w:r>
          </w:p>
        </w:tc>
        <w:tc>
          <w:tcPr>
            <w:tcW w:w="1984" w:type="dxa"/>
            <w:noWrap w:val="0"/>
            <w:vAlign w:val="center"/>
          </w:tcPr>
          <w:p w14:paraId="7C77B70F">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1A1691DE">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6F7EF85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0767BCA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418" w:type="dxa"/>
            <w:noWrap w:val="0"/>
            <w:vAlign w:val="center"/>
          </w:tcPr>
          <w:p w14:paraId="4FD1C3FD">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19232A2C">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11" w:type="dxa"/>
            <w:noWrap w:val="0"/>
            <w:vAlign w:val="center"/>
          </w:tcPr>
          <w:p w14:paraId="440389E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r>
      <w:tr w14:paraId="1984F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vAlign w:val="center"/>
          </w:tcPr>
          <w:p w14:paraId="2FCFF22F">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p>
        </w:tc>
        <w:tc>
          <w:tcPr>
            <w:tcW w:w="1134" w:type="dxa"/>
            <w:noWrap w:val="0"/>
            <w:vAlign w:val="center"/>
          </w:tcPr>
          <w:p w14:paraId="44EC06DD">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氨氮</w:t>
            </w:r>
          </w:p>
        </w:tc>
        <w:tc>
          <w:tcPr>
            <w:tcW w:w="1984" w:type="dxa"/>
            <w:noWrap w:val="0"/>
            <w:vAlign w:val="center"/>
          </w:tcPr>
          <w:p w14:paraId="7DAB90DA">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2B63F61A">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44A5509E">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518F2902">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418" w:type="dxa"/>
            <w:noWrap w:val="0"/>
            <w:vAlign w:val="center"/>
          </w:tcPr>
          <w:p w14:paraId="19E01AE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6E017CA8">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11" w:type="dxa"/>
            <w:noWrap w:val="0"/>
            <w:vAlign w:val="center"/>
          </w:tcPr>
          <w:p w14:paraId="2B133722">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r>
      <w:tr w14:paraId="54736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21" w:type="dxa"/>
            <w:vMerge w:val="restart"/>
            <w:noWrap w:val="0"/>
            <w:vAlign w:val="center"/>
          </w:tcPr>
          <w:p w14:paraId="4EC858BA">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auto"/>
                <w:kern w:val="21"/>
                <w:sz w:val="21"/>
                <w:szCs w:val="21"/>
                <w:lang w:val="en-US" w:eastAsia="zh-CN" w:bidi="ar-SA"/>
              </w:rPr>
              <w:t>一般工业固体废物</w:t>
            </w:r>
          </w:p>
        </w:tc>
        <w:tc>
          <w:tcPr>
            <w:tcW w:w="1134" w:type="dxa"/>
            <w:noWrap w:val="0"/>
            <w:vAlign w:val="center"/>
          </w:tcPr>
          <w:p w14:paraId="0664745D">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color w:val="auto"/>
                <w:sz w:val="21"/>
                <w:szCs w:val="21"/>
              </w:rPr>
              <w:t>生活垃圾</w:t>
            </w:r>
          </w:p>
        </w:tc>
        <w:tc>
          <w:tcPr>
            <w:tcW w:w="1984" w:type="dxa"/>
            <w:noWrap w:val="0"/>
            <w:vAlign w:val="center"/>
          </w:tcPr>
          <w:p w14:paraId="1A7770E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074F9949">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3D02A3DA">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1C09B054">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12</w:t>
            </w:r>
            <w:r>
              <w:rPr>
                <w:rFonts w:hint="default" w:ascii="Times New Roman" w:hAnsi="Times New Roman" w:eastAsia="宋体" w:cs="Times New Roman"/>
                <w:snapToGrid w:val="0"/>
                <w:color w:val="000000"/>
                <w:kern w:val="21"/>
                <w:sz w:val="21"/>
                <w:szCs w:val="21"/>
              </w:rPr>
              <w:t>t/a</w:t>
            </w:r>
          </w:p>
        </w:tc>
        <w:tc>
          <w:tcPr>
            <w:tcW w:w="1418" w:type="dxa"/>
            <w:noWrap w:val="0"/>
            <w:vAlign w:val="center"/>
          </w:tcPr>
          <w:p w14:paraId="335D963C">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605D2F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rPr>
            </w:pPr>
            <w:r>
              <w:rPr>
                <w:rFonts w:hint="eastAsia" w:ascii="Times New Roman" w:hAnsi="Times New Roman" w:eastAsia="宋体" w:cs="Times New Roman"/>
                <w:snapToGrid w:val="0"/>
                <w:color w:val="000000"/>
                <w:kern w:val="21"/>
                <w:sz w:val="21"/>
                <w:szCs w:val="21"/>
                <w:lang w:val="en-US" w:eastAsia="zh-CN"/>
              </w:rPr>
              <w:t>4.5</w:t>
            </w:r>
            <w:r>
              <w:rPr>
                <w:rFonts w:hint="default" w:ascii="Times New Roman" w:hAnsi="Times New Roman" w:eastAsia="宋体" w:cs="Times New Roman"/>
                <w:snapToGrid w:val="0"/>
                <w:color w:val="000000"/>
                <w:kern w:val="21"/>
                <w:sz w:val="21"/>
                <w:szCs w:val="21"/>
              </w:rPr>
              <w:t>t/a</w:t>
            </w:r>
          </w:p>
        </w:tc>
        <w:tc>
          <w:tcPr>
            <w:tcW w:w="1711" w:type="dxa"/>
            <w:noWrap w:val="0"/>
            <w:vAlign w:val="center"/>
          </w:tcPr>
          <w:p w14:paraId="6BB924E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rPr>
            </w:pPr>
            <w:r>
              <w:rPr>
                <w:rFonts w:hint="eastAsia" w:ascii="Times New Roman" w:hAnsi="Times New Roman" w:eastAsia="宋体" w:cs="Times New Roman"/>
                <w:snapToGrid w:val="0"/>
                <w:color w:val="000000"/>
                <w:kern w:val="21"/>
                <w:sz w:val="21"/>
                <w:szCs w:val="21"/>
                <w:lang w:val="en-US" w:eastAsia="zh-CN"/>
              </w:rPr>
              <w:t>+4.5</w:t>
            </w:r>
            <w:r>
              <w:rPr>
                <w:rFonts w:hint="default" w:ascii="Times New Roman" w:hAnsi="Times New Roman" w:eastAsia="宋体" w:cs="Times New Roman"/>
                <w:snapToGrid w:val="0"/>
                <w:color w:val="000000"/>
                <w:kern w:val="21"/>
                <w:sz w:val="21"/>
                <w:szCs w:val="21"/>
              </w:rPr>
              <w:t>t/a</w:t>
            </w:r>
          </w:p>
        </w:tc>
      </w:tr>
      <w:tr w14:paraId="52F4A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21" w:type="dxa"/>
            <w:vMerge w:val="continue"/>
            <w:noWrap w:val="0"/>
            <w:vAlign w:val="center"/>
          </w:tcPr>
          <w:p w14:paraId="158C96CF">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p>
        </w:tc>
        <w:tc>
          <w:tcPr>
            <w:tcW w:w="1134" w:type="dxa"/>
            <w:noWrap w:val="0"/>
            <w:vAlign w:val="center"/>
          </w:tcPr>
          <w:p w14:paraId="47C333B2">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b w:val="0"/>
                <w:bCs/>
                <w:lang w:val="en-US" w:eastAsia="zh-CN"/>
              </w:rPr>
              <w:t>废包装</w:t>
            </w:r>
            <w:r>
              <w:rPr>
                <w:rFonts w:hint="eastAsia" w:cs="Times New Roman"/>
                <w:b w:val="0"/>
                <w:bCs/>
                <w:lang w:val="en-US" w:eastAsia="zh-CN"/>
              </w:rPr>
              <w:t>材料</w:t>
            </w:r>
          </w:p>
        </w:tc>
        <w:tc>
          <w:tcPr>
            <w:tcW w:w="1984" w:type="dxa"/>
            <w:noWrap w:val="0"/>
            <w:vAlign w:val="center"/>
          </w:tcPr>
          <w:p w14:paraId="38AFA7A1">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3584414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0C9200F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490442A2">
            <w:pPr>
              <w:pStyle w:val="4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0.2</w:t>
            </w:r>
            <w:r>
              <w:rPr>
                <w:rFonts w:hint="default" w:ascii="Times New Roman" w:hAnsi="Times New Roman" w:eastAsia="宋体" w:cs="Times New Roman"/>
                <w:snapToGrid w:val="0"/>
                <w:color w:val="000000"/>
                <w:kern w:val="21"/>
                <w:sz w:val="21"/>
                <w:szCs w:val="21"/>
              </w:rPr>
              <w:t>t/a</w:t>
            </w:r>
          </w:p>
        </w:tc>
        <w:tc>
          <w:tcPr>
            <w:tcW w:w="1418" w:type="dxa"/>
            <w:noWrap w:val="0"/>
            <w:vAlign w:val="center"/>
          </w:tcPr>
          <w:p w14:paraId="1B4DFCC1">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7372F042">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0.2</w:t>
            </w:r>
            <w:r>
              <w:rPr>
                <w:rFonts w:hint="default" w:ascii="Times New Roman" w:hAnsi="Times New Roman" w:eastAsia="宋体" w:cs="Times New Roman"/>
                <w:snapToGrid w:val="0"/>
                <w:color w:val="000000"/>
                <w:kern w:val="21"/>
                <w:sz w:val="21"/>
                <w:szCs w:val="21"/>
              </w:rPr>
              <w:t>t/a</w:t>
            </w:r>
          </w:p>
        </w:tc>
        <w:tc>
          <w:tcPr>
            <w:tcW w:w="1711" w:type="dxa"/>
            <w:noWrap w:val="0"/>
            <w:vAlign w:val="center"/>
          </w:tcPr>
          <w:p w14:paraId="65233C34">
            <w:pPr>
              <w:pStyle w:val="46"/>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+0.2</w:t>
            </w:r>
            <w:r>
              <w:rPr>
                <w:rFonts w:hint="default" w:ascii="Times New Roman" w:hAnsi="Times New Roman" w:eastAsia="宋体" w:cs="Times New Roman"/>
                <w:snapToGrid w:val="0"/>
                <w:color w:val="000000"/>
                <w:kern w:val="21"/>
                <w:sz w:val="21"/>
                <w:szCs w:val="21"/>
              </w:rPr>
              <w:t>t/a</w:t>
            </w:r>
          </w:p>
        </w:tc>
      </w:tr>
      <w:tr w14:paraId="1B8A1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21" w:type="dxa"/>
            <w:vMerge w:val="continue"/>
            <w:noWrap w:val="0"/>
            <w:vAlign w:val="center"/>
          </w:tcPr>
          <w:p w14:paraId="5B4965B8">
            <w:pPr>
              <w:keepNext w:val="0"/>
              <w:keepLines w:val="0"/>
              <w:suppressLineNumbers w:val="0"/>
              <w:spacing w:before="0" w:beforeLines="0" w:beforeAutospacing="0" w:after="0" w:afterLines="0" w:afterAutospacing="0" w:line="240" w:lineRule="auto"/>
              <w:ind w:left="0" w:right="0"/>
              <w:jc w:val="center"/>
              <w:rPr>
                <w:rFonts w:hint="default"/>
              </w:rPr>
            </w:pPr>
          </w:p>
        </w:tc>
        <w:tc>
          <w:tcPr>
            <w:tcW w:w="1134" w:type="dxa"/>
            <w:noWrap w:val="0"/>
            <w:vAlign w:val="center"/>
          </w:tcPr>
          <w:p w14:paraId="365E2EC5">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b w:val="0"/>
                <w:bCs/>
                <w:lang w:val="en-US" w:eastAsia="zh-CN"/>
              </w:rPr>
              <w:t>不合格产品</w:t>
            </w:r>
          </w:p>
        </w:tc>
        <w:tc>
          <w:tcPr>
            <w:tcW w:w="1984" w:type="dxa"/>
            <w:noWrap w:val="0"/>
            <w:vAlign w:val="center"/>
          </w:tcPr>
          <w:p w14:paraId="1DD20EA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276" w:type="dxa"/>
            <w:noWrap w:val="0"/>
            <w:vAlign w:val="center"/>
          </w:tcPr>
          <w:p w14:paraId="1CCDE89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559" w:type="dxa"/>
            <w:noWrap w:val="0"/>
            <w:vAlign w:val="center"/>
          </w:tcPr>
          <w:p w14:paraId="1EBA412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701" w:type="dxa"/>
            <w:noWrap w:val="0"/>
            <w:vAlign w:val="center"/>
          </w:tcPr>
          <w:p w14:paraId="19CA9FD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c>
          <w:tcPr>
            <w:tcW w:w="1418" w:type="dxa"/>
            <w:noWrap w:val="0"/>
            <w:vAlign w:val="center"/>
          </w:tcPr>
          <w:p w14:paraId="5A2AE26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w:t>
            </w:r>
          </w:p>
        </w:tc>
        <w:tc>
          <w:tcPr>
            <w:tcW w:w="1984" w:type="dxa"/>
            <w:noWrap w:val="0"/>
            <w:vAlign w:val="center"/>
          </w:tcPr>
          <w:p w14:paraId="719B40C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c>
          <w:tcPr>
            <w:tcW w:w="1711" w:type="dxa"/>
            <w:noWrap w:val="0"/>
            <w:vAlign w:val="center"/>
          </w:tcPr>
          <w:p w14:paraId="3E42ABF0">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r>
      <w:tr w14:paraId="7E816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21" w:type="dxa"/>
            <w:vMerge w:val="continue"/>
            <w:noWrap w:val="0"/>
            <w:vAlign w:val="center"/>
          </w:tcPr>
          <w:p w14:paraId="25DA506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134" w:type="dxa"/>
            <w:noWrap w:val="0"/>
            <w:vAlign w:val="center"/>
          </w:tcPr>
          <w:p w14:paraId="622235E7">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b w:val="0"/>
                <w:bCs/>
                <w:lang w:val="en-US" w:eastAsia="zh-CN"/>
              </w:rPr>
              <w:t>废边角料</w:t>
            </w:r>
          </w:p>
        </w:tc>
        <w:tc>
          <w:tcPr>
            <w:tcW w:w="1984" w:type="dxa"/>
            <w:noWrap w:val="0"/>
            <w:vAlign w:val="center"/>
          </w:tcPr>
          <w:p w14:paraId="1C19B9D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276" w:type="dxa"/>
            <w:noWrap w:val="0"/>
            <w:vAlign w:val="center"/>
          </w:tcPr>
          <w:p w14:paraId="5F6B296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559" w:type="dxa"/>
            <w:noWrap w:val="0"/>
            <w:vAlign w:val="center"/>
          </w:tcPr>
          <w:p w14:paraId="71B483D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701" w:type="dxa"/>
            <w:noWrap w:val="0"/>
            <w:vAlign w:val="center"/>
          </w:tcPr>
          <w:p w14:paraId="2BBB0D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c>
          <w:tcPr>
            <w:tcW w:w="1418" w:type="dxa"/>
            <w:noWrap w:val="0"/>
            <w:vAlign w:val="center"/>
          </w:tcPr>
          <w:p w14:paraId="1A787EB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w:t>
            </w:r>
          </w:p>
        </w:tc>
        <w:tc>
          <w:tcPr>
            <w:tcW w:w="1984" w:type="dxa"/>
            <w:noWrap w:val="0"/>
            <w:vAlign w:val="center"/>
          </w:tcPr>
          <w:p w14:paraId="3EC605F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c>
          <w:tcPr>
            <w:tcW w:w="1711" w:type="dxa"/>
            <w:noWrap w:val="0"/>
            <w:vAlign w:val="center"/>
          </w:tcPr>
          <w:p w14:paraId="71F4149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+0.5</w:t>
            </w:r>
            <w:r>
              <w:rPr>
                <w:rFonts w:hint="default" w:ascii="Times New Roman" w:hAnsi="Times New Roman" w:eastAsia="宋体" w:cs="Times New Roman"/>
                <w:snapToGrid w:val="0"/>
                <w:color w:val="000000"/>
                <w:kern w:val="21"/>
                <w:sz w:val="21"/>
                <w:szCs w:val="21"/>
              </w:rPr>
              <w:t>t/a</w:t>
            </w:r>
          </w:p>
        </w:tc>
      </w:tr>
      <w:tr w14:paraId="0135E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21" w:type="dxa"/>
            <w:vMerge w:val="restart"/>
            <w:noWrap w:val="0"/>
            <w:vAlign w:val="center"/>
          </w:tcPr>
          <w:p w14:paraId="2C383926">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危险废物</w:t>
            </w:r>
          </w:p>
        </w:tc>
        <w:tc>
          <w:tcPr>
            <w:tcW w:w="1134" w:type="dxa"/>
            <w:noWrap w:val="0"/>
            <w:vAlign w:val="center"/>
          </w:tcPr>
          <w:p w14:paraId="28301D56">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rPr>
            </w:pPr>
            <w:r>
              <w:rPr>
                <w:rFonts w:hint="eastAsia" w:ascii="Times New Roman" w:hAnsi="Times New Roman" w:cs="Times New Roman"/>
                <w:b w:val="0"/>
                <w:bCs/>
                <w:lang w:val="en-US" w:eastAsia="zh-CN"/>
              </w:rPr>
              <w:t>废真空泵油</w:t>
            </w:r>
          </w:p>
        </w:tc>
        <w:tc>
          <w:tcPr>
            <w:tcW w:w="1984" w:type="dxa"/>
            <w:noWrap w:val="0"/>
            <w:vAlign w:val="center"/>
          </w:tcPr>
          <w:p w14:paraId="6CA56572">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0F3BC9F1">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2F2D991E">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4BA8CB28">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000000"/>
                <w:kern w:val="21"/>
                <w:sz w:val="21"/>
                <w:szCs w:val="21"/>
              </w:rPr>
            </w:pPr>
            <w:r>
              <w:rPr>
                <w:rFonts w:hint="eastAsia" w:cs="Times New Roman"/>
                <w:b w:val="0"/>
                <w:bCs/>
                <w:lang w:val="en-US" w:eastAsia="zh-CN"/>
              </w:rPr>
              <w:t>0.6</w:t>
            </w:r>
            <w:r>
              <w:rPr>
                <w:rFonts w:hint="default" w:ascii="Times New Roman" w:hAnsi="Times New Roman" w:eastAsia="宋体" w:cs="Times New Roman"/>
                <w:b w:val="0"/>
                <w:bCs/>
                <w:snapToGrid w:val="0"/>
                <w:color w:val="000000"/>
                <w:kern w:val="21"/>
                <w:sz w:val="21"/>
                <w:szCs w:val="21"/>
              </w:rPr>
              <w:t>t/a</w:t>
            </w:r>
          </w:p>
        </w:tc>
        <w:tc>
          <w:tcPr>
            <w:tcW w:w="1418" w:type="dxa"/>
            <w:noWrap w:val="0"/>
            <w:vAlign w:val="center"/>
          </w:tcPr>
          <w:p w14:paraId="1F08CF30">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7F4BB95D">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rPr>
            </w:pPr>
            <w:r>
              <w:rPr>
                <w:rFonts w:hint="eastAsia" w:cs="Times New Roman"/>
                <w:b w:val="0"/>
                <w:bCs/>
                <w:lang w:val="en-US" w:eastAsia="zh-CN"/>
              </w:rPr>
              <w:t>0.6</w:t>
            </w:r>
            <w:r>
              <w:rPr>
                <w:rFonts w:hint="default" w:ascii="Times New Roman" w:hAnsi="Times New Roman" w:eastAsia="宋体" w:cs="Times New Roman"/>
                <w:b w:val="0"/>
                <w:bCs/>
                <w:snapToGrid w:val="0"/>
                <w:color w:val="000000"/>
                <w:kern w:val="21"/>
                <w:sz w:val="21"/>
                <w:szCs w:val="21"/>
              </w:rPr>
              <w:t>t/a</w:t>
            </w:r>
          </w:p>
        </w:tc>
        <w:tc>
          <w:tcPr>
            <w:tcW w:w="1711" w:type="dxa"/>
            <w:noWrap w:val="0"/>
            <w:vAlign w:val="center"/>
          </w:tcPr>
          <w:p w14:paraId="783DBF20">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rPr>
            </w:pPr>
            <w:r>
              <w:rPr>
                <w:rFonts w:hint="eastAsia" w:cs="Times New Roman"/>
                <w:b w:val="0"/>
                <w:bCs/>
                <w:lang w:val="en-US" w:eastAsia="zh-CN"/>
              </w:rPr>
              <w:t>+0.6</w:t>
            </w:r>
            <w:r>
              <w:rPr>
                <w:rFonts w:hint="default" w:ascii="Times New Roman" w:hAnsi="Times New Roman" w:eastAsia="宋体" w:cs="Times New Roman"/>
                <w:b w:val="0"/>
                <w:bCs/>
                <w:snapToGrid w:val="0"/>
                <w:color w:val="000000"/>
                <w:kern w:val="21"/>
                <w:sz w:val="21"/>
                <w:szCs w:val="21"/>
              </w:rPr>
              <w:t>t/a</w:t>
            </w:r>
          </w:p>
        </w:tc>
      </w:tr>
      <w:tr w14:paraId="3ACE9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021" w:type="dxa"/>
            <w:vMerge w:val="continue"/>
            <w:noWrap w:val="0"/>
            <w:vAlign w:val="center"/>
          </w:tcPr>
          <w:p w14:paraId="4A55AAD1">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p>
        </w:tc>
        <w:tc>
          <w:tcPr>
            <w:tcW w:w="1134" w:type="dxa"/>
            <w:noWrap w:val="0"/>
            <w:vAlign w:val="center"/>
          </w:tcPr>
          <w:p w14:paraId="6A171FB1">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b w:val="0"/>
                <w:bCs/>
                <w:lang w:val="en-US" w:eastAsia="zh-CN"/>
              </w:rPr>
              <w:t>废</w:t>
            </w:r>
            <w:r>
              <w:rPr>
                <w:rFonts w:hint="eastAsia" w:cs="Times New Roman"/>
                <w:b w:val="0"/>
                <w:bCs/>
                <w:lang w:val="en-US" w:eastAsia="zh-CN"/>
              </w:rPr>
              <w:t>切削液</w:t>
            </w:r>
          </w:p>
        </w:tc>
        <w:tc>
          <w:tcPr>
            <w:tcW w:w="1984" w:type="dxa"/>
            <w:noWrap w:val="0"/>
            <w:vAlign w:val="center"/>
          </w:tcPr>
          <w:p w14:paraId="3673089F">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3C3368C5">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0F123AEE">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28BC0A64">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000000"/>
                <w:kern w:val="21"/>
                <w:sz w:val="21"/>
                <w:szCs w:val="21"/>
              </w:rPr>
            </w:pPr>
            <w:r>
              <w:rPr>
                <w:rFonts w:hint="eastAsia" w:cs="Times New Roman"/>
                <w:b w:val="0"/>
                <w:bCs/>
                <w:lang w:val="en-US" w:eastAsia="zh-CN"/>
              </w:rPr>
              <w:t>1.6</w:t>
            </w:r>
            <w:r>
              <w:rPr>
                <w:rFonts w:hint="default" w:ascii="Times New Roman" w:hAnsi="Times New Roman" w:eastAsia="宋体" w:cs="Times New Roman"/>
                <w:b w:val="0"/>
                <w:bCs/>
                <w:snapToGrid w:val="0"/>
                <w:color w:val="000000"/>
                <w:kern w:val="21"/>
                <w:sz w:val="21"/>
                <w:szCs w:val="21"/>
              </w:rPr>
              <w:t>t/a</w:t>
            </w:r>
          </w:p>
        </w:tc>
        <w:tc>
          <w:tcPr>
            <w:tcW w:w="1418" w:type="dxa"/>
            <w:noWrap w:val="0"/>
            <w:vAlign w:val="center"/>
          </w:tcPr>
          <w:p w14:paraId="2085DF03">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71702BEF">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rPr>
            </w:pPr>
            <w:r>
              <w:rPr>
                <w:rFonts w:hint="eastAsia" w:cs="Times New Roman"/>
                <w:b w:val="0"/>
                <w:bCs/>
                <w:lang w:val="en-US" w:eastAsia="zh-CN"/>
              </w:rPr>
              <w:t>1.6</w:t>
            </w:r>
            <w:r>
              <w:rPr>
                <w:rFonts w:hint="default" w:ascii="Times New Roman" w:hAnsi="Times New Roman" w:eastAsia="宋体" w:cs="Times New Roman"/>
                <w:b w:val="0"/>
                <w:bCs/>
                <w:snapToGrid w:val="0"/>
                <w:color w:val="000000"/>
                <w:kern w:val="21"/>
                <w:sz w:val="21"/>
                <w:szCs w:val="21"/>
              </w:rPr>
              <w:t>t/a</w:t>
            </w:r>
          </w:p>
        </w:tc>
        <w:tc>
          <w:tcPr>
            <w:tcW w:w="1711" w:type="dxa"/>
            <w:noWrap w:val="0"/>
            <w:vAlign w:val="center"/>
          </w:tcPr>
          <w:p w14:paraId="03412480">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rPr>
            </w:pPr>
            <w:r>
              <w:rPr>
                <w:rFonts w:hint="eastAsia" w:cs="Times New Roman"/>
                <w:b w:val="0"/>
                <w:bCs/>
                <w:lang w:val="en-US" w:eastAsia="zh-CN"/>
              </w:rPr>
              <w:t>+1.6</w:t>
            </w:r>
            <w:r>
              <w:rPr>
                <w:rFonts w:hint="default" w:ascii="Times New Roman" w:hAnsi="Times New Roman" w:eastAsia="宋体" w:cs="Times New Roman"/>
                <w:b w:val="0"/>
                <w:bCs/>
                <w:snapToGrid w:val="0"/>
                <w:color w:val="000000"/>
                <w:kern w:val="21"/>
                <w:sz w:val="21"/>
                <w:szCs w:val="21"/>
              </w:rPr>
              <w:t>t/a</w:t>
            </w:r>
          </w:p>
        </w:tc>
      </w:tr>
      <w:tr w14:paraId="5C964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Merge w:val="continue"/>
            <w:noWrap w:val="0"/>
            <w:vAlign w:val="center"/>
          </w:tcPr>
          <w:p w14:paraId="6A4B35FC">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p>
        </w:tc>
        <w:tc>
          <w:tcPr>
            <w:tcW w:w="1134" w:type="dxa"/>
            <w:noWrap w:val="0"/>
            <w:vAlign w:val="center"/>
          </w:tcPr>
          <w:p w14:paraId="5CE52D1D">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b w:val="0"/>
                <w:bCs/>
                <w:lang w:val="en-US" w:eastAsia="zh-CN"/>
              </w:rPr>
              <w:t>废润滑油及油桶</w:t>
            </w:r>
          </w:p>
        </w:tc>
        <w:tc>
          <w:tcPr>
            <w:tcW w:w="1984" w:type="dxa"/>
            <w:noWrap w:val="0"/>
            <w:vAlign w:val="center"/>
          </w:tcPr>
          <w:p w14:paraId="2F7ED0B9">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276" w:type="dxa"/>
            <w:noWrap w:val="0"/>
            <w:vAlign w:val="center"/>
          </w:tcPr>
          <w:p w14:paraId="368C5CCC">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559" w:type="dxa"/>
            <w:noWrap w:val="0"/>
            <w:vAlign w:val="center"/>
          </w:tcPr>
          <w:p w14:paraId="2E136174">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p>
        </w:tc>
        <w:tc>
          <w:tcPr>
            <w:tcW w:w="1701" w:type="dxa"/>
            <w:noWrap w:val="0"/>
            <w:vAlign w:val="center"/>
          </w:tcPr>
          <w:p w14:paraId="0C8E76DF">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000000"/>
                <w:kern w:val="21"/>
                <w:sz w:val="21"/>
                <w:szCs w:val="21"/>
                <w:lang w:val="en-US" w:eastAsia="zh-CN"/>
              </w:rPr>
            </w:pPr>
            <w:r>
              <w:rPr>
                <w:rFonts w:hint="eastAsia" w:ascii="Times New Roman" w:hAnsi="Times New Roman" w:cs="Times New Roman"/>
                <w:b w:val="0"/>
                <w:bCs/>
                <w:lang w:val="en-US" w:eastAsia="zh-CN"/>
              </w:rPr>
              <w:t>0.15</w:t>
            </w:r>
            <w:r>
              <w:rPr>
                <w:rFonts w:hint="default" w:ascii="Times New Roman" w:hAnsi="Times New Roman" w:eastAsia="宋体" w:cs="Times New Roman"/>
                <w:b w:val="0"/>
                <w:bCs/>
                <w:snapToGrid w:val="0"/>
                <w:color w:val="000000"/>
                <w:kern w:val="21"/>
                <w:sz w:val="21"/>
                <w:szCs w:val="21"/>
              </w:rPr>
              <w:t>t/a</w:t>
            </w:r>
          </w:p>
        </w:tc>
        <w:tc>
          <w:tcPr>
            <w:tcW w:w="1418" w:type="dxa"/>
            <w:noWrap w:val="0"/>
            <w:vAlign w:val="center"/>
          </w:tcPr>
          <w:p w14:paraId="46D44754">
            <w:pPr>
              <w:pStyle w:val="4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w:t>
            </w:r>
          </w:p>
        </w:tc>
        <w:tc>
          <w:tcPr>
            <w:tcW w:w="1984" w:type="dxa"/>
            <w:noWrap w:val="0"/>
            <w:vAlign w:val="center"/>
          </w:tcPr>
          <w:p w14:paraId="6D5F317E">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b w:val="0"/>
                <w:bCs/>
                <w:lang w:val="en-US" w:eastAsia="zh-CN"/>
              </w:rPr>
              <w:t>0.15</w:t>
            </w:r>
            <w:r>
              <w:rPr>
                <w:rFonts w:hint="default" w:ascii="Times New Roman" w:hAnsi="Times New Roman" w:eastAsia="宋体" w:cs="Times New Roman"/>
                <w:b w:val="0"/>
                <w:bCs/>
                <w:snapToGrid w:val="0"/>
                <w:color w:val="000000"/>
                <w:kern w:val="21"/>
                <w:sz w:val="21"/>
                <w:szCs w:val="21"/>
              </w:rPr>
              <w:t>t/a</w:t>
            </w:r>
          </w:p>
        </w:tc>
        <w:tc>
          <w:tcPr>
            <w:tcW w:w="1711" w:type="dxa"/>
            <w:noWrap w:val="0"/>
            <w:vAlign w:val="center"/>
          </w:tcPr>
          <w:p w14:paraId="0AE10AC5">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b w:val="0"/>
                <w:bCs/>
                <w:lang w:val="en-US" w:eastAsia="zh-CN"/>
              </w:rPr>
              <w:t>+0.15</w:t>
            </w:r>
            <w:r>
              <w:rPr>
                <w:rFonts w:hint="default" w:ascii="Times New Roman" w:hAnsi="Times New Roman" w:eastAsia="宋体" w:cs="Times New Roman"/>
                <w:b w:val="0"/>
                <w:bCs/>
                <w:snapToGrid w:val="0"/>
                <w:color w:val="000000"/>
                <w:kern w:val="21"/>
                <w:sz w:val="21"/>
                <w:szCs w:val="21"/>
              </w:rPr>
              <w:t>t/a</w:t>
            </w:r>
          </w:p>
        </w:tc>
      </w:tr>
      <w:tr w14:paraId="72995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Merge w:val="continue"/>
            <w:noWrap w:val="0"/>
            <w:vAlign w:val="center"/>
          </w:tcPr>
          <w:p w14:paraId="3F478078">
            <w:pPr>
              <w:keepNext w:val="0"/>
              <w:keepLines w:val="0"/>
              <w:suppressLineNumbers w:val="0"/>
              <w:spacing w:before="0" w:beforeLines="0" w:beforeAutospacing="0" w:after="0" w:afterLines="0" w:afterAutospacing="0" w:line="240" w:lineRule="auto"/>
              <w:ind w:left="0" w:right="0"/>
              <w:jc w:val="center"/>
              <w:rPr>
                <w:rFonts w:hint="default"/>
              </w:rPr>
            </w:pPr>
          </w:p>
        </w:tc>
        <w:tc>
          <w:tcPr>
            <w:tcW w:w="1134" w:type="dxa"/>
            <w:noWrap w:val="0"/>
            <w:vAlign w:val="center"/>
          </w:tcPr>
          <w:p w14:paraId="0273B359">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cs="Times New Roman"/>
                <w:b w:val="0"/>
                <w:bCs/>
                <w:lang w:val="en-US" w:eastAsia="zh-CN"/>
              </w:rPr>
              <w:t>废液压油</w:t>
            </w:r>
          </w:p>
        </w:tc>
        <w:tc>
          <w:tcPr>
            <w:tcW w:w="1984" w:type="dxa"/>
            <w:noWrap w:val="0"/>
            <w:vAlign w:val="center"/>
          </w:tcPr>
          <w:p w14:paraId="4C1F9E7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276" w:type="dxa"/>
            <w:noWrap w:val="0"/>
            <w:vAlign w:val="center"/>
          </w:tcPr>
          <w:p w14:paraId="22B1552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559" w:type="dxa"/>
            <w:noWrap w:val="0"/>
            <w:vAlign w:val="center"/>
          </w:tcPr>
          <w:p w14:paraId="51E0760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701" w:type="dxa"/>
            <w:noWrap w:val="0"/>
            <w:vAlign w:val="center"/>
          </w:tcPr>
          <w:p w14:paraId="261DC279">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000000"/>
                <w:kern w:val="21"/>
                <w:sz w:val="21"/>
                <w:szCs w:val="21"/>
                <w:lang w:val="en-US" w:eastAsia="zh-CN"/>
              </w:rPr>
            </w:pPr>
            <w:r>
              <w:rPr>
                <w:rFonts w:hint="eastAsia" w:cs="Times New Roman"/>
                <w:b w:val="0"/>
                <w:bCs/>
                <w:lang w:val="en-US" w:eastAsia="zh-CN"/>
              </w:rPr>
              <w:t>0.2</w:t>
            </w:r>
            <w:r>
              <w:rPr>
                <w:rFonts w:hint="default" w:ascii="Times New Roman" w:hAnsi="Times New Roman" w:eastAsia="宋体" w:cs="Times New Roman"/>
                <w:b w:val="0"/>
                <w:bCs/>
                <w:snapToGrid w:val="0"/>
                <w:color w:val="000000"/>
                <w:kern w:val="21"/>
                <w:sz w:val="21"/>
                <w:szCs w:val="21"/>
              </w:rPr>
              <w:t>t/a</w:t>
            </w:r>
          </w:p>
        </w:tc>
        <w:tc>
          <w:tcPr>
            <w:tcW w:w="1418" w:type="dxa"/>
            <w:noWrap w:val="0"/>
            <w:vAlign w:val="center"/>
          </w:tcPr>
          <w:p w14:paraId="1CBD417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1"/>
                <w:szCs w:val="21"/>
                <w:lang w:val="en-US" w:eastAsia="zh-CN"/>
              </w:rPr>
            </w:pPr>
          </w:p>
        </w:tc>
        <w:tc>
          <w:tcPr>
            <w:tcW w:w="1984" w:type="dxa"/>
            <w:noWrap w:val="0"/>
            <w:vAlign w:val="center"/>
          </w:tcPr>
          <w:p w14:paraId="6E5A1270">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cs="Times New Roman"/>
                <w:b w:val="0"/>
                <w:bCs/>
                <w:lang w:val="en-US" w:eastAsia="zh-CN"/>
              </w:rPr>
              <w:t>0.2</w:t>
            </w:r>
            <w:r>
              <w:rPr>
                <w:rFonts w:hint="default" w:ascii="Times New Roman" w:hAnsi="Times New Roman" w:eastAsia="宋体" w:cs="Times New Roman"/>
                <w:b w:val="0"/>
                <w:bCs/>
                <w:snapToGrid w:val="0"/>
                <w:color w:val="000000"/>
                <w:kern w:val="21"/>
                <w:sz w:val="21"/>
                <w:szCs w:val="21"/>
              </w:rPr>
              <w:t>t/a</w:t>
            </w:r>
          </w:p>
        </w:tc>
        <w:tc>
          <w:tcPr>
            <w:tcW w:w="1711" w:type="dxa"/>
            <w:noWrap w:val="0"/>
            <w:vAlign w:val="center"/>
          </w:tcPr>
          <w:p w14:paraId="762D6F23">
            <w:pPr>
              <w:pStyle w:val="52"/>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21"/>
                <w:sz w:val="21"/>
                <w:szCs w:val="21"/>
                <w:lang w:val="en-US" w:eastAsia="zh-CN"/>
              </w:rPr>
            </w:pPr>
            <w:r>
              <w:rPr>
                <w:rFonts w:hint="eastAsia" w:cs="Times New Roman"/>
                <w:b w:val="0"/>
                <w:bCs/>
                <w:lang w:val="en-US" w:eastAsia="zh-CN"/>
              </w:rPr>
              <w:t>+0.2</w:t>
            </w:r>
            <w:r>
              <w:rPr>
                <w:rFonts w:hint="default" w:ascii="Times New Roman" w:hAnsi="Times New Roman" w:eastAsia="宋体" w:cs="Times New Roman"/>
                <w:b w:val="0"/>
                <w:bCs/>
                <w:snapToGrid w:val="0"/>
                <w:color w:val="000000"/>
                <w:kern w:val="21"/>
                <w:sz w:val="21"/>
                <w:szCs w:val="21"/>
              </w:rPr>
              <w:t>t/a</w:t>
            </w:r>
          </w:p>
        </w:tc>
      </w:tr>
    </w:tbl>
    <w:p w14:paraId="7804E80F">
      <w:pPr>
        <w:pStyle w:val="46"/>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55D8624D">
      <w:pPr>
        <w:rPr>
          <w:rFonts w:hint="eastAsia"/>
        </w:rPr>
        <w:sectPr>
          <w:footerReference r:id="rId9"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AD1290E">
      <w:pPr>
        <w:jc w:val="both"/>
        <w:outlineLvl w:val="0"/>
        <w:rPr>
          <w:b/>
          <w:sz w:val="44"/>
          <w:szCs w:val="44"/>
        </w:rPr>
      </w:pPr>
      <w:r>
        <w:rPr>
          <w:rFonts w:hint="eastAsia" w:ascii="黑体" w:hAnsi="黑体" w:eastAsia="黑体" w:cs="黑体"/>
          <w:color w:val="auto"/>
          <w:sz w:val="24"/>
          <w:szCs w:val="24"/>
          <w:lang w:val="en-US" w:eastAsia="zh-CN"/>
        </w:rPr>
        <w:t>附件1 委托书</w:t>
      </w:r>
    </w:p>
    <w:p w14:paraId="12846B19">
      <w:pPr>
        <w:jc w:val="both"/>
        <w:rPr>
          <w:rFonts w:hint="eastAsia" w:eastAsia="宋体"/>
          <w:lang w:eastAsia="zh-CN"/>
        </w:rPr>
      </w:pPr>
    </w:p>
    <w:p w14:paraId="572E8603">
      <w:pPr>
        <w:tabs>
          <w:tab w:val="left" w:pos="880"/>
          <w:tab w:val="left" w:pos="1763"/>
        </w:tabs>
        <w:autoSpaceDE w:val="0"/>
        <w:autoSpaceDN w:val="0"/>
        <w:spacing w:before="11" w:after="0" w:line="240" w:lineRule="auto"/>
        <w:ind w:left="0" w:right="120" w:firstLine="0"/>
        <w:jc w:val="center"/>
        <w:rPr>
          <w:rFonts w:ascii="宋体" w:hAnsi="宋体" w:eastAsia="宋体" w:cs="宋体"/>
          <w:b/>
          <w:kern w:val="0"/>
          <w:sz w:val="44"/>
          <w:szCs w:val="22"/>
          <w:lang w:val="zh-CN" w:bidi="zh-CN"/>
        </w:rPr>
      </w:pPr>
    </w:p>
    <w:p w14:paraId="2ED9FD7B">
      <w:pPr>
        <w:tabs>
          <w:tab w:val="left" w:pos="880"/>
          <w:tab w:val="left" w:pos="1763"/>
        </w:tabs>
        <w:autoSpaceDE w:val="0"/>
        <w:autoSpaceDN w:val="0"/>
        <w:spacing w:before="11" w:after="0" w:line="240" w:lineRule="auto"/>
        <w:ind w:left="0" w:right="120" w:firstLine="0"/>
        <w:jc w:val="center"/>
        <w:rPr>
          <w:rFonts w:ascii="宋体" w:hAnsi="宋体" w:eastAsia="宋体" w:cs="宋体"/>
          <w:b/>
          <w:kern w:val="0"/>
          <w:sz w:val="44"/>
          <w:szCs w:val="22"/>
          <w:lang w:val="zh-CN" w:bidi="zh-CN"/>
        </w:rPr>
      </w:pPr>
      <w:r>
        <w:rPr>
          <w:rFonts w:ascii="宋体" w:hAnsi="宋体" w:eastAsia="宋体" w:cs="宋体"/>
          <w:b/>
          <w:kern w:val="0"/>
          <w:sz w:val="44"/>
          <w:szCs w:val="22"/>
          <w:lang w:val="zh-CN" w:bidi="zh-CN"/>
        </w:rPr>
        <w:t>委</w:t>
      </w:r>
      <w:r>
        <w:rPr>
          <w:rFonts w:ascii="宋体" w:hAnsi="宋体" w:eastAsia="宋体" w:cs="宋体"/>
          <w:b/>
          <w:kern w:val="0"/>
          <w:sz w:val="44"/>
          <w:szCs w:val="22"/>
          <w:lang w:val="zh-CN" w:bidi="zh-CN"/>
        </w:rPr>
        <w:tab/>
      </w:r>
      <w:r>
        <w:rPr>
          <w:rFonts w:ascii="宋体" w:hAnsi="宋体" w:eastAsia="宋体" w:cs="宋体"/>
          <w:b/>
          <w:kern w:val="0"/>
          <w:sz w:val="44"/>
          <w:szCs w:val="22"/>
          <w:lang w:val="zh-CN" w:bidi="zh-CN"/>
        </w:rPr>
        <w:t>托</w:t>
      </w:r>
      <w:r>
        <w:rPr>
          <w:rFonts w:ascii="宋体" w:hAnsi="宋体" w:eastAsia="宋体" w:cs="宋体"/>
          <w:b/>
          <w:kern w:val="0"/>
          <w:sz w:val="44"/>
          <w:szCs w:val="22"/>
          <w:lang w:val="zh-CN" w:bidi="zh-CN"/>
        </w:rPr>
        <w:tab/>
      </w:r>
      <w:r>
        <w:rPr>
          <w:rFonts w:ascii="宋体" w:hAnsi="宋体" w:eastAsia="宋体" w:cs="宋体"/>
          <w:b/>
          <w:kern w:val="0"/>
          <w:sz w:val="44"/>
          <w:szCs w:val="22"/>
          <w:lang w:val="zh-CN" w:bidi="zh-CN"/>
        </w:rPr>
        <w:t>书</w:t>
      </w:r>
    </w:p>
    <w:p w14:paraId="2DEB34D6">
      <w:pPr>
        <w:widowControl w:val="0"/>
        <w:autoSpaceDE w:val="0"/>
        <w:autoSpaceDN w:val="0"/>
        <w:spacing w:before="0" w:after="0" w:line="240" w:lineRule="auto"/>
        <w:ind w:left="0" w:right="0"/>
        <w:jc w:val="left"/>
        <w:rPr>
          <w:rFonts w:ascii="宋体" w:hAnsi="宋体" w:eastAsia="宋体" w:cs="宋体"/>
          <w:b/>
          <w:sz w:val="44"/>
          <w:szCs w:val="28"/>
          <w:lang w:val="zh-CN" w:eastAsia="zh-CN" w:bidi="zh-CN"/>
        </w:rPr>
      </w:pPr>
    </w:p>
    <w:p w14:paraId="46E1B32B">
      <w:pPr>
        <w:widowControl w:val="0"/>
        <w:autoSpaceDE w:val="0"/>
        <w:autoSpaceDN w:val="0"/>
        <w:spacing w:before="6" w:after="0" w:line="240" w:lineRule="auto"/>
        <w:ind w:left="0" w:right="0"/>
        <w:jc w:val="left"/>
        <w:rPr>
          <w:rFonts w:ascii="宋体" w:hAnsi="宋体" w:eastAsia="宋体" w:cs="宋体"/>
          <w:b/>
          <w:sz w:val="37"/>
          <w:szCs w:val="28"/>
          <w:lang w:val="zh-CN" w:eastAsia="zh-CN" w:bidi="zh-CN"/>
        </w:rPr>
      </w:pPr>
    </w:p>
    <w:p w14:paraId="3AE255E9">
      <w:pPr>
        <w:autoSpaceDE w:val="0"/>
        <w:autoSpaceDN w:val="0"/>
        <w:spacing w:before="0" w:after="0" w:line="240" w:lineRule="auto"/>
        <w:ind w:left="120" w:right="0" w:firstLine="0"/>
        <w:jc w:val="left"/>
        <w:rPr>
          <w:rFonts w:ascii="宋体" w:hAnsi="宋体" w:eastAsia="宋体" w:cs="宋体"/>
          <w:b/>
          <w:kern w:val="0"/>
          <w:sz w:val="32"/>
          <w:szCs w:val="22"/>
          <w:lang w:val="zh-CN" w:bidi="zh-CN"/>
        </w:rPr>
      </w:pPr>
      <w:r>
        <w:rPr>
          <w:rFonts w:hint="eastAsia" w:ascii="宋体" w:hAnsi="宋体" w:eastAsia="宋体" w:cs="宋体"/>
          <w:b/>
          <w:kern w:val="0"/>
          <w:sz w:val="32"/>
          <w:szCs w:val="22"/>
          <w:lang w:val="zh-CN" w:bidi="zh-CN"/>
        </w:rPr>
        <w:t>安徽西科环境工程有限公司</w:t>
      </w:r>
      <w:r>
        <w:rPr>
          <w:rFonts w:ascii="宋体" w:hAnsi="宋体" w:eastAsia="宋体" w:cs="宋体"/>
          <w:b/>
          <w:kern w:val="0"/>
          <w:sz w:val="32"/>
          <w:szCs w:val="22"/>
          <w:lang w:val="zh-CN" w:bidi="zh-CN"/>
        </w:rPr>
        <w:t>：</w:t>
      </w:r>
    </w:p>
    <w:p w14:paraId="63030447">
      <w:pPr>
        <w:widowControl w:val="0"/>
        <w:autoSpaceDE w:val="0"/>
        <w:autoSpaceDN w:val="0"/>
        <w:spacing w:before="5" w:after="0" w:line="240" w:lineRule="auto"/>
        <w:ind w:left="0" w:right="0"/>
        <w:jc w:val="left"/>
        <w:rPr>
          <w:rFonts w:ascii="宋体" w:hAnsi="宋体" w:eastAsia="宋体" w:cs="宋体"/>
          <w:b/>
          <w:sz w:val="40"/>
          <w:szCs w:val="28"/>
          <w:lang w:val="zh-CN" w:eastAsia="zh-CN" w:bidi="zh-CN"/>
        </w:rPr>
      </w:pPr>
    </w:p>
    <w:p w14:paraId="441BD92D">
      <w:pPr>
        <w:widowControl w:val="0"/>
        <w:autoSpaceDE w:val="0"/>
        <w:autoSpaceDN w:val="0"/>
        <w:spacing w:before="5" w:after="0" w:line="240" w:lineRule="auto"/>
        <w:ind w:left="0" w:right="0"/>
        <w:jc w:val="left"/>
        <w:rPr>
          <w:rFonts w:ascii="宋体" w:hAnsi="宋体" w:eastAsia="宋体" w:cs="宋体"/>
          <w:b/>
          <w:sz w:val="40"/>
          <w:szCs w:val="28"/>
          <w:lang w:val="zh-CN" w:eastAsia="zh-CN" w:bidi="zh-CN"/>
        </w:rPr>
      </w:pPr>
    </w:p>
    <w:p w14:paraId="38EF5C19">
      <w:pPr>
        <w:widowControl w:val="0"/>
        <w:autoSpaceDE w:val="0"/>
        <w:autoSpaceDN w:val="0"/>
        <w:spacing w:before="1" w:after="0" w:line="417" w:lineRule="auto"/>
        <w:ind w:left="120" w:right="98" w:firstLine="559"/>
        <w:jc w:val="left"/>
        <w:rPr>
          <w:rFonts w:hint="default" w:ascii="Times New Roman" w:hAnsi="Times New Roman" w:eastAsia="宋体" w:cs="Times New Roman"/>
          <w:sz w:val="28"/>
          <w:szCs w:val="28"/>
          <w:lang w:val="zh-CN" w:eastAsia="zh-CN" w:bidi="zh-CN"/>
        </w:rPr>
      </w:pPr>
      <w:r>
        <w:rPr>
          <w:rFonts w:hint="default" w:ascii="Times New Roman" w:hAnsi="Times New Roman" w:eastAsia="宋体" w:cs="Times New Roman"/>
          <w:spacing w:val="-10"/>
          <w:sz w:val="28"/>
          <w:szCs w:val="28"/>
          <w:lang w:val="zh-CN" w:eastAsia="zh-CN" w:bidi="zh-CN"/>
        </w:rPr>
        <w:t>我</w:t>
      </w:r>
      <w:r>
        <w:rPr>
          <w:rFonts w:hint="default" w:ascii="Times New Roman" w:hAnsi="Times New Roman" w:eastAsia="宋体" w:cs="Times New Roman"/>
          <w:spacing w:val="-10"/>
          <w:sz w:val="28"/>
          <w:szCs w:val="28"/>
          <w:lang w:val="en-US" w:eastAsia="zh-CN" w:bidi="zh-CN"/>
        </w:rPr>
        <w:t>公司</w:t>
      </w:r>
      <w:r>
        <w:rPr>
          <w:rFonts w:hint="default" w:ascii="Times New Roman" w:hAnsi="Times New Roman" w:eastAsia="宋体" w:cs="Times New Roman"/>
          <w:spacing w:val="-10"/>
          <w:sz w:val="28"/>
          <w:szCs w:val="28"/>
          <w:lang w:val="zh-CN" w:eastAsia="zh-CN" w:bidi="zh-CN"/>
        </w:rPr>
        <w:t>“</w:t>
      </w:r>
      <w:r>
        <w:rPr>
          <w:rFonts w:hint="eastAsia" w:cs="Times New Roman"/>
          <w:spacing w:val="-10"/>
          <w:sz w:val="28"/>
          <w:szCs w:val="28"/>
          <w:lang w:val="zh-CN" w:eastAsia="zh-CN" w:bidi="zh-CN"/>
        </w:rPr>
        <w:t>碳陶刹车盘与碳陶刹车片项目</w:t>
      </w:r>
      <w:r>
        <w:rPr>
          <w:rFonts w:hint="default" w:ascii="Times New Roman" w:hAnsi="Times New Roman" w:eastAsia="宋体" w:cs="Times New Roman"/>
          <w:spacing w:val="-10"/>
          <w:sz w:val="28"/>
          <w:szCs w:val="28"/>
          <w:lang w:val="zh-CN" w:eastAsia="zh-CN" w:bidi="zh-CN"/>
        </w:rPr>
        <w:t>”</w:t>
      </w:r>
      <w:r>
        <w:rPr>
          <w:rFonts w:hint="default" w:ascii="Times New Roman" w:hAnsi="Times New Roman" w:eastAsia="宋体" w:cs="Times New Roman"/>
          <w:spacing w:val="-18"/>
          <w:sz w:val="28"/>
          <w:szCs w:val="28"/>
          <w:lang w:val="zh-CN" w:eastAsia="zh-CN" w:bidi="zh-CN"/>
        </w:rPr>
        <w:t>根据《中华人民共和国环境保护法》、</w:t>
      </w:r>
      <w:r>
        <w:rPr>
          <w:rFonts w:hint="default" w:ascii="Times New Roman" w:hAnsi="Times New Roman" w:eastAsia="宋体" w:cs="Times New Roman"/>
          <w:spacing w:val="-19"/>
          <w:sz w:val="28"/>
          <w:szCs w:val="28"/>
          <w:lang w:val="zh-CN" w:eastAsia="zh-CN" w:bidi="zh-CN"/>
        </w:rPr>
        <w:t>《中华人民共和国环境影响评价法》、《建设项目环境保护管理条例》</w:t>
      </w:r>
      <w:r>
        <w:rPr>
          <w:rFonts w:hint="default" w:ascii="Times New Roman" w:hAnsi="Times New Roman" w:eastAsia="宋体" w:cs="Times New Roman"/>
          <w:spacing w:val="-12"/>
          <w:sz w:val="28"/>
          <w:szCs w:val="28"/>
          <w:lang w:val="zh-CN" w:eastAsia="zh-CN" w:bidi="zh-CN"/>
        </w:rPr>
        <w:t>的有关规定，该项目需要编制环境影响报告</w:t>
      </w:r>
      <w:r>
        <w:rPr>
          <w:rFonts w:hint="default" w:ascii="Times New Roman" w:hAnsi="Times New Roman" w:eastAsia="宋体" w:cs="Times New Roman"/>
          <w:spacing w:val="-12"/>
          <w:sz w:val="28"/>
          <w:szCs w:val="28"/>
          <w:lang w:val="en-US" w:eastAsia="zh-CN" w:bidi="zh-CN"/>
        </w:rPr>
        <w:t>表</w:t>
      </w:r>
      <w:r>
        <w:rPr>
          <w:rFonts w:hint="default" w:ascii="Times New Roman" w:hAnsi="Times New Roman" w:eastAsia="宋体" w:cs="Times New Roman"/>
          <w:spacing w:val="-12"/>
          <w:sz w:val="28"/>
          <w:szCs w:val="28"/>
          <w:lang w:val="zh-CN" w:eastAsia="zh-CN" w:bidi="zh-CN"/>
        </w:rPr>
        <w:t>。为此，特委托贵公司</w:t>
      </w:r>
      <w:r>
        <w:rPr>
          <w:rFonts w:hint="default" w:ascii="Times New Roman" w:hAnsi="Times New Roman" w:eastAsia="宋体" w:cs="Times New Roman"/>
          <w:spacing w:val="-11"/>
          <w:sz w:val="28"/>
          <w:szCs w:val="28"/>
          <w:lang w:val="zh-CN" w:eastAsia="zh-CN" w:bidi="zh-CN"/>
        </w:rPr>
        <w:t>编制该项目的环境影响报告</w:t>
      </w:r>
      <w:r>
        <w:rPr>
          <w:rFonts w:hint="default" w:ascii="Times New Roman" w:hAnsi="Times New Roman" w:eastAsia="宋体" w:cs="Times New Roman"/>
          <w:spacing w:val="-11"/>
          <w:sz w:val="28"/>
          <w:szCs w:val="28"/>
          <w:lang w:val="en-US" w:eastAsia="zh-CN" w:bidi="zh-CN"/>
        </w:rPr>
        <w:t>表</w:t>
      </w:r>
      <w:r>
        <w:rPr>
          <w:rFonts w:hint="default" w:ascii="Times New Roman" w:hAnsi="Times New Roman" w:eastAsia="宋体" w:cs="Times New Roman"/>
          <w:spacing w:val="-11"/>
          <w:sz w:val="28"/>
          <w:szCs w:val="28"/>
          <w:lang w:val="zh-CN" w:eastAsia="zh-CN" w:bidi="zh-CN"/>
        </w:rPr>
        <w:t>，请贵单位给予协作，尽快完成该项目</w:t>
      </w:r>
      <w:r>
        <w:rPr>
          <w:rFonts w:hint="default" w:ascii="Times New Roman" w:hAnsi="Times New Roman" w:eastAsia="宋体" w:cs="Times New Roman"/>
          <w:spacing w:val="-5"/>
          <w:sz w:val="28"/>
          <w:szCs w:val="28"/>
          <w:lang w:val="zh-CN" w:eastAsia="zh-CN" w:bidi="zh-CN"/>
        </w:rPr>
        <w:t>环境影响报告</w:t>
      </w:r>
      <w:r>
        <w:rPr>
          <w:rFonts w:hint="default" w:ascii="Times New Roman" w:hAnsi="Times New Roman" w:eastAsia="宋体" w:cs="Times New Roman"/>
          <w:spacing w:val="-5"/>
          <w:sz w:val="28"/>
          <w:szCs w:val="28"/>
          <w:lang w:val="en-US" w:eastAsia="zh-CN" w:bidi="zh-CN"/>
        </w:rPr>
        <w:t>表</w:t>
      </w:r>
      <w:r>
        <w:rPr>
          <w:rFonts w:hint="default" w:ascii="Times New Roman" w:hAnsi="Times New Roman" w:eastAsia="宋体" w:cs="Times New Roman"/>
          <w:spacing w:val="-5"/>
          <w:sz w:val="28"/>
          <w:szCs w:val="28"/>
          <w:lang w:val="zh-CN" w:eastAsia="zh-CN" w:bidi="zh-CN"/>
        </w:rPr>
        <w:t>的编制工作，以便下一步工作的开展。</w:t>
      </w:r>
    </w:p>
    <w:p w14:paraId="6ACEA1E5">
      <w:pPr>
        <w:widowControl w:val="0"/>
        <w:autoSpaceDE w:val="0"/>
        <w:autoSpaceDN w:val="0"/>
        <w:spacing w:before="0" w:after="0" w:line="240" w:lineRule="auto"/>
        <w:ind w:left="0" w:right="0"/>
        <w:jc w:val="left"/>
        <w:rPr>
          <w:rFonts w:hint="default" w:ascii="Times New Roman" w:hAnsi="Times New Roman" w:eastAsia="宋体" w:cs="Times New Roman"/>
          <w:sz w:val="28"/>
          <w:szCs w:val="28"/>
          <w:lang w:val="zh-CN" w:eastAsia="zh-CN" w:bidi="zh-CN"/>
        </w:rPr>
      </w:pPr>
    </w:p>
    <w:p w14:paraId="17D603CC">
      <w:pPr>
        <w:widowControl w:val="0"/>
        <w:autoSpaceDE w:val="0"/>
        <w:autoSpaceDN w:val="0"/>
        <w:spacing w:before="0" w:after="0" w:line="240" w:lineRule="auto"/>
        <w:ind w:left="0" w:right="0"/>
        <w:jc w:val="left"/>
        <w:rPr>
          <w:rFonts w:hint="default" w:ascii="Times New Roman" w:hAnsi="Times New Roman" w:eastAsia="宋体" w:cs="Times New Roman"/>
          <w:sz w:val="28"/>
          <w:szCs w:val="28"/>
          <w:lang w:val="zh-CN" w:eastAsia="zh-CN" w:bidi="zh-CN"/>
        </w:rPr>
      </w:pPr>
    </w:p>
    <w:p w14:paraId="2E8D48C3">
      <w:pPr>
        <w:widowControl w:val="0"/>
        <w:autoSpaceDE w:val="0"/>
        <w:autoSpaceDN w:val="0"/>
        <w:spacing w:before="3" w:after="0" w:line="240" w:lineRule="auto"/>
        <w:ind w:left="0" w:right="0"/>
        <w:jc w:val="left"/>
        <w:rPr>
          <w:rFonts w:hint="default" w:ascii="Times New Roman" w:hAnsi="Times New Roman" w:eastAsia="宋体" w:cs="Times New Roman"/>
          <w:sz w:val="41"/>
          <w:szCs w:val="28"/>
          <w:lang w:val="zh-CN" w:eastAsia="zh-CN" w:bidi="zh-CN"/>
        </w:rPr>
      </w:pPr>
    </w:p>
    <w:p w14:paraId="5945B106">
      <w:pPr>
        <w:widowControl w:val="0"/>
        <w:autoSpaceDE w:val="0"/>
        <w:autoSpaceDN w:val="0"/>
        <w:spacing w:before="3" w:after="0" w:line="240" w:lineRule="auto"/>
        <w:ind w:left="0" w:right="0"/>
        <w:jc w:val="left"/>
        <w:rPr>
          <w:rFonts w:hint="default" w:ascii="Times New Roman" w:hAnsi="Times New Roman" w:eastAsia="宋体" w:cs="Times New Roman"/>
          <w:sz w:val="41"/>
          <w:szCs w:val="28"/>
          <w:lang w:val="zh-CN" w:eastAsia="zh-CN" w:bidi="zh-CN"/>
        </w:rPr>
      </w:pPr>
    </w:p>
    <w:p w14:paraId="4E802F4D">
      <w:pPr>
        <w:widowControl w:val="0"/>
        <w:autoSpaceDE w:val="0"/>
        <w:autoSpaceDN w:val="0"/>
        <w:spacing w:before="0" w:after="0" w:line="240" w:lineRule="auto"/>
        <w:ind w:left="0" w:right="237"/>
        <w:jc w:val="right"/>
        <w:rPr>
          <w:rFonts w:hint="default" w:ascii="Times New Roman" w:hAnsi="Times New Roman" w:eastAsia="宋体" w:cs="Times New Roman"/>
          <w:sz w:val="28"/>
          <w:szCs w:val="28"/>
          <w:lang w:val="zh-CN" w:eastAsia="zh-CN" w:bidi="zh-CN"/>
        </w:rPr>
      </w:pPr>
      <w:r>
        <w:rPr>
          <w:rFonts w:hint="eastAsia" w:cs="Times New Roman"/>
          <w:color w:val="auto"/>
          <w:sz w:val="28"/>
          <w:szCs w:val="28"/>
          <w:lang w:val="en-US" w:eastAsia="zh-CN" w:bidi="zh-CN"/>
        </w:rPr>
        <w:t>淮北市佰斯倍新材料科技有限公司</w:t>
      </w:r>
    </w:p>
    <w:p w14:paraId="09C698D4">
      <w:pPr>
        <w:widowControl w:val="0"/>
        <w:autoSpaceDE w:val="0"/>
        <w:autoSpaceDN w:val="0"/>
        <w:spacing w:before="9" w:after="0" w:line="240" w:lineRule="auto"/>
        <w:ind w:left="0" w:right="0"/>
        <w:jc w:val="left"/>
        <w:rPr>
          <w:rFonts w:hint="default" w:ascii="Times New Roman" w:hAnsi="Times New Roman" w:eastAsia="宋体" w:cs="Times New Roman"/>
          <w:sz w:val="20"/>
          <w:szCs w:val="28"/>
          <w:lang w:val="zh-CN" w:eastAsia="zh-CN" w:bidi="zh-CN"/>
        </w:rPr>
      </w:pPr>
    </w:p>
    <w:p w14:paraId="20BB2BB3">
      <w:pPr>
        <w:widowControl w:val="0"/>
        <w:autoSpaceDE w:val="0"/>
        <w:autoSpaceDN w:val="0"/>
        <w:spacing w:before="0" w:after="0" w:line="240" w:lineRule="auto"/>
        <w:ind w:left="0" w:right="237"/>
        <w:jc w:val="right"/>
        <w:rPr>
          <w:rFonts w:ascii="宋体" w:hAnsi="宋体" w:eastAsia="宋体" w:cs="宋体"/>
          <w:sz w:val="28"/>
          <w:szCs w:val="28"/>
          <w:lang w:val="zh-CN" w:eastAsia="zh-CN" w:bidi="zh-CN"/>
        </w:rPr>
      </w:pPr>
      <w:r>
        <w:rPr>
          <w:rFonts w:hint="default" w:ascii="Times New Roman" w:hAnsi="Times New Roman" w:eastAsia="宋体" w:cs="Times New Roman"/>
          <w:spacing w:val="-3"/>
          <w:sz w:val="28"/>
          <w:szCs w:val="28"/>
          <w:lang w:val="en-US" w:eastAsia="zh-CN" w:bidi="zh-CN"/>
        </w:rPr>
        <w:t>202</w:t>
      </w:r>
      <w:r>
        <w:rPr>
          <w:rFonts w:hint="eastAsia" w:cs="Times New Roman"/>
          <w:spacing w:val="-3"/>
          <w:sz w:val="28"/>
          <w:szCs w:val="28"/>
          <w:lang w:val="en-US" w:eastAsia="zh-CN" w:bidi="zh-CN"/>
        </w:rPr>
        <w:t>5</w:t>
      </w:r>
      <w:r>
        <w:rPr>
          <w:rFonts w:hint="default" w:ascii="Times New Roman" w:hAnsi="Times New Roman" w:eastAsia="宋体" w:cs="Times New Roman"/>
          <w:spacing w:val="-3"/>
          <w:sz w:val="28"/>
          <w:szCs w:val="28"/>
          <w:lang w:val="zh-CN" w:eastAsia="zh-CN" w:bidi="zh-CN"/>
        </w:rPr>
        <w:t>年</w:t>
      </w:r>
      <w:r>
        <w:rPr>
          <w:rFonts w:hint="default" w:ascii="Times New Roman" w:hAnsi="Times New Roman" w:eastAsia="宋体" w:cs="Times New Roman"/>
          <w:spacing w:val="-3"/>
          <w:sz w:val="28"/>
          <w:szCs w:val="28"/>
          <w:lang w:val="en-US" w:eastAsia="zh-CN" w:bidi="zh-CN"/>
        </w:rPr>
        <w:t>1</w:t>
      </w:r>
      <w:r>
        <w:rPr>
          <w:rFonts w:hint="eastAsia" w:cs="Times New Roman"/>
          <w:spacing w:val="-3"/>
          <w:sz w:val="28"/>
          <w:szCs w:val="28"/>
          <w:lang w:val="en-US" w:eastAsia="zh-CN" w:bidi="zh-CN"/>
        </w:rPr>
        <w:t>2</w:t>
      </w:r>
      <w:r>
        <w:rPr>
          <w:rFonts w:hint="default" w:ascii="Times New Roman" w:hAnsi="Times New Roman" w:eastAsia="宋体" w:cs="Times New Roman"/>
          <w:spacing w:val="-3"/>
          <w:sz w:val="28"/>
          <w:szCs w:val="28"/>
          <w:lang w:val="zh-CN" w:eastAsia="zh-CN" w:bidi="zh-CN"/>
        </w:rPr>
        <w:t>月</w:t>
      </w:r>
      <w:r>
        <w:rPr>
          <w:rFonts w:hint="eastAsia" w:cs="Times New Roman"/>
          <w:spacing w:val="-3"/>
          <w:sz w:val="28"/>
          <w:szCs w:val="28"/>
          <w:lang w:val="en-US" w:eastAsia="zh-CN" w:bidi="zh-CN"/>
        </w:rPr>
        <w:t>4</w:t>
      </w:r>
      <w:r>
        <w:rPr>
          <w:rFonts w:hint="default" w:ascii="Times New Roman" w:hAnsi="Times New Roman" w:eastAsia="宋体" w:cs="Times New Roman"/>
          <w:spacing w:val="-3"/>
          <w:sz w:val="28"/>
          <w:szCs w:val="28"/>
          <w:lang w:val="zh-CN" w:eastAsia="zh-CN" w:bidi="zh-CN"/>
        </w:rPr>
        <w:t>日</w:t>
      </w:r>
    </w:p>
    <w:p w14:paraId="4BA69E77">
      <w:pPr>
        <w:jc w:val="both"/>
      </w:pPr>
    </w:p>
    <w:p w14:paraId="35C115D0">
      <w:pPr>
        <w:jc w:val="both"/>
      </w:pPr>
    </w:p>
    <w:p w14:paraId="5FB97BF7">
      <w:pPr>
        <w:jc w:val="both"/>
        <w:outlineLvl w:val="9"/>
        <w:rPr>
          <w:rFonts w:hint="eastAsia" w:ascii="黑体" w:hAnsi="黑体" w:eastAsia="黑体" w:cs="黑体"/>
          <w:color w:val="auto"/>
          <w:sz w:val="24"/>
          <w:szCs w:val="24"/>
          <w:lang w:val="en-US" w:eastAsia="zh-CN"/>
        </w:rPr>
      </w:pPr>
    </w:p>
    <w:p w14:paraId="3C56B9C4">
      <w:pPr>
        <w:jc w:val="both"/>
        <w:outlineLvl w:val="9"/>
        <w:rPr>
          <w:rFonts w:hint="eastAsia" w:ascii="黑体" w:hAnsi="黑体" w:eastAsia="黑体" w:cs="黑体"/>
          <w:color w:val="auto"/>
          <w:sz w:val="24"/>
          <w:szCs w:val="24"/>
          <w:lang w:val="en-US" w:eastAsia="zh-CN"/>
        </w:rPr>
      </w:pPr>
    </w:p>
    <w:p w14:paraId="09D6424C">
      <w:pPr>
        <w:jc w:val="both"/>
        <w:outlineLvl w:val="9"/>
        <w:rPr>
          <w:rFonts w:hint="eastAsia" w:ascii="黑体" w:hAnsi="黑体" w:eastAsia="黑体" w:cs="黑体"/>
          <w:color w:val="auto"/>
          <w:sz w:val="24"/>
          <w:szCs w:val="24"/>
          <w:lang w:val="en-US" w:eastAsia="zh-CN"/>
        </w:rPr>
      </w:pPr>
    </w:p>
    <w:p w14:paraId="4B9E1C80">
      <w:pPr>
        <w:jc w:val="both"/>
        <w:outlineLvl w:val="9"/>
        <w:rPr>
          <w:rFonts w:hint="eastAsia" w:ascii="黑体" w:hAnsi="黑体" w:eastAsia="黑体" w:cs="黑体"/>
          <w:color w:val="auto"/>
          <w:sz w:val="24"/>
          <w:szCs w:val="24"/>
          <w:lang w:val="en-US" w:eastAsia="zh-CN"/>
        </w:rPr>
      </w:pPr>
    </w:p>
    <w:p w14:paraId="6533A35A">
      <w:pPr>
        <w:jc w:val="both"/>
        <w:outlineLvl w:val="9"/>
        <w:rPr>
          <w:rFonts w:hint="eastAsia" w:ascii="黑体" w:hAnsi="黑体" w:eastAsia="黑体" w:cs="黑体"/>
          <w:color w:val="auto"/>
          <w:sz w:val="24"/>
          <w:szCs w:val="24"/>
          <w:lang w:val="en-US" w:eastAsia="zh-CN"/>
        </w:rPr>
      </w:pPr>
    </w:p>
    <w:p w14:paraId="61519F07">
      <w:pPr>
        <w:jc w:val="both"/>
        <w:outlineLvl w:val="9"/>
        <w:rPr>
          <w:rFonts w:hint="eastAsia" w:ascii="黑体" w:hAnsi="黑体" w:eastAsia="黑体" w:cs="黑体"/>
          <w:color w:val="auto"/>
          <w:sz w:val="24"/>
          <w:szCs w:val="24"/>
          <w:lang w:val="en-US" w:eastAsia="zh-CN"/>
        </w:rPr>
      </w:pPr>
    </w:p>
    <w:p w14:paraId="085EC572">
      <w:pPr>
        <w:jc w:val="both"/>
        <w:outlineLvl w:val="9"/>
        <w:rPr>
          <w:rFonts w:hint="eastAsia" w:ascii="黑体" w:hAnsi="黑体" w:eastAsia="黑体" w:cs="黑体"/>
          <w:color w:val="auto"/>
          <w:sz w:val="24"/>
          <w:szCs w:val="24"/>
          <w:lang w:val="en-US" w:eastAsia="zh-CN"/>
        </w:rPr>
      </w:pPr>
    </w:p>
    <w:p w14:paraId="4C0466CE">
      <w:pPr>
        <w:jc w:val="both"/>
        <w:outlineLvl w:val="9"/>
        <w:rPr>
          <w:rFonts w:hint="eastAsia" w:ascii="黑体" w:hAnsi="黑体" w:eastAsia="黑体" w:cs="黑体"/>
          <w:color w:val="auto"/>
          <w:sz w:val="24"/>
          <w:szCs w:val="24"/>
          <w:lang w:val="en-US" w:eastAsia="zh-CN"/>
        </w:rPr>
      </w:pPr>
    </w:p>
    <w:p w14:paraId="5D2AD7BA">
      <w:pPr>
        <w:jc w:val="both"/>
        <w:outlineLvl w:val="9"/>
        <w:rPr>
          <w:rFonts w:hint="eastAsia" w:ascii="黑体" w:hAnsi="黑体" w:eastAsia="黑体" w:cs="黑体"/>
          <w:color w:val="auto"/>
          <w:sz w:val="24"/>
          <w:szCs w:val="24"/>
          <w:lang w:val="en-US" w:eastAsia="zh-CN"/>
        </w:rPr>
      </w:pPr>
    </w:p>
    <w:p w14:paraId="072938C5">
      <w:pPr>
        <w:jc w:val="both"/>
        <w:outlineLvl w:val="0"/>
        <w:rPr>
          <w:b/>
          <w:sz w:val="44"/>
          <w:szCs w:val="44"/>
        </w:rPr>
      </w:pPr>
      <w:r>
        <w:rPr>
          <w:rFonts w:hint="eastAsia" w:ascii="黑体" w:hAnsi="黑体" w:eastAsia="黑体" w:cs="黑体"/>
          <w:color w:val="auto"/>
          <w:sz w:val="24"/>
          <w:szCs w:val="24"/>
          <w:lang w:val="en-US" w:eastAsia="zh-CN"/>
        </w:rPr>
        <w:t>附件2 备案表</w:t>
      </w:r>
    </w:p>
    <w:p w14:paraId="240C28F2">
      <w:pPr>
        <w:jc w:val="both"/>
        <w:outlineLvl w:val="9"/>
        <w:rPr>
          <w:rFonts w:hint="eastAsia" w:eastAsia="宋体"/>
          <w:lang w:eastAsia="zh-CN"/>
        </w:rPr>
      </w:pPr>
      <w:r>
        <w:drawing>
          <wp:inline distT="0" distB="0" distL="114300" distR="114300">
            <wp:extent cx="5614035" cy="7639685"/>
            <wp:effectExtent l="0" t="0" r="5715" b="184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0"/>
                    <a:stretch>
                      <a:fillRect/>
                    </a:stretch>
                  </pic:blipFill>
                  <pic:spPr>
                    <a:xfrm>
                      <a:off x="0" y="0"/>
                      <a:ext cx="5614035" cy="7639685"/>
                    </a:xfrm>
                    <a:prstGeom prst="rect">
                      <a:avLst/>
                    </a:prstGeom>
                    <a:noFill/>
                    <a:ln>
                      <a:noFill/>
                    </a:ln>
                  </pic:spPr>
                </pic:pic>
              </a:graphicData>
            </a:graphic>
          </wp:inline>
        </w:drawing>
      </w:r>
    </w:p>
    <w:p w14:paraId="1234C6C3">
      <w:pPr>
        <w:jc w:val="both"/>
        <w:outlineLvl w:val="9"/>
      </w:pPr>
    </w:p>
    <w:p w14:paraId="4981F0FE">
      <w:pPr>
        <w:jc w:val="both"/>
        <w:outlineLvl w:val="9"/>
      </w:pPr>
    </w:p>
    <w:p w14:paraId="1A5B6652">
      <w:pPr>
        <w:jc w:val="both"/>
        <w:outlineLvl w:val="9"/>
        <w:rPr>
          <w:rFonts w:hint="eastAsia" w:ascii="黑体" w:hAnsi="黑体" w:eastAsia="黑体" w:cs="黑体"/>
          <w:color w:val="auto"/>
          <w:sz w:val="24"/>
          <w:szCs w:val="24"/>
          <w:lang w:val="en-US" w:eastAsia="zh-CN"/>
        </w:rPr>
      </w:pPr>
    </w:p>
    <w:p w14:paraId="260AE266">
      <w:pPr>
        <w:jc w:val="both"/>
        <w:outlineLvl w:val="0"/>
        <w:rPr>
          <w:rFonts w:hint="default"/>
          <w:b/>
          <w:sz w:val="44"/>
          <w:szCs w:val="44"/>
          <w:lang w:val="en-US"/>
        </w:rPr>
      </w:pPr>
      <w:r>
        <w:rPr>
          <w:rFonts w:hint="eastAsia" w:ascii="黑体" w:hAnsi="黑体" w:eastAsia="黑体" w:cs="黑体"/>
          <w:color w:val="auto"/>
          <w:sz w:val="24"/>
          <w:szCs w:val="24"/>
          <w:lang w:val="en-US" w:eastAsia="zh-CN"/>
        </w:rPr>
        <w:t>附件3 入园协议</w:t>
      </w:r>
      <w:r>
        <w:drawing>
          <wp:inline distT="0" distB="0" distL="114300" distR="114300">
            <wp:extent cx="5267325" cy="7410450"/>
            <wp:effectExtent l="0" t="0" r="9525" b="0"/>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31"/>
                    <a:stretch>
                      <a:fillRect/>
                    </a:stretch>
                  </pic:blipFill>
                  <pic:spPr>
                    <a:xfrm>
                      <a:off x="0" y="0"/>
                      <a:ext cx="5267325" cy="7410450"/>
                    </a:xfrm>
                    <a:prstGeom prst="rect">
                      <a:avLst/>
                    </a:prstGeom>
                    <a:noFill/>
                    <a:ln>
                      <a:noFill/>
                    </a:ln>
                  </pic:spPr>
                </pic:pic>
              </a:graphicData>
            </a:graphic>
          </wp:inline>
        </w:drawing>
      </w:r>
      <w:r>
        <w:drawing>
          <wp:inline distT="0" distB="0" distL="114300" distR="114300">
            <wp:extent cx="5267325" cy="7448550"/>
            <wp:effectExtent l="0" t="0" r="9525" b="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32"/>
                    <a:stretch>
                      <a:fillRect/>
                    </a:stretch>
                  </pic:blipFill>
                  <pic:spPr>
                    <a:xfrm>
                      <a:off x="0" y="0"/>
                      <a:ext cx="5267325" cy="7448550"/>
                    </a:xfrm>
                    <a:prstGeom prst="rect">
                      <a:avLst/>
                    </a:prstGeom>
                    <a:noFill/>
                    <a:ln>
                      <a:noFill/>
                    </a:ln>
                  </pic:spPr>
                </pic:pic>
              </a:graphicData>
            </a:graphic>
          </wp:inline>
        </w:drawing>
      </w:r>
      <w:r>
        <w:drawing>
          <wp:inline distT="0" distB="0" distL="114300" distR="114300">
            <wp:extent cx="5286375" cy="7439025"/>
            <wp:effectExtent l="0" t="0" r="9525" b="952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33"/>
                    <a:stretch>
                      <a:fillRect/>
                    </a:stretch>
                  </pic:blipFill>
                  <pic:spPr>
                    <a:xfrm>
                      <a:off x="0" y="0"/>
                      <a:ext cx="5286375" cy="7439025"/>
                    </a:xfrm>
                    <a:prstGeom prst="rect">
                      <a:avLst/>
                    </a:prstGeom>
                    <a:noFill/>
                    <a:ln>
                      <a:noFill/>
                    </a:ln>
                  </pic:spPr>
                </pic:pic>
              </a:graphicData>
            </a:graphic>
          </wp:inline>
        </w:drawing>
      </w:r>
      <w:r>
        <w:drawing>
          <wp:inline distT="0" distB="0" distL="114300" distR="114300">
            <wp:extent cx="5238750" cy="7353300"/>
            <wp:effectExtent l="0" t="0" r="0" b="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34"/>
                    <a:stretch>
                      <a:fillRect/>
                    </a:stretch>
                  </pic:blipFill>
                  <pic:spPr>
                    <a:xfrm>
                      <a:off x="0" y="0"/>
                      <a:ext cx="5238750" cy="7353300"/>
                    </a:xfrm>
                    <a:prstGeom prst="rect">
                      <a:avLst/>
                    </a:prstGeom>
                    <a:noFill/>
                    <a:ln>
                      <a:noFill/>
                    </a:ln>
                  </pic:spPr>
                </pic:pic>
              </a:graphicData>
            </a:graphic>
          </wp:inline>
        </w:drawing>
      </w:r>
      <w:r>
        <w:drawing>
          <wp:inline distT="0" distB="0" distL="114300" distR="114300">
            <wp:extent cx="5276850" cy="7496175"/>
            <wp:effectExtent l="0" t="0" r="0" b="952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5"/>
                    <a:stretch>
                      <a:fillRect/>
                    </a:stretch>
                  </pic:blipFill>
                  <pic:spPr>
                    <a:xfrm>
                      <a:off x="0" y="0"/>
                      <a:ext cx="5276850" cy="7496175"/>
                    </a:xfrm>
                    <a:prstGeom prst="rect">
                      <a:avLst/>
                    </a:prstGeom>
                    <a:noFill/>
                    <a:ln>
                      <a:noFill/>
                    </a:ln>
                  </pic:spPr>
                </pic:pic>
              </a:graphicData>
            </a:graphic>
          </wp:inline>
        </w:drawing>
      </w:r>
      <w:r>
        <w:drawing>
          <wp:inline distT="0" distB="0" distL="114300" distR="114300">
            <wp:extent cx="5286375" cy="7448550"/>
            <wp:effectExtent l="0" t="0" r="9525"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36"/>
                    <a:stretch>
                      <a:fillRect/>
                    </a:stretch>
                  </pic:blipFill>
                  <pic:spPr>
                    <a:xfrm>
                      <a:off x="0" y="0"/>
                      <a:ext cx="5286375" cy="7448550"/>
                    </a:xfrm>
                    <a:prstGeom prst="rect">
                      <a:avLst/>
                    </a:prstGeom>
                    <a:noFill/>
                    <a:ln>
                      <a:noFill/>
                    </a:ln>
                  </pic:spPr>
                </pic:pic>
              </a:graphicData>
            </a:graphic>
          </wp:inline>
        </w:drawing>
      </w:r>
    </w:p>
    <w:p w14:paraId="263C7276">
      <w:pPr>
        <w:jc w:val="both"/>
        <w:outlineLvl w:val="0"/>
        <w:rPr>
          <w:rFonts w:hint="eastAsia" w:ascii="黑体" w:hAnsi="黑体" w:eastAsia="黑体" w:cs="黑体"/>
          <w:color w:val="auto"/>
          <w:sz w:val="24"/>
          <w:szCs w:val="24"/>
          <w:lang w:val="en-US" w:eastAsia="zh-CN"/>
        </w:rPr>
        <w:sectPr>
          <w:footerReference r:id="rId10"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5A54D6B1">
      <w:pPr>
        <w:jc w:val="cente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4520565</wp:posOffset>
                </wp:positionH>
                <wp:positionV relativeFrom="paragraph">
                  <wp:posOffset>2126615</wp:posOffset>
                </wp:positionV>
                <wp:extent cx="726440" cy="344170"/>
                <wp:effectExtent l="170180" t="5080" r="17780" b="203200"/>
                <wp:wrapNone/>
                <wp:docPr id="30" name="圆角矩形标注 17"/>
                <wp:cNvGraphicFramePr/>
                <a:graphic xmlns:a="http://schemas.openxmlformats.org/drawingml/2006/main">
                  <a:graphicData uri="http://schemas.microsoft.com/office/word/2010/wordprocessingShape">
                    <wps:wsp>
                      <wps:cNvSpPr/>
                      <wps:spPr>
                        <a:xfrm>
                          <a:off x="0" y="0"/>
                          <a:ext cx="726440" cy="344170"/>
                        </a:xfrm>
                        <a:prstGeom prst="wedgeRoundRectCallout">
                          <a:avLst>
                            <a:gd name="adj1" fmla="val -68706"/>
                            <a:gd name="adj2" fmla="val 99077"/>
                            <a:gd name="adj3" fmla="val 16667"/>
                          </a:avLst>
                        </a:prstGeom>
                        <a:solidFill>
                          <a:srgbClr val="FFFFFF">
                            <a:alpha val="59999"/>
                          </a:srgbClr>
                        </a:solidFill>
                        <a:ln w="9525" cap="flat" cmpd="sng">
                          <a:solidFill>
                            <a:srgbClr val="000000"/>
                          </a:solidFill>
                          <a:prstDash val="solid"/>
                          <a:miter/>
                          <a:headEnd type="none" w="med" len="med"/>
                          <a:tailEnd type="none" w="med" len="med"/>
                        </a:ln>
                        <a:effectLst/>
                      </wps:spPr>
                      <wps:txbx>
                        <w:txbxContent>
                          <w:p w14:paraId="161B957E">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eastAsia="宋体"/>
                                <w:lang w:val="en-US" w:eastAsia="zh-CN"/>
                              </w:rPr>
                            </w:pPr>
                            <w:r>
                              <w:rPr>
                                <w:rFonts w:hint="eastAsia"/>
                                <w:b/>
                                <w:bCs/>
                                <w:color w:val="FF0000"/>
                                <w:sz w:val="24"/>
                                <w:szCs w:val="22"/>
                                <w:lang w:val="en-US" w:eastAsia="zh-CN"/>
                              </w:rPr>
                              <w:t>本项目</w:t>
                            </w:r>
                          </w:p>
                        </w:txbxContent>
                      </wps:txbx>
                      <wps:bodyPr wrap="square" upright="1"/>
                    </wps:wsp>
                  </a:graphicData>
                </a:graphic>
              </wp:anchor>
            </w:drawing>
          </mc:Choice>
          <mc:Fallback>
            <w:pict>
              <v:shape id="圆角矩形标注 17" o:spid="_x0000_s1026" o:spt="62" type="#_x0000_t62" style="position:absolute;left:0pt;margin-left:355.95pt;margin-top:167.45pt;height:27.1pt;width:57.2pt;z-index:251665408;mso-width-relative:page;mso-height-relative:page;" fillcolor="#FFFFFF" filled="t" stroked="t" coordsize="21600,21600" o:gfxdata="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s2kIbYAAAACwEAAA8AAAAAAAAAAQAgAAAAIgAAAGRycy9k&#10;b3ducmV2LnhtbFBLAQIUABQAAAAIAIdO4kDVpM9VdAIAAPoEAAAOAAAAAAAAAAEAIAAAACcBAABk&#10;cnMvZTJvRG9jLnhtbFBLBQYAAAAABgAGAFkBAAANBgAAAAA=&#10;" adj="-4040,32201,14400">
                <v:fill on="t" opacity="39320f" focussize="0,0"/>
                <v:stroke color="#000000" joinstyle="miter"/>
                <v:imagedata o:title=""/>
                <o:lock v:ext="edit" aspectratio="f"/>
                <v:textbox>
                  <w:txbxContent>
                    <w:p w14:paraId="161B957E">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eastAsia="宋体"/>
                          <w:lang w:val="en-US" w:eastAsia="zh-CN"/>
                        </w:rPr>
                      </w:pPr>
                      <w:r>
                        <w:rPr>
                          <w:rFonts w:hint="eastAsia"/>
                          <w:b/>
                          <w:bCs/>
                          <w:color w:val="FF0000"/>
                          <w:sz w:val="24"/>
                          <w:szCs w:val="22"/>
                          <w:lang w:val="en-US" w:eastAsia="zh-CN"/>
                        </w:rPr>
                        <w:t>本项目</w:t>
                      </w:r>
                    </w:p>
                  </w:txbxContent>
                </v:textbox>
              </v:shape>
            </w:pict>
          </mc:Fallback>
        </mc:AlternateContent>
      </w:r>
      <w:r>
        <w:drawing>
          <wp:anchor distT="0" distB="0" distL="114300" distR="114300" simplePos="0" relativeHeight="251666432" behindDoc="0" locked="0" layoutInCell="1" allowOverlap="1">
            <wp:simplePos x="0" y="0"/>
            <wp:positionH relativeFrom="column">
              <wp:posOffset>8667115</wp:posOffset>
            </wp:positionH>
            <wp:positionV relativeFrom="page">
              <wp:posOffset>679450</wp:posOffset>
            </wp:positionV>
            <wp:extent cx="445135" cy="611505"/>
            <wp:effectExtent l="0" t="0" r="12065" b="17145"/>
            <wp:wrapNone/>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7">
                      <a:lum bright="12000"/>
                    </a:blip>
                    <a:stretch>
                      <a:fillRect/>
                    </a:stretch>
                  </pic:blipFill>
                  <pic:spPr>
                    <a:xfrm>
                      <a:off x="0" y="0"/>
                      <a:ext cx="445135" cy="611505"/>
                    </a:xfrm>
                    <a:prstGeom prst="rect">
                      <a:avLst/>
                    </a:prstGeom>
                    <a:noFill/>
                    <a:ln>
                      <a:noFill/>
                    </a:ln>
                  </pic:spPr>
                </pic:pic>
              </a:graphicData>
            </a:graphic>
          </wp:anchor>
        </w:drawing>
      </w:r>
      <w:r>
        <w:drawing>
          <wp:inline distT="0" distB="0" distL="114300" distR="114300">
            <wp:extent cx="7445375" cy="5534660"/>
            <wp:effectExtent l="0" t="0" r="3175" b="889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8"/>
                    <a:stretch>
                      <a:fillRect/>
                    </a:stretch>
                  </pic:blipFill>
                  <pic:spPr>
                    <a:xfrm>
                      <a:off x="0" y="0"/>
                      <a:ext cx="7445375" cy="5534660"/>
                    </a:xfrm>
                    <a:prstGeom prst="rect">
                      <a:avLst/>
                    </a:prstGeom>
                    <a:noFill/>
                    <a:ln>
                      <a:noFill/>
                    </a:ln>
                  </pic:spPr>
                </pic:pic>
              </a:graphicData>
            </a:graphic>
          </wp:inline>
        </w:drawing>
      </w:r>
    </w:p>
    <w:p w14:paraId="25A7EA98">
      <w:pPr>
        <w:jc w:val="center"/>
        <w:outlineLvl w:val="0"/>
      </w:pPr>
      <w:r>
        <w:rPr>
          <w:rFonts w:hint="eastAsia" w:ascii="黑体" w:hAnsi="黑体" w:eastAsia="黑体" w:cs="黑体"/>
          <w:color w:val="auto"/>
          <w:sz w:val="24"/>
          <w:szCs w:val="24"/>
        </w:rPr>
        <w:t>附图</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rPr>
        <w:t xml:space="preserve">  项目地理位置图</w:t>
      </w:r>
    </w:p>
    <w:p w14:paraId="3FAF0DD2">
      <w:pPr>
        <w:jc w:val="center"/>
        <w:outlineLvl w:val="9"/>
      </w:pPr>
      <w:r>
        <w:rPr>
          <w:rFonts w:hint="default"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5081270</wp:posOffset>
                </wp:positionH>
                <wp:positionV relativeFrom="paragraph">
                  <wp:posOffset>1297940</wp:posOffset>
                </wp:positionV>
                <wp:extent cx="751205" cy="507365"/>
                <wp:effectExtent l="242570" t="12700" r="15875" b="394335"/>
                <wp:wrapNone/>
                <wp:docPr id="100" name="矩形标注 100"/>
                <wp:cNvGraphicFramePr/>
                <a:graphic xmlns:a="http://schemas.openxmlformats.org/drawingml/2006/main">
                  <a:graphicData uri="http://schemas.microsoft.com/office/word/2010/wordprocessingShape">
                    <wps:wsp>
                      <wps:cNvSpPr/>
                      <wps:spPr>
                        <a:xfrm>
                          <a:off x="0" y="0"/>
                          <a:ext cx="751205" cy="507365"/>
                        </a:xfrm>
                        <a:prstGeom prst="wedgeRectCallout">
                          <a:avLst>
                            <a:gd name="adj1" fmla="val -80600"/>
                            <a:gd name="adj2" fmla="val 122590"/>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1443405">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0.1pt;margin-top:102.2pt;height:39.95pt;width:59.15pt;z-index:251674624;v-text-anchor:middle;mso-width-relative:page;mso-height-relative:page;" fillcolor="#FFFFFF [3212]" filled="t" stroked="t" coordsize="21600,21600" o:gfxdata="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pH5pPZAAAACwEAAA8AAAAAAAAAAQAgAAAAIgAAAGRycy9kb3ducmV2Lnht&#10;bFBLAQIUABQAAAAIAIdO4kDdwL4ZowIAAFAFAAAOAAAAAAAAAAEAIAAAACgBAABkcnMvZTJvRG9j&#10;LnhtbFBLBQYAAAAABgAGAFkBAAA9BgAAAAA=&#10;" adj="-6610,37279">
                <v:fill on="t" focussize="0,0"/>
                <v:stroke weight="2pt" color="#000000 [3213]" joinstyle="round"/>
                <v:imagedata o:title=""/>
                <o:lock v:ext="edit" aspectratio="f"/>
                <v:textbox>
                  <w:txbxContent>
                    <w:p w14:paraId="01443405">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v:textbox>
              </v:shape>
            </w:pict>
          </mc:Fallback>
        </mc:AlternateContent>
      </w:r>
      <w:r>
        <w:drawing>
          <wp:anchor distT="0" distB="0" distL="114300" distR="114300" simplePos="0" relativeHeight="251667456" behindDoc="0" locked="0" layoutInCell="1" allowOverlap="1">
            <wp:simplePos x="0" y="0"/>
            <wp:positionH relativeFrom="column">
              <wp:posOffset>8353425</wp:posOffset>
            </wp:positionH>
            <wp:positionV relativeFrom="page">
              <wp:posOffset>697865</wp:posOffset>
            </wp:positionV>
            <wp:extent cx="589280" cy="809625"/>
            <wp:effectExtent l="0" t="0" r="1270" b="9525"/>
            <wp:wrapNone/>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7">
                      <a:lum bright="12000"/>
                    </a:blip>
                    <a:stretch>
                      <a:fillRect/>
                    </a:stretch>
                  </pic:blipFill>
                  <pic:spPr>
                    <a:xfrm>
                      <a:off x="0" y="0"/>
                      <a:ext cx="589280" cy="809625"/>
                    </a:xfrm>
                    <a:prstGeom prst="rect">
                      <a:avLst/>
                    </a:prstGeom>
                    <a:noFill/>
                    <a:ln>
                      <a:noFill/>
                    </a:ln>
                  </pic:spPr>
                </pic:pic>
              </a:graphicData>
            </a:graphic>
          </wp:anchor>
        </w:drawing>
      </w:r>
      <w:r>
        <w:drawing>
          <wp:inline distT="0" distB="0" distL="114300" distR="114300">
            <wp:extent cx="7991475" cy="5743575"/>
            <wp:effectExtent l="0" t="0" r="9525" b="952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9"/>
                    <a:stretch>
                      <a:fillRect/>
                    </a:stretch>
                  </pic:blipFill>
                  <pic:spPr>
                    <a:xfrm>
                      <a:off x="0" y="0"/>
                      <a:ext cx="7991475" cy="5743575"/>
                    </a:xfrm>
                    <a:prstGeom prst="rect">
                      <a:avLst/>
                    </a:prstGeom>
                    <a:noFill/>
                    <a:ln>
                      <a:noFill/>
                    </a:ln>
                  </pic:spPr>
                </pic:pic>
              </a:graphicData>
            </a:graphic>
          </wp:inline>
        </w:drawing>
      </w:r>
    </w:p>
    <w:p w14:paraId="74A2F874">
      <w:pPr>
        <w:jc w:val="center"/>
        <w:outlineLvl w:val="0"/>
        <w:rPr>
          <w:rFonts w:hint="default" w:ascii="黑体" w:hAnsi="黑体" w:eastAsia="宋体" w:cs="黑体"/>
          <w:b/>
          <w:bCs/>
          <w:color w:val="auto"/>
          <w:sz w:val="24"/>
          <w:szCs w:val="24"/>
          <w:lang w:val="en-US" w:eastAsia="zh-CN"/>
        </w:rPr>
        <w:sectPr>
          <w:footerReference r:id="rId11"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b/>
          <w:bCs/>
          <w:sz w:val="24"/>
          <w:szCs w:val="24"/>
          <w:lang w:val="en-US" w:eastAsia="zh-CN"/>
        </w:rPr>
        <w:t>附图2  外环境关系图</w:t>
      </w:r>
    </w:p>
    <w:p w14:paraId="6F55371C">
      <w:pPr>
        <w:jc w:val="center"/>
        <w:outlineLvl w:val="9"/>
      </w:pPr>
      <w:r>
        <w:rPr>
          <w:rFonts w:hint="default" w:ascii="Times New Roman" w:hAnsi="Times New Roman" w:cs="Times New Roman"/>
          <w:color w:val="auto"/>
          <w:sz w:val="28"/>
        </w:rPr>
        <mc:AlternateContent>
          <mc:Choice Requires="wps">
            <w:drawing>
              <wp:anchor distT="0" distB="0" distL="114300" distR="114300" simplePos="0" relativeHeight="251679744" behindDoc="0" locked="0" layoutInCell="1" allowOverlap="1">
                <wp:simplePos x="0" y="0"/>
                <wp:positionH relativeFrom="column">
                  <wp:posOffset>5078095</wp:posOffset>
                </wp:positionH>
                <wp:positionV relativeFrom="paragraph">
                  <wp:posOffset>2300605</wp:posOffset>
                </wp:positionV>
                <wp:extent cx="535305" cy="27559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35305" cy="275590"/>
                        </a:xfrm>
                        <a:prstGeom prst="rect">
                          <a:avLst/>
                        </a:prstGeom>
                        <a:noFill/>
                        <a:ln>
                          <a:noFill/>
                        </a:ln>
                      </wps:spPr>
                      <wps:txbx>
                        <w:txbxContent>
                          <w:p w14:paraId="1B270266">
                            <w:pPr>
                              <w:spacing w:line="240" w:lineRule="auto"/>
                              <w:rPr>
                                <w:rFonts w:hint="default" w:eastAsia="宋体"/>
                                <w:color w:val="FF0000"/>
                                <w:sz w:val="24"/>
                                <w:szCs w:val="32"/>
                                <w:lang w:val="en-US" w:eastAsia="zh-CN"/>
                              </w:rPr>
                            </w:pPr>
                            <w:r>
                              <w:rPr>
                                <w:rFonts w:hint="eastAsia"/>
                                <w:color w:val="FFFFFF" w:themeColor="background1"/>
                                <w:sz w:val="24"/>
                                <w:szCs w:val="32"/>
                                <w:lang w:val="en-US" w:eastAsia="zh-CN"/>
                                <w14:textFill>
                                  <w14:solidFill>
                                    <w14:schemeClr w14:val="bg1"/>
                                  </w14:solidFill>
                                </w14:textFill>
                              </w:rPr>
                              <w:t>50m</w:t>
                            </w:r>
                          </w:p>
                        </w:txbxContent>
                      </wps:txbx>
                      <wps:bodyPr upright="1"/>
                    </wps:wsp>
                  </a:graphicData>
                </a:graphic>
              </wp:anchor>
            </w:drawing>
          </mc:Choice>
          <mc:Fallback>
            <w:pict>
              <v:shape id="_x0000_s1026" o:spid="_x0000_s1026" o:spt="202" type="#_x0000_t202" style="position:absolute;left:0pt;margin-left:399.85pt;margin-top:181.15pt;height:21.7pt;width:42.15pt;z-index:251679744;mso-width-relative:page;mso-height-relative:page;" filled="f" stroked="f" coordsize="21600,21600" o:gfxdata="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bYU&#10;/9kAAAALAQAADwAAAAAAAAABACAAAAAiAAAAZHJzL2Rvd25yZXYueG1sUEsBAhQAFAAAAAgAh07i&#10;QEQ3rDuvAQAATwMAAA4AAAAAAAAAAQAgAAAAKAEAAGRycy9lMm9Eb2MueG1sUEsFBgAAAAAGAAYA&#10;WQEAAEkFAAAAAA==&#10;">
                <v:fill on="f" focussize="0,0"/>
                <v:stroke on="f"/>
                <v:imagedata o:title=""/>
                <o:lock v:ext="edit" aspectratio="f"/>
                <v:textbox>
                  <w:txbxContent>
                    <w:p w14:paraId="1B270266">
                      <w:pPr>
                        <w:spacing w:line="240" w:lineRule="auto"/>
                        <w:rPr>
                          <w:rFonts w:hint="default" w:eastAsia="宋体"/>
                          <w:color w:val="FF0000"/>
                          <w:sz w:val="24"/>
                          <w:szCs w:val="32"/>
                          <w:lang w:val="en-US" w:eastAsia="zh-CN"/>
                        </w:rPr>
                      </w:pPr>
                      <w:r>
                        <w:rPr>
                          <w:rFonts w:hint="eastAsia"/>
                          <w:color w:val="FFFFFF" w:themeColor="background1"/>
                          <w:sz w:val="24"/>
                          <w:szCs w:val="32"/>
                          <w:lang w:val="en-US" w:eastAsia="zh-CN"/>
                          <w14:textFill>
                            <w14:solidFill>
                              <w14:schemeClr w14:val="bg1"/>
                            </w14:solidFill>
                          </w14:textFill>
                        </w:rPr>
                        <w:t>50m</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5189855</wp:posOffset>
                </wp:positionH>
                <wp:positionV relativeFrom="paragraph">
                  <wp:posOffset>2545080</wp:posOffset>
                </wp:positionV>
                <wp:extent cx="187325" cy="1270"/>
                <wp:effectExtent l="0" t="37465" r="3175" b="37465"/>
                <wp:wrapNone/>
                <wp:docPr id="26" name="直接箭头连接符 26"/>
                <wp:cNvGraphicFramePr/>
                <a:graphic xmlns:a="http://schemas.openxmlformats.org/drawingml/2006/main">
                  <a:graphicData uri="http://schemas.microsoft.com/office/word/2010/wordprocessingShape">
                    <wps:wsp>
                      <wps:cNvCnPr/>
                      <wps:spPr>
                        <a:xfrm>
                          <a:off x="0" y="0"/>
                          <a:ext cx="187325" cy="1270"/>
                        </a:xfrm>
                        <a:prstGeom prst="straightConnector1">
                          <a:avLst/>
                        </a:prstGeom>
                        <a:ln>
                          <a:solidFill>
                            <a:schemeClr val="bg1"/>
                          </a:solidFill>
                          <a:headEnd type="triangl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08.65pt;margin-top:200.4pt;height:0.1pt;width:14.75pt;z-index:251678720;mso-width-relative:page;mso-height-relative:page;" filled="f" stroked="t" coordsize="21600,21600" o:gfxdata="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&#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hVS9kAAAALAQAADwAAAAAAAAABACAAAAAiAAAA&#10;ZHJzL2Rvd25yZXYueG1sUEsBAhQAFAAAAAgAh07iQC2gmdQGAgAA6wMAAA4AAAAAAAAAAQAgAAAA&#10;KAEAAGRycy9lMm9Eb2MueG1sUEsFBgAAAAAGAAYAWQEAAKAFAAAAAA==&#10;">
                <v:fill on="f" focussize="0,0"/>
                <v:stroke weight="2pt" color="#FFFFFF [3212]" joinstyle="round" startarrow="block" endarrow="block"/>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7696" behindDoc="0" locked="0" layoutInCell="1" allowOverlap="1">
                <wp:simplePos x="0" y="0"/>
                <wp:positionH relativeFrom="column">
                  <wp:posOffset>5892800</wp:posOffset>
                </wp:positionH>
                <wp:positionV relativeFrom="paragraph">
                  <wp:posOffset>2456180</wp:posOffset>
                </wp:positionV>
                <wp:extent cx="535305" cy="27559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35305" cy="275590"/>
                        </a:xfrm>
                        <a:prstGeom prst="rect">
                          <a:avLst/>
                        </a:prstGeom>
                        <a:noFill/>
                        <a:ln>
                          <a:noFill/>
                        </a:ln>
                      </wps:spPr>
                      <wps:txbx>
                        <w:txbxContent>
                          <w:p w14:paraId="304464B1">
                            <w:pPr>
                              <w:spacing w:line="240" w:lineRule="auto"/>
                              <w:rPr>
                                <w:rFonts w:hint="default" w:eastAsia="宋体"/>
                                <w:color w:val="FF0000"/>
                                <w:sz w:val="24"/>
                                <w:szCs w:val="32"/>
                                <w:lang w:val="en-US" w:eastAsia="zh-CN"/>
                              </w:rPr>
                            </w:pPr>
                            <w:r>
                              <w:rPr>
                                <w:rFonts w:hint="eastAsia"/>
                                <w:color w:val="FFFFFF" w:themeColor="background1"/>
                                <w:sz w:val="24"/>
                                <w:szCs w:val="32"/>
                                <w:lang w:val="en-US" w:eastAsia="zh-CN"/>
                                <w14:textFill>
                                  <w14:solidFill>
                                    <w14:schemeClr w14:val="bg1"/>
                                  </w14:solidFill>
                                </w14:textFill>
                              </w:rPr>
                              <w:t>500m</w:t>
                            </w:r>
                          </w:p>
                        </w:txbxContent>
                      </wps:txbx>
                      <wps:bodyPr upright="1"/>
                    </wps:wsp>
                  </a:graphicData>
                </a:graphic>
              </wp:anchor>
            </w:drawing>
          </mc:Choice>
          <mc:Fallback>
            <w:pict>
              <v:shape id="_x0000_s1026" o:spid="_x0000_s1026" o:spt="202" type="#_x0000_t202" style="position:absolute;left:0pt;margin-left:464pt;margin-top:193.4pt;height:21.7pt;width:42.15pt;z-index:251677696;mso-width-relative:page;mso-height-relative:page;" filled="f" stroked="f" coordsize="21600,21600" o:gfxdata="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DpVB&#10;2QAAAAwBAAAPAAAAAAAAAAEAIAAAACIAAABkcnMvZG93bnJldi54bWxQSwECFAAUAAAACACHTuJA&#10;cGEU764BAABPAwAADgAAAAAAAAABACAAAAAoAQAAZHJzL2Uyb0RvYy54bWxQSwUGAAAAAAYABgBZ&#10;AQAASAUAAAAA&#10;">
                <v:fill on="f" focussize="0,0"/>
                <v:stroke on="f"/>
                <v:imagedata o:title=""/>
                <o:lock v:ext="edit" aspectratio="f"/>
                <v:textbox>
                  <w:txbxContent>
                    <w:p w14:paraId="304464B1">
                      <w:pPr>
                        <w:spacing w:line="240" w:lineRule="auto"/>
                        <w:rPr>
                          <w:rFonts w:hint="default" w:eastAsia="宋体"/>
                          <w:color w:val="FF0000"/>
                          <w:sz w:val="24"/>
                          <w:szCs w:val="32"/>
                          <w:lang w:val="en-US" w:eastAsia="zh-CN"/>
                        </w:rPr>
                      </w:pPr>
                      <w:r>
                        <w:rPr>
                          <w:rFonts w:hint="eastAsia"/>
                          <w:color w:val="FFFFFF" w:themeColor="background1"/>
                          <w:sz w:val="24"/>
                          <w:szCs w:val="32"/>
                          <w:lang w:val="en-US" w:eastAsia="zh-CN"/>
                          <w14:textFill>
                            <w14:solidFill>
                              <w14:schemeClr w14:val="bg1"/>
                            </w14:solidFill>
                          </w14:textFill>
                        </w:rPr>
                        <w:t>500m</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5396230</wp:posOffset>
                </wp:positionH>
                <wp:positionV relativeFrom="paragraph">
                  <wp:posOffset>2678430</wp:posOffset>
                </wp:positionV>
                <wp:extent cx="1497330" cy="0"/>
                <wp:effectExtent l="0" t="38100" r="7620" b="38100"/>
                <wp:wrapNone/>
                <wp:docPr id="13" name="直接箭头连接符 13"/>
                <wp:cNvGraphicFramePr/>
                <a:graphic xmlns:a="http://schemas.openxmlformats.org/drawingml/2006/main">
                  <a:graphicData uri="http://schemas.microsoft.com/office/word/2010/wordprocessingShape">
                    <wps:wsp>
                      <wps:cNvCnPr/>
                      <wps:spPr>
                        <a:xfrm>
                          <a:off x="0" y="0"/>
                          <a:ext cx="1497330" cy="0"/>
                        </a:xfrm>
                        <a:prstGeom prst="straightConnector1">
                          <a:avLst/>
                        </a:prstGeom>
                        <a:ln>
                          <a:solidFill>
                            <a:schemeClr val="bg1"/>
                          </a:solidFill>
                          <a:headEnd type="triangl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4.9pt;margin-top:210.9pt;height:0pt;width:117.9pt;z-index:251676672;mso-width-relative:page;mso-height-relative:page;" filled="f" stroked="t" coordsize="21600,21600" o:gfxdata="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DFy2QAAAAwBAAAPAAAAAAAAAAEAIAAAACIAAABkcnMv&#10;ZG93bnJldi54bWxQSwECFAAUAAAACACHTuJAOxv/zgICAADpAwAADgAAAAAAAAABACAAAAAoAQAA&#10;ZHJzL2Uyb0RvYy54bWxQSwUGAAAAAAYABgBZAQAAnAUAAAAA&#10;">
                <v:fill on="f" focussize="0,0"/>
                <v:stroke weight="2pt" color="#FFFFFF [3212]" joinstyle="round" startarrow="block"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3870325</wp:posOffset>
                </wp:positionH>
                <wp:positionV relativeFrom="paragraph">
                  <wp:posOffset>2178685</wp:posOffset>
                </wp:positionV>
                <wp:extent cx="751205" cy="507365"/>
                <wp:effectExtent l="12700" t="12700" r="493395" b="108585"/>
                <wp:wrapNone/>
                <wp:docPr id="24" name="矩形标注 24"/>
                <wp:cNvGraphicFramePr/>
                <a:graphic xmlns:a="http://schemas.openxmlformats.org/drawingml/2006/main">
                  <a:graphicData uri="http://schemas.microsoft.com/office/word/2010/wordprocessingShape">
                    <wps:wsp>
                      <wps:cNvSpPr/>
                      <wps:spPr>
                        <a:xfrm>
                          <a:off x="0" y="0"/>
                          <a:ext cx="751205" cy="507365"/>
                        </a:xfrm>
                        <a:prstGeom prst="wedgeRectCallout">
                          <a:avLst>
                            <a:gd name="adj1" fmla="val 112468"/>
                            <a:gd name="adj2" fmla="val 6777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FC8035A">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75pt;margin-top:171.55pt;height:39.95pt;width:59.15pt;z-index:251675648;v-text-anchor:middle;mso-width-relative:page;mso-height-relative:page;" fillcolor="#FFFFFF [3212]" filled="t" stroked="t" coordsize="21600,21600" o:gfxdata="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TU5KTNoAAAALAQAADwAAAAAAAAABACAAAAAiAAAAZHJzL2Rvd25yZXYueG1s&#10;UEsBAhQAFAAAAAgAh07iQHMaOi+hAgAATQUAAA4AAAAAAAAAAQAgAAAAKQEAAGRycy9lMm9Eb2Mu&#10;eG1sUEsFBgAAAAAGAAYAWQEAADwGAAAAAA==&#10;" adj="35093,25439">
                <v:fill on="t" focussize="0,0"/>
                <v:stroke weight="2pt" color="#000000 [3213]" joinstyle="round"/>
                <v:imagedata o:title=""/>
                <o:lock v:ext="edit" aspectratio="f"/>
                <v:textbox>
                  <w:txbxContent>
                    <w:p w14:paraId="7FC8035A">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v:textbox>
              </v:shape>
            </w:pict>
          </mc:Fallback>
        </mc:AlternateContent>
      </w:r>
      <w:r>
        <w:drawing>
          <wp:anchor distT="0" distB="0" distL="114300" distR="114300" simplePos="0" relativeHeight="251668480" behindDoc="0" locked="0" layoutInCell="1" allowOverlap="1">
            <wp:simplePos x="0" y="0"/>
            <wp:positionH relativeFrom="column">
              <wp:posOffset>8422640</wp:posOffset>
            </wp:positionH>
            <wp:positionV relativeFrom="page">
              <wp:posOffset>664210</wp:posOffset>
            </wp:positionV>
            <wp:extent cx="520065" cy="714375"/>
            <wp:effectExtent l="0" t="0" r="13335" b="9525"/>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7">
                      <a:lum bright="12000"/>
                    </a:blip>
                    <a:stretch>
                      <a:fillRect/>
                    </a:stretch>
                  </pic:blipFill>
                  <pic:spPr>
                    <a:xfrm>
                      <a:off x="0" y="0"/>
                      <a:ext cx="520065" cy="714375"/>
                    </a:xfrm>
                    <a:prstGeom prst="rect">
                      <a:avLst/>
                    </a:prstGeom>
                    <a:noFill/>
                    <a:ln>
                      <a:noFill/>
                    </a:ln>
                  </pic:spPr>
                </pic:pic>
              </a:graphicData>
            </a:graphic>
          </wp:anchor>
        </w:drawing>
      </w:r>
      <w:r>
        <w:drawing>
          <wp:inline distT="0" distB="0" distL="114300" distR="114300">
            <wp:extent cx="8003540" cy="5536565"/>
            <wp:effectExtent l="0" t="0" r="16510" b="698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0"/>
                    <a:stretch>
                      <a:fillRect/>
                    </a:stretch>
                  </pic:blipFill>
                  <pic:spPr>
                    <a:xfrm>
                      <a:off x="0" y="0"/>
                      <a:ext cx="8003540" cy="5536565"/>
                    </a:xfrm>
                    <a:prstGeom prst="rect">
                      <a:avLst/>
                    </a:prstGeom>
                    <a:noFill/>
                    <a:ln>
                      <a:noFill/>
                    </a:ln>
                  </pic:spPr>
                </pic:pic>
              </a:graphicData>
            </a:graphic>
          </wp:inline>
        </w:drawing>
      </w:r>
    </w:p>
    <w:p w14:paraId="04CA56B6">
      <w:pPr>
        <w:pStyle w:val="2"/>
        <w:jc w:val="center"/>
        <w:outlineLvl w:val="0"/>
        <w:rPr>
          <w:rFonts w:hint="eastAsia"/>
        </w:rPr>
        <w:sectPr>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黑体" w:hAnsi="黑体" w:eastAsia="黑体" w:cs="黑体"/>
          <w:color w:val="000000"/>
          <w:sz w:val="24"/>
          <w:lang w:val="en-US" w:eastAsia="zh-CN"/>
        </w:rPr>
        <w:t>附图</w:t>
      </w:r>
      <w:r>
        <w:rPr>
          <w:rFonts w:hint="eastAsia" w:ascii="黑体" w:hAnsi="黑体" w:cs="黑体"/>
          <w:color w:val="000000"/>
          <w:sz w:val="24"/>
          <w:lang w:val="en-US" w:eastAsia="zh-CN"/>
        </w:rPr>
        <w:t>3</w:t>
      </w:r>
      <w:r>
        <w:rPr>
          <w:rFonts w:hint="eastAsia" w:ascii="黑体" w:hAnsi="黑体" w:eastAsia="黑体" w:cs="黑体"/>
          <w:color w:val="000000"/>
          <w:sz w:val="24"/>
          <w:lang w:val="en-US" w:eastAsia="zh-CN"/>
        </w:rPr>
        <w:t xml:space="preserve"> 环境保护目标分布图</w:t>
      </w:r>
    </w:p>
    <w:p w14:paraId="395F06A5">
      <w:pPr>
        <w:jc w:val="center"/>
        <w:rPr>
          <w:rFonts w:hint="eastAsia" w:eastAsia="宋体"/>
          <w:color w:val="auto"/>
          <w:lang w:eastAsia="zh-CN"/>
        </w:rPr>
      </w:pPr>
      <w:r>
        <w:drawing>
          <wp:anchor distT="0" distB="0" distL="114300" distR="114300" simplePos="0" relativeHeight="251669504" behindDoc="0" locked="0" layoutInCell="1" allowOverlap="1">
            <wp:simplePos x="0" y="0"/>
            <wp:positionH relativeFrom="column">
              <wp:posOffset>7550785</wp:posOffset>
            </wp:positionH>
            <wp:positionV relativeFrom="page">
              <wp:posOffset>590550</wp:posOffset>
            </wp:positionV>
            <wp:extent cx="520065" cy="714375"/>
            <wp:effectExtent l="0" t="0" r="9525" b="13335"/>
            <wp:wrapNone/>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7">
                      <a:lum bright="12000"/>
                    </a:blip>
                    <a:stretch>
                      <a:fillRect/>
                    </a:stretch>
                  </pic:blipFill>
                  <pic:spPr>
                    <a:xfrm rot="16200000">
                      <a:off x="0" y="0"/>
                      <a:ext cx="520065" cy="714375"/>
                    </a:xfrm>
                    <a:prstGeom prst="rect">
                      <a:avLst/>
                    </a:prstGeom>
                    <a:noFill/>
                    <a:ln>
                      <a:noFill/>
                    </a:ln>
                  </pic:spPr>
                </pic:pic>
              </a:graphicData>
            </a:graphic>
          </wp:anchor>
        </w:drawing>
      </w:r>
      <w:r>
        <w:drawing>
          <wp:inline distT="0" distB="0" distL="114300" distR="114300">
            <wp:extent cx="8521700" cy="4293235"/>
            <wp:effectExtent l="0" t="0" r="12700" b="12065"/>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41"/>
                    <a:stretch>
                      <a:fillRect/>
                    </a:stretch>
                  </pic:blipFill>
                  <pic:spPr>
                    <a:xfrm>
                      <a:off x="0" y="0"/>
                      <a:ext cx="8521700" cy="4293235"/>
                    </a:xfrm>
                    <a:prstGeom prst="rect">
                      <a:avLst/>
                    </a:prstGeom>
                    <a:noFill/>
                    <a:ln>
                      <a:noFill/>
                    </a:ln>
                  </pic:spPr>
                </pic:pic>
              </a:graphicData>
            </a:graphic>
          </wp:inline>
        </w:drawing>
      </w:r>
    </w:p>
    <w:p w14:paraId="35FB661C">
      <w:pPr>
        <w:jc w:val="center"/>
        <w:outlineLvl w:val="0"/>
        <w:rPr>
          <w:rFonts w:hint="eastAsia" w:ascii="黑体" w:hAnsi="黑体" w:eastAsia="黑体" w:cs="黑体"/>
          <w:color w:val="auto"/>
          <w:sz w:val="24"/>
          <w:szCs w:val="24"/>
          <w:lang w:val="en-US" w:eastAsia="zh-CN"/>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黑体" w:hAnsi="黑体" w:eastAsia="黑体" w:cs="黑体"/>
          <w:color w:val="auto"/>
          <w:sz w:val="24"/>
          <w:szCs w:val="24"/>
          <w:lang w:val="en-US" w:eastAsia="zh-CN"/>
        </w:rPr>
        <w:t>附图4  项目平面布置图</w:t>
      </w:r>
    </w:p>
    <w:p w14:paraId="6C412784">
      <w:pPr>
        <w:jc w:val="center"/>
        <w:rPr>
          <w:rFonts w:hint="eastAsia"/>
          <w:lang w:val="en-US" w:eastAsia="zh-CN"/>
        </w:rPr>
      </w:pPr>
      <w:r>
        <w:drawing>
          <wp:anchor distT="0" distB="0" distL="114300" distR="114300" simplePos="0" relativeHeight="251670528" behindDoc="0" locked="0" layoutInCell="1" allowOverlap="1">
            <wp:simplePos x="0" y="0"/>
            <wp:positionH relativeFrom="column">
              <wp:posOffset>7558405</wp:posOffset>
            </wp:positionH>
            <wp:positionV relativeFrom="page">
              <wp:posOffset>421640</wp:posOffset>
            </wp:positionV>
            <wp:extent cx="520065" cy="714375"/>
            <wp:effectExtent l="0" t="0" r="9525" b="13335"/>
            <wp:wrapNone/>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7">
                      <a:lum bright="12000"/>
                    </a:blip>
                    <a:stretch>
                      <a:fillRect/>
                    </a:stretch>
                  </pic:blipFill>
                  <pic:spPr>
                    <a:xfrm rot="16200000">
                      <a:off x="0" y="0"/>
                      <a:ext cx="520065" cy="714375"/>
                    </a:xfrm>
                    <a:prstGeom prst="rect">
                      <a:avLst/>
                    </a:prstGeom>
                    <a:noFill/>
                    <a:ln>
                      <a:noFill/>
                    </a:ln>
                  </pic:spPr>
                </pic:pic>
              </a:graphicData>
            </a:graphic>
          </wp:anchor>
        </w:drawing>
      </w:r>
      <w:r>
        <w:drawing>
          <wp:inline distT="0" distB="0" distL="114300" distR="114300">
            <wp:extent cx="8526145" cy="5027930"/>
            <wp:effectExtent l="0" t="0" r="8255" b="1270"/>
            <wp:docPr id="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pic:cNvPicPr>
                      <a:picLocks noChangeAspect="1"/>
                    </pic:cNvPicPr>
                  </pic:nvPicPr>
                  <pic:blipFill>
                    <a:blip r:embed="rId42"/>
                    <a:stretch>
                      <a:fillRect/>
                    </a:stretch>
                  </pic:blipFill>
                  <pic:spPr>
                    <a:xfrm>
                      <a:off x="0" y="0"/>
                      <a:ext cx="8526145" cy="5027930"/>
                    </a:xfrm>
                    <a:prstGeom prst="rect">
                      <a:avLst/>
                    </a:prstGeom>
                    <a:noFill/>
                    <a:ln>
                      <a:noFill/>
                    </a:ln>
                  </pic:spPr>
                </pic:pic>
              </a:graphicData>
            </a:graphic>
          </wp:inline>
        </w:drawing>
      </w:r>
    </w:p>
    <w:p w14:paraId="7BA238ED">
      <w:pPr>
        <w:tabs>
          <w:tab w:val="left" w:pos="4936"/>
        </w:tabs>
        <w:bidi w:val="0"/>
        <w:jc w:val="center"/>
        <w:rPr>
          <w:color w:val="auto"/>
        </w:rPr>
      </w:pPr>
    </w:p>
    <w:p w14:paraId="6D02C34F">
      <w:pPr>
        <w:pStyle w:val="5"/>
        <w:jc w:val="center"/>
        <w:outlineLvl w:val="0"/>
        <w:rPr>
          <w:color w:val="auto"/>
        </w:rPr>
      </w:pPr>
      <w:r>
        <w:rPr>
          <w:rFonts w:hint="eastAsia" w:ascii="黑体" w:hAnsi="黑体" w:eastAsia="黑体" w:cs="黑体"/>
          <w:color w:val="auto"/>
          <w:sz w:val="24"/>
          <w:szCs w:val="24"/>
          <w:lang w:val="en-US" w:eastAsia="zh-CN"/>
        </w:rPr>
        <w:t>附图5  分区防渗图</w:t>
      </w:r>
    </w:p>
    <w:p w14:paraId="7FCA41BC">
      <w:pPr>
        <w:jc w:val="center"/>
        <w:rPr>
          <w:color w:val="auto"/>
        </w:rPr>
      </w:pPr>
      <w:r>
        <w:drawing>
          <wp:anchor distT="0" distB="0" distL="114300" distR="114300" simplePos="0" relativeHeight="251680768" behindDoc="0" locked="0" layoutInCell="1" allowOverlap="1">
            <wp:simplePos x="0" y="0"/>
            <wp:positionH relativeFrom="column">
              <wp:posOffset>7159625</wp:posOffset>
            </wp:positionH>
            <wp:positionV relativeFrom="page">
              <wp:posOffset>511810</wp:posOffset>
            </wp:positionV>
            <wp:extent cx="520065" cy="714375"/>
            <wp:effectExtent l="0" t="0" r="9525" b="13335"/>
            <wp:wrapNone/>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7">
                      <a:lum bright="12000"/>
                    </a:blip>
                    <a:stretch>
                      <a:fillRect/>
                    </a:stretch>
                  </pic:blipFill>
                  <pic:spPr>
                    <a:xfrm rot="16200000">
                      <a:off x="0" y="0"/>
                      <a:ext cx="520065" cy="714375"/>
                    </a:xfrm>
                    <a:prstGeom prst="rect">
                      <a:avLst/>
                    </a:prstGeom>
                    <a:noFill/>
                    <a:ln>
                      <a:noFill/>
                    </a:ln>
                  </pic:spPr>
                </pic:pic>
              </a:graphicData>
            </a:graphic>
          </wp:anchor>
        </w:drawing>
      </w:r>
      <w:r>
        <w:drawing>
          <wp:inline distT="0" distB="0" distL="114300" distR="114300">
            <wp:extent cx="8528685" cy="5134610"/>
            <wp:effectExtent l="0" t="0" r="5715" b="889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43"/>
                    <a:stretch>
                      <a:fillRect/>
                    </a:stretch>
                  </pic:blipFill>
                  <pic:spPr>
                    <a:xfrm>
                      <a:off x="0" y="0"/>
                      <a:ext cx="8528685" cy="5134610"/>
                    </a:xfrm>
                    <a:prstGeom prst="rect">
                      <a:avLst/>
                    </a:prstGeom>
                    <a:noFill/>
                    <a:ln>
                      <a:noFill/>
                    </a:ln>
                  </pic:spPr>
                </pic:pic>
              </a:graphicData>
            </a:graphic>
          </wp:inline>
        </w:drawing>
      </w:r>
    </w:p>
    <w:p w14:paraId="580C3C1B">
      <w:pPr>
        <w:jc w:val="center"/>
        <w:outlineLvl w:val="0"/>
        <w:rPr>
          <w:rFonts w:hint="eastAsia" w:ascii="黑体" w:hAnsi="黑体" w:eastAsia="黑体" w:cs="黑体"/>
          <w:color w:val="auto"/>
          <w:sz w:val="24"/>
          <w:szCs w:val="24"/>
          <w:lang w:val="en-US" w:eastAsia="zh-CN"/>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黑体" w:hAnsi="黑体" w:eastAsia="黑体" w:cs="黑体"/>
          <w:color w:val="auto"/>
          <w:sz w:val="24"/>
          <w:szCs w:val="24"/>
          <w:lang w:val="en-US" w:eastAsia="zh-CN"/>
        </w:rPr>
        <w:t>附图6  雨污管网图</w:t>
      </w:r>
    </w:p>
    <w:p w14:paraId="25C0ACFC">
      <w:pPr>
        <w:jc w:val="center"/>
      </w:pPr>
    </w:p>
    <w:p w14:paraId="2283D185">
      <w:pPr>
        <w:jc w:val="center"/>
        <w:outlineLvl w:val="9"/>
      </w:pPr>
      <w:r>
        <w:rPr>
          <w:rFonts w:hint="default" w:ascii="Times New Roman" w:hAnsi="Times New Roman" w:cs="Times New Roman"/>
          <w:sz w:val="21"/>
        </w:rPr>
        <mc:AlternateContent>
          <mc:Choice Requires="wps">
            <w:drawing>
              <wp:anchor distT="0" distB="0" distL="114300" distR="114300" simplePos="0" relativeHeight="251682816" behindDoc="0" locked="0" layoutInCell="1" allowOverlap="1">
                <wp:simplePos x="0" y="0"/>
                <wp:positionH relativeFrom="column">
                  <wp:posOffset>1311275</wp:posOffset>
                </wp:positionH>
                <wp:positionV relativeFrom="paragraph">
                  <wp:posOffset>3380740</wp:posOffset>
                </wp:positionV>
                <wp:extent cx="751205" cy="507365"/>
                <wp:effectExtent l="12700" t="12700" r="493395" b="108585"/>
                <wp:wrapNone/>
                <wp:docPr id="52" name="矩形标注 52"/>
                <wp:cNvGraphicFramePr/>
                <a:graphic xmlns:a="http://schemas.openxmlformats.org/drawingml/2006/main">
                  <a:graphicData uri="http://schemas.microsoft.com/office/word/2010/wordprocessingShape">
                    <wps:wsp>
                      <wps:cNvSpPr/>
                      <wps:spPr>
                        <a:xfrm>
                          <a:off x="0" y="0"/>
                          <a:ext cx="751205" cy="507365"/>
                        </a:xfrm>
                        <a:prstGeom prst="wedgeRectCallout">
                          <a:avLst>
                            <a:gd name="adj1" fmla="val 112468"/>
                            <a:gd name="adj2" fmla="val 6777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B223987">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3.25pt;margin-top:266.2pt;height:39.95pt;width:59.15pt;z-index:251682816;v-text-anchor:middle;mso-width-relative:page;mso-height-relative:page;" fillcolor="#FFFFFF [3212]" filled="t" stroked="t" coordsize="21600,21600" o:gfxdata="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pO+S3ZAAAACwEAAA8AAAAAAAAAAQAgAAAAIgAAAGRycy9kb3ducmV2Lnht&#10;bFBLAQIUABQAAAAIAIdO4kBVHhYaowIAAE0FAAAOAAAAAAAAAAEAIAAAACgBAABkcnMvZTJvRG9j&#10;LnhtbFBLBQYAAAAABgAGAFkBAAA9BgAAAAA=&#10;" adj="35093,25439">
                <v:fill on="t" focussize="0,0"/>
                <v:stroke weight="2pt" color="#000000 [3213]" joinstyle="round"/>
                <v:imagedata o:title=""/>
                <o:lock v:ext="edit" aspectratio="f"/>
                <v:textbox>
                  <w:txbxContent>
                    <w:p w14:paraId="5B223987">
                      <w:pPr>
                        <w:jc w:val="center"/>
                        <w:rPr>
                          <w:rFonts w:hint="eastAsia" w:eastAsia="宋体"/>
                          <w:color w:val="auto"/>
                          <w:sz w:val="21"/>
                          <w:lang w:eastAsia="zh-CN"/>
                          <w14:textOutline w14:w="9525">
                            <w14:solidFill>
                              <w14:schemeClr w14:val="tx1"/>
                            </w14:solidFill>
                            <w14:round/>
                          </w14:textOutline>
                        </w:rPr>
                      </w:pPr>
                      <w:r>
                        <w:rPr>
                          <w:rFonts w:hint="eastAsia"/>
                          <w:color w:val="auto"/>
                          <w:sz w:val="21"/>
                          <w:lang w:eastAsia="zh-CN"/>
                          <w14:textOutline w14:w="9525">
                            <w14:solidFill>
                              <w14:schemeClr w14:val="tx1"/>
                            </w14:solidFill>
                            <w14:round/>
                          </w14:textOutline>
                        </w:rPr>
                        <w:t>本项目所在位置</w:t>
                      </w:r>
                    </w:p>
                  </w:txbxContent>
                </v:textbox>
              </v:shape>
            </w:pict>
          </mc:Fallback>
        </mc:AlternateContent>
      </w:r>
      <w:r>
        <w:drawing>
          <wp:anchor distT="0" distB="0" distL="114300" distR="114300" simplePos="0" relativeHeight="251681792" behindDoc="0" locked="0" layoutInCell="1" allowOverlap="1">
            <wp:simplePos x="0" y="0"/>
            <wp:positionH relativeFrom="column">
              <wp:posOffset>5415280</wp:posOffset>
            </wp:positionH>
            <wp:positionV relativeFrom="page">
              <wp:posOffset>1247775</wp:posOffset>
            </wp:positionV>
            <wp:extent cx="520065" cy="714375"/>
            <wp:effectExtent l="0" t="0" r="13335" b="9525"/>
            <wp:wrapNone/>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37">
                      <a:lum bright="12000"/>
                    </a:blip>
                    <a:stretch>
                      <a:fillRect/>
                    </a:stretch>
                  </pic:blipFill>
                  <pic:spPr>
                    <a:xfrm>
                      <a:off x="0" y="0"/>
                      <a:ext cx="520065" cy="714375"/>
                    </a:xfrm>
                    <a:prstGeom prst="rect">
                      <a:avLst/>
                    </a:prstGeom>
                    <a:noFill/>
                    <a:ln>
                      <a:noFill/>
                    </a:ln>
                  </pic:spPr>
                </pic:pic>
              </a:graphicData>
            </a:graphic>
          </wp:anchor>
        </w:drawing>
      </w:r>
      <w:r>
        <w:drawing>
          <wp:inline distT="0" distB="0" distL="114300" distR="114300">
            <wp:extent cx="5110480" cy="8061325"/>
            <wp:effectExtent l="0" t="0" r="13970" b="1587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44"/>
                    <a:stretch>
                      <a:fillRect/>
                    </a:stretch>
                  </pic:blipFill>
                  <pic:spPr>
                    <a:xfrm>
                      <a:off x="0" y="0"/>
                      <a:ext cx="5110480" cy="8061325"/>
                    </a:xfrm>
                    <a:prstGeom prst="rect">
                      <a:avLst/>
                    </a:prstGeom>
                    <a:noFill/>
                    <a:ln>
                      <a:noFill/>
                    </a:ln>
                  </pic:spPr>
                </pic:pic>
              </a:graphicData>
            </a:graphic>
          </wp:inline>
        </w:drawing>
      </w:r>
    </w:p>
    <w:p w14:paraId="0F2ED646">
      <w:pPr>
        <w:jc w:val="center"/>
        <w:outlineLvl w:val="0"/>
        <w:rPr>
          <w:rFonts w:hint="default" w:eastAsia="宋体"/>
          <w:lang w:val="en-US" w:eastAsia="zh-CN"/>
        </w:rPr>
      </w:pPr>
      <w:r>
        <w:rPr>
          <w:rFonts w:hint="eastAsia" w:ascii="黑体" w:hAnsi="黑体" w:eastAsia="黑体" w:cs="黑体"/>
          <w:color w:val="auto"/>
          <w:sz w:val="24"/>
          <w:szCs w:val="24"/>
          <w:lang w:val="en-US" w:eastAsia="zh-CN"/>
        </w:rPr>
        <w:t>附图7  水系图</w:t>
      </w:r>
    </w:p>
    <w:sectPr>
      <w:footerReference r:id="rId12"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ser" w:date="2025-12-16T17:47:15Z" w:initials="">
    <w:p w14:paraId="215F5710">
      <w:pPr>
        <w:pStyle w:val="4"/>
        <w:rPr>
          <w:rFonts w:hint="default" w:eastAsia="宋体"/>
          <w:lang w:val="en-US" w:eastAsia="zh-CN"/>
        </w:rPr>
      </w:pPr>
      <w:r>
        <w:rPr>
          <w:rFonts w:hint="eastAsia"/>
          <w:lang w:val="en-US" w:eastAsia="zh-CN"/>
        </w:rPr>
        <w:t>抽真空，油雾废气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15F571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onder Arial">
    <w:altName w:val="Arial"/>
    <w:panose1 w:val="00000500000000000000"/>
    <w:charset w:val="00"/>
    <w:family w:val="auto"/>
    <w:pitch w:val="default"/>
    <w:sig w:usb0="00000000" w:usb1="00000000" w:usb2="00000000" w:usb3="00000000" w:csb0="2000001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F1">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10E79">
    <w:pPr>
      <w:pStyle w:val="13"/>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45506328">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DB41E">
    <w:pPr>
      <w:pStyle w:val="13"/>
      <w:framePr w:wrap="around" w:vAnchor="text" w:hAnchor="margin" w:xAlign="center" w:y="1"/>
      <w:rPr>
        <w:rStyle w:val="25"/>
      </w:rPr>
    </w:pPr>
    <w:r>
      <w:fldChar w:fldCharType="begin"/>
    </w:r>
    <w:r>
      <w:rPr>
        <w:rStyle w:val="25"/>
      </w:rPr>
      <w:instrText xml:space="preserve">PAGE  </w:instrText>
    </w:r>
    <w:r>
      <w:fldChar w:fldCharType="end"/>
    </w:r>
  </w:p>
  <w:p w14:paraId="6DB4863C">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BF7CE">
    <w:pPr>
      <w:pStyle w:val="13"/>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26</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40283B37">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ABDB">
    <w:pPr>
      <w:pStyle w:val="13"/>
      <w:framePr w:wrap="around" w:vAnchor="text" w:hAnchor="margin" w:xAlign="center"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30</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5BA5A730">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D87CD">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3FB4F6">
                          <w:pPr>
                            <w:pStyle w:val="13"/>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kJzJkzwEAAKgDAAAOAAAAAAAAAAEAIAAAAB4BAABkcnMv&#10;ZTJvRG9jLnhtbFBLBQYAAAAABgAGAFkBAABfBQAAAAA=&#10;">
              <v:fill on="f" focussize="0,0"/>
              <v:stroke on="f"/>
              <v:imagedata o:title=""/>
              <o:lock v:ext="edit" aspectratio="f"/>
              <v:textbox inset="0mm,0mm,0mm,0mm" style="mso-fit-shape-to-text:t;">
                <w:txbxContent>
                  <w:p w14:paraId="433FB4F6">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54D1">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1D3F924">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KPz3XOAQAAqAMAAA4AAAAAAAAAAQAgAAAAHgEAAGRycy9l&#10;Mm9Eb2MueG1sUEsFBgAAAAAGAAYAWQEAAF4FAAAAAA==&#10;">
              <v:fill on="f" focussize="0,0"/>
              <v:stroke on="f"/>
              <v:imagedata o:title=""/>
              <o:lock v:ext="edit" aspectratio="f"/>
              <v:textbox inset="0mm,0mm,0mm,0mm" style="mso-fit-shape-to-text:t;">
                <w:txbxContent>
                  <w:p w14:paraId="11D3F92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1D57B">
    <w:pPr>
      <w:pStyle w:val="13"/>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34</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24774436">
    <w:pPr>
      <w:pStyle w:val="13"/>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4970">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DEDDB"/>
    <w:multiLevelType w:val="singleLevel"/>
    <w:tmpl w:val="85FDEDDB"/>
    <w:lvl w:ilvl="0" w:tentative="0">
      <w:start w:val="2"/>
      <w:numFmt w:val="decimal"/>
      <w:suff w:val="nothing"/>
      <w:lvlText w:val="（%1）"/>
      <w:lvlJc w:val="left"/>
    </w:lvl>
  </w:abstractNum>
  <w:abstractNum w:abstractNumId="1">
    <w:nsid w:val="A63A5D8A"/>
    <w:multiLevelType w:val="singleLevel"/>
    <w:tmpl w:val="A63A5D8A"/>
    <w:lvl w:ilvl="0" w:tentative="0">
      <w:start w:val="1"/>
      <w:numFmt w:val="decimal"/>
      <w:suff w:val="nothing"/>
      <w:lvlText w:val="%1、"/>
      <w:lvlJc w:val="left"/>
    </w:lvl>
  </w:abstractNum>
  <w:abstractNum w:abstractNumId="2">
    <w:nsid w:val="B4683024"/>
    <w:multiLevelType w:val="singleLevel"/>
    <w:tmpl w:val="B4683024"/>
    <w:lvl w:ilvl="0" w:tentative="0">
      <w:start w:val="1"/>
      <w:numFmt w:val="chineseCounting"/>
      <w:suff w:val="nothing"/>
      <w:lvlText w:val="%1、"/>
      <w:lvlJc w:val="left"/>
      <w:rPr>
        <w:rFonts w:hint="eastAsia"/>
      </w:rPr>
    </w:lvl>
  </w:abstractNum>
  <w:abstractNum w:abstractNumId="3">
    <w:nsid w:val="D6D9DC44"/>
    <w:multiLevelType w:val="singleLevel"/>
    <w:tmpl w:val="D6D9DC44"/>
    <w:lvl w:ilvl="0" w:tentative="0">
      <w:start w:val="2"/>
      <w:numFmt w:val="chineseCounting"/>
      <w:suff w:val="nothing"/>
      <w:lvlText w:val="（%1）"/>
      <w:lvlJc w:val="left"/>
      <w:rPr>
        <w:rFonts w:hint="eastAsia"/>
      </w:rPr>
    </w:lvl>
  </w:abstractNum>
  <w:abstractNum w:abstractNumId="4">
    <w:nsid w:val="FBE2E76C"/>
    <w:multiLevelType w:val="singleLevel"/>
    <w:tmpl w:val="FBE2E76C"/>
    <w:lvl w:ilvl="0" w:tentative="0">
      <w:start w:val="2"/>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WPS Office" w15:userId="18933385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1ZGViMjRhNDVlM2M2ZmY5MWNkZTYxNmI5ZmFlZjcifQ=="/>
  </w:docVars>
  <w:rsids>
    <w:rsidRoot w:val="00A14947"/>
    <w:rsid w:val="00003758"/>
    <w:rsid w:val="000060B3"/>
    <w:rsid w:val="0001529E"/>
    <w:rsid w:val="000172BE"/>
    <w:rsid w:val="00023BB2"/>
    <w:rsid w:val="00025CB6"/>
    <w:rsid w:val="000364F4"/>
    <w:rsid w:val="00040478"/>
    <w:rsid w:val="0004364B"/>
    <w:rsid w:val="00061B1F"/>
    <w:rsid w:val="000733C4"/>
    <w:rsid w:val="00074783"/>
    <w:rsid w:val="0008070B"/>
    <w:rsid w:val="000810AC"/>
    <w:rsid w:val="00081A02"/>
    <w:rsid w:val="00082231"/>
    <w:rsid w:val="00083E7B"/>
    <w:rsid w:val="00090DD2"/>
    <w:rsid w:val="00092D38"/>
    <w:rsid w:val="0009377B"/>
    <w:rsid w:val="000A20C9"/>
    <w:rsid w:val="000B058F"/>
    <w:rsid w:val="000B1B77"/>
    <w:rsid w:val="000B4467"/>
    <w:rsid w:val="000B4DB9"/>
    <w:rsid w:val="000C09AC"/>
    <w:rsid w:val="000C767F"/>
    <w:rsid w:val="000D4F12"/>
    <w:rsid w:val="000D5A44"/>
    <w:rsid w:val="000E3ED2"/>
    <w:rsid w:val="000F7B37"/>
    <w:rsid w:val="00117071"/>
    <w:rsid w:val="00122EF3"/>
    <w:rsid w:val="00130741"/>
    <w:rsid w:val="00131F42"/>
    <w:rsid w:val="001357F1"/>
    <w:rsid w:val="00140FA8"/>
    <w:rsid w:val="00142AC7"/>
    <w:rsid w:val="00142FEB"/>
    <w:rsid w:val="00143A2D"/>
    <w:rsid w:val="00145A41"/>
    <w:rsid w:val="00147F40"/>
    <w:rsid w:val="00151675"/>
    <w:rsid w:val="00157435"/>
    <w:rsid w:val="0017504D"/>
    <w:rsid w:val="0017671A"/>
    <w:rsid w:val="00177422"/>
    <w:rsid w:val="00184590"/>
    <w:rsid w:val="001870D1"/>
    <w:rsid w:val="0018781E"/>
    <w:rsid w:val="0019262D"/>
    <w:rsid w:val="001A1B35"/>
    <w:rsid w:val="001A2841"/>
    <w:rsid w:val="001A48A2"/>
    <w:rsid w:val="001A6CCE"/>
    <w:rsid w:val="001A6F61"/>
    <w:rsid w:val="001B72B8"/>
    <w:rsid w:val="001C69B3"/>
    <w:rsid w:val="001D5595"/>
    <w:rsid w:val="001D71CF"/>
    <w:rsid w:val="001D7874"/>
    <w:rsid w:val="001D7F22"/>
    <w:rsid w:val="001F0F17"/>
    <w:rsid w:val="001F3347"/>
    <w:rsid w:val="001F69E4"/>
    <w:rsid w:val="002062AF"/>
    <w:rsid w:val="002125B4"/>
    <w:rsid w:val="002155B8"/>
    <w:rsid w:val="002158A0"/>
    <w:rsid w:val="00215CBE"/>
    <w:rsid w:val="00220597"/>
    <w:rsid w:val="00224839"/>
    <w:rsid w:val="002249B2"/>
    <w:rsid w:val="00226574"/>
    <w:rsid w:val="002278EC"/>
    <w:rsid w:val="00232177"/>
    <w:rsid w:val="0023280E"/>
    <w:rsid w:val="00236577"/>
    <w:rsid w:val="002377D1"/>
    <w:rsid w:val="002506BC"/>
    <w:rsid w:val="00254345"/>
    <w:rsid w:val="00264557"/>
    <w:rsid w:val="00267D86"/>
    <w:rsid w:val="00276674"/>
    <w:rsid w:val="002805AB"/>
    <w:rsid w:val="002814E8"/>
    <w:rsid w:val="00284204"/>
    <w:rsid w:val="0028587C"/>
    <w:rsid w:val="00291773"/>
    <w:rsid w:val="00294BD3"/>
    <w:rsid w:val="0029758A"/>
    <w:rsid w:val="002A168C"/>
    <w:rsid w:val="002A18D1"/>
    <w:rsid w:val="002A3DC7"/>
    <w:rsid w:val="002B3319"/>
    <w:rsid w:val="002B49E2"/>
    <w:rsid w:val="002B7B00"/>
    <w:rsid w:val="002B7C44"/>
    <w:rsid w:val="002C1071"/>
    <w:rsid w:val="002C27C5"/>
    <w:rsid w:val="002C2B17"/>
    <w:rsid w:val="002C3A6B"/>
    <w:rsid w:val="002D3DD0"/>
    <w:rsid w:val="002E1F3A"/>
    <w:rsid w:val="002E298A"/>
    <w:rsid w:val="00301978"/>
    <w:rsid w:val="00302B3B"/>
    <w:rsid w:val="0030332C"/>
    <w:rsid w:val="00303C41"/>
    <w:rsid w:val="003051C2"/>
    <w:rsid w:val="00306C86"/>
    <w:rsid w:val="003100A5"/>
    <w:rsid w:val="00312296"/>
    <w:rsid w:val="00314F0E"/>
    <w:rsid w:val="00321D8E"/>
    <w:rsid w:val="0032287E"/>
    <w:rsid w:val="00323CB6"/>
    <w:rsid w:val="00325928"/>
    <w:rsid w:val="00332863"/>
    <w:rsid w:val="003340A0"/>
    <w:rsid w:val="0033684D"/>
    <w:rsid w:val="00337B42"/>
    <w:rsid w:val="00341B42"/>
    <w:rsid w:val="0034348F"/>
    <w:rsid w:val="00353B38"/>
    <w:rsid w:val="00356653"/>
    <w:rsid w:val="0035743F"/>
    <w:rsid w:val="00357717"/>
    <w:rsid w:val="00357BE2"/>
    <w:rsid w:val="0036170C"/>
    <w:rsid w:val="00366E0F"/>
    <w:rsid w:val="003720FB"/>
    <w:rsid w:val="00381A72"/>
    <w:rsid w:val="00384676"/>
    <w:rsid w:val="00390857"/>
    <w:rsid w:val="00391566"/>
    <w:rsid w:val="00393998"/>
    <w:rsid w:val="00394B0E"/>
    <w:rsid w:val="003A4BF3"/>
    <w:rsid w:val="003B420D"/>
    <w:rsid w:val="003C6C16"/>
    <w:rsid w:val="003D794D"/>
    <w:rsid w:val="003E3058"/>
    <w:rsid w:val="003E76A9"/>
    <w:rsid w:val="003F0809"/>
    <w:rsid w:val="003F1448"/>
    <w:rsid w:val="003F339A"/>
    <w:rsid w:val="003F6A8C"/>
    <w:rsid w:val="003F755C"/>
    <w:rsid w:val="00406F01"/>
    <w:rsid w:val="00416D50"/>
    <w:rsid w:val="00416FD5"/>
    <w:rsid w:val="00417772"/>
    <w:rsid w:val="00420E6A"/>
    <w:rsid w:val="00425A9E"/>
    <w:rsid w:val="00426D6B"/>
    <w:rsid w:val="00431E6C"/>
    <w:rsid w:val="00433CE7"/>
    <w:rsid w:val="00452738"/>
    <w:rsid w:val="00456091"/>
    <w:rsid w:val="00457068"/>
    <w:rsid w:val="00466321"/>
    <w:rsid w:val="00476D1B"/>
    <w:rsid w:val="00477981"/>
    <w:rsid w:val="00484B9B"/>
    <w:rsid w:val="004855F6"/>
    <w:rsid w:val="0048661E"/>
    <w:rsid w:val="00494670"/>
    <w:rsid w:val="004A3823"/>
    <w:rsid w:val="004C55B5"/>
    <w:rsid w:val="004D5B5F"/>
    <w:rsid w:val="004E177C"/>
    <w:rsid w:val="004E6946"/>
    <w:rsid w:val="004E6DD1"/>
    <w:rsid w:val="004F1AD8"/>
    <w:rsid w:val="004F496D"/>
    <w:rsid w:val="005039CB"/>
    <w:rsid w:val="0050558F"/>
    <w:rsid w:val="00506286"/>
    <w:rsid w:val="00510813"/>
    <w:rsid w:val="00511990"/>
    <w:rsid w:val="00511DE0"/>
    <w:rsid w:val="00514870"/>
    <w:rsid w:val="00514B9B"/>
    <w:rsid w:val="00517CAC"/>
    <w:rsid w:val="00517F02"/>
    <w:rsid w:val="00520700"/>
    <w:rsid w:val="00522117"/>
    <w:rsid w:val="00524303"/>
    <w:rsid w:val="005258A2"/>
    <w:rsid w:val="005401AE"/>
    <w:rsid w:val="00541CCC"/>
    <w:rsid w:val="00542E07"/>
    <w:rsid w:val="00543A8C"/>
    <w:rsid w:val="00545424"/>
    <w:rsid w:val="00554A7B"/>
    <w:rsid w:val="0055572C"/>
    <w:rsid w:val="0056106A"/>
    <w:rsid w:val="0056631F"/>
    <w:rsid w:val="005720AE"/>
    <w:rsid w:val="005853F3"/>
    <w:rsid w:val="00594D77"/>
    <w:rsid w:val="005969E4"/>
    <w:rsid w:val="005A06B7"/>
    <w:rsid w:val="005A0D4E"/>
    <w:rsid w:val="005A1759"/>
    <w:rsid w:val="005A68A7"/>
    <w:rsid w:val="005D36AB"/>
    <w:rsid w:val="00602AC0"/>
    <w:rsid w:val="00617CC3"/>
    <w:rsid w:val="006255AC"/>
    <w:rsid w:val="00637256"/>
    <w:rsid w:val="006377A6"/>
    <w:rsid w:val="00637A3D"/>
    <w:rsid w:val="006411EF"/>
    <w:rsid w:val="00641DF1"/>
    <w:rsid w:val="00646D74"/>
    <w:rsid w:val="00665B99"/>
    <w:rsid w:val="006748B8"/>
    <w:rsid w:val="006775C3"/>
    <w:rsid w:val="0068119A"/>
    <w:rsid w:val="0069290A"/>
    <w:rsid w:val="00692FA7"/>
    <w:rsid w:val="0069775A"/>
    <w:rsid w:val="00697813"/>
    <w:rsid w:val="006A17CE"/>
    <w:rsid w:val="006A3EE8"/>
    <w:rsid w:val="006A72BF"/>
    <w:rsid w:val="006B03F2"/>
    <w:rsid w:val="006B0BB6"/>
    <w:rsid w:val="006B37DC"/>
    <w:rsid w:val="006B4F68"/>
    <w:rsid w:val="006B5E61"/>
    <w:rsid w:val="006C0592"/>
    <w:rsid w:val="006C272E"/>
    <w:rsid w:val="006C5479"/>
    <w:rsid w:val="006D13B5"/>
    <w:rsid w:val="006D6AF4"/>
    <w:rsid w:val="006E12FF"/>
    <w:rsid w:val="006E191C"/>
    <w:rsid w:val="006E5F68"/>
    <w:rsid w:val="006E607E"/>
    <w:rsid w:val="00700391"/>
    <w:rsid w:val="00706C5D"/>
    <w:rsid w:val="00725A2C"/>
    <w:rsid w:val="00732922"/>
    <w:rsid w:val="0075162E"/>
    <w:rsid w:val="00752D71"/>
    <w:rsid w:val="00754034"/>
    <w:rsid w:val="00756556"/>
    <w:rsid w:val="007618C4"/>
    <w:rsid w:val="00767980"/>
    <w:rsid w:val="00770B19"/>
    <w:rsid w:val="0077463F"/>
    <w:rsid w:val="007836EA"/>
    <w:rsid w:val="00784CDA"/>
    <w:rsid w:val="007906C4"/>
    <w:rsid w:val="007940EA"/>
    <w:rsid w:val="007967E8"/>
    <w:rsid w:val="007A215E"/>
    <w:rsid w:val="007A2170"/>
    <w:rsid w:val="007A22BF"/>
    <w:rsid w:val="007A3323"/>
    <w:rsid w:val="007B72B8"/>
    <w:rsid w:val="007B7A58"/>
    <w:rsid w:val="007C1741"/>
    <w:rsid w:val="007C21B5"/>
    <w:rsid w:val="007D0FC1"/>
    <w:rsid w:val="007E4BD2"/>
    <w:rsid w:val="00801393"/>
    <w:rsid w:val="00802F88"/>
    <w:rsid w:val="0081293E"/>
    <w:rsid w:val="00815465"/>
    <w:rsid w:val="00817E9A"/>
    <w:rsid w:val="008306BD"/>
    <w:rsid w:val="00831A80"/>
    <w:rsid w:val="00833743"/>
    <w:rsid w:val="008340A4"/>
    <w:rsid w:val="0084691C"/>
    <w:rsid w:val="0085028C"/>
    <w:rsid w:val="00866C4B"/>
    <w:rsid w:val="0087135F"/>
    <w:rsid w:val="00872D94"/>
    <w:rsid w:val="00873543"/>
    <w:rsid w:val="00880364"/>
    <w:rsid w:val="008876EB"/>
    <w:rsid w:val="00891592"/>
    <w:rsid w:val="00891E9E"/>
    <w:rsid w:val="008A15C9"/>
    <w:rsid w:val="008A2F68"/>
    <w:rsid w:val="008B4FA6"/>
    <w:rsid w:val="008B5282"/>
    <w:rsid w:val="008B7C17"/>
    <w:rsid w:val="008C2D01"/>
    <w:rsid w:val="008C40E6"/>
    <w:rsid w:val="008D0F7A"/>
    <w:rsid w:val="008D68E4"/>
    <w:rsid w:val="008E0506"/>
    <w:rsid w:val="008E0CFF"/>
    <w:rsid w:val="008E5D6B"/>
    <w:rsid w:val="008E76F0"/>
    <w:rsid w:val="008F0E73"/>
    <w:rsid w:val="008F15FE"/>
    <w:rsid w:val="008F2D29"/>
    <w:rsid w:val="008F5187"/>
    <w:rsid w:val="008F60D8"/>
    <w:rsid w:val="00902727"/>
    <w:rsid w:val="0090312B"/>
    <w:rsid w:val="0091736D"/>
    <w:rsid w:val="00923BF0"/>
    <w:rsid w:val="0093037A"/>
    <w:rsid w:val="0094154D"/>
    <w:rsid w:val="0095155F"/>
    <w:rsid w:val="00954429"/>
    <w:rsid w:val="009563CE"/>
    <w:rsid w:val="00967291"/>
    <w:rsid w:val="009716B4"/>
    <w:rsid w:val="00976328"/>
    <w:rsid w:val="0097680D"/>
    <w:rsid w:val="00982438"/>
    <w:rsid w:val="0098404C"/>
    <w:rsid w:val="00985283"/>
    <w:rsid w:val="00995265"/>
    <w:rsid w:val="00995992"/>
    <w:rsid w:val="009A03E5"/>
    <w:rsid w:val="009A0F3B"/>
    <w:rsid w:val="009A1BB4"/>
    <w:rsid w:val="009A2437"/>
    <w:rsid w:val="009A2628"/>
    <w:rsid w:val="009A286F"/>
    <w:rsid w:val="009A3200"/>
    <w:rsid w:val="009B0897"/>
    <w:rsid w:val="009B7BD9"/>
    <w:rsid w:val="009C7DD5"/>
    <w:rsid w:val="009E227D"/>
    <w:rsid w:val="009E5019"/>
    <w:rsid w:val="00A04F1B"/>
    <w:rsid w:val="00A0501B"/>
    <w:rsid w:val="00A07C92"/>
    <w:rsid w:val="00A14947"/>
    <w:rsid w:val="00A17E8B"/>
    <w:rsid w:val="00A32A83"/>
    <w:rsid w:val="00A368DB"/>
    <w:rsid w:val="00A423AA"/>
    <w:rsid w:val="00A51F37"/>
    <w:rsid w:val="00A53EC6"/>
    <w:rsid w:val="00A55C0F"/>
    <w:rsid w:val="00A65C45"/>
    <w:rsid w:val="00A73B1E"/>
    <w:rsid w:val="00A73BD3"/>
    <w:rsid w:val="00A8048F"/>
    <w:rsid w:val="00A8713F"/>
    <w:rsid w:val="00A90BA1"/>
    <w:rsid w:val="00A911A9"/>
    <w:rsid w:val="00A97A9A"/>
    <w:rsid w:val="00AA0671"/>
    <w:rsid w:val="00AA2531"/>
    <w:rsid w:val="00AB1E09"/>
    <w:rsid w:val="00AB5330"/>
    <w:rsid w:val="00AB7747"/>
    <w:rsid w:val="00AC14CE"/>
    <w:rsid w:val="00AC257B"/>
    <w:rsid w:val="00AC2A56"/>
    <w:rsid w:val="00AC2BEB"/>
    <w:rsid w:val="00AD055E"/>
    <w:rsid w:val="00AD47A7"/>
    <w:rsid w:val="00AD53C3"/>
    <w:rsid w:val="00AE30B0"/>
    <w:rsid w:val="00AF0CBF"/>
    <w:rsid w:val="00AF257F"/>
    <w:rsid w:val="00AF33CF"/>
    <w:rsid w:val="00AF4D50"/>
    <w:rsid w:val="00AF59D2"/>
    <w:rsid w:val="00AF6179"/>
    <w:rsid w:val="00AF79F3"/>
    <w:rsid w:val="00B1295A"/>
    <w:rsid w:val="00B20A45"/>
    <w:rsid w:val="00B22C5C"/>
    <w:rsid w:val="00B24F30"/>
    <w:rsid w:val="00B30A36"/>
    <w:rsid w:val="00B31ABF"/>
    <w:rsid w:val="00B33BE3"/>
    <w:rsid w:val="00B401AD"/>
    <w:rsid w:val="00B53B5D"/>
    <w:rsid w:val="00B6055E"/>
    <w:rsid w:val="00B6317D"/>
    <w:rsid w:val="00B7723F"/>
    <w:rsid w:val="00B80534"/>
    <w:rsid w:val="00B807E8"/>
    <w:rsid w:val="00B8433C"/>
    <w:rsid w:val="00B87491"/>
    <w:rsid w:val="00BA29E9"/>
    <w:rsid w:val="00BA7142"/>
    <w:rsid w:val="00BB237C"/>
    <w:rsid w:val="00BB35EB"/>
    <w:rsid w:val="00BB41A3"/>
    <w:rsid w:val="00BB4464"/>
    <w:rsid w:val="00BB5E4F"/>
    <w:rsid w:val="00BC32DC"/>
    <w:rsid w:val="00BC35B6"/>
    <w:rsid w:val="00BD1B51"/>
    <w:rsid w:val="00BD420C"/>
    <w:rsid w:val="00BD4596"/>
    <w:rsid w:val="00BE1405"/>
    <w:rsid w:val="00BE312D"/>
    <w:rsid w:val="00BF1C20"/>
    <w:rsid w:val="00C05AA3"/>
    <w:rsid w:val="00C10578"/>
    <w:rsid w:val="00C135BC"/>
    <w:rsid w:val="00C15C95"/>
    <w:rsid w:val="00C21459"/>
    <w:rsid w:val="00C2596A"/>
    <w:rsid w:val="00C2651E"/>
    <w:rsid w:val="00C27537"/>
    <w:rsid w:val="00C30B92"/>
    <w:rsid w:val="00C328FE"/>
    <w:rsid w:val="00C33507"/>
    <w:rsid w:val="00C3487A"/>
    <w:rsid w:val="00C40D66"/>
    <w:rsid w:val="00C4409D"/>
    <w:rsid w:val="00C44E72"/>
    <w:rsid w:val="00C44F11"/>
    <w:rsid w:val="00C45A06"/>
    <w:rsid w:val="00C47E5B"/>
    <w:rsid w:val="00C50DDA"/>
    <w:rsid w:val="00C61E4B"/>
    <w:rsid w:val="00C64BFF"/>
    <w:rsid w:val="00C704E9"/>
    <w:rsid w:val="00C744D0"/>
    <w:rsid w:val="00C763C9"/>
    <w:rsid w:val="00C80057"/>
    <w:rsid w:val="00C82232"/>
    <w:rsid w:val="00C82913"/>
    <w:rsid w:val="00C93B94"/>
    <w:rsid w:val="00C972B1"/>
    <w:rsid w:val="00CA2CCE"/>
    <w:rsid w:val="00CA43FD"/>
    <w:rsid w:val="00CA7EF8"/>
    <w:rsid w:val="00CB09E7"/>
    <w:rsid w:val="00CB5274"/>
    <w:rsid w:val="00CC489B"/>
    <w:rsid w:val="00CD2BCD"/>
    <w:rsid w:val="00CD3A4C"/>
    <w:rsid w:val="00CE10E9"/>
    <w:rsid w:val="00CE1FF9"/>
    <w:rsid w:val="00CE2910"/>
    <w:rsid w:val="00CE5393"/>
    <w:rsid w:val="00CF36BE"/>
    <w:rsid w:val="00CF4821"/>
    <w:rsid w:val="00CF6000"/>
    <w:rsid w:val="00D003F3"/>
    <w:rsid w:val="00D0364F"/>
    <w:rsid w:val="00D04F93"/>
    <w:rsid w:val="00D06834"/>
    <w:rsid w:val="00D308ED"/>
    <w:rsid w:val="00D3323B"/>
    <w:rsid w:val="00D36D86"/>
    <w:rsid w:val="00D428AA"/>
    <w:rsid w:val="00D42E7F"/>
    <w:rsid w:val="00D4509B"/>
    <w:rsid w:val="00D50A34"/>
    <w:rsid w:val="00D53EFA"/>
    <w:rsid w:val="00D6700E"/>
    <w:rsid w:val="00D85267"/>
    <w:rsid w:val="00D91800"/>
    <w:rsid w:val="00D94A7C"/>
    <w:rsid w:val="00D95896"/>
    <w:rsid w:val="00DA7882"/>
    <w:rsid w:val="00DB2983"/>
    <w:rsid w:val="00DC1257"/>
    <w:rsid w:val="00DC3DC0"/>
    <w:rsid w:val="00DC5B2B"/>
    <w:rsid w:val="00DC6863"/>
    <w:rsid w:val="00DD318D"/>
    <w:rsid w:val="00DE1523"/>
    <w:rsid w:val="00DE76DB"/>
    <w:rsid w:val="00DF1514"/>
    <w:rsid w:val="00DF2E12"/>
    <w:rsid w:val="00DF514A"/>
    <w:rsid w:val="00DF6690"/>
    <w:rsid w:val="00DF6804"/>
    <w:rsid w:val="00E0358D"/>
    <w:rsid w:val="00E04323"/>
    <w:rsid w:val="00E070A2"/>
    <w:rsid w:val="00E07712"/>
    <w:rsid w:val="00E12439"/>
    <w:rsid w:val="00E2656A"/>
    <w:rsid w:val="00E412D0"/>
    <w:rsid w:val="00E56322"/>
    <w:rsid w:val="00E60982"/>
    <w:rsid w:val="00E62C62"/>
    <w:rsid w:val="00E63583"/>
    <w:rsid w:val="00E654C1"/>
    <w:rsid w:val="00E65D97"/>
    <w:rsid w:val="00E66FB3"/>
    <w:rsid w:val="00E72A5A"/>
    <w:rsid w:val="00E73354"/>
    <w:rsid w:val="00E9242D"/>
    <w:rsid w:val="00EB5255"/>
    <w:rsid w:val="00EB5C47"/>
    <w:rsid w:val="00EC1098"/>
    <w:rsid w:val="00ED0639"/>
    <w:rsid w:val="00ED156B"/>
    <w:rsid w:val="00ED3021"/>
    <w:rsid w:val="00EF4755"/>
    <w:rsid w:val="00EF7135"/>
    <w:rsid w:val="00F027DB"/>
    <w:rsid w:val="00F14A7A"/>
    <w:rsid w:val="00F17F30"/>
    <w:rsid w:val="00F222E3"/>
    <w:rsid w:val="00F22985"/>
    <w:rsid w:val="00F3383E"/>
    <w:rsid w:val="00F4300A"/>
    <w:rsid w:val="00F44C43"/>
    <w:rsid w:val="00F465A7"/>
    <w:rsid w:val="00F4687E"/>
    <w:rsid w:val="00F50B7C"/>
    <w:rsid w:val="00F550E6"/>
    <w:rsid w:val="00F566AC"/>
    <w:rsid w:val="00F61E7A"/>
    <w:rsid w:val="00F62511"/>
    <w:rsid w:val="00F74345"/>
    <w:rsid w:val="00F80A0A"/>
    <w:rsid w:val="00F82B19"/>
    <w:rsid w:val="00F9212D"/>
    <w:rsid w:val="00F958EA"/>
    <w:rsid w:val="00F965DA"/>
    <w:rsid w:val="00FA406A"/>
    <w:rsid w:val="00FA5871"/>
    <w:rsid w:val="00FA70E3"/>
    <w:rsid w:val="00FB503A"/>
    <w:rsid w:val="00FB516C"/>
    <w:rsid w:val="00FB7BF2"/>
    <w:rsid w:val="00FC6A99"/>
    <w:rsid w:val="00FD0236"/>
    <w:rsid w:val="00FD0A6F"/>
    <w:rsid w:val="00FD18F4"/>
    <w:rsid w:val="00FD54DB"/>
    <w:rsid w:val="00FD619F"/>
    <w:rsid w:val="00FE10C3"/>
    <w:rsid w:val="00FF648A"/>
    <w:rsid w:val="01290F7E"/>
    <w:rsid w:val="015D1E09"/>
    <w:rsid w:val="01E10D11"/>
    <w:rsid w:val="02697903"/>
    <w:rsid w:val="026C4FD1"/>
    <w:rsid w:val="02777BFD"/>
    <w:rsid w:val="02C92423"/>
    <w:rsid w:val="02D970B4"/>
    <w:rsid w:val="02F96569"/>
    <w:rsid w:val="03575C81"/>
    <w:rsid w:val="03EA7B21"/>
    <w:rsid w:val="03F76119"/>
    <w:rsid w:val="041905B8"/>
    <w:rsid w:val="04190746"/>
    <w:rsid w:val="04506958"/>
    <w:rsid w:val="04724326"/>
    <w:rsid w:val="04BF3ADE"/>
    <w:rsid w:val="04F05A45"/>
    <w:rsid w:val="04FC263C"/>
    <w:rsid w:val="052102F4"/>
    <w:rsid w:val="052D0A47"/>
    <w:rsid w:val="05600E1D"/>
    <w:rsid w:val="057C552B"/>
    <w:rsid w:val="057E12A3"/>
    <w:rsid w:val="05D62E8D"/>
    <w:rsid w:val="05F83EAE"/>
    <w:rsid w:val="06043E9E"/>
    <w:rsid w:val="0607573C"/>
    <w:rsid w:val="060F639F"/>
    <w:rsid w:val="063E7D85"/>
    <w:rsid w:val="06426774"/>
    <w:rsid w:val="06624721"/>
    <w:rsid w:val="069468A4"/>
    <w:rsid w:val="06A92108"/>
    <w:rsid w:val="06B10A64"/>
    <w:rsid w:val="06C66837"/>
    <w:rsid w:val="07293586"/>
    <w:rsid w:val="07295285"/>
    <w:rsid w:val="07342561"/>
    <w:rsid w:val="07632E46"/>
    <w:rsid w:val="07636392"/>
    <w:rsid w:val="07770C56"/>
    <w:rsid w:val="079E5C2C"/>
    <w:rsid w:val="07B2792A"/>
    <w:rsid w:val="07EA376F"/>
    <w:rsid w:val="08504A1F"/>
    <w:rsid w:val="085C2FC2"/>
    <w:rsid w:val="087263E7"/>
    <w:rsid w:val="08744BDF"/>
    <w:rsid w:val="08793FE8"/>
    <w:rsid w:val="087D22FB"/>
    <w:rsid w:val="088017D6"/>
    <w:rsid w:val="089A2898"/>
    <w:rsid w:val="08C30443"/>
    <w:rsid w:val="08CC1AF2"/>
    <w:rsid w:val="08CD7283"/>
    <w:rsid w:val="092217DD"/>
    <w:rsid w:val="09284D93"/>
    <w:rsid w:val="093A7294"/>
    <w:rsid w:val="097906FF"/>
    <w:rsid w:val="09DC2A3C"/>
    <w:rsid w:val="09EA33AB"/>
    <w:rsid w:val="0A200B7B"/>
    <w:rsid w:val="0A263993"/>
    <w:rsid w:val="0A2D3AC2"/>
    <w:rsid w:val="0A346792"/>
    <w:rsid w:val="0A39491D"/>
    <w:rsid w:val="0AA755DF"/>
    <w:rsid w:val="0ADF27E4"/>
    <w:rsid w:val="0AEA2F37"/>
    <w:rsid w:val="0B120D44"/>
    <w:rsid w:val="0B154457"/>
    <w:rsid w:val="0B58082A"/>
    <w:rsid w:val="0B752DD1"/>
    <w:rsid w:val="0BCD4D32"/>
    <w:rsid w:val="0BD27BF6"/>
    <w:rsid w:val="0BFC1173"/>
    <w:rsid w:val="0BFE4EEC"/>
    <w:rsid w:val="0C0F0EA7"/>
    <w:rsid w:val="0C28640C"/>
    <w:rsid w:val="0C3B3C7D"/>
    <w:rsid w:val="0C3E178C"/>
    <w:rsid w:val="0C790B1F"/>
    <w:rsid w:val="0CA710DF"/>
    <w:rsid w:val="0CAB2EAE"/>
    <w:rsid w:val="0CB75678"/>
    <w:rsid w:val="0CB97065"/>
    <w:rsid w:val="0CFA1B57"/>
    <w:rsid w:val="0D024345"/>
    <w:rsid w:val="0D0B3D64"/>
    <w:rsid w:val="0D1D5845"/>
    <w:rsid w:val="0D3D7C96"/>
    <w:rsid w:val="0D417786"/>
    <w:rsid w:val="0D621C7D"/>
    <w:rsid w:val="0D6C574D"/>
    <w:rsid w:val="0DD61746"/>
    <w:rsid w:val="0DF90060"/>
    <w:rsid w:val="0DFD78B7"/>
    <w:rsid w:val="0E341099"/>
    <w:rsid w:val="0E553045"/>
    <w:rsid w:val="0E5C05EF"/>
    <w:rsid w:val="0E6149C2"/>
    <w:rsid w:val="0E73034D"/>
    <w:rsid w:val="0EBD2E3C"/>
    <w:rsid w:val="0ED168E7"/>
    <w:rsid w:val="0EDB1514"/>
    <w:rsid w:val="0F13775A"/>
    <w:rsid w:val="0F5A6277"/>
    <w:rsid w:val="0F5F45FE"/>
    <w:rsid w:val="0F86406A"/>
    <w:rsid w:val="0F8971C2"/>
    <w:rsid w:val="0F9A112B"/>
    <w:rsid w:val="0FB3423F"/>
    <w:rsid w:val="0FB35FED"/>
    <w:rsid w:val="103412D0"/>
    <w:rsid w:val="106A2B50"/>
    <w:rsid w:val="106D2F64"/>
    <w:rsid w:val="10AD46F0"/>
    <w:rsid w:val="10B63710"/>
    <w:rsid w:val="10B95885"/>
    <w:rsid w:val="10F10820"/>
    <w:rsid w:val="110931CE"/>
    <w:rsid w:val="111C2F7A"/>
    <w:rsid w:val="11665CA1"/>
    <w:rsid w:val="117479FE"/>
    <w:rsid w:val="11820530"/>
    <w:rsid w:val="118C4D48"/>
    <w:rsid w:val="11DA1F57"/>
    <w:rsid w:val="122907E8"/>
    <w:rsid w:val="12823991"/>
    <w:rsid w:val="12857438"/>
    <w:rsid w:val="12AD3CA6"/>
    <w:rsid w:val="12C11282"/>
    <w:rsid w:val="12D270D2"/>
    <w:rsid w:val="12E12E71"/>
    <w:rsid w:val="130F7FDA"/>
    <w:rsid w:val="1312127D"/>
    <w:rsid w:val="132C05F4"/>
    <w:rsid w:val="133921D0"/>
    <w:rsid w:val="134161E7"/>
    <w:rsid w:val="13951726"/>
    <w:rsid w:val="139E7B91"/>
    <w:rsid w:val="13EB044B"/>
    <w:rsid w:val="140E1078"/>
    <w:rsid w:val="14396509"/>
    <w:rsid w:val="14575AE1"/>
    <w:rsid w:val="1461070D"/>
    <w:rsid w:val="148B7538"/>
    <w:rsid w:val="14A42B3E"/>
    <w:rsid w:val="14D7277E"/>
    <w:rsid w:val="14DC6AD9"/>
    <w:rsid w:val="14DD2C3C"/>
    <w:rsid w:val="15436065"/>
    <w:rsid w:val="1562473D"/>
    <w:rsid w:val="15734C51"/>
    <w:rsid w:val="15763D45"/>
    <w:rsid w:val="15CF2CE6"/>
    <w:rsid w:val="16087E1D"/>
    <w:rsid w:val="16277178"/>
    <w:rsid w:val="16300397"/>
    <w:rsid w:val="16765361"/>
    <w:rsid w:val="168344F9"/>
    <w:rsid w:val="17193F45"/>
    <w:rsid w:val="172F4AF3"/>
    <w:rsid w:val="17575DF8"/>
    <w:rsid w:val="17701D14"/>
    <w:rsid w:val="17735226"/>
    <w:rsid w:val="178937FF"/>
    <w:rsid w:val="17B80644"/>
    <w:rsid w:val="18286D87"/>
    <w:rsid w:val="182932F0"/>
    <w:rsid w:val="1833416F"/>
    <w:rsid w:val="18356139"/>
    <w:rsid w:val="18574301"/>
    <w:rsid w:val="186E51A7"/>
    <w:rsid w:val="18754787"/>
    <w:rsid w:val="188E75F7"/>
    <w:rsid w:val="189F624C"/>
    <w:rsid w:val="18B105F4"/>
    <w:rsid w:val="18B84674"/>
    <w:rsid w:val="190F0738"/>
    <w:rsid w:val="196D2D5A"/>
    <w:rsid w:val="19873C3C"/>
    <w:rsid w:val="19E27BFB"/>
    <w:rsid w:val="1A1C66C0"/>
    <w:rsid w:val="1A42393B"/>
    <w:rsid w:val="1AAD45DE"/>
    <w:rsid w:val="1AB57683"/>
    <w:rsid w:val="1ACB7DA2"/>
    <w:rsid w:val="1AE479A2"/>
    <w:rsid w:val="1B046F80"/>
    <w:rsid w:val="1B3267B5"/>
    <w:rsid w:val="1B3A5C69"/>
    <w:rsid w:val="1B40161D"/>
    <w:rsid w:val="1B441859"/>
    <w:rsid w:val="1B6606B1"/>
    <w:rsid w:val="1B9118D8"/>
    <w:rsid w:val="1BA70F22"/>
    <w:rsid w:val="1BB750B7"/>
    <w:rsid w:val="1BEA4D5B"/>
    <w:rsid w:val="1BF259E0"/>
    <w:rsid w:val="1C246FE5"/>
    <w:rsid w:val="1C5C17A0"/>
    <w:rsid w:val="1C5E7925"/>
    <w:rsid w:val="1C980A44"/>
    <w:rsid w:val="1CDD28FB"/>
    <w:rsid w:val="1CFD070F"/>
    <w:rsid w:val="1D0D498F"/>
    <w:rsid w:val="1D3731F9"/>
    <w:rsid w:val="1D3C0749"/>
    <w:rsid w:val="1D5F6196"/>
    <w:rsid w:val="1D6132A5"/>
    <w:rsid w:val="1D774AFE"/>
    <w:rsid w:val="1D807436"/>
    <w:rsid w:val="1D8E56D5"/>
    <w:rsid w:val="1D92367D"/>
    <w:rsid w:val="1DA45C06"/>
    <w:rsid w:val="1DB438D2"/>
    <w:rsid w:val="1DCE4136"/>
    <w:rsid w:val="1DD67347"/>
    <w:rsid w:val="1E262080"/>
    <w:rsid w:val="1E5332EC"/>
    <w:rsid w:val="1E5B1377"/>
    <w:rsid w:val="1E7A43DA"/>
    <w:rsid w:val="1EA4470E"/>
    <w:rsid w:val="1ED3045A"/>
    <w:rsid w:val="1EE461C3"/>
    <w:rsid w:val="1F2927A9"/>
    <w:rsid w:val="1F62533A"/>
    <w:rsid w:val="1F720C23"/>
    <w:rsid w:val="1F882FF2"/>
    <w:rsid w:val="1FA63478"/>
    <w:rsid w:val="1FC92F8B"/>
    <w:rsid w:val="1FE7539E"/>
    <w:rsid w:val="1FEB532F"/>
    <w:rsid w:val="20336B1C"/>
    <w:rsid w:val="20651585"/>
    <w:rsid w:val="20671BE0"/>
    <w:rsid w:val="206747FF"/>
    <w:rsid w:val="206C46C2"/>
    <w:rsid w:val="20845F9F"/>
    <w:rsid w:val="20931C4F"/>
    <w:rsid w:val="20963CB8"/>
    <w:rsid w:val="20A35C0A"/>
    <w:rsid w:val="20A81A1B"/>
    <w:rsid w:val="20B07FB6"/>
    <w:rsid w:val="20B646FB"/>
    <w:rsid w:val="213B74B1"/>
    <w:rsid w:val="215A2310"/>
    <w:rsid w:val="217C1231"/>
    <w:rsid w:val="21DE318A"/>
    <w:rsid w:val="21EF5B80"/>
    <w:rsid w:val="21F36C25"/>
    <w:rsid w:val="22066450"/>
    <w:rsid w:val="22576990"/>
    <w:rsid w:val="226513C9"/>
    <w:rsid w:val="226A69DF"/>
    <w:rsid w:val="228A52D3"/>
    <w:rsid w:val="22AF4D3A"/>
    <w:rsid w:val="22B257B3"/>
    <w:rsid w:val="22F47480"/>
    <w:rsid w:val="231B2164"/>
    <w:rsid w:val="233139A1"/>
    <w:rsid w:val="235A6A54"/>
    <w:rsid w:val="239E2206"/>
    <w:rsid w:val="23A710EC"/>
    <w:rsid w:val="23D507D0"/>
    <w:rsid w:val="23DE1C48"/>
    <w:rsid w:val="240210CD"/>
    <w:rsid w:val="2403533D"/>
    <w:rsid w:val="243F7403"/>
    <w:rsid w:val="244B2840"/>
    <w:rsid w:val="24A75BCA"/>
    <w:rsid w:val="24BF09F7"/>
    <w:rsid w:val="24CD1023"/>
    <w:rsid w:val="24E43F8D"/>
    <w:rsid w:val="252D53FE"/>
    <w:rsid w:val="252E1F46"/>
    <w:rsid w:val="255819B3"/>
    <w:rsid w:val="25697422"/>
    <w:rsid w:val="25E02770"/>
    <w:rsid w:val="25E22D30"/>
    <w:rsid w:val="25EC2D81"/>
    <w:rsid w:val="26036D49"/>
    <w:rsid w:val="2610789E"/>
    <w:rsid w:val="26B04AE6"/>
    <w:rsid w:val="26C07516"/>
    <w:rsid w:val="26FE1DEC"/>
    <w:rsid w:val="277057A2"/>
    <w:rsid w:val="27736336"/>
    <w:rsid w:val="27AD7B40"/>
    <w:rsid w:val="27B2432D"/>
    <w:rsid w:val="27DD30F2"/>
    <w:rsid w:val="27E72880"/>
    <w:rsid w:val="27F85D17"/>
    <w:rsid w:val="2829033C"/>
    <w:rsid w:val="283850E7"/>
    <w:rsid w:val="28477EAB"/>
    <w:rsid w:val="28952503"/>
    <w:rsid w:val="2899001E"/>
    <w:rsid w:val="28C22931"/>
    <w:rsid w:val="29206EB8"/>
    <w:rsid w:val="2923259A"/>
    <w:rsid w:val="29595666"/>
    <w:rsid w:val="29874881"/>
    <w:rsid w:val="299F7747"/>
    <w:rsid w:val="29AC3D81"/>
    <w:rsid w:val="29B0181C"/>
    <w:rsid w:val="29E325E0"/>
    <w:rsid w:val="29FB4F80"/>
    <w:rsid w:val="2A0A4A66"/>
    <w:rsid w:val="2A1E1CDB"/>
    <w:rsid w:val="2A246B9F"/>
    <w:rsid w:val="2A452503"/>
    <w:rsid w:val="2A770936"/>
    <w:rsid w:val="2A9A6937"/>
    <w:rsid w:val="2A9D41C3"/>
    <w:rsid w:val="2AAA3209"/>
    <w:rsid w:val="2ACF254B"/>
    <w:rsid w:val="2B05199B"/>
    <w:rsid w:val="2B1E480B"/>
    <w:rsid w:val="2BA936A8"/>
    <w:rsid w:val="2BE21BA4"/>
    <w:rsid w:val="2C0C0B07"/>
    <w:rsid w:val="2C315A5A"/>
    <w:rsid w:val="2C34599C"/>
    <w:rsid w:val="2C4B1C25"/>
    <w:rsid w:val="2C536736"/>
    <w:rsid w:val="2D1036FC"/>
    <w:rsid w:val="2D877ABB"/>
    <w:rsid w:val="2D9E56F5"/>
    <w:rsid w:val="2DB62B45"/>
    <w:rsid w:val="2DF55082"/>
    <w:rsid w:val="2E0917A2"/>
    <w:rsid w:val="2E0A5413"/>
    <w:rsid w:val="2E3F2A8D"/>
    <w:rsid w:val="2E667F96"/>
    <w:rsid w:val="2E7E11FB"/>
    <w:rsid w:val="2E8226AB"/>
    <w:rsid w:val="2EC21542"/>
    <w:rsid w:val="2EF35FAE"/>
    <w:rsid w:val="2F1C6FCF"/>
    <w:rsid w:val="2F77273B"/>
    <w:rsid w:val="2FA0434A"/>
    <w:rsid w:val="2FAD520D"/>
    <w:rsid w:val="2FD065E6"/>
    <w:rsid w:val="2FD96870"/>
    <w:rsid w:val="2FDE6C5E"/>
    <w:rsid w:val="300E5D7D"/>
    <w:rsid w:val="30580BC9"/>
    <w:rsid w:val="30D32C5B"/>
    <w:rsid w:val="30F87F62"/>
    <w:rsid w:val="311E2685"/>
    <w:rsid w:val="311E2ED7"/>
    <w:rsid w:val="313528AE"/>
    <w:rsid w:val="315619EE"/>
    <w:rsid w:val="315C449C"/>
    <w:rsid w:val="318753F8"/>
    <w:rsid w:val="318765DF"/>
    <w:rsid w:val="31975317"/>
    <w:rsid w:val="31B82709"/>
    <w:rsid w:val="31BF5968"/>
    <w:rsid w:val="31C851B2"/>
    <w:rsid w:val="31D05482"/>
    <w:rsid w:val="31D66DFE"/>
    <w:rsid w:val="32081D71"/>
    <w:rsid w:val="32151570"/>
    <w:rsid w:val="32400B34"/>
    <w:rsid w:val="324D08CC"/>
    <w:rsid w:val="325B00F2"/>
    <w:rsid w:val="329E6876"/>
    <w:rsid w:val="32AC094E"/>
    <w:rsid w:val="32C43EEA"/>
    <w:rsid w:val="32E57DDF"/>
    <w:rsid w:val="32FC7B27"/>
    <w:rsid w:val="33273069"/>
    <w:rsid w:val="333015F2"/>
    <w:rsid w:val="334A26CA"/>
    <w:rsid w:val="334B460B"/>
    <w:rsid w:val="334B6320"/>
    <w:rsid w:val="33605869"/>
    <w:rsid w:val="339C09C3"/>
    <w:rsid w:val="33C06C87"/>
    <w:rsid w:val="33D934D4"/>
    <w:rsid w:val="33FE2F6A"/>
    <w:rsid w:val="340E07E5"/>
    <w:rsid w:val="34235BF7"/>
    <w:rsid w:val="344319D6"/>
    <w:rsid w:val="34652D42"/>
    <w:rsid w:val="34782575"/>
    <w:rsid w:val="34C603ED"/>
    <w:rsid w:val="34CE4094"/>
    <w:rsid w:val="34F33242"/>
    <w:rsid w:val="354237EC"/>
    <w:rsid w:val="35725E7F"/>
    <w:rsid w:val="358856A2"/>
    <w:rsid w:val="358C5FA8"/>
    <w:rsid w:val="35931348"/>
    <w:rsid w:val="35BC17F0"/>
    <w:rsid w:val="35C15DF1"/>
    <w:rsid w:val="35E11256"/>
    <w:rsid w:val="35EA38E4"/>
    <w:rsid w:val="35F965A0"/>
    <w:rsid w:val="36074A7F"/>
    <w:rsid w:val="36923549"/>
    <w:rsid w:val="36B632F5"/>
    <w:rsid w:val="36B75FBF"/>
    <w:rsid w:val="36BD0C45"/>
    <w:rsid w:val="36BF1B7D"/>
    <w:rsid w:val="36F13EF8"/>
    <w:rsid w:val="372413FB"/>
    <w:rsid w:val="37335AE2"/>
    <w:rsid w:val="373C4996"/>
    <w:rsid w:val="375907F6"/>
    <w:rsid w:val="375F2433"/>
    <w:rsid w:val="376F0DAC"/>
    <w:rsid w:val="377012C3"/>
    <w:rsid w:val="37A20571"/>
    <w:rsid w:val="37E00298"/>
    <w:rsid w:val="37E24313"/>
    <w:rsid w:val="37FE39FA"/>
    <w:rsid w:val="380F3E59"/>
    <w:rsid w:val="381B7C7E"/>
    <w:rsid w:val="38211DDE"/>
    <w:rsid w:val="38A715AD"/>
    <w:rsid w:val="38B302F9"/>
    <w:rsid w:val="38DE382B"/>
    <w:rsid w:val="38F12CD3"/>
    <w:rsid w:val="38F52C52"/>
    <w:rsid w:val="38F94775"/>
    <w:rsid w:val="39201F20"/>
    <w:rsid w:val="3929068B"/>
    <w:rsid w:val="392971ED"/>
    <w:rsid w:val="39325651"/>
    <w:rsid w:val="39441D80"/>
    <w:rsid w:val="399C796E"/>
    <w:rsid w:val="3A1F5EA9"/>
    <w:rsid w:val="3A30455A"/>
    <w:rsid w:val="3A6A451D"/>
    <w:rsid w:val="3A6F3989"/>
    <w:rsid w:val="3A810912"/>
    <w:rsid w:val="3A872856"/>
    <w:rsid w:val="3A9B19D4"/>
    <w:rsid w:val="3B3763D1"/>
    <w:rsid w:val="3B4B164C"/>
    <w:rsid w:val="3B5B5607"/>
    <w:rsid w:val="3C073099"/>
    <w:rsid w:val="3C2F6E1E"/>
    <w:rsid w:val="3C4F64BA"/>
    <w:rsid w:val="3C6330EE"/>
    <w:rsid w:val="3CC72DC1"/>
    <w:rsid w:val="3CDA245A"/>
    <w:rsid w:val="3CE77152"/>
    <w:rsid w:val="3D1E06B7"/>
    <w:rsid w:val="3D1F1CD9"/>
    <w:rsid w:val="3DBA4867"/>
    <w:rsid w:val="3DC6320C"/>
    <w:rsid w:val="3DDA33C3"/>
    <w:rsid w:val="3E153786"/>
    <w:rsid w:val="3E2040F8"/>
    <w:rsid w:val="3E50768A"/>
    <w:rsid w:val="3E6B62C8"/>
    <w:rsid w:val="3E6F5651"/>
    <w:rsid w:val="3E8B6203"/>
    <w:rsid w:val="3EA6303D"/>
    <w:rsid w:val="3EC97E6D"/>
    <w:rsid w:val="3EDA0523"/>
    <w:rsid w:val="3F7A2500"/>
    <w:rsid w:val="3F8E746D"/>
    <w:rsid w:val="3F9178B9"/>
    <w:rsid w:val="400B13AA"/>
    <w:rsid w:val="404B49C3"/>
    <w:rsid w:val="40642868"/>
    <w:rsid w:val="407A6407"/>
    <w:rsid w:val="40AE5F87"/>
    <w:rsid w:val="40DC5A18"/>
    <w:rsid w:val="4124398E"/>
    <w:rsid w:val="41273B24"/>
    <w:rsid w:val="41474664"/>
    <w:rsid w:val="418867C9"/>
    <w:rsid w:val="418A09F4"/>
    <w:rsid w:val="41A74744"/>
    <w:rsid w:val="41DB71AB"/>
    <w:rsid w:val="4200449D"/>
    <w:rsid w:val="420C3370"/>
    <w:rsid w:val="423A3BCC"/>
    <w:rsid w:val="423E71BA"/>
    <w:rsid w:val="424E57D2"/>
    <w:rsid w:val="425B0CB6"/>
    <w:rsid w:val="42852CA1"/>
    <w:rsid w:val="42AE426E"/>
    <w:rsid w:val="42B26C49"/>
    <w:rsid w:val="42CB47DE"/>
    <w:rsid w:val="42CB4E20"/>
    <w:rsid w:val="42CB7EE2"/>
    <w:rsid w:val="43397FDC"/>
    <w:rsid w:val="433A6FE6"/>
    <w:rsid w:val="43480868"/>
    <w:rsid w:val="4350713C"/>
    <w:rsid w:val="43607C5E"/>
    <w:rsid w:val="436653E0"/>
    <w:rsid w:val="43985F8B"/>
    <w:rsid w:val="43AC2230"/>
    <w:rsid w:val="43AD3C23"/>
    <w:rsid w:val="43BF6B8A"/>
    <w:rsid w:val="43C4431A"/>
    <w:rsid w:val="43F9776B"/>
    <w:rsid w:val="440E1469"/>
    <w:rsid w:val="444B446B"/>
    <w:rsid w:val="44507375"/>
    <w:rsid w:val="44B71B00"/>
    <w:rsid w:val="44B951CC"/>
    <w:rsid w:val="44CD14E0"/>
    <w:rsid w:val="44D0671E"/>
    <w:rsid w:val="44DA6D50"/>
    <w:rsid w:val="44F20B0B"/>
    <w:rsid w:val="452E5F4C"/>
    <w:rsid w:val="454A22B8"/>
    <w:rsid w:val="45571DB1"/>
    <w:rsid w:val="455F7AA2"/>
    <w:rsid w:val="45612018"/>
    <w:rsid w:val="457F1EF2"/>
    <w:rsid w:val="458946E9"/>
    <w:rsid w:val="45973E3A"/>
    <w:rsid w:val="45A47C0E"/>
    <w:rsid w:val="460F3276"/>
    <w:rsid w:val="461566C0"/>
    <w:rsid w:val="462074BE"/>
    <w:rsid w:val="462638EC"/>
    <w:rsid w:val="464C207C"/>
    <w:rsid w:val="464E1FF0"/>
    <w:rsid w:val="46577FD6"/>
    <w:rsid w:val="465F4397"/>
    <w:rsid w:val="4663353C"/>
    <w:rsid w:val="46AA6AC9"/>
    <w:rsid w:val="46D955A7"/>
    <w:rsid w:val="46FD1503"/>
    <w:rsid w:val="47133957"/>
    <w:rsid w:val="47433201"/>
    <w:rsid w:val="47561677"/>
    <w:rsid w:val="47A07E0C"/>
    <w:rsid w:val="4870272E"/>
    <w:rsid w:val="48BD16AF"/>
    <w:rsid w:val="48F37C83"/>
    <w:rsid w:val="498126DD"/>
    <w:rsid w:val="49C075BA"/>
    <w:rsid w:val="49DC7715"/>
    <w:rsid w:val="4A023139"/>
    <w:rsid w:val="4A6F2535"/>
    <w:rsid w:val="4A7B576F"/>
    <w:rsid w:val="4AAF3442"/>
    <w:rsid w:val="4AB64608"/>
    <w:rsid w:val="4AB81212"/>
    <w:rsid w:val="4ADE3E57"/>
    <w:rsid w:val="4AF561A9"/>
    <w:rsid w:val="4BD72A88"/>
    <w:rsid w:val="4C3C2DCC"/>
    <w:rsid w:val="4C4A0649"/>
    <w:rsid w:val="4C5B7215"/>
    <w:rsid w:val="4C5E6D05"/>
    <w:rsid w:val="4C704112"/>
    <w:rsid w:val="4C7E5ECA"/>
    <w:rsid w:val="4C876AA5"/>
    <w:rsid w:val="4D0E00FB"/>
    <w:rsid w:val="4D1473C4"/>
    <w:rsid w:val="4D176606"/>
    <w:rsid w:val="4D4308BB"/>
    <w:rsid w:val="4D467EC5"/>
    <w:rsid w:val="4D534390"/>
    <w:rsid w:val="4D761E2D"/>
    <w:rsid w:val="4DEC4FB0"/>
    <w:rsid w:val="4E0700DA"/>
    <w:rsid w:val="4E075D8A"/>
    <w:rsid w:val="4E6F6FA8"/>
    <w:rsid w:val="4E946BAA"/>
    <w:rsid w:val="4EC00FAD"/>
    <w:rsid w:val="4ED820F5"/>
    <w:rsid w:val="4EF31987"/>
    <w:rsid w:val="4F310701"/>
    <w:rsid w:val="4F473A81"/>
    <w:rsid w:val="4F9843DC"/>
    <w:rsid w:val="4FC32DBF"/>
    <w:rsid w:val="4FC62A8C"/>
    <w:rsid w:val="4FD4119B"/>
    <w:rsid w:val="4FE20F0D"/>
    <w:rsid w:val="4FE51552"/>
    <w:rsid w:val="4FEE3CEE"/>
    <w:rsid w:val="50504C4B"/>
    <w:rsid w:val="509C6E7C"/>
    <w:rsid w:val="50D87AD5"/>
    <w:rsid w:val="50DC25B1"/>
    <w:rsid w:val="50F10148"/>
    <w:rsid w:val="50F419E6"/>
    <w:rsid w:val="5162104E"/>
    <w:rsid w:val="51BD2EC4"/>
    <w:rsid w:val="51C156A7"/>
    <w:rsid w:val="51DD691E"/>
    <w:rsid w:val="51DF2696"/>
    <w:rsid w:val="51EB2DE9"/>
    <w:rsid w:val="521C5BFD"/>
    <w:rsid w:val="5248427D"/>
    <w:rsid w:val="525D2F2D"/>
    <w:rsid w:val="529C11E0"/>
    <w:rsid w:val="52C553E8"/>
    <w:rsid w:val="52DB2E5E"/>
    <w:rsid w:val="52DE64AA"/>
    <w:rsid w:val="530F3110"/>
    <w:rsid w:val="531E71EE"/>
    <w:rsid w:val="532145E9"/>
    <w:rsid w:val="533F05E1"/>
    <w:rsid w:val="53A039CC"/>
    <w:rsid w:val="53A1505A"/>
    <w:rsid w:val="53E47AF0"/>
    <w:rsid w:val="54063E08"/>
    <w:rsid w:val="540939FA"/>
    <w:rsid w:val="540A3A96"/>
    <w:rsid w:val="541E2DD9"/>
    <w:rsid w:val="543437E8"/>
    <w:rsid w:val="544B7FBF"/>
    <w:rsid w:val="54613DA6"/>
    <w:rsid w:val="54772CE7"/>
    <w:rsid w:val="547C5F7A"/>
    <w:rsid w:val="549332C4"/>
    <w:rsid w:val="54C92693"/>
    <w:rsid w:val="54F73313"/>
    <w:rsid w:val="54F80955"/>
    <w:rsid w:val="5503456B"/>
    <w:rsid w:val="552000A3"/>
    <w:rsid w:val="55344AA7"/>
    <w:rsid w:val="554C3B9F"/>
    <w:rsid w:val="555170A7"/>
    <w:rsid w:val="55591611"/>
    <w:rsid w:val="5587536D"/>
    <w:rsid w:val="559B174B"/>
    <w:rsid w:val="55BD06F5"/>
    <w:rsid w:val="55CE0CF4"/>
    <w:rsid w:val="55E738C7"/>
    <w:rsid w:val="561F12B3"/>
    <w:rsid w:val="562E57E6"/>
    <w:rsid w:val="56B22A9C"/>
    <w:rsid w:val="56E90F5B"/>
    <w:rsid w:val="56F3629C"/>
    <w:rsid w:val="57050FA0"/>
    <w:rsid w:val="57122BC6"/>
    <w:rsid w:val="575E22AF"/>
    <w:rsid w:val="57611956"/>
    <w:rsid w:val="577C44E3"/>
    <w:rsid w:val="57914433"/>
    <w:rsid w:val="57B72A76"/>
    <w:rsid w:val="57C3426C"/>
    <w:rsid w:val="57CE1F93"/>
    <w:rsid w:val="57CF2865"/>
    <w:rsid w:val="58041C55"/>
    <w:rsid w:val="581A61D6"/>
    <w:rsid w:val="58353010"/>
    <w:rsid w:val="588743D1"/>
    <w:rsid w:val="5887701A"/>
    <w:rsid w:val="58A14202"/>
    <w:rsid w:val="58B71C77"/>
    <w:rsid w:val="58C46118"/>
    <w:rsid w:val="595E20F3"/>
    <w:rsid w:val="59633BAD"/>
    <w:rsid w:val="59C0439F"/>
    <w:rsid w:val="59CA59DA"/>
    <w:rsid w:val="5A067993"/>
    <w:rsid w:val="5A2D3C46"/>
    <w:rsid w:val="5A753B98"/>
    <w:rsid w:val="5A7A11AE"/>
    <w:rsid w:val="5A9B2ED2"/>
    <w:rsid w:val="5ABE2233"/>
    <w:rsid w:val="5B411CCC"/>
    <w:rsid w:val="5B562874"/>
    <w:rsid w:val="5B635D2B"/>
    <w:rsid w:val="5B8A5421"/>
    <w:rsid w:val="5B9E711E"/>
    <w:rsid w:val="5BB83C6A"/>
    <w:rsid w:val="5BDF5D95"/>
    <w:rsid w:val="5BFC5BF3"/>
    <w:rsid w:val="5BFE7528"/>
    <w:rsid w:val="5C1949F7"/>
    <w:rsid w:val="5C2C532B"/>
    <w:rsid w:val="5C30522C"/>
    <w:rsid w:val="5CA16EC6"/>
    <w:rsid w:val="5CC82976"/>
    <w:rsid w:val="5D423AD9"/>
    <w:rsid w:val="5D505750"/>
    <w:rsid w:val="5D6A453D"/>
    <w:rsid w:val="5D9B10FC"/>
    <w:rsid w:val="5DEF1EB3"/>
    <w:rsid w:val="5DF623CB"/>
    <w:rsid w:val="5E2335AE"/>
    <w:rsid w:val="5E2467F1"/>
    <w:rsid w:val="5E9035EE"/>
    <w:rsid w:val="5EA84017"/>
    <w:rsid w:val="5F13340F"/>
    <w:rsid w:val="5F1A2B43"/>
    <w:rsid w:val="5F877084"/>
    <w:rsid w:val="5F891558"/>
    <w:rsid w:val="5FB837BB"/>
    <w:rsid w:val="5FEF619A"/>
    <w:rsid w:val="60CC405A"/>
    <w:rsid w:val="60CE5DB0"/>
    <w:rsid w:val="60D50CA1"/>
    <w:rsid w:val="60E92BEA"/>
    <w:rsid w:val="613A1697"/>
    <w:rsid w:val="617378F3"/>
    <w:rsid w:val="61897F29"/>
    <w:rsid w:val="618C27A0"/>
    <w:rsid w:val="61E215D8"/>
    <w:rsid w:val="61FE0491"/>
    <w:rsid w:val="62015D11"/>
    <w:rsid w:val="621B3775"/>
    <w:rsid w:val="62364782"/>
    <w:rsid w:val="623F6839"/>
    <w:rsid w:val="62446AE9"/>
    <w:rsid w:val="62782477"/>
    <w:rsid w:val="630A5099"/>
    <w:rsid w:val="6394356A"/>
    <w:rsid w:val="63C61B2C"/>
    <w:rsid w:val="63D40BE9"/>
    <w:rsid w:val="63F36C31"/>
    <w:rsid w:val="64061D04"/>
    <w:rsid w:val="64102431"/>
    <w:rsid w:val="641206A9"/>
    <w:rsid w:val="641E704E"/>
    <w:rsid w:val="64357A15"/>
    <w:rsid w:val="64733D50"/>
    <w:rsid w:val="647B56A8"/>
    <w:rsid w:val="64A5243A"/>
    <w:rsid w:val="64BE25DF"/>
    <w:rsid w:val="64F531DE"/>
    <w:rsid w:val="65373578"/>
    <w:rsid w:val="655A40B6"/>
    <w:rsid w:val="656A2DF5"/>
    <w:rsid w:val="6592699A"/>
    <w:rsid w:val="65C867B4"/>
    <w:rsid w:val="662A6B1B"/>
    <w:rsid w:val="662B7800"/>
    <w:rsid w:val="66306984"/>
    <w:rsid w:val="66EF4CD2"/>
    <w:rsid w:val="66F05B12"/>
    <w:rsid w:val="671F124A"/>
    <w:rsid w:val="675E137C"/>
    <w:rsid w:val="677A33C6"/>
    <w:rsid w:val="677A596A"/>
    <w:rsid w:val="67F0485E"/>
    <w:rsid w:val="680D18B3"/>
    <w:rsid w:val="681976D6"/>
    <w:rsid w:val="681F6961"/>
    <w:rsid w:val="68411BC7"/>
    <w:rsid w:val="68610A2F"/>
    <w:rsid w:val="68774F7F"/>
    <w:rsid w:val="68805514"/>
    <w:rsid w:val="689C341B"/>
    <w:rsid w:val="68A44B73"/>
    <w:rsid w:val="68CD4B9F"/>
    <w:rsid w:val="68E4081E"/>
    <w:rsid w:val="68EA0337"/>
    <w:rsid w:val="68F67B92"/>
    <w:rsid w:val="690E58E3"/>
    <w:rsid w:val="69316E2F"/>
    <w:rsid w:val="694E2071"/>
    <w:rsid w:val="69584DB0"/>
    <w:rsid w:val="69766163"/>
    <w:rsid w:val="697A3B33"/>
    <w:rsid w:val="698B1C06"/>
    <w:rsid w:val="69BE1DAF"/>
    <w:rsid w:val="69D44760"/>
    <w:rsid w:val="69D63F27"/>
    <w:rsid w:val="69F17C5C"/>
    <w:rsid w:val="6A2922A9"/>
    <w:rsid w:val="6A520EC7"/>
    <w:rsid w:val="6AA87672"/>
    <w:rsid w:val="6AAF72DA"/>
    <w:rsid w:val="6AB33067"/>
    <w:rsid w:val="6ADF67A8"/>
    <w:rsid w:val="6AF87E20"/>
    <w:rsid w:val="6B0F64B4"/>
    <w:rsid w:val="6B234374"/>
    <w:rsid w:val="6B322639"/>
    <w:rsid w:val="6B4C26F3"/>
    <w:rsid w:val="6B511AB7"/>
    <w:rsid w:val="6BB87D88"/>
    <w:rsid w:val="6BF67C0B"/>
    <w:rsid w:val="6C0C39F4"/>
    <w:rsid w:val="6C134FBF"/>
    <w:rsid w:val="6C38092F"/>
    <w:rsid w:val="6C4E5FF7"/>
    <w:rsid w:val="6C627CF4"/>
    <w:rsid w:val="6C636C38"/>
    <w:rsid w:val="6C652DB8"/>
    <w:rsid w:val="6C6770B8"/>
    <w:rsid w:val="6C9033F7"/>
    <w:rsid w:val="6CC60283"/>
    <w:rsid w:val="6CC94A75"/>
    <w:rsid w:val="6D45389E"/>
    <w:rsid w:val="6D8F28DA"/>
    <w:rsid w:val="6DA265FA"/>
    <w:rsid w:val="6DAD1516"/>
    <w:rsid w:val="6DB34098"/>
    <w:rsid w:val="6DB545B6"/>
    <w:rsid w:val="6DE02FB4"/>
    <w:rsid w:val="6DF40E20"/>
    <w:rsid w:val="6E3D27C7"/>
    <w:rsid w:val="6E3E0288"/>
    <w:rsid w:val="6E514CED"/>
    <w:rsid w:val="6E70494A"/>
    <w:rsid w:val="6E8E3022"/>
    <w:rsid w:val="6E964EF7"/>
    <w:rsid w:val="6EA36ACE"/>
    <w:rsid w:val="6EB563D5"/>
    <w:rsid w:val="6EC10D02"/>
    <w:rsid w:val="6EC24A7A"/>
    <w:rsid w:val="6EC64279"/>
    <w:rsid w:val="6ED50C51"/>
    <w:rsid w:val="6ED616E4"/>
    <w:rsid w:val="6ED92677"/>
    <w:rsid w:val="6F1B2B08"/>
    <w:rsid w:val="6F225983"/>
    <w:rsid w:val="6F2614AD"/>
    <w:rsid w:val="6F8F71DA"/>
    <w:rsid w:val="6FAF75D6"/>
    <w:rsid w:val="6FED5C73"/>
    <w:rsid w:val="6FFC5590"/>
    <w:rsid w:val="70115CB9"/>
    <w:rsid w:val="702B4B7C"/>
    <w:rsid w:val="70343755"/>
    <w:rsid w:val="70425E72"/>
    <w:rsid w:val="70653482"/>
    <w:rsid w:val="706D1DD0"/>
    <w:rsid w:val="70856B87"/>
    <w:rsid w:val="70950698"/>
    <w:rsid w:val="70C25205"/>
    <w:rsid w:val="70C26FB3"/>
    <w:rsid w:val="70D527EE"/>
    <w:rsid w:val="70DF2E13"/>
    <w:rsid w:val="70E60EF4"/>
    <w:rsid w:val="712A4C73"/>
    <w:rsid w:val="715B5300"/>
    <w:rsid w:val="71C8684B"/>
    <w:rsid w:val="71D27F8A"/>
    <w:rsid w:val="71F75C32"/>
    <w:rsid w:val="71F87130"/>
    <w:rsid w:val="71F96A05"/>
    <w:rsid w:val="72255807"/>
    <w:rsid w:val="723A2BE4"/>
    <w:rsid w:val="72553024"/>
    <w:rsid w:val="72BF37AA"/>
    <w:rsid w:val="73122968"/>
    <w:rsid w:val="731F5D5E"/>
    <w:rsid w:val="736600CA"/>
    <w:rsid w:val="738467A2"/>
    <w:rsid w:val="73944605"/>
    <w:rsid w:val="73C51AD5"/>
    <w:rsid w:val="73C97B14"/>
    <w:rsid w:val="73F92CEC"/>
    <w:rsid w:val="741E793C"/>
    <w:rsid w:val="745E3944"/>
    <w:rsid w:val="7468238A"/>
    <w:rsid w:val="74730CF0"/>
    <w:rsid w:val="74CD402D"/>
    <w:rsid w:val="74DE2803"/>
    <w:rsid w:val="74EB6AD9"/>
    <w:rsid w:val="75063912"/>
    <w:rsid w:val="750C2607"/>
    <w:rsid w:val="7581743D"/>
    <w:rsid w:val="760E6906"/>
    <w:rsid w:val="760F40D7"/>
    <w:rsid w:val="76312C11"/>
    <w:rsid w:val="7635099D"/>
    <w:rsid w:val="763E6C2C"/>
    <w:rsid w:val="766F7295"/>
    <w:rsid w:val="767C19B2"/>
    <w:rsid w:val="76882FE4"/>
    <w:rsid w:val="76CC67EA"/>
    <w:rsid w:val="76EE28B0"/>
    <w:rsid w:val="77094221"/>
    <w:rsid w:val="7761127E"/>
    <w:rsid w:val="777367F2"/>
    <w:rsid w:val="77762421"/>
    <w:rsid w:val="77B56B1F"/>
    <w:rsid w:val="77E714CE"/>
    <w:rsid w:val="780F09F4"/>
    <w:rsid w:val="782B3690"/>
    <w:rsid w:val="783F628E"/>
    <w:rsid w:val="7851759A"/>
    <w:rsid w:val="78A25381"/>
    <w:rsid w:val="78A90480"/>
    <w:rsid w:val="78B813C8"/>
    <w:rsid w:val="78CC1312"/>
    <w:rsid w:val="78DB6168"/>
    <w:rsid w:val="78F10A1D"/>
    <w:rsid w:val="79091C23"/>
    <w:rsid w:val="792F71B0"/>
    <w:rsid w:val="79793291"/>
    <w:rsid w:val="797D188C"/>
    <w:rsid w:val="798B4F2A"/>
    <w:rsid w:val="79A57AB6"/>
    <w:rsid w:val="79BC20BD"/>
    <w:rsid w:val="7A364017"/>
    <w:rsid w:val="7A49604F"/>
    <w:rsid w:val="7A74214A"/>
    <w:rsid w:val="7A755C23"/>
    <w:rsid w:val="7A8265E1"/>
    <w:rsid w:val="7B2D6CA3"/>
    <w:rsid w:val="7B5F5B2A"/>
    <w:rsid w:val="7B686D42"/>
    <w:rsid w:val="7B841746"/>
    <w:rsid w:val="7BB35E76"/>
    <w:rsid w:val="7C0F14CD"/>
    <w:rsid w:val="7C6C5AC7"/>
    <w:rsid w:val="7C9E6B26"/>
    <w:rsid w:val="7CC6544B"/>
    <w:rsid w:val="7D0239FF"/>
    <w:rsid w:val="7D085F7C"/>
    <w:rsid w:val="7D1110A6"/>
    <w:rsid w:val="7D1B1F25"/>
    <w:rsid w:val="7D5E40CD"/>
    <w:rsid w:val="7D6A5EA2"/>
    <w:rsid w:val="7D910439"/>
    <w:rsid w:val="7DCD56F2"/>
    <w:rsid w:val="7E8C329F"/>
    <w:rsid w:val="7E973746"/>
    <w:rsid w:val="7EA229AB"/>
    <w:rsid w:val="7EAD4DFF"/>
    <w:rsid w:val="7F001CE7"/>
    <w:rsid w:val="7F2A1D12"/>
    <w:rsid w:val="7F4B1859"/>
    <w:rsid w:val="7F934B69"/>
    <w:rsid w:val="7F9D127D"/>
    <w:rsid w:val="7FC32F20"/>
    <w:rsid w:val="7FE47E50"/>
    <w:rsid w:val="7FEB51F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qFormat="1" w:uiPriority="99"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qFormat/>
    <w:locked/>
    <w:uiPriority w:val="0"/>
    <w:pPr>
      <w:spacing w:line="360" w:lineRule="auto"/>
      <w:ind w:left="0" w:firstLine="0" w:firstLineChars="0"/>
      <w:outlineLvl w:val="3"/>
    </w:pPr>
    <w:rPr>
      <w:rFonts w:ascii="Times New Roman" w:hAnsi="Times New Roman" w:eastAsia="宋体" w:cs="宋体"/>
      <w:b/>
      <w:bCs/>
      <w:sz w:val="24"/>
      <w:szCs w:val="28"/>
    </w:rPr>
  </w:style>
  <w:style w:type="character" w:default="1" w:styleId="24">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annotation text"/>
    <w:basedOn w:val="1"/>
    <w:link w:val="34"/>
    <w:semiHidden/>
    <w:qFormat/>
    <w:uiPriority w:val="0"/>
    <w:pPr>
      <w:jc w:val="left"/>
    </w:pPr>
    <w:rPr>
      <w:kern w:val="0"/>
      <w:sz w:val="24"/>
      <w:szCs w:val="20"/>
    </w:rPr>
  </w:style>
  <w:style w:type="paragraph" w:styleId="5">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6">
    <w:name w:val="Body Text Indent"/>
    <w:basedOn w:val="1"/>
    <w:link w:val="36"/>
    <w:qFormat/>
    <w:uiPriority w:val="0"/>
    <w:pPr>
      <w:spacing w:after="120"/>
      <w:ind w:left="420" w:leftChars="200"/>
    </w:pPr>
    <w:rPr>
      <w:kern w:val="0"/>
      <w:sz w:val="24"/>
      <w:szCs w:val="20"/>
    </w:rPr>
  </w:style>
  <w:style w:type="paragraph" w:styleId="7">
    <w:name w:val="Block Text"/>
    <w:basedOn w:val="1"/>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8">
    <w:name w:val="Plain Text"/>
    <w:basedOn w:val="1"/>
    <w:qFormat/>
    <w:locked/>
    <w:uiPriority w:val="0"/>
    <w:rPr>
      <w:rFonts w:ascii="宋体" w:hAnsi="Courier New"/>
      <w:snapToGrid/>
      <w:kern w:val="2"/>
      <w:sz w:val="21"/>
      <w:szCs w:val="21"/>
    </w:rPr>
  </w:style>
  <w:style w:type="paragraph" w:styleId="9">
    <w:name w:val="Date"/>
    <w:basedOn w:val="1"/>
    <w:next w:val="1"/>
    <w:link w:val="37"/>
    <w:qFormat/>
    <w:uiPriority w:val="0"/>
    <w:pPr>
      <w:ind w:left="100" w:leftChars="2500"/>
    </w:pPr>
    <w:rPr>
      <w:kern w:val="0"/>
      <w:sz w:val="24"/>
      <w:szCs w:val="20"/>
    </w:rPr>
  </w:style>
  <w:style w:type="paragraph" w:styleId="10">
    <w:name w:val="Body Text Indent 2"/>
    <w:basedOn w:val="1"/>
    <w:next w:val="11"/>
    <w:qFormat/>
    <w:locked/>
    <w:uiPriority w:val="0"/>
    <w:pPr>
      <w:ind w:firstLine="560" w:firstLineChars="200"/>
    </w:pPr>
    <w:rPr>
      <w:rFonts w:ascii="宋体" w:hAnsi="宋体"/>
      <w:sz w:val="28"/>
      <w:szCs w:val="20"/>
    </w:rPr>
  </w:style>
  <w:style w:type="paragraph" w:styleId="11">
    <w:name w:val="Body Text First Indent 2"/>
    <w:basedOn w:val="6"/>
    <w:next w:val="1"/>
    <w:qFormat/>
    <w:locked/>
    <w:uiPriority w:val="0"/>
    <w:pPr>
      <w:spacing w:after="120" w:line="240" w:lineRule="auto"/>
      <w:ind w:left="420" w:leftChars="200" w:firstLine="420" w:firstLineChars="200"/>
    </w:pPr>
    <w:rPr>
      <w:sz w:val="21"/>
    </w:rPr>
  </w:style>
  <w:style w:type="paragraph" w:styleId="12">
    <w:name w:val="Balloon Text"/>
    <w:basedOn w:val="1"/>
    <w:link w:val="38"/>
    <w:semiHidden/>
    <w:qFormat/>
    <w:uiPriority w:val="0"/>
    <w:rPr>
      <w:kern w:val="0"/>
      <w:sz w:val="18"/>
      <w:szCs w:val="20"/>
    </w:rPr>
  </w:style>
  <w:style w:type="paragraph" w:styleId="13">
    <w:name w:val="footer"/>
    <w:basedOn w:val="1"/>
    <w:link w:val="39"/>
    <w:qFormat/>
    <w:uiPriority w:val="99"/>
    <w:pPr>
      <w:tabs>
        <w:tab w:val="center" w:pos="4153"/>
        <w:tab w:val="right" w:pos="8306"/>
      </w:tabs>
      <w:snapToGrid w:val="0"/>
      <w:jc w:val="left"/>
    </w:pPr>
    <w:rPr>
      <w:kern w:val="0"/>
      <w:sz w:val="18"/>
      <w:szCs w:val="20"/>
    </w:rPr>
  </w:style>
  <w:style w:type="paragraph" w:styleId="14">
    <w:name w:val="envelope return"/>
    <w:basedOn w:val="1"/>
    <w:unhideWhenUsed/>
    <w:qFormat/>
    <w:locked/>
    <w:uiPriority w:val="99"/>
    <w:pPr>
      <w:snapToGrid w:val="0"/>
    </w:pPr>
    <w:rPr>
      <w:rFonts w:ascii="Arial" w:hAnsi="Arial"/>
    </w:rPr>
  </w:style>
  <w:style w:type="paragraph" w:styleId="15">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index heading"/>
    <w:basedOn w:val="1"/>
    <w:next w:val="17"/>
    <w:semiHidden/>
    <w:qFormat/>
    <w:locked/>
    <w:uiPriority w:val="0"/>
    <w:rPr>
      <w:rFonts w:ascii="Arial" w:hAnsi="Arial" w:cs="Arial"/>
      <w:b/>
      <w:bCs/>
    </w:rPr>
  </w:style>
  <w:style w:type="paragraph" w:styleId="17">
    <w:name w:val="index 1"/>
    <w:basedOn w:val="1"/>
    <w:next w:val="1"/>
    <w:qFormat/>
    <w:locked/>
    <w:uiPriority w:val="0"/>
    <w:pPr>
      <w:jc w:val="center"/>
    </w:pPr>
    <w:rPr>
      <w:szCs w:val="21"/>
    </w:rPr>
  </w:style>
  <w:style w:type="paragraph" w:styleId="18">
    <w:name w:val="Body Text 2"/>
    <w:basedOn w:val="1"/>
    <w:next w:val="1"/>
    <w:unhideWhenUsed/>
    <w:qFormat/>
    <w:locked/>
    <w:uiPriority w:val="0"/>
    <w:rPr>
      <w:b/>
      <w:sz w:val="24"/>
    </w:r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4"/>
    <w:next w:val="4"/>
    <w:link w:val="42"/>
    <w:semiHidden/>
    <w:qFormat/>
    <w:uiPriority w:val="0"/>
    <w:rPr>
      <w:b/>
      <w:sz w:val="24"/>
      <w:szCs w:val="20"/>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Table Theme"/>
    <w:basedOn w:val="21"/>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qFormat/>
    <w:locked/>
    <w:uiPriority w:val="0"/>
    <w:rPr>
      <w:color w:val="0000FF"/>
      <w:u w:val="single"/>
    </w:rPr>
  </w:style>
  <w:style w:type="character" w:styleId="27">
    <w:name w:val="annotation reference"/>
    <w:semiHidden/>
    <w:qFormat/>
    <w:uiPriority w:val="0"/>
    <w:rPr>
      <w:sz w:val="21"/>
    </w:rPr>
  </w:style>
  <w:style w:type="paragraph" w:customStyle="1" w:styleId="28">
    <w:name w:val="xl27"/>
    <w:basedOn w:val="1"/>
    <w:next w:val="29"/>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Wonder Arial" w:hAnsi="Wonder Arial" w:eastAsia="Wonder Arial" w:cs="Wonder Arial"/>
      <w:kern w:val="0"/>
      <w:sz w:val="18"/>
      <w:szCs w:val="18"/>
    </w:rPr>
  </w:style>
  <w:style w:type="paragraph" w:customStyle="1" w:styleId="29">
    <w:name w:val="A正文"/>
    <w:basedOn w:val="1"/>
    <w:qFormat/>
    <w:uiPriority w:val="0"/>
    <w:pPr>
      <w:widowControl/>
      <w:overflowPunct w:val="0"/>
      <w:autoSpaceDE w:val="0"/>
      <w:autoSpaceDN w:val="0"/>
      <w:jc w:val="left"/>
      <w:textAlignment w:val="baseline"/>
    </w:pPr>
  </w:style>
  <w:style w:type="paragraph" w:customStyle="1" w:styleId="30">
    <w:name w:val="Default"/>
    <w:basedOn w:val="31"/>
    <w:next w:val="32"/>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32">
    <w:name w:val="样式1"/>
    <w:basedOn w:val="16"/>
    <w:next w:val="7"/>
    <w:qFormat/>
    <w:uiPriority w:val="0"/>
    <w:pPr>
      <w:keepLines w:val="0"/>
      <w:tabs>
        <w:tab w:val="right" w:leader="dot" w:pos="9061"/>
        <w:tab w:val="right" w:leader="dot" w:pos="9459"/>
      </w:tabs>
      <w:adjustRightInd w:val="0"/>
      <w:spacing w:line="360" w:lineRule="auto"/>
      <w:ind w:firstLine="0" w:firstLineChars="0"/>
      <w:outlineLvl w:val="0"/>
    </w:pPr>
    <w:rPr>
      <w:sz w:val="28"/>
      <w:szCs w:val="18"/>
    </w:rPr>
  </w:style>
  <w:style w:type="paragraph" w:customStyle="1" w:styleId="33">
    <w:name w:val="纯文本1"/>
    <w:basedOn w:val="1"/>
    <w:qFormat/>
    <w:uiPriority w:val="0"/>
    <w:pPr>
      <w:adjustRightInd w:val="0"/>
    </w:pPr>
    <w:rPr>
      <w:rFonts w:ascii="宋体" w:hAnsi="Courier New"/>
      <w:szCs w:val="20"/>
    </w:rPr>
  </w:style>
  <w:style w:type="character" w:customStyle="1" w:styleId="34">
    <w:name w:val="批注文字 Char"/>
    <w:link w:val="4"/>
    <w:qFormat/>
    <w:locked/>
    <w:uiPriority w:val="0"/>
    <w:rPr>
      <w:rFonts w:ascii="Times New Roman" w:hAnsi="Times New Roman" w:eastAsia="宋体"/>
      <w:sz w:val="24"/>
    </w:rPr>
  </w:style>
  <w:style w:type="character" w:customStyle="1" w:styleId="35">
    <w:name w:val="正文文本 Char"/>
    <w:link w:val="5"/>
    <w:qFormat/>
    <w:locked/>
    <w:uiPriority w:val="0"/>
    <w:rPr>
      <w:sz w:val="18"/>
    </w:rPr>
  </w:style>
  <w:style w:type="character" w:customStyle="1" w:styleId="36">
    <w:name w:val="正文文本缩进 Char"/>
    <w:link w:val="6"/>
    <w:semiHidden/>
    <w:qFormat/>
    <w:locked/>
    <w:uiPriority w:val="0"/>
    <w:rPr>
      <w:rFonts w:ascii="Times New Roman" w:hAnsi="Times New Roman" w:eastAsia="宋体"/>
      <w:sz w:val="24"/>
    </w:rPr>
  </w:style>
  <w:style w:type="character" w:customStyle="1" w:styleId="37">
    <w:name w:val="日期 Char"/>
    <w:link w:val="9"/>
    <w:qFormat/>
    <w:locked/>
    <w:uiPriority w:val="0"/>
    <w:rPr>
      <w:rFonts w:ascii="Times New Roman" w:hAnsi="Times New Roman" w:eastAsia="宋体"/>
      <w:sz w:val="24"/>
    </w:rPr>
  </w:style>
  <w:style w:type="character" w:customStyle="1" w:styleId="38">
    <w:name w:val="批注框文本 Char"/>
    <w:link w:val="12"/>
    <w:semiHidden/>
    <w:qFormat/>
    <w:locked/>
    <w:uiPriority w:val="0"/>
    <w:rPr>
      <w:rFonts w:ascii="Times New Roman" w:hAnsi="Times New Roman" w:eastAsia="宋体"/>
      <w:sz w:val="18"/>
    </w:rPr>
  </w:style>
  <w:style w:type="character" w:customStyle="1" w:styleId="39">
    <w:name w:val="页脚 Char"/>
    <w:link w:val="13"/>
    <w:qFormat/>
    <w:locked/>
    <w:uiPriority w:val="99"/>
    <w:rPr>
      <w:sz w:val="18"/>
    </w:rPr>
  </w:style>
  <w:style w:type="character" w:customStyle="1" w:styleId="40">
    <w:name w:val="页眉 Char"/>
    <w:link w:val="15"/>
    <w:qFormat/>
    <w:locked/>
    <w:uiPriority w:val="0"/>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0"/>
    <w:semiHidden/>
    <w:qFormat/>
    <w:locked/>
    <w:uiPriority w:val="0"/>
    <w:rPr>
      <w:rFonts w:ascii="Times New Roman" w:hAnsi="Times New Roman" w:eastAsia="宋体"/>
      <w:b/>
      <w:kern w:val="2"/>
      <w:sz w:val="24"/>
    </w:rPr>
  </w:style>
  <w:style w:type="character" w:customStyle="1" w:styleId="43">
    <w:name w:val="页脚 字符"/>
    <w:basedOn w:val="24"/>
    <w:qFormat/>
    <w:uiPriority w:val="99"/>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46"/>
    <w:qFormat/>
    <w:locked/>
    <w:uiPriority w:val="0"/>
    <w:rPr>
      <w:rFonts w:ascii="宋体"/>
      <w:sz w:val="21"/>
    </w:rPr>
  </w:style>
  <w:style w:type="paragraph" w:customStyle="1" w:styleId="46">
    <w:name w:val="表格"/>
    <w:basedOn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文字 字符1"/>
    <w:semiHidden/>
    <w:qFormat/>
    <w:uiPriority w:val="0"/>
    <w:rPr>
      <w:rFonts w:ascii="Times New Roman" w:hAnsi="Times New Roman" w:eastAsia="宋体"/>
      <w:sz w:val="24"/>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1">
    <w:name w:val="表格内容 Char"/>
    <w:link w:val="52"/>
    <w:qFormat/>
    <w:locked/>
    <w:uiPriority w:val="0"/>
    <w:rPr>
      <w:sz w:val="21"/>
    </w:rPr>
  </w:style>
  <w:style w:type="paragraph" w:customStyle="1" w:styleId="52">
    <w:name w:val="表格内容"/>
    <w:basedOn w:val="53"/>
    <w:next w:val="1"/>
    <w:link w:val="51"/>
    <w:qFormat/>
    <w:uiPriority w:val="0"/>
    <w:pPr>
      <w:widowControl w:val="0"/>
      <w:adjustRightInd w:val="0"/>
      <w:snapToGrid w:val="0"/>
      <w:spacing w:line="300" w:lineRule="auto"/>
      <w:jc w:val="center"/>
    </w:pPr>
    <w:rPr>
      <w:sz w:val="21"/>
      <w:lang w:val="en-US" w:eastAsia="zh-CN" w:bidi="ar-SA"/>
    </w:rPr>
  </w:style>
  <w:style w:type="paragraph" w:customStyle="1" w:styleId="53">
    <w:name w:val="表格标题"/>
    <w:basedOn w:val="1"/>
    <w:next w:val="52"/>
    <w:qFormat/>
    <w:uiPriority w:val="0"/>
    <w:pPr>
      <w:keepNext w:val="0"/>
      <w:keepLines/>
      <w:spacing w:line="360" w:lineRule="auto"/>
      <w:ind w:firstLine="0" w:firstLineChars="0"/>
      <w:jc w:val="center"/>
    </w:pPr>
    <w:rPr>
      <w:b/>
      <w:sz w:val="21"/>
      <w:szCs w:val="24"/>
      <w:lang w:bidi="ar-SA"/>
    </w:rPr>
  </w:style>
  <w:style w:type="paragraph" w:customStyle="1" w:styleId="54">
    <w:name w:val="列出段落"/>
    <w:basedOn w:val="1"/>
    <w:qFormat/>
    <w:uiPriority w:val="0"/>
    <w:pPr>
      <w:ind w:firstLine="420" w:firstLineChars="200"/>
    </w:pPr>
    <w:rPr>
      <w:szCs w:val="24"/>
    </w:rPr>
  </w:style>
  <w:style w:type="paragraph" w:customStyle="1" w:styleId="55">
    <w:name w:val="Table Paragraph"/>
    <w:basedOn w:val="1"/>
    <w:qFormat/>
    <w:uiPriority w:val="1"/>
    <w:pPr>
      <w:jc w:val="left"/>
    </w:pPr>
    <w:rPr>
      <w:rFonts w:ascii="Calibri" w:hAnsi="Calibri" w:eastAsia="宋体" w:cs="Times New Roman"/>
      <w:snapToGrid/>
      <w:sz w:val="22"/>
      <w:szCs w:val="22"/>
      <w:lang w:eastAsia="en-US"/>
    </w:rPr>
  </w:style>
  <w:style w:type="paragraph" w:customStyle="1" w:styleId="56">
    <w:name w:val="表格式"/>
    <w:basedOn w:val="1"/>
    <w:qFormat/>
    <w:uiPriority w:val="0"/>
    <w:pPr>
      <w:spacing w:before="156" w:beforeLines="50" w:after="156" w:afterLines="50" w:line="200" w:lineRule="exact"/>
      <w:jc w:val="center"/>
    </w:pPr>
    <w:rPr>
      <w:snapToGrid/>
      <w:kern w:val="2"/>
      <w:sz w:val="21"/>
      <w:szCs w:val="20"/>
    </w:rPr>
  </w:style>
  <w:style w:type="paragraph" w:customStyle="1" w:styleId="5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58">
    <w:name w:val="正文文本，表格"/>
    <w:basedOn w:val="1"/>
    <w:qFormat/>
    <w:uiPriority w:val="0"/>
    <w:pPr>
      <w:widowControl w:val="0"/>
      <w:spacing w:after="0" w:line="240" w:lineRule="auto"/>
      <w:ind w:left="0" w:firstLine="0"/>
      <w:jc w:val="center"/>
    </w:pPr>
    <w:rPr>
      <w:rFonts w:ascii="Times New Roman" w:hAnsi="Times New Roman" w:eastAsia="宋体" w:cs="宋体"/>
      <w:color w:val="auto"/>
      <w:sz w:val="21"/>
      <w:szCs w:val="21"/>
    </w:rPr>
  </w:style>
  <w:style w:type="paragraph" w:customStyle="1" w:styleId="59">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paragraph" w:customStyle="1" w:styleId="60">
    <w:name w:val="！正文"/>
    <w:basedOn w:val="1"/>
    <w:qFormat/>
    <w:uiPriority w:val="99"/>
    <w:pPr>
      <w:ind w:firstLine="480"/>
    </w:pPr>
  </w:style>
  <w:style w:type="paragraph" w:customStyle="1" w:styleId="61">
    <w:name w:val="正文 + 仿宋_GB2312"/>
    <w:basedOn w:val="1"/>
    <w:qFormat/>
    <w:uiPriority w:val="99"/>
    <w:pPr>
      <w:ind w:firstLine="480" w:firstLineChars="200"/>
    </w:pPr>
    <w:rPr>
      <w:rFonts w:ascii="仿宋_GB2312" w:hAnsi="Calibri" w:eastAsia="仿宋_GB2312" w:cs="Times New Roman"/>
      <w:sz w:val="24"/>
    </w:rPr>
  </w:style>
  <w:style w:type="character" w:customStyle="1" w:styleId="62">
    <w:name w:val="15"/>
    <w:basedOn w:val="24"/>
    <w:qFormat/>
    <w:uiPriority w:val="0"/>
    <w:rPr>
      <w:rFonts w:hint="default" w:ascii="Times New Roman" w:hAnsi="Times New Roman" w:cs="Times New Roman"/>
      <w:sz w:val="21"/>
      <w:szCs w:val="21"/>
    </w:rPr>
  </w:style>
  <w:style w:type="paragraph" w:customStyle="1" w:styleId="63">
    <w:name w:val="表格字体"/>
    <w:basedOn w:val="1"/>
    <w:qFormat/>
    <w:uiPriority w:val="0"/>
    <w:pPr>
      <w:keepNext w:val="0"/>
      <w:keepLines w:val="0"/>
      <w:widowControl w:val="0"/>
      <w:suppressLineNumbers w:val="0"/>
      <w:spacing w:before="0" w:beforeAutospacing="0" w:after="0" w:afterAutospacing="0" w:line="360" w:lineRule="exact"/>
      <w:ind w:left="0" w:right="0"/>
      <w:jc w:val="both"/>
    </w:pPr>
    <w:rPr>
      <w:rFonts w:hint="eastAsia" w:ascii="宋体" w:hAnsi="宋体" w:eastAsia="宋体" w:cs="宋体"/>
      <w:kern w:val="2"/>
      <w:sz w:val="21"/>
      <w:szCs w:val="21"/>
      <w:lang w:val="en-US" w:eastAsia="zh-CN" w:bidi="ar"/>
    </w:rPr>
  </w:style>
  <w:style w:type="paragraph" w:customStyle="1" w:styleId="64">
    <w:name w:val="表内容"/>
    <w:basedOn w:val="65"/>
    <w:qFormat/>
    <w:uiPriority w:val="0"/>
    <w:pPr>
      <w:spacing w:line="360" w:lineRule="exact"/>
      <w:ind w:firstLine="0" w:firstLineChars="0"/>
      <w:jc w:val="center"/>
    </w:pPr>
    <w:rPr>
      <w:szCs w:val="21"/>
    </w:rPr>
  </w:style>
  <w:style w:type="paragraph" w:customStyle="1" w:styleId="65">
    <w:name w:val="24磅正文"/>
    <w:basedOn w:val="1"/>
    <w:qFormat/>
    <w:uiPriority w:val="0"/>
    <w:pPr>
      <w:spacing w:line="480" w:lineRule="exact"/>
      <w:ind w:firstLine="480" w:firstLineChars="200"/>
    </w:pPr>
    <w:rPr>
      <w:rFonts w:eastAsia="宋体"/>
    </w:rPr>
  </w:style>
  <w:style w:type="paragraph" w:customStyle="1" w:styleId="66">
    <w:name w:val="Table Text"/>
    <w:basedOn w:val="1"/>
    <w:semiHidden/>
    <w:qFormat/>
    <w:uiPriority w:val="0"/>
    <w:rPr>
      <w:rFonts w:ascii="宋体" w:hAnsi="宋体" w:eastAsia="宋体" w:cs="宋体"/>
      <w:sz w:val="24"/>
      <w:szCs w:val="24"/>
      <w:lang w:val="en-US" w:eastAsia="en-US" w:bidi="ar-SA"/>
    </w:rPr>
  </w:style>
  <w:style w:type="paragraph" w:customStyle="1" w:styleId="6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68">
    <w:name w:val="1正文段落"/>
    <w:basedOn w:val="1"/>
    <w:qFormat/>
    <w:uiPriority w:val="0"/>
    <w:pPr>
      <w:spacing w:line="360" w:lineRule="auto"/>
      <w:ind w:firstLine="480" w:firstLineChars="200"/>
      <w:jc w:val="left"/>
    </w:pPr>
    <w:rPr>
      <w:snapToGrid w:val="0"/>
      <w:kern w:val="0"/>
      <w:sz w:val="24"/>
    </w:rPr>
  </w:style>
  <w:style w:type="paragraph" w:customStyle="1" w:styleId="69">
    <w:name w:val="胡正文"/>
    <w:basedOn w:val="1"/>
    <w:qFormat/>
    <w:uiPriority w:val="0"/>
    <w:pPr>
      <w:spacing w:line="360" w:lineRule="auto"/>
      <w:ind w:firstLine="200" w:firstLineChars="200"/>
      <w:jc w:val="left"/>
    </w:pPr>
    <w:rPr>
      <w:rFonts w:ascii="宋体" w:hAnsi="宋体"/>
      <w:sz w:val="24"/>
      <w:szCs w:val="28"/>
    </w:rPr>
  </w:style>
  <w:style w:type="paragraph" w:customStyle="1" w:styleId="70">
    <w:name w:val="文本"/>
    <w:basedOn w:val="1"/>
    <w:qFormat/>
    <w:uiPriority w:val="0"/>
    <w:pPr>
      <w:spacing w:line="360" w:lineRule="auto"/>
      <w:ind w:firstLine="480" w:firstLineChars="200"/>
    </w:pPr>
    <w:rPr>
      <w:sz w:val="24"/>
    </w:rPr>
  </w:style>
  <w:style w:type="paragraph" w:customStyle="1" w:styleId="71">
    <w:name w:val="List Paragraph"/>
    <w:basedOn w:val="1"/>
    <w:qFormat/>
    <w:uiPriority w:val="0"/>
    <w:pPr>
      <w:ind w:firstLine="420" w:firstLineChars="200"/>
    </w:pPr>
    <w:rPr>
      <w:rFonts w:ascii="Calibri" w:hAnsi="Calibri" w:eastAsia="宋体" w:cs="Times New Roman"/>
    </w:rPr>
  </w:style>
  <w:style w:type="paragraph" w:customStyle="1" w:styleId="72">
    <w:name w:val="li_正文"/>
    <w:basedOn w:val="1"/>
    <w:qFormat/>
    <w:uiPriority w:val="0"/>
    <w:pPr>
      <w:tabs>
        <w:tab w:val="left" w:pos="2340"/>
        <w:tab w:val="left" w:pos="4320"/>
      </w:tabs>
      <w:adjustRightInd/>
      <w:snapToGrid/>
      <w:spacing w:line="240" w:lineRule="auto"/>
      <w:ind w:firstLine="530" w:firstLineChars="200"/>
      <w:jc w:val="left"/>
    </w:pPr>
    <w:rPr>
      <w:rFonts w:ascii="Calibri" w:hAnsi="Calibri"/>
      <w:sz w:val="28"/>
      <w:szCs w:val="28"/>
    </w:rPr>
  </w:style>
  <w:style w:type="paragraph" w:customStyle="1" w:styleId="73">
    <w:name w:val="xl31"/>
    <w:basedOn w:val="1"/>
    <w:qFormat/>
    <w:uiPriority w:val="0"/>
    <w:pPr>
      <w:widowControl/>
      <w:spacing w:before="100" w:beforeAutospacing="1" w:after="100" w:afterAutospacing="1"/>
      <w:jc w:val="center"/>
      <w:textAlignment w:val="center"/>
    </w:pPr>
    <w:rPr>
      <w:rFonts w:ascii="Wonder Arial" w:hAnsi="Wonder Arial" w:eastAsia="Wonder Arial"/>
      <w:kern w:val="0"/>
      <w:sz w:val="24"/>
    </w:rPr>
  </w:style>
  <w:style w:type="paragraph" w:customStyle="1" w:styleId="74">
    <w:name w:val="其他"/>
    <w:basedOn w:val="1"/>
    <w:qFormat/>
    <w:uiPriority w:val="0"/>
    <w:pPr>
      <w:widowControl w:val="0"/>
      <w:shd w:val="clear" w:color="auto" w:fill="FFFFFF"/>
      <w:spacing w:line="434" w:lineRule="auto"/>
      <w:ind w:firstLine="400"/>
    </w:pPr>
    <w:rPr>
      <w:rFonts w:ascii="宋体" w:hAnsi="宋体" w:eastAsia="宋体" w:cs="宋体"/>
      <w:sz w:val="22"/>
      <w:szCs w:val="22"/>
      <w:u w:val="none"/>
      <w:lang w:val="zh-CN" w:eastAsia="zh-CN" w:bidi="zh-CN"/>
    </w:rPr>
  </w:style>
  <w:style w:type="paragraph" w:customStyle="1" w:styleId="75">
    <w:name w:val="表图号"/>
    <w:basedOn w:val="1"/>
    <w:qFormat/>
    <w:uiPriority w:val="0"/>
    <w:pPr>
      <w:spacing w:before="40" w:after="40" w:line="312" w:lineRule="auto"/>
      <w:jc w:val="center"/>
    </w:pPr>
    <w:rPr>
      <w:rFonts w:eastAsia="黑体"/>
      <w:kern w:val="0"/>
      <w:sz w:val="24"/>
      <w:szCs w:val="20"/>
    </w:rPr>
  </w:style>
  <w:style w:type="paragraph" w:customStyle="1" w:styleId="76">
    <w:name w:val="正文修改"/>
    <w:basedOn w:val="1"/>
    <w:qFormat/>
    <w:uiPriority w:val="0"/>
    <w:pPr>
      <w:spacing w:line="360" w:lineRule="auto"/>
      <w:ind w:firstLine="480" w:firstLineChars="200"/>
    </w:pPr>
    <w:rPr>
      <w:rFonts w:cs="宋体"/>
      <w:kern w:val="0"/>
      <w:sz w:val="24"/>
    </w:rPr>
  </w:style>
  <w:style w:type="paragraph" w:customStyle="1" w:styleId="77">
    <w:name w:val="Other|1"/>
    <w:basedOn w:val="1"/>
    <w:qFormat/>
    <w:uiPriority w:val="0"/>
    <w:pPr>
      <w:jc w:val="center"/>
    </w:pPr>
    <w:rPr>
      <w:rFonts w:ascii="宋体" w:hAnsi="宋体" w:eastAsia="宋体" w:cs="宋体"/>
      <w:sz w:val="20"/>
      <w:szCs w:val="20"/>
      <w:lang w:val="zh-TW" w:eastAsia="zh-TW" w:bidi="zh-TW"/>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简单回函地址"/>
    <w:basedOn w:val="1"/>
    <w:qFormat/>
    <w:uiPriority w:val="0"/>
    <w:rPr>
      <w:szCs w:val="20"/>
    </w:rPr>
  </w:style>
  <w:style w:type="character" w:customStyle="1" w:styleId="80">
    <w:name w:val="font11"/>
    <w:basedOn w:val="24"/>
    <w:qFormat/>
    <w:uiPriority w:val="0"/>
    <w:rPr>
      <w:rFonts w:hint="eastAsia" w:ascii="宋体" w:hAnsi="宋体" w:eastAsia="宋体" w:cs="宋体"/>
      <w:color w:val="000000"/>
      <w:sz w:val="22"/>
      <w:szCs w:val="22"/>
      <w:u w:val="none"/>
    </w:rPr>
  </w:style>
  <w:style w:type="character" w:customStyle="1" w:styleId="81">
    <w:name w:val="font21"/>
    <w:basedOn w:val="24"/>
    <w:qFormat/>
    <w:uiPriority w:val="0"/>
    <w:rPr>
      <w:rFonts w:ascii="Calibri" w:hAnsi="Calibri" w:cs="Calibri"/>
      <w:color w:val="000000"/>
      <w:sz w:val="22"/>
      <w:szCs w:val="22"/>
      <w:u w:val="none"/>
    </w:rPr>
  </w:style>
  <w:style w:type="paragraph" w:customStyle="1" w:styleId="82">
    <w:name w:val="报告书表格"/>
    <w:basedOn w:val="1"/>
    <w:qFormat/>
    <w:uiPriority w:val="0"/>
    <w:pPr>
      <w:adjustRightInd w:val="0"/>
      <w:spacing w:line="240" w:lineRule="atLeast"/>
      <w:jc w:val="center"/>
      <w:textAlignment w:val="baseline"/>
    </w:pPr>
    <w:rPr>
      <w:kern w:val="0"/>
      <w:sz w:val="20"/>
      <w:szCs w:val="20"/>
    </w:rPr>
  </w:style>
  <w:style w:type="paragraph" w:customStyle="1" w:styleId="83">
    <w:name w:val="标题2"/>
    <w:basedOn w:val="1"/>
    <w:qFormat/>
    <w:uiPriority w:val="0"/>
    <w:rPr>
      <w:rFonts w:ascii="宋体" w:hAnsi="宋体"/>
      <w:b/>
      <w:kern w:val="0"/>
      <w:sz w:val="24"/>
      <w:szCs w:val="24"/>
    </w:rPr>
  </w:style>
  <w:style w:type="character" w:customStyle="1" w:styleId="84">
    <w:name w:val="图、表标题 Char1"/>
    <w:link w:val="85"/>
    <w:qFormat/>
    <w:uiPriority w:val="0"/>
    <w:rPr>
      <w:rFonts w:cs="Times New Roman"/>
      <w:b/>
      <w:spacing w:val="0"/>
      <w:sz w:val="21"/>
    </w:rPr>
  </w:style>
  <w:style w:type="paragraph" w:customStyle="1" w:styleId="85">
    <w:name w:val="图、表标题"/>
    <w:basedOn w:val="1"/>
    <w:link w:val="84"/>
    <w:qFormat/>
    <w:uiPriority w:val="0"/>
    <w:pPr>
      <w:jc w:val="center"/>
    </w:pPr>
    <w:rPr>
      <w:rFonts w:cs="Times New Roman"/>
      <w:b/>
      <w:spacing w:val="0"/>
      <w:sz w:val="21"/>
    </w:rPr>
  </w:style>
  <w:style w:type="paragraph" w:customStyle="1" w:styleId="86">
    <w:name w:val="正文2"/>
    <w:basedOn w:val="1"/>
    <w:autoRedefine/>
    <w:qFormat/>
    <w:uiPriority w:val="0"/>
    <w:pPr>
      <w:adjustRightInd w:val="0"/>
      <w:spacing w:line="360" w:lineRule="auto"/>
      <w:ind w:firstLine="480" w:firstLineChars="200"/>
      <w:textAlignment w:val="baseline"/>
    </w:pPr>
    <w:rPr>
      <w:rFonts w:ascii="宋体" w:hAnsi="宋体" w:cs="宋体"/>
      <w:kern w:val="21"/>
      <w:sz w:val="24"/>
    </w:rPr>
  </w:style>
  <w:style w:type="paragraph" w:customStyle="1" w:styleId="87">
    <w:name w:val="表格内正文"/>
    <w:basedOn w:val="1"/>
    <w:qFormat/>
    <w:uiPriority w:val="0"/>
    <w:pPr>
      <w:spacing w:line="360" w:lineRule="auto"/>
      <w:ind w:firstLine="499"/>
    </w:pPr>
    <w:rPr>
      <w:rFonts w:ascii="宋体" w:hAnsi="宋体" w:eastAsia="宋体"/>
      <w:spacing w:val="4"/>
      <w:kern w:val="18"/>
      <w:sz w:val="24"/>
    </w:rPr>
  </w:style>
  <w:style w:type="paragraph" w:customStyle="1" w:styleId="88">
    <w:name w:val="正式文本"/>
    <w:basedOn w:val="1"/>
    <w:qFormat/>
    <w:uiPriority w:val="0"/>
    <w:pPr>
      <w:adjustRightInd w:val="0"/>
      <w:snapToGrid w:val="0"/>
      <w:spacing w:line="360" w:lineRule="auto"/>
      <w:ind w:firstLine="420" w:firstLineChars="200"/>
      <w:jc w:val="left"/>
    </w:pPr>
    <w:rPr>
      <w:bCs/>
      <w:szCs w:val="21"/>
    </w:rPr>
  </w:style>
  <w:style w:type="paragraph" w:customStyle="1" w:styleId="89">
    <w:name w:val="表标题"/>
    <w:basedOn w:val="1"/>
    <w:qFormat/>
    <w:uiPriority w:val="0"/>
    <w:pPr>
      <w:spacing w:line="360" w:lineRule="auto"/>
      <w:jc w:val="center"/>
    </w:pPr>
    <w:rPr>
      <w:b/>
      <w:bCs/>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microsoft.com/office/2011/relationships/commentsExtended" Target="commentsExtended.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96</Pages>
  <Words>43253</Words>
  <Characters>48845</Characters>
  <Lines>1</Lines>
  <Paragraphs>1</Paragraphs>
  <TotalTime>9</TotalTime>
  <ScaleCrop>false</ScaleCrop>
  <LinksUpToDate>false</LinksUpToDate>
  <CharactersWithSpaces>53953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2021-02-25T00:55:00Z</dcterms:created>
  <dc:creator>lhj</dc:creator>
  <cp:lastModifiedBy>心</cp:lastModifiedBy>
  <cp:lastPrinted>2020-12-29T02:43:00Z</cp:lastPrinted>
  <dcterms:modified xsi:type="dcterms:W3CDTF">2026-03-26T06:27:15Z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E7DF13A3DD9A492CBD4DC84FAA0B5150_13</vt:lpwstr>
  </property>
  <property fmtid="{D5CDD505-2E9C-101B-9397-08002B2CF9AE}" pid="4" name="KSOTemplateDocerSaveRecord">
    <vt:lpwstr>eyJoZGlkIjoiNzE1ZGViMjRhNDVlM2M2ZmY5MWNkZTYxNmI5ZmFlZjciLCJ1c2VySWQiOiIzMDIyMDQ0MTkifQ==</vt:lpwstr>
  </property>
</Properties>
</file>