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4F2D">
      <w:pPr>
        <w:rPr>
          <w:rFonts w:hint="default" w:ascii="Times New Roman" w:hAnsi="Times New Roman" w:cs="Times New Roman"/>
          <w:color w:val="auto"/>
        </w:rPr>
      </w:pPr>
    </w:p>
    <w:p w14:paraId="4E84B9C7">
      <w:pPr>
        <w:rPr>
          <w:rFonts w:hint="default" w:ascii="Times New Roman" w:hAnsi="Times New Roman" w:cs="Times New Roman"/>
          <w:color w:val="auto"/>
        </w:rPr>
      </w:pPr>
    </w:p>
    <w:p w14:paraId="3D267391">
      <w:pPr>
        <w:rPr>
          <w:rFonts w:hint="default" w:ascii="Times New Roman" w:hAnsi="Times New Roman" w:cs="Times New Roman"/>
          <w:color w:val="auto"/>
        </w:rPr>
      </w:pPr>
    </w:p>
    <w:p w14:paraId="7A67F4E7">
      <w:pPr>
        <w:rPr>
          <w:rFonts w:hint="default" w:ascii="Times New Roman" w:hAnsi="Times New Roman" w:cs="Times New Roman"/>
          <w:color w:val="auto"/>
        </w:rPr>
      </w:pPr>
    </w:p>
    <w:p w14:paraId="5E1F164F">
      <w:pPr>
        <w:rPr>
          <w:rFonts w:hint="default" w:ascii="Times New Roman" w:hAnsi="Times New Roman" w:cs="Times New Roman"/>
          <w:color w:val="auto"/>
        </w:rPr>
      </w:pPr>
    </w:p>
    <w:p w14:paraId="6BB152AE">
      <w:pPr>
        <w:rPr>
          <w:rFonts w:hint="default" w:ascii="Times New Roman" w:hAnsi="Times New Roman" w:cs="Times New Roman"/>
          <w:color w:val="auto"/>
        </w:rPr>
      </w:pPr>
    </w:p>
    <w:p w14:paraId="3ECF067E">
      <w:pPr>
        <w:rPr>
          <w:rFonts w:hint="default" w:ascii="Times New Roman" w:hAnsi="Times New Roman" w:cs="Times New Roman"/>
          <w:color w:val="auto"/>
        </w:rPr>
      </w:pPr>
    </w:p>
    <w:p w14:paraId="0ABB07B8">
      <w:pPr>
        <w:rPr>
          <w:rFonts w:hint="default" w:ascii="Times New Roman" w:hAnsi="Times New Roman" w:cs="Times New Roman"/>
          <w:color w:val="auto"/>
        </w:rPr>
      </w:pPr>
    </w:p>
    <w:p w14:paraId="147FC8AC">
      <w:pPr>
        <w:rPr>
          <w:rFonts w:hint="default" w:ascii="Times New Roman" w:hAnsi="Times New Roman" w:cs="Times New Roman"/>
          <w:color w:val="auto"/>
        </w:rPr>
      </w:pPr>
    </w:p>
    <w:p w14:paraId="21F218EB">
      <w:pPr>
        <w:spacing w:line="560" w:lineRule="exact"/>
        <w:jc w:val="center"/>
        <w:rPr>
          <w:rFonts w:hint="default" w:ascii="Times New Roman" w:hAnsi="Times New Roman" w:eastAsia="华文中宋" w:cs="Times New Roman"/>
          <w:b/>
          <w:color w:val="auto"/>
          <w:sz w:val="44"/>
          <w:szCs w:val="44"/>
        </w:rPr>
      </w:pPr>
      <w:r>
        <w:rPr>
          <w:rFonts w:hint="default" w:ascii="Times New Roman" w:hAnsi="Times New Roman" w:eastAsia="华文中宋" w:cs="Times New Roman"/>
          <w:b/>
          <w:color w:val="auto"/>
          <w:sz w:val="44"/>
          <w:szCs w:val="44"/>
          <w:lang w:val="en-US" w:eastAsia="zh-CN"/>
        </w:rPr>
        <w:t>杜集区政府办</w:t>
      </w:r>
      <w:r>
        <w:rPr>
          <w:rFonts w:hint="default" w:ascii="Times New Roman" w:hAnsi="Times New Roman" w:eastAsia="华文中宋" w:cs="Times New Roman"/>
          <w:b/>
          <w:color w:val="auto"/>
          <w:sz w:val="44"/>
          <w:szCs w:val="44"/>
        </w:rPr>
        <w:t>202</w:t>
      </w:r>
      <w:r>
        <w:rPr>
          <w:rFonts w:hint="default" w:ascii="Times New Roman" w:hAnsi="Times New Roman" w:eastAsia="华文中宋" w:cs="Times New Roman"/>
          <w:b/>
          <w:color w:val="auto"/>
          <w:sz w:val="44"/>
          <w:szCs w:val="44"/>
          <w:lang w:val="en-US" w:eastAsia="zh-CN"/>
        </w:rPr>
        <w:t>5</w:t>
      </w:r>
      <w:r>
        <w:rPr>
          <w:rFonts w:hint="default" w:ascii="Times New Roman" w:hAnsi="Times New Roman" w:eastAsia="华文中宋" w:cs="Times New Roman"/>
          <w:b/>
          <w:color w:val="auto"/>
          <w:sz w:val="44"/>
          <w:szCs w:val="44"/>
        </w:rPr>
        <w:t>年</w:t>
      </w:r>
    </w:p>
    <w:p w14:paraId="33F67226">
      <w:pPr>
        <w:spacing w:line="560" w:lineRule="exact"/>
        <w:jc w:val="center"/>
        <w:rPr>
          <w:rFonts w:hint="default" w:ascii="Times New Roman" w:hAnsi="Times New Roman" w:eastAsia="华文中宋" w:cs="Times New Roman"/>
          <w:b/>
          <w:color w:val="auto"/>
          <w:sz w:val="44"/>
          <w:szCs w:val="44"/>
        </w:rPr>
      </w:pPr>
      <w:r>
        <w:rPr>
          <w:rFonts w:hint="default" w:ascii="Times New Roman" w:hAnsi="Times New Roman" w:eastAsia="华文中宋" w:cs="Times New Roman"/>
          <w:b/>
          <w:color w:val="auto"/>
          <w:sz w:val="44"/>
          <w:szCs w:val="44"/>
        </w:rPr>
        <w:t>部门预算</w:t>
      </w:r>
    </w:p>
    <w:p w14:paraId="692597B4">
      <w:pPr>
        <w:rPr>
          <w:rFonts w:hint="default" w:ascii="Times New Roman" w:hAnsi="Times New Roman" w:cs="Times New Roman"/>
          <w:color w:val="auto"/>
        </w:rPr>
      </w:pPr>
    </w:p>
    <w:p w14:paraId="551EF2E2">
      <w:pPr>
        <w:rPr>
          <w:rFonts w:hint="default" w:ascii="Times New Roman" w:hAnsi="Times New Roman" w:cs="Times New Roman"/>
          <w:color w:val="auto"/>
        </w:rPr>
      </w:pPr>
    </w:p>
    <w:p w14:paraId="70BF7A57">
      <w:pPr>
        <w:rPr>
          <w:rFonts w:hint="default" w:ascii="Times New Roman" w:hAnsi="Times New Roman" w:cs="Times New Roman"/>
          <w:color w:val="auto"/>
        </w:rPr>
      </w:pPr>
    </w:p>
    <w:p w14:paraId="5F4D0E04">
      <w:pPr>
        <w:rPr>
          <w:rFonts w:hint="default" w:ascii="Times New Roman" w:hAnsi="Times New Roman" w:cs="Times New Roman"/>
          <w:color w:val="auto"/>
        </w:rPr>
      </w:pPr>
    </w:p>
    <w:p w14:paraId="2526E2B8">
      <w:pPr>
        <w:rPr>
          <w:rFonts w:hint="default" w:ascii="Times New Roman" w:hAnsi="Times New Roman" w:cs="Times New Roman"/>
          <w:color w:val="auto"/>
        </w:rPr>
      </w:pPr>
    </w:p>
    <w:p w14:paraId="40B21F87">
      <w:pPr>
        <w:rPr>
          <w:rFonts w:hint="default" w:ascii="Times New Roman" w:hAnsi="Times New Roman" w:cs="Times New Roman"/>
          <w:color w:val="auto"/>
        </w:rPr>
      </w:pPr>
    </w:p>
    <w:p w14:paraId="706A1F16">
      <w:pPr>
        <w:rPr>
          <w:rFonts w:hint="default" w:ascii="Times New Roman" w:hAnsi="Times New Roman" w:cs="Times New Roman"/>
          <w:color w:val="auto"/>
        </w:rPr>
      </w:pPr>
    </w:p>
    <w:p w14:paraId="7FF31E9D">
      <w:pPr>
        <w:rPr>
          <w:rFonts w:hint="default" w:ascii="Times New Roman" w:hAnsi="Times New Roman" w:cs="Times New Roman"/>
          <w:color w:val="auto"/>
        </w:rPr>
      </w:pPr>
    </w:p>
    <w:p w14:paraId="3F8A67C2">
      <w:pPr>
        <w:rPr>
          <w:rFonts w:hint="default" w:ascii="Times New Roman" w:hAnsi="Times New Roman" w:cs="Times New Roman"/>
          <w:color w:val="auto"/>
        </w:rPr>
      </w:pPr>
    </w:p>
    <w:p w14:paraId="43501CE2">
      <w:pPr>
        <w:rPr>
          <w:rFonts w:hint="default" w:ascii="Times New Roman" w:hAnsi="Times New Roman" w:cs="Times New Roman"/>
          <w:color w:val="auto"/>
        </w:rPr>
      </w:pPr>
    </w:p>
    <w:p w14:paraId="6BF512B9">
      <w:pPr>
        <w:rPr>
          <w:rFonts w:hint="default" w:ascii="Times New Roman" w:hAnsi="Times New Roman" w:cs="Times New Roman"/>
          <w:color w:val="auto"/>
        </w:rPr>
      </w:pPr>
    </w:p>
    <w:p w14:paraId="1D296B82">
      <w:pPr>
        <w:rPr>
          <w:rFonts w:hint="default" w:ascii="Times New Roman" w:hAnsi="Times New Roman" w:cs="Times New Roman"/>
          <w:color w:val="auto"/>
        </w:rPr>
      </w:pPr>
    </w:p>
    <w:p w14:paraId="680FFAE6">
      <w:pPr>
        <w:rPr>
          <w:rFonts w:hint="default" w:ascii="Times New Roman" w:hAnsi="Times New Roman" w:cs="Times New Roman"/>
          <w:color w:val="auto"/>
        </w:rPr>
      </w:pPr>
    </w:p>
    <w:p w14:paraId="58884FC5">
      <w:pPr>
        <w:rPr>
          <w:rFonts w:hint="default" w:ascii="Times New Roman" w:hAnsi="Times New Roman" w:cs="Times New Roman"/>
          <w:color w:val="auto"/>
        </w:rPr>
      </w:pPr>
    </w:p>
    <w:p w14:paraId="6FFBA224">
      <w:pPr>
        <w:rPr>
          <w:rFonts w:hint="default" w:ascii="Times New Roman" w:hAnsi="Times New Roman" w:cs="Times New Roman"/>
          <w:color w:val="auto"/>
        </w:rPr>
      </w:pPr>
    </w:p>
    <w:p w14:paraId="721F8145">
      <w:pPr>
        <w:rPr>
          <w:rFonts w:hint="default" w:ascii="Times New Roman" w:hAnsi="Times New Roman" w:cs="Times New Roman"/>
          <w:color w:val="auto"/>
        </w:rPr>
      </w:pPr>
    </w:p>
    <w:p w14:paraId="47C5F308">
      <w:pPr>
        <w:rPr>
          <w:rFonts w:hint="default" w:ascii="Times New Roman" w:hAnsi="Times New Roman" w:cs="Times New Roman"/>
          <w:color w:val="auto"/>
        </w:rPr>
      </w:pPr>
    </w:p>
    <w:p w14:paraId="21F46E50">
      <w:pPr>
        <w:rPr>
          <w:rFonts w:hint="default" w:ascii="Times New Roman" w:hAnsi="Times New Roman" w:cs="Times New Roman"/>
          <w:color w:val="auto"/>
        </w:rPr>
      </w:pPr>
    </w:p>
    <w:p w14:paraId="048143B7">
      <w:pPr>
        <w:rPr>
          <w:rFonts w:hint="default" w:ascii="Times New Roman" w:hAnsi="Times New Roman" w:cs="Times New Roman"/>
          <w:color w:val="auto"/>
        </w:rPr>
      </w:pPr>
    </w:p>
    <w:p w14:paraId="07554596">
      <w:pPr>
        <w:rPr>
          <w:rFonts w:hint="default" w:ascii="Times New Roman" w:hAnsi="Times New Roman" w:cs="Times New Roman"/>
          <w:color w:val="auto"/>
        </w:rPr>
      </w:pPr>
    </w:p>
    <w:p w14:paraId="4FD4F1C8">
      <w:pPr>
        <w:rPr>
          <w:rFonts w:hint="default" w:ascii="Times New Roman" w:hAnsi="Times New Roman" w:cs="Times New Roman"/>
          <w:color w:val="auto"/>
        </w:rPr>
      </w:pPr>
    </w:p>
    <w:p w14:paraId="20EC6F62">
      <w:pPr>
        <w:rPr>
          <w:rFonts w:hint="default" w:ascii="Times New Roman" w:hAnsi="Times New Roman" w:cs="Times New Roman"/>
          <w:color w:val="auto"/>
        </w:rPr>
      </w:pPr>
    </w:p>
    <w:p w14:paraId="345A2868">
      <w:pPr>
        <w:pStyle w:val="4"/>
        <w:adjustRightInd w:val="0"/>
        <w:snapToGrid w:val="0"/>
        <w:spacing w:line="560" w:lineRule="exact"/>
        <w:jc w:val="center"/>
        <w:rPr>
          <w:rFonts w:hint="default" w:ascii="Times New Roman" w:hAnsi="Times New Roman" w:eastAsia="黑体" w:cs="Times New Roman"/>
          <w:bCs/>
          <w:color w:val="auto"/>
          <w:sz w:val="44"/>
          <w:szCs w:val="44"/>
        </w:rPr>
      </w:pPr>
    </w:p>
    <w:p w14:paraId="1F902ECD">
      <w:pPr>
        <w:pStyle w:val="4"/>
        <w:adjustRightInd w:val="0"/>
        <w:snapToGrid w:val="0"/>
        <w:spacing w:line="560" w:lineRule="exact"/>
        <w:jc w:val="center"/>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202</w:t>
      </w:r>
      <w:r>
        <w:rPr>
          <w:rFonts w:hint="default" w:ascii="Times New Roman" w:hAnsi="Times New Roman" w:eastAsia="黑体" w:cs="Times New Roman"/>
          <w:bCs/>
          <w:color w:val="auto"/>
          <w:sz w:val="44"/>
          <w:szCs w:val="44"/>
          <w:lang w:val="en-US" w:eastAsia="zh-CN"/>
        </w:rPr>
        <w:t>5</w:t>
      </w:r>
      <w:r>
        <w:rPr>
          <w:rFonts w:hint="default" w:ascii="Times New Roman" w:hAnsi="Times New Roman" w:eastAsia="黑体" w:cs="Times New Roman"/>
          <w:bCs/>
          <w:color w:val="auto"/>
          <w:sz w:val="44"/>
          <w:szCs w:val="44"/>
        </w:rPr>
        <w:t>年</w:t>
      </w:r>
      <w:r>
        <w:rPr>
          <w:rFonts w:hint="default" w:ascii="Times New Roman" w:hAnsi="Times New Roman" w:eastAsia="黑体" w:cs="Times New Roman"/>
          <w:bCs/>
          <w:color w:val="auto"/>
          <w:sz w:val="44"/>
          <w:szCs w:val="44"/>
          <w:lang w:val="en-US" w:eastAsia="zh-CN"/>
        </w:rPr>
        <w:t>1</w:t>
      </w:r>
      <w:r>
        <w:rPr>
          <w:rFonts w:hint="default" w:ascii="Times New Roman" w:hAnsi="Times New Roman" w:eastAsia="黑体" w:cs="Times New Roman"/>
          <w:bCs/>
          <w:color w:val="auto"/>
          <w:sz w:val="44"/>
          <w:szCs w:val="44"/>
        </w:rPr>
        <w:t>月</w:t>
      </w:r>
    </w:p>
    <w:p w14:paraId="648EEC44">
      <w:pPr>
        <w:rPr>
          <w:rFonts w:hint="default" w:ascii="Times New Roman" w:hAnsi="Times New Roman" w:cs="Times New Roman"/>
          <w:color w:val="auto"/>
        </w:rPr>
      </w:pPr>
    </w:p>
    <w:p w14:paraId="6D74DC09">
      <w:pPr>
        <w:rPr>
          <w:rFonts w:hint="default" w:ascii="Times New Roman" w:hAnsi="Times New Roman" w:cs="Times New Roman"/>
          <w:color w:val="auto"/>
        </w:rPr>
      </w:pPr>
    </w:p>
    <w:p w14:paraId="0F83F9AE">
      <w:pPr>
        <w:rPr>
          <w:rFonts w:hint="default" w:ascii="Times New Roman" w:hAnsi="Times New Roman" w:cs="Times New Roman"/>
          <w:color w:val="auto"/>
        </w:rPr>
      </w:pPr>
    </w:p>
    <w:p w14:paraId="24EA48B2">
      <w:pPr>
        <w:pStyle w:val="4"/>
        <w:adjustRightInd w:val="0"/>
        <w:snapToGrid w:val="0"/>
        <w:spacing w:line="560" w:lineRule="exact"/>
        <w:jc w:val="center"/>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目  录</w:t>
      </w:r>
    </w:p>
    <w:p w14:paraId="63C96DAD">
      <w:pPr>
        <w:rPr>
          <w:rFonts w:hint="default" w:ascii="Times New Roman" w:hAnsi="Times New Roman" w:cs="Times New Roman"/>
          <w:color w:val="auto"/>
        </w:rPr>
      </w:pPr>
    </w:p>
    <w:p w14:paraId="2A109572">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第一部分 部门（单位）概况</w:t>
      </w:r>
    </w:p>
    <w:p w14:paraId="3BC6F23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1、主要职责</w:t>
      </w:r>
    </w:p>
    <w:p w14:paraId="727BF42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2、部门（单位）预算构成</w:t>
      </w:r>
    </w:p>
    <w:p w14:paraId="48939B9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3</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202</w:t>
      </w:r>
      <w:r>
        <w:rPr>
          <w:rFonts w:hint="default" w:ascii="Times New Roman" w:hAnsi="Times New Roman" w:eastAsia="方正仿宋_GB2312" w:cs="Times New Roman"/>
          <w:bCs/>
          <w:color w:val="auto"/>
          <w:sz w:val="32"/>
          <w:szCs w:val="32"/>
          <w:lang w:val="en-US" w:eastAsia="zh-CN"/>
        </w:rPr>
        <w:t>5</w:t>
      </w:r>
      <w:r>
        <w:rPr>
          <w:rFonts w:hint="default" w:ascii="Times New Roman" w:hAnsi="Times New Roman" w:eastAsia="方正仿宋_GB2312" w:cs="Times New Roman"/>
          <w:bCs/>
          <w:color w:val="auto"/>
          <w:sz w:val="32"/>
          <w:szCs w:val="32"/>
        </w:rPr>
        <w:t>年度主要工作任务</w:t>
      </w:r>
    </w:p>
    <w:p w14:paraId="261B9D30">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第二部分 202</w:t>
      </w:r>
      <w:r>
        <w:rPr>
          <w:rFonts w:hint="default" w:ascii="Times New Roman" w:hAnsi="Times New Roman" w:eastAsia="方正仿宋_GB2312" w:cs="Times New Roman"/>
          <w:b/>
          <w:color w:val="auto"/>
          <w:sz w:val="32"/>
          <w:szCs w:val="32"/>
          <w:lang w:val="en-US" w:eastAsia="zh-CN"/>
        </w:rPr>
        <w:t>5</w:t>
      </w:r>
      <w:r>
        <w:rPr>
          <w:rFonts w:hint="default" w:ascii="Times New Roman" w:hAnsi="Times New Roman" w:eastAsia="方正仿宋_GB2312" w:cs="Times New Roman"/>
          <w:b/>
          <w:color w:val="auto"/>
          <w:sz w:val="32"/>
          <w:szCs w:val="32"/>
        </w:rPr>
        <w:t>年部门（单位）预算表</w:t>
      </w:r>
    </w:p>
    <w:p w14:paraId="0E11D61B">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收支总表</w:t>
      </w:r>
    </w:p>
    <w:p w14:paraId="35D3807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收入总表</w:t>
      </w:r>
    </w:p>
    <w:p w14:paraId="0E32563D">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3、</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支出总表</w:t>
      </w:r>
    </w:p>
    <w:p w14:paraId="49822CDA">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4、</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财政拨款收支总表</w:t>
      </w:r>
    </w:p>
    <w:p w14:paraId="2950CA42">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5、</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一般公共预算支出表</w:t>
      </w:r>
    </w:p>
    <w:p w14:paraId="0700A1C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6、</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一般公共预算基本支出表</w:t>
      </w:r>
    </w:p>
    <w:p w14:paraId="4ED9F198">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7、</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政府性基金预算支出表</w:t>
      </w:r>
    </w:p>
    <w:p w14:paraId="0113C9D3">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8、</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国有资本经营预算支出表</w:t>
      </w:r>
    </w:p>
    <w:p w14:paraId="1AEF5B13">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9、</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项目支出表</w:t>
      </w:r>
    </w:p>
    <w:p w14:paraId="5C96A5E3">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10、</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政府采购支出表</w:t>
      </w:r>
    </w:p>
    <w:p w14:paraId="68CC320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11、</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政府购买服务支出表</w:t>
      </w:r>
    </w:p>
    <w:p w14:paraId="7BE0D7B8">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12、</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通用资产配置支出表</w:t>
      </w:r>
    </w:p>
    <w:p w14:paraId="51FB32A6">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 xml:space="preserve">第三部分 </w:t>
      </w:r>
      <w:r>
        <w:rPr>
          <w:rFonts w:hint="default" w:ascii="Times New Roman" w:hAnsi="Times New Roman" w:eastAsia="方正仿宋_GB2312" w:cs="Times New Roman"/>
          <w:b/>
          <w:color w:val="auto"/>
          <w:sz w:val="32"/>
          <w:szCs w:val="32"/>
          <w:lang w:eastAsia="zh-CN"/>
        </w:rPr>
        <w:t>2025年</w:t>
      </w:r>
      <w:r>
        <w:rPr>
          <w:rFonts w:hint="default" w:ascii="Times New Roman" w:hAnsi="Times New Roman" w:eastAsia="方正仿宋_GB2312" w:cs="Times New Roman"/>
          <w:b/>
          <w:color w:val="auto"/>
          <w:sz w:val="32"/>
          <w:szCs w:val="32"/>
        </w:rPr>
        <w:t>部门（单位）预算情况说明</w:t>
      </w:r>
    </w:p>
    <w:p w14:paraId="2E4C67DF">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收支总表的说明</w:t>
      </w:r>
    </w:p>
    <w:p w14:paraId="0674602A">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收入总表的说明</w:t>
      </w:r>
    </w:p>
    <w:p w14:paraId="0EA2ABC2">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3、关于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支出总表的说明</w:t>
      </w:r>
    </w:p>
    <w:p w14:paraId="7308CB4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4、关于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财政拨款收支总表的说明</w:t>
      </w:r>
    </w:p>
    <w:p w14:paraId="673A596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5、关于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一般公共预算支出表的说明</w:t>
      </w:r>
    </w:p>
    <w:p w14:paraId="15D7C434">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6、关于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一般公共预算基本支出表的说明</w:t>
      </w:r>
    </w:p>
    <w:p w14:paraId="609FAFB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7、关于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政府性基金预算支出表的说明</w:t>
      </w:r>
    </w:p>
    <w:p w14:paraId="7CA5FD74">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8、关于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国有资本经营预算支出表的说明</w:t>
      </w:r>
    </w:p>
    <w:p w14:paraId="09EEFC2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9、关于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项目支出表的说明</w:t>
      </w:r>
    </w:p>
    <w:p w14:paraId="5F64BB8B">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10、关于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政府采购支出表的说明</w:t>
      </w:r>
    </w:p>
    <w:p w14:paraId="5A31333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11、关于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政府购买服务支出表的说明</w:t>
      </w:r>
    </w:p>
    <w:p w14:paraId="13873CF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12、其他重要事项情况说明</w:t>
      </w:r>
    </w:p>
    <w:p w14:paraId="366DC526">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第四部分 名词解释</w:t>
      </w:r>
    </w:p>
    <w:p w14:paraId="0B7A57FE">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第五部分 其它公开事项</w:t>
      </w:r>
    </w:p>
    <w:p w14:paraId="75CED61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部门预算纳入绩效考评项目表</w:t>
      </w:r>
    </w:p>
    <w:p w14:paraId="09EF3A5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部门预算专项资金管理清单（专栏公开）</w:t>
      </w:r>
    </w:p>
    <w:p w14:paraId="0FE2411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p>
    <w:p w14:paraId="0CD1F78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p>
    <w:p w14:paraId="490A05CC">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第一部分 部门（单位）概况</w:t>
      </w:r>
    </w:p>
    <w:p w14:paraId="70F45E13">
      <w:pPr>
        <w:rPr>
          <w:rFonts w:hint="default" w:ascii="Times New Roman" w:hAnsi="Times New Roman" w:cs="Times New Roman"/>
          <w:color w:val="auto"/>
        </w:rPr>
      </w:pPr>
    </w:p>
    <w:p w14:paraId="7F95B6A9">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一、主要职责</w:t>
      </w:r>
    </w:p>
    <w:p w14:paraId="7B21AE62">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一</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负责区政府负责同志政务活动的安排和服务，承担为区政府负责同志服务的相关工作。</w:t>
      </w:r>
    </w:p>
    <w:p w14:paraId="6C98153A">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二</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负责区政府会议、重要活动的组织工作，协助区政府负责同志组织实施会议决定的事项。</w:t>
      </w:r>
    </w:p>
    <w:p w14:paraId="12783001">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三</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负责起草区政府工作报告、政府各种会议讲话材料等协助区政府负责同志组织起草或审核以区政府、区政府办公室名义发布的公文</w:t>
      </w:r>
      <w:r>
        <w:rPr>
          <w:rFonts w:hint="default" w:ascii="Times New Roman" w:hAnsi="Times New Roman" w:eastAsia="方正仿宋_GB2312" w:cs="Times New Roman"/>
          <w:bCs/>
          <w:color w:val="auto"/>
          <w:sz w:val="32"/>
          <w:szCs w:val="32"/>
          <w:lang w:eastAsia="zh-CN"/>
        </w:rPr>
        <w:t>。</w:t>
      </w:r>
    </w:p>
    <w:p w14:paraId="07FC6CA3">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四</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负责区政府、区政府办公室文电的收发、运转、印制以及文电督办、机要保密等工作。</w:t>
      </w:r>
    </w:p>
    <w:p w14:paraId="546A16FA">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五</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研究区政府各部门和镇人民政府、街道办事处请示区政府的事项，提出审核意见，报区政府负责同志审批。</w:t>
      </w:r>
    </w:p>
    <w:p w14:paraId="4B3B475F">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六</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负责区以上人大代表议案、建议和政协委员提案的分办、督办工作</w:t>
      </w:r>
      <w:r>
        <w:rPr>
          <w:rFonts w:hint="default" w:ascii="Times New Roman" w:hAnsi="Times New Roman" w:eastAsia="方正仿宋_GB2312" w:cs="Times New Roman"/>
          <w:bCs/>
          <w:color w:val="auto"/>
          <w:sz w:val="32"/>
          <w:szCs w:val="32"/>
          <w:lang w:eastAsia="zh-CN"/>
        </w:rPr>
        <w:t>。</w:t>
      </w:r>
    </w:p>
    <w:p w14:paraId="1908F424">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七</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负责全区政府信息公开平台的管理和维护，负责指导推进协调和监督全区政府信息公开工作; 负责区政府及区政府办公室信息公开工作;负责指导监督全区政府网站规划建设和管理工作。</w:t>
      </w:r>
    </w:p>
    <w:p w14:paraId="4BE663F8">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八</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负责办理省、市长热线和省、市长信箱交办的事项及时处理人民网、政务服务网留言等群众咨询、举报、投诉反映的各类问题;负责区“政风行风热线”工作的总体部署、组织协调和指导等工作。</w:t>
      </w:r>
    </w:p>
    <w:p w14:paraId="0A7A5243">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九</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负责区政府值班工作，及时报告重要情况，传达和督促落实区政府负责同志相关批示</w:t>
      </w:r>
      <w:r>
        <w:rPr>
          <w:rFonts w:hint="default" w:ascii="Times New Roman" w:hAnsi="Times New Roman" w:eastAsia="方正仿宋_GB2312" w:cs="Times New Roman"/>
          <w:bCs/>
          <w:color w:val="auto"/>
          <w:sz w:val="32"/>
          <w:szCs w:val="32"/>
          <w:lang w:eastAsia="zh-CN"/>
        </w:rPr>
        <w:t>。</w:t>
      </w:r>
    </w:p>
    <w:p w14:paraId="051921DC">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负责全区政务信息工作; 根据区政府负责同志的指示组织专题调查研究，搜集整理信息舆情，及时准确地向区政府负责同志反馈情况，提出建议</w:t>
      </w:r>
      <w:r>
        <w:rPr>
          <w:rFonts w:hint="default" w:ascii="Times New Roman" w:hAnsi="Times New Roman" w:eastAsia="方正仿宋_GB2312" w:cs="Times New Roman"/>
          <w:bCs/>
          <w:color w:val="auto"/>
          <w:sz w:val="32"/>
          <w:szCs w:val="32"/>
          <w:lang w:eastAsia="zh-CN"/>
        </w:rPr>
        <w:t>。</w:t>
      </w:r>
    </w:p>
    <w:p w14:paraId="3205BE65">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十一</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负责区政府工作规则的修订和监督执行;负责区政府重大决策规定程序和宣传解读方案审查工作</w:t>
      </w:r>
      <w:r>
        <w:rPr>
          <w:rFonts w:hint="default" w:ascii="Times New Roman" w:hAnsi="Times New Roman" w:eastAsia="方正仿宋_GB2312" w:cs="Times New Roman"/>
          <w:bCs/>
          <w:color w:val="auto"/>
          <w:sz w:val="32"/>
          <w:szCs w:val="32"/>
          <w:lang w:eastAsia="zh-CN"/>
        </w:rPr>
        <w:t>。</w:t>
      </w:r>
    </w:p>
    <w:p w14:paraId="28314F87">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十二</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负责全区“放管服”改革和营商环境监督相关工作</w:t>
      </w:r>
      <w:r>
        <w:rPr>
          <w:rFonts w:hint="default" w:ascii="Times New Roman" w:hAnsi="Times New Roman" w:eastAsia="方正仿宋_GB2312" w:cs="Times New Roman"/>
          <w:bCs/>
          <w:color w:val="auto"/>
          <w:sz w:val="32"/>
          <w:szCs w:val="32"/>
          <w:lang w:eastAsia="zh-CN"/>
        </w:rPr>
        <w:t>。</w:t>
      </w:r>
    </w:p>
    <w:p w14:paraId="3145AB2C">
      <w:pPr>
        <w:pStyle w:val="4"/>
        <w:adjustRightInd w:val="0"/>
        <w:snapToGrid w:val="0"/>
        <w:spacing w:line="560" w:lineRule="exact"/>
        <w:ind w:firstLine="627" w:firstLineChars="196"/>
        <w:rPr>
          <w:rFonts w:hint="eastAsia"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十三</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负责全区外事、港澳事务和因公出国(境)管理等工作;承担区委外事工作委员会的日常工作</w:t>
      </w:r>
      <w:r>
        <w:rPr>
          <w:rFonts w:hint="eastAsia" w:ascii="Times New Roman" w:hAnsi="Times New Roman" w:eastAsia="方正仿宋_GB2312" w:cs="Times New Roman"/>
          <w:bCs/>
          <w:color w:val="auto"/>
          <w:sz w:val="32"/>
          <w:szCs w:val="32"/>
          <w:lang w:eastAsia="zh-CN"/>
        </w:rPr>
        <w:t>。</w:t>
      </w:r>
    </w:p>
    <w:p w14:paraId="5D1C1957">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十四</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完成区委、区政府交办的其他任务。</w:t>
      </w:r>
    </w:p>
    <w:p w14:paraId="5408ED8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二、部门（单位）预算构成</w:t>
      </w:r>
    </w:p>
    <w:p w14:paraId="244B23C5">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方正仿宋_GB2312" w:cs="Times New Roman"/>
          <w:color w:val="auto"/>
          <w:sz w:val="32"/>
          <w:szCs w:val="32"/>
        </w:rPr>
        <w:t>从预算单位构成看，</w:t>
      </w:r>
      <w:r>
        <w:rPr>
          <w:rFonts w:hint="default" w:ascii="Times New Roman" w:hAnsi="Times New Roman" w:eastAsia="方正仿宋_GB2312" w:cs="Times New Roman"/>
          <w:bCs/>
          <w:color w:val="auto"/>
          <w:sz w:val="32"/>
          <w:szCs w:val="32"/>
          <w:lang w:eastAsia="zh-CN"/>
        </w:rPr>
        <w:t>杜集区</w:t>
      </w:r>
      <w:r>
        <w:rPr>
          <w:rFonts w:hint="default"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color w:val="auto"/>
          <w:sz w:val="32"/>
          <w:szCs w:val="32"/>
          <w:lang w:eastAsia="zh-CN"/>
        </w:rPr>
        <w:t>2025年</w:t>
      </w:r>
      <w:r>
        <w:rPr>
          <w:rFonts w:hint="default" w:ascii="Times New Roman" w:hAnsi="Times New Roman" w:eastAsia="方正仿宋_GB2312" w:cs="Times New Roman"/>
          <w:color w:val="auto"/>
          <w:sz w:val="32"/>
          <w:szCs w:val="32"/>
        </w:rPr>
        <w:t>度部门预算仅包括</w:t>
      </w:r>
      <w:r>
        <w:rPr>
          <w:rFonts w:hint="default" w:ascii="Times New Roman" w:hAnsi="Times New Roman" w:eastAsia="方正仿宋_GB2312" w:cs="Times New Roman"/>
          <w:color w:val="auto"/>
          <w:sz w:val="32"/>
          <w:szCs w:val="32"/>
          <w:lang w:val="en-US" w:eastAsia="zh-CN"/>
        </w:rPr>
        <w:t>局</w:t>
      </w:r>
      <w:r>
        <w:rPr>
          <w:rFonts w:hint="default" w:ascii="Times New Roman" w:hAnsi="Times New Roman" w:eastAsia="方正仿宋_GB2312" w:cs="Times New Roman"/>
          <w:color w:val="auto"/>
          <w:sz w:val="32"/>
          <w:szCs w:val="32"/>
        </w:rPr>
        <w:t>本级预算，无其他下属单位预算。</w:t>
      </w:r>
    </w:p>
    <w:tbl>
      <w:tblPr>
        <w:tblStyle w:val="5"/>
        <w:tblW w:w="8540" w:type="dxa"/>
        <w:jc w:val="center"/>
        <w:tblLayout w:type="fixed"/>
        <w:tblCellMar>
          <w:top w:w="0" w:type="dxa"/>
          <w:left w:w="0" w:type="dxa"/>
          <w:bottom w:w="0" w:type="dxa"/>
          <w:right w:w="0" w:type="dxa"/>
        </w:tblCellMar>
      </w:tblPr>
      <w:tblGrid>
        <w:gridCol w:w="854"/>
        <w:gridCol w:w="3416"/>
        <w:gridCol w:w="4270"/>
      </w:tblGrid>
      <w:tr w14:paraId="6496CAFE">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FBB03">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34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57567B">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单位名称</w:t>
            </w:r>
          </w:p>
        </w:tc>
        <w:tc>
          <w:tcPr>
            <w:tcW w:w="4270" w:type="dxa"/>
            <w:tcBorders>
              <w:top w:val="single" w:color="auto" w:sz="8" w:space="0"/>
              <w:left w:val="nil"/>
              <w:bottom w:val="single" w:color="auto" w:sz="8" w:space="0"/>
              <w:right w:val="single" w:color="auto" w:sz="8" w:space="0"/>
            </w:tcBorders>
            <w:shd w:val="clear" w:color="auto" w:fill="auto"/>
            <w:vAlign w:val="center"/>
          </w:tcPr>
          <w:p w14:paraId="0F6B0064">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单位性质</w:t>
            </w:r>
          </w:p>
        </w:tc>
      </w:tr>
      <w:tr w14:paraId="33638BB0">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24681">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3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57629">
            <w:pPr>
              <w:adjustRightInd w:val="0"/>
              <w:snapToGrid w:val="0"/>
              <w:spacing w:line="560" w:lineRule="exact"/>
              <w:jc w:val="center"/>
              <w:rPr>
                <w:rFonts w:hint="default" w:ascii="Times New Roman" w:hAnsi="Times New Roman" w:cs="Times New Roman" w:eastAsiaTheme="minorEastAsia"/>
                <w:color w:val="auto"/>
                <w:sz w:val="24"/>
                <w:u w:val="single"/>
                <w:lang w:val="en-US" w:eastAsia="zh-CN"/>
              </w:rPr>
            </w:pPr>
            <w:r>
              <w:rPr>
                <w:rFonts w:hint="eastAsia" w:ascii="Times New Roman" w:hAnsi="Times New Roman" w:cs="Times New Roman"/>
                <w:bCs/>
                <w:color w:val="auto"/>
                <w:sz w:val="24"/>
                <w:lang w:val="en-US" w:eastAsia="zh-CN"/>
              </w:rPr>
              <w:t>淮北市杜集区人民政府办公室</w:t>
            </w:r>
          </w:p>
        </w:tc>
        <w:tc>
          <w:tcPr>
            <w:tcW w:w="4270" w:type="dxa"/>
            <w:tcBorders>
              <w:top w:val="nil"/>
              <w:left w:val="nil"/>
              <w:bottom w:val="single" w:color="auto" w:sz="8" w:space="0"/>
              <w:right w:val="single" w:color="auto" w:sz="8" w:space="0"/>
            </w:tcBorders>
            <w:shd w:val="clear" w:color="auto" w:fill="auto"/>
            <w:vAlign w:val="center"/>
          </w:tcPr>
          <w:p w14:paraId="180625B6">
            <w:pPr>
              <w:adjustRightInd w:val="0"/>
              <w:snapToGrid w:val="0"/>
              <w:spacing w:line="560" w:lineRule="exact"/>
              <w:jc w:val="center"/>
              <w:rPr>
                <w:rFonts w:hint="default" w:ascii="Times New Roman" w:hAnsi="Times New Roman" w:cs="Times New Roman"/>
                <w:color w:val="auto"/>
                <w:sz w:val="24"/>
                <w:u w:val="single"/>
              </w:rPr>
            </w:pPr>
            <w:r>
              <w:rPr>
                <w:rFonts w:hint="default" w:ascii="Times New Roman" w:hAnsi="Times New Roman" w:cs="Times New Roman"/>
                <w:bCs/>
                <w:color w:val="auto"/>
                <w:sz w:val="24"/>
              </w:rPr>
              <w:t>行政单位</w:t>
            </w:r>
          </w:p>
        </w:tc>
      </w:tr>
    </w:tbl>
    <w:p w14:paraId="34B16953">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度主要工作任务</w:t>
      </w:r>
    </w:p>
    <w:p w14:paraId="18223081">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一）强化政治意识，对党绝对忠诚。坚持把党的政治建设摆在首要位置，持续深入学习贯彻习近平新时代中国特色社会主义思想和党的二十大精神，自觉提高政治站位，旗帜鲜明讲政治，坚定不移地做政治上的“明白人”。带头衷心拥护“两个确立”、忠诚践行“两个维护”，不断提高政治判断力、政治领悟力、政治执行力，始终在政治立场、政治方向、政治原则、政治道路上同党中央保持高度一致。严格执行党内政治生活准则，认真落实民主集中制等组织制度，牢牢守住意识形态主阵地。</w:t>
      </w:r>
    </w:p>
    <w:p w14:paraId="0B5111FA">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二）强化宗旨意识，厚植人民情怀。更加用心用情地走进群众、服务群众，千方百计解决好群众的急难愁盼问题。协助区政府领导带头落实领导干部接访下访、包案化解、阅批群众来信等制度。紧紧围绕区政府工作重心，把更多政策、视角面向基层，对基层请示的具体问题，多一些换位思考、少一些高高在上，多想“怎么办”、少说“没法办”，用“辛苦指数”换来群众“幸福指数”。</w:t>
      </w:r>
    </w:p>
    <w:p w14:paraId="01F2BE7B">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三）强化责任意识，服务发展大局。坚持把担当作为一种责任和使命，不断总结和完善工作经验，提出新思路，拿出新举措，开创新局面。持续深化“一改两为”，拿出真心为企服务，秉持公心政商交往，确保顺心兑现政策，为打造一流营商环境赋能增效。充分发挥区营商环境服务中心作用，推动出台支持市场主体纾困发展、金融助企等系列举措，不断加大助企纾困力度，让优化营商环境、全心全意服务企业掷地有声。</w:t>
      </w:r>
    </w:p>
    <w:p w14:paraId="30667403">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四）强化纪律意识，筑牢廉洁底线。认真开展党纪学习教育，坚持严管和厚爱结合、激励和约束并重，推动形成干事创业、比学赶超的良好氛围。带头严守党的政治纪律和政治规矩，认真落实党风廉政责任，严格落实“三重一大”、个人重大事项报告等制度，自觉接受监督，广泛听取意见，守牢思想防线、道德底线和法纪红线。带头严格遵守中央八项规定及其实施细则精神，以更高标准、更严要求管好自己、管好亲属子女，自觉做忠诚干净担当的表率。</w:t>
      </w:r>
    </w:p>
    <w:p w14:paraId="6F1CFE8F">
      <w:pPr>
        <w:pStyle w:val="4"/>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 New Roman" w:hAnsi="Times New Roman" w:eastAsia="黑体" w:cs="Times New Roman"/>
          <w:bCs/>
          <w:color w:val="auto"/>
          <w:sz w:val="36"/>
          <w:szCs w:val="36"/>
        </w:rPr>
      </w:pPr>
    </w:p>
    <w:p w14:paraId="2958DF41">
      <w:pPr>
        <w:pStyle w:val="4"/>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 xml:space="preserve">第二部分 </w:t>
      </w:r>
      <w:r>
        <w:rPr>
          <w:rFonts w:hint="default" w:ascii="Times New Roman" w:hAnsi="Times New Roman" w:eastAsia="黑体" w:cs="Times New Roman"/>
          <w:bCs/>
          <w:color w:val="auto"/>
          <w:sz w:val="36"/>
          <w:szCs w:val="36"/>
          <w:lang w:eastAsia="zh-CN"/>
        </w:rPr>
        <w:t>2025年</w:t>
      </w:r>
      <w:r>
        <w:rPr>
          <w:rFonts w:hint="default" w:ascii="Times New Roman" w:hAnsi="Times New Roman" w:eastAsia="黑体" w:cs="Times New Roman"/>
          <w:bCs/>
          <w:color w:val="auto"/>
          <w:sz w:val="36"/>
          <w:szCs w:val="36"/>
        </w:rPr>
        <w:t>部门预算表</w:t>
      </w:r>
    </w:p>
    <w:p w14:paraId="5FD86BC6">
      <w:pPr>
        <w:pStyle w:val="4"/>
        <w:adjustRightInd w:val="0"/>
        <w:snapToGrid w:val="0"/>
        <w:spacing w:line="560" w:lineRule="exact"/>
        <w:ind w:firstLine="627" w:firstLineChars="196"/>
        <w:jc w:val="center"/>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见附件1-2</w:t>
      </w:r>
    </w:p>
    <w:p w14:paraId="2B2A4261">
      <w:pPr>
        <w:rPr>
          <w:rFonts w:hint="default" w:ascii="Times New Roman" w:hAnsi="Times New Roman" w:cs="Times New Roman"/>
          <w:color w:val="auto"/>
        </w:rPr>
      </w:pPr>
      <w:r>
        <w:rPr>
          <w:rFonts w:hint="default" w:ascii="Times New Roman" w:hAnsi="Times New Roman" w:cs="Times New Roman"/>
          <w:color w:val="auto"/>
        </w:rPr>
        <w:t xml:space="preserve">                                        </w:t>
      </w:r>
    </w:p>
    <w:p w14:paraId="3CBDA5B6">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 xml:space="preserve">第三部分 </w:t>
      </w:r>
      <w:r>
        <w:rPr>
          <w:rFonts w:hint="default" w:ascii="Times New Roman" w:hAnsi="Times New Roman" w:eastAsia="黑体" w:cs="Times New Roman"/>
          <w:bCs/>
          <w:color w:val="auto"/>
          <w:sz w:val="36"/>
          <w:szCs w:val="36"/>
          <w:lang w:eastAsia="zh-CN"/>
        </w:rPr>
        <w:t>2025年</w:t>
      </w:r>
      <w:r>
        <w:rPr>
          <w:rFonts w:hint="default" w:ascii="Times New Roman" w:hAnsi="Times New Roman" w:eastAsia="黑体" w:cs="Times New Roman"/>
          <w:bCs/>
          <w:color w:val="auto"/>
          <w:sz w:val="36"/>
          <w:szCs w:val="36"/>
        </w:rPr>
        <w:t>部门（单位）预算情况说明</w:t>
      </w:r>
    </w:p>
    <w:p w14:paraId="1C9E42C2">
      <w:pPr>
        <w:rPr>
          <w:rFonts w:hint="default" w:ascii="Times New Roman" w:hAnsi="Times New Roman" w:cs="Times New Roman"/>
          <w:color w:val="auto"/>
        </w:rPr>
      </w:pPr>
    </w:p>
    <w:p w14:paraId="19A0FF3D">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收支总表的说明</w:t>
      </w:r>
    </w:p>
    <w:p w14:paraId="2AB8782F">
      <w:pPr>
        <w:pStyle w:val="4"/>
        <w:adjustRightInd w:val="0"/>
        <w:snapToGrid w:val="0"/>
        <w:spacing w:line="560" w:lineRule="exact"/>
        <w:ind w:firstLine="627"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按照综合预算的原则，</w:t>
      </w:r>
      <w:r>
        <w:rPr>
          <w:rFonts w:hint="default" w:ascii="Times New Roman" w:hAnsi="Times New Roman" w:eastAsia="方正仿宋_GB2312" w:cs="Times New Roman"/>
          <w:color w:val="auto"/>
          <w:sz w:val="32"/>
          <w:szCs w:val="32"/>
          <w:lang w:eastAsia="zh-CN"/>
        </w:rPr>
        <w:t>杜集区</w:t>
      </w:r>
      <w:r>
        <w:rPr>
          <w:rFonts w:hint="default" w:ascii="Times New Roman" w:hAnsi="Times New Roman" w:eastAsia="方正仿宋_GB2312" w:cs="Times New Roman"/>
          <w:color w:val="auto"/>
          <w:sz w:val="32"/>
          <w:szCs w:val="32"/>
          <w:lang w:val="en-US" w:eastAsia="zh-CN"/>
        </w:rPr>
        <w:t>政府办</w:t>
      </w:r>
      <w:r>
        <w:rPr>
          <w:rFonts w:hint="default" w:ascii="Times New Roman" w:hAnsi="Times New Roman" w:eastAsia="方正仿宋_GB2312" w:cs="Times New Roman"/>
          <w:color w:val="auto"/>
          <w:sz w:val="32"/>
          <w:szCs w:val="32"/>
        </w:rPr>
        <w:t>所有收入和支出均纳入部门预算管理。</w:t>
      </w:r>
      <w:r>
        <w:rPr>
          <w:rFonts w:hint="default" w:ascii="Times New Roman" w:hAnsi="Times New Roman" w:eastAsia="方正仿宋_GB2312" w:cs="Times New Roman"/>
          <w:color w:val="auto"/>
          <w:sz w:val="32"/>
          <w:szCs w:val="32"/>
          <w:lang w:eastAsia="zh-CN"/>
        </w:rPr>
        <w:t>杜集区</w:t>
      </w:r>
      <w:r>
        <w:rPr>
          <w:rFonts w:hint="default" w:ascii="Times New Roman" w:hAnsi="Times New Roman" w:eastAsia="方正仿宋_GB2312" w:cs="Times New Roman"/>
          <w:color w:val="auto"/>
          <w:sz w:val="32"/>
          <w:szCs w:val="32"/>
          <w:lang w:val="en-US" w:eastAsia="zh-CN"/>
        </w:rPr>
        <w:t>政府办</w:t>
      </w:r>
      <w:r>
        <w:rPr>
          <w:rFonts w:hint="default" w:ascii="Times New Roman" w:hAnsi="Times New Roman" w:eastAsia="方正仿宋_GB2312" w:cs="Times New Roman"/>
          <w:color w:val="auto"/>
          <w:sz w:val="32"/>
          <w:szCs w:val="32"/>
          <w:lang w:eastAsia="zh-CN"/>
        </w:rPr>
        <w:t>2025年</w:t>
      </w:r>
      <w:r>
        <w:rPr>
          <w:rFonts w:hint="default" w:ascii="Times New Roman" w:hAnsi="Times New Roman" w:eastAsia="方正仿宋_GB2312" w:cs="Times New Roman"/>
          <w:color w:val="auto"/>
          <w:sz w:val="32"/>
          <w:szCs w:val="32"/>
        </w:rPr>
        <w:t>收支总预算</w:t>
      </w:r>
      <w:r>
        <w:rPr>
          <w:rFonts w:hint="default" w:ascii="Times New Roman" w:hAnsi="Times New Roman" w:eastAsia="方正仿宋_GB2312" w:cs="Times New Roman"/>
          <w:color w:val="auto"/>
          <w:sz w:val="32"/>
          <w:szCs w:val="32"/>
          <w:lang w:val="en-US" w:eastAsia="zh-CN"/>
        </w:rPr>
        <w:t>551.53</w:t>
      </w:r>
      <w:r>
        <w:rPr>
          <w:rFonts w:hint="default" w:ascii="Times New Roman" w:hAnsi="Times New Roman" w:eastAsia="方正仿宋_GB2312" w:cs="Times New Roman"/>
          <w:color w:val="auto"/>
          <w:sz w:val="32"/>
          <w:szCs w:val="32"/>
        </w:rPr>
        <w:t>万元，收入全部是一般公共预算拨款收入</w:t>
      </w:r>
      <w:r>
        <w:rPr>
          <w:rFonts w:hint="default" w:ascii="Times New Roman" w:hAnsi="Times New Roman" w:eastAsia="方正仿宋_GB2312" w:cs="Times New Roman"/>
          <w:color w:val="auto"/>
          <w:sz w:val="32"/>
          <w:szCs w:val="32"/>
          <w:lang w:val="en-US" w:eastAsia="zh-CN"/>
        </w:rPr>
        <w:t>551.53</w:t>
      </w:r>
      <w:r>
        <w:rPr>
          <w:rFonts w:hint="default" w:ascii="Times New Roman" w:hAnsi="Times New Roman" w:eastAsia="方正仿宋_GB2312" w:cs="Times New Roman"/>
          <w:color w:val="auto"/>
          <w:sz w:val="32"/>
          <w:szCs w:val="32"/>
        </w:rPr>
        <w:t>万元，支出包括：一般公共服务支出、社会保障和就业支出、卫生健康支出、住房保障支出。</w:t>
      </w:r>
    </w:p>
    <w:p w14:paraId="1242D045">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收入总表的说明</w:t>
      </w:r>
    </w:p>
    <w:p w14:paraId="55E9CF3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收入预算</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万元，其中，本年收入</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w:t>
      </w:r>
    </w:p>
    <w:p w14:paraId="30CE6FFB">
      <w:pPr>
        <w:ind w:firstLine="643" w:firstLineChars="200"/>
        <w:rPr>
          <w:rFonts w:hint="default" w:ascii="Times New Roman" w:hAnsi="Times New Roman" w:eastAsia="方正楷体_GB2312" w:cs="Times New Roman"/>
          <w:color w:val="auto"/>
          <w:kern w:val="0"/>
          <w:sz w:val="32"/>
          <w:szCs w:val="32"/>
          <w:lang w:val="en-US" w:eastAsia="zh-CN"/>
        </w:rPr>
      </w:pPr>
      <w:r>
        <w:rPr>
          <w:rFonts w:hint="default" w:ascii="Times New Roman" w:hAnsi="Times New Roman" w:eastAsia="方正仿宋_GB2312" w:cs="Times New Roman"/>
          <w:b/>
          <w:color w:val="auto"/>
          <w:kern w:val="0"/>
          <w:sz w:val="32"/>
          <w:szCs w:val="32"/>
        </w:rPr>
        <w:t>本年收入</w:t>
      </w:r>
      <w:r>
        <w:rPr>
          <w:rFonts w:hint="default" w:ascii="Times New Roman" w:hAnsi="Times New Roman" w:eastAsia="方正仿宋_GB2312" w:cs="Times New Roman"/>
          <w:b/>
          <w:color w:val="auto"/>
          <w:kern w:val="0"/>
          <w:sz w:val="32"/>
          <w:szCs w:val="32"/>
          <w:lang w:val="en-US" w:eastAsia="zh-CN"/>
        </w:rPr>
        <w:t>551.53</w:t>
      </w:r>
      <w:r>
        <w:rPr>
          <w:rFonts w:hint="default" w:ascii="Times New Roman" w:hAnsi="Times New Roman" w:eastAsia="方正仿宋_GB2312" w:cs="Times New Roman"/>
          <w:b/>
          <w:color w:val="auto"/>
          <w:kern w:val="0"/>
          <w:sz w:val="32"/>
          <w:szCs w:val="32"/>
        </w:rPr>
        <w:t>万元，</w:t>
      </w:r>
      <w:r>
        <w:rPr>
          <w:rFonts w:hint="default" w:ascii="Times New Roman" w:hAnsi="Times New Roman" w:eastAsia="方正仿宋_GB2312" w:cs="Times New Roman"/>
          <w:color w:val="auto"/>
          <w:kern w:val="0"/>
          <w:sz w:val="32"/>
          <w:szCs w:val="32"/>
        </w:rPr>
        <w:t>主要包括：一般公共预算拨款收入</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100</w:t>
      </w:r>
      <w:r>
        <w:rPr>
          <w:rFonts w:hint="default" w:ascii="Times New Roman" w:hAnsi="Times New Roman" w:eastAsia="方正仿宋_GB2312" w:cs="Times New Roman"/>
          <w:color w:val="auto"/>
          <w:kern w:val="0"/>
          <w:sz w:val="32"/>
          <w:szCs w:val="32"/>
        </w:rPr>
        <w:t>%，比202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9.94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厉行节约</w:t>
      </w:r>
      <w:r>
        <w:rPr>
          <w:rFonts w:hint="default" w:ascii="Times New Roman" w:hAnsi="Times New Roman" w:eastAsia="方正仿宋_GB2312" w:cs="Times New Roman"/>
          <w:color w:val="auto"/>
          <w:kern w:val="0"/>
          <w:sz w:val="32"/>
          <w:szCs w:val="32"/>
        </w:rPr>
        <w:t>；政府性基金预算拨款收入</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万元，增长</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%，原因主要是没有政府性基金预算拨款收入；财政专户管理资金收入</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万元，增长</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没有财政专户管理资金收入</w:t>
      </w:r>
      <w:r>
        <w:rPr>
          <w:rFonts w:hint="default" w:ascii="Times New Roman" w:hAnsi="Times New Roman" w:eastAsia="方正仿宋_GB2312" w:cs="Times New Roman"/>
          <w:color w:val="auto"/>
          <w:kern w:val="0"/>
          <w:sz w:val="32"/>
          <w:szCs w:val="32"/>
        </w:rPr>
        <w:t>。</w:t>
      </w:r>
    </w:p>
    <w:p w14:paraId="2EF8A7A9">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支出总表的说明</w:t>
      </w:r>
    </w:p>
    <w:p w14:paraId="34924273">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支出预算</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9.94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厉行节约</w:t>
      </w:r>
      <w:r>
        <w:rPr>
          <w:rFonts w:hint="default" w:ascii="Times New Roman" w:hAnsi="Times New Roman" w:eastAsia="方正仿宋_GB2312" w:cs="Times New Roman"/>
          <w:color w:val="auto"/>
          <w:kern w:val="0"/>
          <w:sz w:val="32"/>
          <w:szCs w:val="32"/>
        </w:rPr>
        <w:t>。其中，基本支出</w:t>
      </w:r>
      <w:r>
        <w:rPr>
          <w:rFonts w:hint="default" w:ascii="Times New Roman" w:hAnsi="Times New Roman" w:eastAsia="方正仿宋_GB2312" w:cs="Times New Roman"/>
          <w:color w:val="auto"/>
          <w:kern w:val="0"/>
          <w:sz w:val="32"/>
          <w:szCs w:val="32"/>
          <w:lang w:val="en-US" w:eastAsia="zh-CN"/>
        </w:rPr>
        <w:t>334.76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60.7</w:t>
      </w:r>
      <w:r>
        <w:rPr>
          <w:rFonts w:hint="default" w:ascii="Times New Roman" w:hAnsi="Times New Roman" w:eastAsia="方正仿宋_GB2312" w:cs="Times New Roman"/>
          <w:color w:val="auto"/>
          <w:kern w:val="0"/>
          <w:sz w:val="32"/>
          <w:szCs w:val="32"/>
        </w:rPr>
        <w:t>%，主要用于保障机构日常运转、完成日常工作任务；项目支出</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39.3</w:t>
      </w:r>
      <w:r>
        <w:rPr>
          <w:rFonts w:hint="default" w:ascii="Times New Roman" w:hAnsi="Times New Roman" w:eastAsia="方正仿宋_GB2312" w:cs="Times New Roman"/>
          <w:color w:val="auto"/>
          <w:kern w:val="0"/>
          <w:sz w:val="32"/>
          <w:szCs w:val="32"/>
        </w:rPr>
        <w:t>%，主要用于领导调研，机要保密，应急管理，优化营商，政务信息等工作。</w:t>
      </w:r>
    </w:p>
    <w:p w14:paraId="4F05180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财政拨款收支总表的说明</w:t>
      </w:r>
    </w:p>
    <w:p w14:paraId="629E2916">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财政拨款收支预算</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万元。收入按资金来源分为：一般公共预算拨款</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万元；按资金年度分为：本年财政拨款收入</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万元。支出按功能分类分为：一般公共服务支出</w:t>
      </w:r>
      <w:r>
        <w:rPr>
          <w:rFonts w:hint="default" w:ascii="Times New Roman" w:hAnsi="Times New Roman" w:eastAsia="方正仿宋_GB2312" w:cs="Times New Roman"/>
          <w:color w:val="auto"/>
          <w:kern w:val="0"/>
          <w:sz w:val="32"/>
          <w:szCs w:val="32"/>
          <w:lang w:val="en-US" w:eastAsia="zh-CN"/>
        </w:rPr>
        <w:t>446.13</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80.89</w:t>
      </w:r>
      <w:r>
        <w:rPr>
          <w:rFonts w:hint="default" w:ascii="Times New Roman" w:hAnsi="Times New Roman" w:eastAsia="方正仿宋_GB2312" w:cs="Times New Roman"/>
          <w:color w:val="auto"/>
          <w:kern w:val="0"/>
          <w:sz w:val="32"/>
          <w:szCs w:val="32"/>
        </w:rPr>
        <w:t>%；社会保障和就业支出</w:t>
      </w:r>
      <w:r>
        <w:rPr>
          <w:rFonts w:hint="default" w:ascii="Times New Roman" w:hAnsi="Times New Roman" w:eastAsia="方正仿宋_GB2312" w:cs="Times New Roman"/>
          <w:color w:val="auto"/>
          <w:kern w:val="0"/>
          <w:sz w:val="32"/>
          <w:szCs w:val="32"/>
          <w:lang w:val="en-US" w:eastAsia="zh-CN"/>
        </w:rPr>
        <w:t>50.86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9.22</w:t>
      </w:r>
      <w:r>
        <w:rPr>
          <w:rFonts w:hint="default" w:ascii="Times New Roman" w:hAnsi="Times New Roman" w:eastAsia="方正仿宋_GB2312" w:cs="Times New Roman"/>
          <w:color w:val="auto"/>
          <w:kern w:val="0"/>
          <w:sz w:val="32"/>
          <w:szCs w:val="32"/>
        </w:rPr>
        <w:t>%；卫生健康支出</w:t>
      </w:r>
      <w:r>
        <w:rPr>
          <w:rFonts w:hint="default" w:ascii="Times New Roman" w:hAnsi="Times New Roman" w:eastAsia="方正仿宋_GB2312" w:cs="Times New Roman"/>
          <w:color w:val="auto"/>
          <w:kern w:val="0"/>
          <w:sz w:val="32"/>
          <w:szCs w:val="32"/>
          <w:lang w:val="en-US" w:eastAsia="zh-CN"/>
        </w:rPr>
        <w:t>14.96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2.71</w:t>
      </w:r>
      <w:r>
        <w:rPr>
          <w:rFonts w:hint="default" w:ascii="Times New Roman" w:hAnsi="Times New Roman" w:eastAsia="方正仿宋_GB2312" w:cs="Times New Roman"/>
          <w:color w:val="auto"/>
          <w:kern w:val="0"/>
          <w:sz w:val="32"/>
          <w:szCs w:val="32"/>
        </w:rPr>
        <w:t>%；住房保障支出</w:t>
      </w:r>
      <w:r>
        <w:rPr>
          <w:rFonts w:hint="default" w:ascii="Times New Roman" w:hAnsi="Times New Roman" w:eastAsia="方正仿宋_GB2312" w:cs="Times New Roman"/>
          <w:color w:val="auto"/>
          <w:kern w:val="0"/>
          <w:sz w:val="32"/>
          <w:szCs w:val="32"/>
          <w:lang w:val="en-US" w:eastAsia="zh-CN"/>
        </w:rPr>
        <w:t>39.57</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7.17</w:t>
      </w:r>
      <w:r>
        <w:rPr>
          <w:rFonts w:hint="default" w:ascii="Times New Roman" w:hAnsi="Times New Roman" w:eastAsia="方正仿宋_GB2312" w:cs="Times New Roman"/>
          <w:color w:val="auto"/>
          <w:kern w:val="0"/>
          <w:sz w:val="32"/>
          <w:szCs w:val="32"/>
        </w:rPr>
        <w:t>%。</w:t>
      </w:r>
    </w:p>
    <w:p w14:paraId="48FEBDE7">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一般公共预算支出表的说明</w:t>
      </w:r>
    </w:p>
    <w:p w14:paraId="215DF757">
      <w:pPr>
        <w:pStyle w:val="4"/>
        <w:adjustRightInd w:val="0"/>
        <w:snapToGrid w:val="0"/>
        <w:spacing w:line="560" w:lineRule="exact"/>
        <w:ind w:firstLine="630" w:firstLineChars="196"/>
        <w:rPr>
          <w:rFonts w:hint="default" w:ascii="Times New Roman" w:hAnsi="Times New Roman" w:eastAsia="方正楷体_GB2312" w:cs="Times New Roman"/>
          <w:b/>
          <w:color w:val="auto"/>
          <w:sz w:val="32"/>
          <w:szCs w:val="32"/>
        </w:rPr>
      </w:pPr>
      <w:r>
        <w:rPr>
          <w:rFonts w:hint="default" w:ascii="Times New Roman" w:hAnsi="Times New Roman" w:eastAsia="方正楷体_GB2312" w:cs="Times New Roman"/>
          <w:b/>
          <w:color w:val="auto"/>
          <w:sz w:val="32"/>
          <w:szCs w:val="32"/>
        </w:rPr>
        <w:t>（一）一般公共预算支出规模变化情况。</w:t>
      </w:r>
    </w:p>
    <w:p w14:paraId="234B66A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一般公共预算支出</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9.94</w:t>
      </w:r>
      <w:r>
        <w:rPr>
          <w:rFonts w:hint="default" w:ascii="Times New Roman" w:hAnsi="Times New Roman" w:eastAsia="方正仿宋_GB2312" w:cs="Times New Roman"/>
          <w:color w:val="auto"/>
          <w:kern w:val="0"/>
          <w:sz w:val="32"/>
          <w:szCs w:val="32"/>
        </w:rPr>
        <w:t>%，主要原因：</w:t>
      </w:r>
      <w:r>
        <w:rPr>
          <w:rFonts w:hint="default" w:ascii="Times New Roman" w:hAnsi="Times New Roman" w:eastAsia="方正仿宋_GB2312" w:cs="Times New Roman"/>
          <w:color w:val="auto"/>
          <w:sz w:val="32"/>
          <w:szCs w:val="32"/>
          <w:lang w:eastAsia="zh-CN"/>
        </w:rPr>
        <w:t>响应国家号召厉行节约</w:t>
      </w:r>
      <w:r>
        <w:rPr>
          <w:rFonts w:hint="default" w:ascii="Times New Roman" w:hAnsi="Times New Roman" w:eastAsia="方正仿宋_GB2312" w:cs="Times New Roman"/>
          <w:color w:val="auto"/>
          <w:kern w:val="0"/>
          <w:sz w:val="32"/>
          <w:szCs w:val="32"/>
        </w:rPr>
        <w:t>。</w:t>
      </w:r>
    </w:p>
    <w:p w14:paraId="49DE98C0">
      <w:pPr>
        <w:pStyle w:val="4"/>
        <w:adjustRightInd w:val="0"/>
        <w:snapToGrid w:val="0"/>
        <w:spacing w:line="560" w:lineRule="exact"/>
        <w:ind w:firstLine="630" w:firstLineChars="196"/>
        <w:rPr>
          <w:rFonts w:hint="default" w:ascii="Times New Roman" w:hAnsi="Times New Roman" w:eastAsia="方正楷体_GB2312" w:cs="Times New Roman"/>
          <w:b/>
          <w:color w:val="auto"/>
          <w:sz w:val="32"/>
          <w:szCs w:val="32"/>
        </w:rPr>
      </w:pPr>
      <w:r>
        <w:rPr>
          <w:rFonts w:hint="default" w:ascii="Times New Roman" w:hAnsi="Times New Roman" w:eastAsia="方正楷体_GB2312" w:cs="Times New Roman"/>
          <w:b/>
          <w:color w:val="auto"/>
          <w:sz w:val="32"/>
          <w:szCs w:val="32"/>
        </w:rPr>
        <w:t>（二）一般公共预算支出结构情况。</w:t>
      </w:r>
    </w:p>
    <w:p w14:paraId="6D7D80E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一般公共服务支出</w:t>
      </w:r>
      <w:r>
        <w:rPr>
          <w:rFonts w:hint="default" w:ascii="Times New Roman" w:hAnsi="Times New Roman" w:eastAsia="方正仿宋_GB2312" w:cs="Times New Roman"/>
          <w:color w:val="auto"/>
          <w:kern w:val="0"/>
          <w:sz w:val="32"/>
          <w:szCs w:val="32"/>
          <w:lang w:val="en-US" w:eastAsia="zh-CN"/>
        </w:rPr>
        <w:t>446.13</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80.89</w:t>
      </w:r>
      <w:r>
        <w:rPr>
          <w:rFonts w:hint="default" w:ascii="Times New Roman" w:hAnsi="Times New Roman" w:eastAsia="方正仿宋_GB2312" w:cs="Times New Roman"/>
          <w:color w:val="auto"/>
          <w:kern w:val="0"/>
          <w:sz w:val="32"/>
          <w:szCs w:val="32"/>
        </w:rPr>
        <w:t>%；社会保障和就业支出</w:t>
      </w:r>
      <w:r>
        <w:rPr>
          <w:rFonts w:hint="default" w:ascii="Times New Roman" w:hAnsi="Times New Roman" w:eastAsia="方正仿宋_GB2312" w:cs="Times New Roman"/>
          <w:color w:val="auto"/>
          <w:kern w:val="0"/>
          <w:sz w:val="32"/>
          <w:szCs w:val="32"/>
          <w:lang w:val="en-US" w:eastAsia="zh-CN"/>
        </w:rPr>
        <w:t>50.86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9.22</w:t>
      </w:r>
      <w:r>
        <w:rPr>
          <w:rFonts w:hint="default" w:ascii="Times New Roman" w:hAnsi="Times New Roman" w:eastAsia="方正仿宋_GB2312" w:cs="Times New Roman"/>
          <w:color w:val="auto"/>
          <w:kern w:val="0"/>
          <w:sz w:val="32"/>
          <w:szCs w:val="32"/>
        </w:rPr>
        <w:t>%；卫生健康支出</w:t>
      </w:r>
      <w:r>
        <w:rPr>
          <w:rFonts w:hint="default" w:ascii="Times New Roman" w:hAnsi="Times New Roman" w:eastAsia="方正仿宋_GB2312" w:cs="Times New Roman"/>
          <w:color w:val="auto"/>
          <w:kern w:val="0"/>
          <w:sz w:val="32"/>
          <w:szCs w:val="32"/>
          <w:lang w:val="en-US" w:eastAsia="zh-CN"/>
        </w:rPr>
        <w:t>14.96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2.71</w:t>
      </w:r>
      <w:r>
        <w:rPr>
          <w:rFonts w:hint="default" w:ascii="Times New Roman" w:hAnsi="Times New Roman" w:eastAsia="方正仿宋_GB2312" w:cs="Times New Roman"/>
          <w:color w:val="auto"/>
          <w:kern w:val="0"/>
          <w:sz w:val="32"/>
          <w:szCs w:val="32"/>
        </w:rPr>
        <w:t>%；住房保障支出</w:t>
      </w:r>
      <w:r>
        <w:rPr>
          <w:rFonts w:hint="default" w:ascii="Times New Roman" w:hAnsi="Times New Roman" w:eastAsia="方正仿宋_GB2312" w:cs="Times New Roman"/>
          <w:color w:val="auto"/>
          <w:kern w:val="0"/>
          <w:sz w:val="32"/>
          <w:szCs w:val="32"/>
          <w:lang w:val="en-US" w:eastAsia="zh-CN"/>
        </w:rPr>
        <w:t>39.57</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7.17</w:t>
      </w:r>
      <w:r>
        <w:rPr>
          <w:rFonts w:hint="default" w:ascii="Times New Roman" w:hAnsi="Times New Roman" w:eastAsia="方正仿宋_GB2312" w:cs="Times New Roman"/>
          <w:color w:val="auto"/>
          <w:kern w:val="0"/>
          <w:sz w:val="32"/>
          <w:szCs w:val="32"/>
        </w:rPr>
        <w:t>%。</w:t>
      </w:r>
    </w:p>
    <w:p w14:paraId="4CCA7076">
      <w:pPr>
        <w:pStyle w:val="4"/>
        <w:adjustRightInd w:val="0"/>
        <w:snapToGrid w:val="0"/>
        <w:spacing w:line="560" w:lineRule="exact"/>
        <w:ind w:firstLine="630" w:firstLineChars="196"/>
        <w:rPr>
          <w:rFonts w:hint="default" w:ascii="Times New Roman" w:hAnsi="Times New Roman" w:eastAsia="方正楷体_GB2312" w:cs="Times New Roman"/>
          <w:b/>
          <w:color w:val="auto"/>
          <w:sz w:val="32"/>
          <w:szCs w:val="32"/>
        </w:rPr>
      </w:pPr>
      <w:r>
        <w:rPr>
          <w:rFonts w:hint="default" w:ascii="Times New Roman" w:hAnsi="Times New Roman" w:eastAsia="方正楷体_GB2312" w:cs="Times New Roman"/>
          <w:b/>
          <w:color w:val="auto"/>
          <w:sz w:val="32"/>
          <w:szCs w:val="32"/>
        </w:rPr>
        <w:t>（三）一般公共预算支出具体使用情况。</w:t>
      </w:r>
    </w:p>
    <w:p w14:paraId="0955B5A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1、一般公共服务支出（类）政府办公厅（室）及相关机构事务（款）行政运行（项）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229.37</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default" w:ascii="Times New Roman" w:hAnsi="Times New Roman" w:eastAsia="方正仿宋_GB2312" w:cs="Times New Roman"/>
          <w:color w:val="auto"/>
          <w:kern w:val="0"/>
          <w:sz w:val="32"/>
          <w:szCs w:val="32"/>
          <w:lang w:val="en-US" w:eastAsia="zh-CN"/>
        </w:rPr>
        <w:t>16.47</w:t>
      </w:r>
      <w:r>
        <w:rPr>
          <w:rFonts w:hint="default" w:ascii="Times New Roman" w:hAnsi="Times New Roman" w:eastAsia="方正仿宋_GB2312" w:cs="Times New Roman"/>
          <w:color w:val="auto"/>
          <w:kern w:val="0"/>
          <w:sz w:val="32"/>
          <w:szCs w:val="32"/>
        </w:rPr>
        <w:t>万元，增长</w:t>
      </w:r>
      <w:r>
        <w:rPr>
          <w:rFonts w:hint="default" w:ascii="Times New Roman" w:hAnsi="Times New Roman" w:eastAsia="方正仿宋_GB2312" w:cs="Times New Roman"/>
          <w:color w:val="auto"/>
          <w:kern w:val="0"/>
          <w:sz w:val="32"/>
          <w:szCs w:val="32"/>
          <w:lang w:val="en-US" w:eastAsia="zh-CN"/>
        </w:rPr>
        <w:t>7.74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人员调入</w:t>
      </w:r>
      <w:r>
        <w:rPr>
          <w:rFonts w:hint="default" w:ascii="Times New Roman" w:hAnsi="Times New Roman" w:eastAsia="方正仿宋_GB2312" w:cs="Times New Roman"/>
          <w:color w:val="auto"/>
          <w:kern w:val="0"/>
          <w:sz w:val="32"/>
          <w:szCs w:val="32"/>
        </w:rPr>
        <w:t>。</w:t>
      </w:r>
    </w:p>
    <w:p w14:paraId="4193C8FF">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2、一般公共服务支出（类）政府办公厅（室）及相关机构事务（款）一般行政管理事务（项）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50.89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19.01</w:t>
      </w:r>
      <w:r>
        <w:rPr>
          <w:rFonts w:hint="default" w:ascii="Times New Roman" w:hAnsi="Times New Roman" w:eastAsia="方正仿宋_GB2312" w:cs="Times New Roman"/>
          <w:color w:val="auto"/>
          <w:kern w:val="0"/>
          <w:sz w:val="32"/>
          <w:szCs w:val="32"/>
        </w:rPr>
        <w:t>%，原因主要是响应国家号召厉行节约。</w:t>
      </w:r>
    </w:p>
    <w:p w14:paraId="74D671D2">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3、社会保障和就业支出（类）行政事业单位养老支出（款）行政单位离退休（项）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17.31</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3.64</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17.39</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退休人员数减少</w:t>
      </w:r>
      <w:r>
        <w:rPr>
          <w:rFonts w:hint="default" w:ascii="Times New Roman" w:hAnsi="Times New Roman" w:eastAsia="方正仿宋_GB2312" w:cs="Times New Roman"/>
          <w:color w:val="auto"/>
          <w:kern w:val="0"/>
          <w:sz w:val="32"/>
          <w:szCs w:val="32"/>
        </w:rPr>
        <w:t>。</w:t>
      </w:r>
    </w:p>
    <w:p w14:paraId="3064B5B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4、社会保障和就业支出（类）行政事业单位养老支出（款）机关事业单位基本养老保险缴费支出（项）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20.96</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6.11</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22.56</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人员调出</w:t>
      </w:r>
      <w:r>
        <w:rPr>
          <w:rFonts w:hint="default" w:ascii="Times New Roman" w:hAnsi="Times New Roman" w:eastAsia="方正仿宋_GB2312" w:cs="Times New Roman"/>
          <w:color w:val="auto"/>
          <w:kern w:val="0"/>
          <w:sz w:val="32"/>
          <w:szCs w:val="32"/>
        </w:rPr>
        <w:t>。</w:t>
      </w:r>
    </w:p>
    <w:p w14:paraId="73745A5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5、</w:t>
      </w:r>
      <w:r>
        <w:rPr>
          <w:rFonts w:hint="default" w:ascii="Times New Roman" w:hAnsi="Times New Roman" w:eastAsia="方正仿宋_GB2312" w:cs="Times New Roman"/>
          <w:color w:val="auto"/>
          <w:kern w:val="0"/>
          <w:sz w:val="32"/>
          <w:szCs w:val="32"/>
        </w:rPr>
        <w:t>社会保障和就业支出（类）行政事业单位养老支出（款）</w:t>
      </w:r>
      <w:bookmarkStart w:id="0" w:name="_GoBack"/>
      <w:r>
        <w:rPr>
          <w:rFonts w:hint="default" w:ascii="Times New Roman" w:hAnsi="Times New Roman" w:eastAsia="方正仿宋_GB2312" w:cs="Times New Roman"/>
          <w:color w:val="auto"/>
          <w:kern w:val="0"/>
          <w:sz w:val="32"/>
          <w:szCs w:val="32"/>
        </w:rPr>
        <w:t>机关</w:t>
      </w:r>
      <w:bookmarkEnd w:id="0"/>
      <w:r>
        <w:rPr>
          <w:rFonts w:hint="default" w:ascii="Times New Roman" w:hAnsi="Times New Roman" w:eastAsia="方正仿宋_GB2312" w:cs="Times New Roman"/>
          <w:color w:val="auto"/>
          <w:kern w:val="0"/>
          <w:sz w:val="32"/>
          <w:szCs w:val="32"/>
        </w:rPr>
        <w:t>事业单位职业年金缴费支出（项）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10.48</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3.05</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22.56</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人员调出</w:t>
      </w:r>
      <w:r>
        <w:rPr>
          <w:rFonts w:hint="default" w:ascii="Times New Roman" w:hAnsi="Times New Roman" w:eastAsia="方正仿宋_GB2312" w:cs="Times New Roman"/>
          <w:color w:val="auto"/>
          <w:kern w:val="0"/>
          <w:sz w:val="32"/>
          <w:szCs w:val="32"/>
        </w:rPr>
        <w:t>。</w:t>
      </w:r>
    </w:p>
    <w:p w14:paraId="31E91AC7">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6、</w:t>
      </w:r>
      <w:r>
        <w:rPr>
          <w:rFonts w:hint="default" w:ascii="Times New Roman" w:hAnsi="Times New Roman" w:eastAsia="方正仿宋_GB2312" w:cs="Times New Roman"/>
          <w:color w:val="auto"/>
          <w:kern w:val="0"/>
          <w:sz w:val="32"/>
          <w:szCs w:val="32"/>
        </w:rPr>
        <w:t>社会保障和就业支出（类）行政事业单位养老支出（款）其他行政事业单位养老支出（项）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1.6</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增加1.6</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增长100</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经济科目调整</w:t>
      </w:r>
      <w:r>
        <w:rPr>
          <w:rFonts w:hint="default" w:ascii="Times New Roman" w:hAnsi="Times New Roman" w:eastAsia="方正仿宋_GB2312" w:cs="Times New Roman"/>
          <w:color w:val="auto"/>
          <w:kern w:val="0"/>
          <w:sz w:val="32"/>
          <w:szCs w:val="32"/>
        </w:rPr>
        <w:t>。</w:t>
      </w:r>
    </w:p>
    <w:p w14:paraId="4A59444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7、</w:t>
      </w:r>
      <w:r>
        <w:rPr>
          <w:rFonts w:hint="default" w:ascii="Times New Roman" w:hAnsi="Times New Roman" w:eastAsia="方正仿宋_GB2312" w:cs="Times New Roman"/>
          <w:color w:val="auto"/>
          <w:kern w:val="0"/>
          <w:sz w:val="32"/>
          <w:szCs w:val="32"/>
        </w:rPr>
        <w:t>社会保障和就业支出（类）其他社会保障和就业支出（款）其他社会保障和就业支出（项）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0.51</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减少0.01</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下降0.4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55CD92BC">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8、</w:t>
      </w:r>
      <w:r>
        <w:rPr>
          <w:rFonts w:hint="default" w:ascii="Times New Roman" w:hAnsi="Times New Roman" w:eastAsia="方正仿宋_GB2312" w:cs="Times New Roman"/>
          <w:color w:val="auto"/>
          <w:kern w:val="0"/>
          <w:sz w:val="32"/>
          <w:szCs w:val="32"/>
        </w:rPr>
        <w:t>卫生健康支出（类）行政事业单位医疗（款）行政单位医疗（项）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9.43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减少1.02</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下降9.78</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2D97250F">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9、</w:t>
      </w:r>
      <w:r>
        <w:rPr>
          <w:rFonts w:hint="default" w:ascii="Times New Roman" w:hAnsi="Times New Roman" w:eastAsia="方正仿宋_GB2312" w:cs="Times New Roman"/>
          <w:color w:val="auto"/>
          <w:kern w:val="0"/>
          <w:sz w:val="32"/>
          <w:szCs w:val="32"/>
        </w:rPr>
        <w:t>卫生健康支出（类）行政事业单位医疗（款）公务员医疗补助（项）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5.53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增加0.08</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增长1.45</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0192DC9C">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10、</w:t>
      </w:r>
      <w:r>
        <w:rPr>
          <w:rFonts w:hint="default" w:ascii="Times New Roman" w:hAnsi="Times New Roman" w:eastAsia="方正仿宋_GB2312" w:cs="Times New Roman"/>
          <w:color w:val="auto"/>
          <w:kern w:val="0"/>
          <w:sz w:val="32"/>
          <w:szCs w:val="32"/>
        </w:rPr>
        <w:t>住房保障支出（类）住房改革支出（款）住房公积金（项）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27.93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增加0.57</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增长2.08</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0A9391C6">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10、</w:t>
      </w:r>
      <w:r>
        <w:rPr>
          <w:rFonts w:hint="default" w:ascii="Times New Roman" w:hAnsi="Times New Roman" w:eastAsia="方正仿宋_GB2312" w:cs="Times New Roman"/>
          <w:color w:val="auto"/>
          <w:kern w:val="0"/>
          <w:sz w:val="32"/>
          <w:szCs w:val="32"/>
        </w:rPr>
        <w:t>住房保障支出（类）住房改革支出（款）购房补贴（项）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11.64</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增加0.24</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增长2.08</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61D5E0CF">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六、关于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一般公共预算基本支出表的说明</w:t>
      </w:r>
    </w:p>
    <w:p w14:paraId="668DDD2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一般公共预算基本支出</w:t>
      </w:r>
      <w:r>
        <w:rPr>
          <w:rFonts w:hint="default" w:ascii="Times New Roman" w:hAnsi="Times New Roman" w:eastAsia="方正仿宋_GB2312" w:cs="Times New Roman"/>
          <w:color w:val="auto"/>
          <w:kern w:val="0"/>
          <w:sz w:val="32"/>
          <w:szCs w:val="32"/>
          <w:lang w:val="en-US" w:eastAsia="zh-CN"/>
        </w:rPr>
        <w:t>334.76</w:t>
      </w:r>
      <w:r>
        <w:rPr>
          <w:rFonts w:hint="default" w:ascii="Times New Roman" w:hAnsi="Times New Roman" w:eastAsia="方正仿宋_GB2312" w:cs="Times New Roman"/>
          <w:color w:val="auto"/>
          <w:kern w:val="0"/>
          <w:sz w:val="32"/>
          <w:szCs w:val="32"/>
        </w:rPr>
        <w:t>万元，其中，人员经费</w:t>
      </w:r>
      <w:r>
        <w:rPr>
          <w:rFonts w:hint="default" w:ascii="Times New Roman" w:hAnsi="Times New Roman" w:eastAsia="方正仿宋_GB2312" w:cs="Times New Roman"/>
          <w:color w:val="auto"/>
          <w:kern w:val="0"/>
          <w:sz w:val="32"/>
          <w:szCs w:val="32"/>
          <w:lang w:val="en-US" w:eastAsia="zh-CN"/>
        </w:rPr>
        <w:t>293.77</w:t>
      </w:r>
      <w:r>
        <w:rPr>
          <w:rFonts w:hint="default" w:ascii="Times New Roman" w:hAnsi="Times New Roman" w:eastAsia="方正仿宋_GB2312" w:cs="Times New Roman"/>
          <w:color w:val="auto"/>
          <w:kern w:val="0"/>
          <w:sz w:val="32"/>
          <w:szCs w:val="32"/>
        </w:rPr>
        <w:t>万元，公用经费</w:t>
      </w:r>
      <w:r>
        <w:rPr>
          <w:rFonts w:hint="default" w:ascii="Times New Roman" w:hAnsi="Times New Roman" w:eastAsia="方正仿宋_GB2312" w:cs="Times New Roman"/>
          <w:color w:val="auto"/>
          <w:kern w:val="0"/>
          <w:sz w:val="32"/>
          <w:szCs w:val="32"/>
          <w:lang w:val="en-US" w:eastAsia="zh-CN"/>
        </w:rPr>
        <w:t>40.99</w:t>
      </w:r>
      <w:r>
        <w:rPr>
          <w:rFonts w:hint="default" w:ascii="Times New Roman" w:hAnsi="Times New Roman" w:eastAsia="方正仿宋_GB2312" w:cs="Times New Roman"/>
          <w:color w:val="auto"/>
          <w:kern w:val="0"/>
          <w:sz w:val="32"/>
          <w:szCs w:val="32"/>
        </w:rPr>
        <w:t>万元。</w:t>
      </w:r>
    </w:p>
    <w:p w14:paraId="2051DE28">
      <w:pPr>
        <w:ind w:firstLine="643" w:firstLineChars="200"/>
        <w:rPr>
          <w:rFonts w:hint="default"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b/>
          <w:color w:val="auto"/>
          <w:kern w:val="0"/>
          <w:sz w:val="32"/>
          <w:szCs w:val="32"/>
        </w:rPr>
        <w:t>（一）人员经费</w:t>
      </w:r>
      <w:r>
        <w:rPr>
          <w:rFonts w:hint="default" w:ascii="Times New Roman" w:hAnsi="Times New Roman" w:eastAsia="方正仿宋_GB2312" w:cs="Times New Roman"/>
          <w:b/>
          <w:color w:val="auto"/>
          <w:kern w:val="0"/>
          <w:sz w:val="32"/>
          <w:szCs w:val="32"/>
          <w:lang w:val="en-US" w:eastAsia="zh-CN"/>
        </w:rPr>
        <w:t>293.77</w:t>
      </w:r>
      <w:r>
        <w:rPr>
          <w:rFonts w:hint="default" w:ascii="Times New Roman" w:hAnsi="Times New Roman" w:eastAsia="方正仿宋_GB2312" w:cs="Times New Roman"/>
          <w:b/>
          <w:color w:val="auto"/>
          <w:kern w:val="0"/>
          <w:sz w:val="32"/>
          <w:szCs w:val="32"/>
        </w:rPr>
        <w:t>万元，</w:t>
      </w:r>
      <w:r>
        <w:rPr>
          <w:rFonts w:hint="default" w:ascii="Times New Roman" w:hAnsi="Times New Roman" w:eastAsia="方正仿宋_GB2312" w:cs="Times New Roman"/>
          <w:color w:val="auto"/>
          <w:kern w:val="0"/>
          <w:sz w:val="32"/>
          <w:szCs w:val="32"/>
        </w:rPr>
        <w:t>主要包括:基本工资、津贴补贴、奖金、绩效工资、机关事业单位基本养老保险费、职业年金缴费、职工基本医疗保险缴费、公务员医疗补助缴费、其他社会保障缴费、住房公积金、医疗费、工会经费、其他商品和服务支出</w:t>
      </w:r>
      <w:r>
        <w:rPr>
          <w:rFonts w:hint="default"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退休费、生活补助、医疗费补助、对其他个人和家庭的补助支出</w:t>
      </w:r>
      <w:r>
        <w:rPr>
          <w:rFonts w:hint="default" w:ascii="Times New Roman" w:hAnsi="Times New Roman" w:eastAsia="方正仿宋_GB2312" w:cs="Times New Roman"/>
          <w:color w:val="auto"/>
          <w:kern w:val="0"/>
          <w:sz w:val="32"/>
          <w:szCs w:val="32"/>
          <w:lang w:val="en-US" w:eastAsia="zh-CN"/>
        </w:rPr>
        <w:t>等</w:t>
      </w:r>
      <w:r>
        <w:rPr>
          <w:rFonts w:hint="default" w:ascii="Times New Roman" w:hAnsi="Times New Roman" w:eastAsia="方正仿宋_GB2312" w:cs="Times New Roman"/>
          <w:color w:val="auto"/>
          <w:kern w:val="0"/>
          <w:sz w:val="32"/>
          <w:szCs w:val="32"/>
        </w:rPr>
        <w:t>。</w:t>
      </w:r>
    </w:p>
    <w:p w14:paraId="60E20260">
      <w:pPr>
        <w:ind w:firstLine="643"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b/>
          <w:color w:val="auto"/>
          <w:kern w:val="0"/>
          <w:sz w:val="32"/>
          <w:szCs w:val="32"/>
        </w:rPr>
        <w:t>（二）公用经费</w:t>
      </w:r>
      <w:r>
        <w:rPr>
          <w:rFonts w:hint="default" w:ascii="Times New Roman" w:hAnsi="Times New Roman" w:eastAsia="方正仿宋_GB2312" w:cs="Times New Roman"/>
          <w:b/>
          <w:color w:val="auto"/>
          <w:kern w:val="0"/>
          <w:sz w:val="32"/>
          <w:szCs w:val="32"/>
          <w:lang w:val="en-US" w:eastAsia="zh-CN"/>
        </w:rPr>
        <w:t>40.99</w:t>
      </w:r>
      <w:r>
        <w:rPr>
          <w:rFonts w:hint="default" w:ascii="Times New Roman" w:hAnsi="Times New Roman" w:eastAsia="方正仿宋_GB2312" w:cs="Times New Roman"/>
          <w:b/>
          <w:color w:val="auto"/>
          <w:kern w:val="0"/>
          <w:sz w:val="32"/>
          <w:szCs w:val="32"/>
        </w:rPr>
        <w:t>万元，</w:t>
      </w:r>
      <w:r>
        <w:rPr>
          <w:rFonts w:hint="default" w:ascii="Times New Roman" w:hAnsi="Times New Roman" w:eastAsia="方正仿宋_GB2312" w:cs="Times New Roman"/>
          <w:color w:val="auto"/>
          <w:kern w:val="0"/>
          <w:sz w:val="32"/>
          <w:szCs w:val="32"/>
        </w:rPr>
        <w:t>主要包括：办公费、邮电费、差旅费、因公出国（境）费、维修（护）费、劳务费、公务用车运行维护费、其他交通费用</w:t>
      </w:r>
      <w:r>
        <w:rPr>
          <w:rFonts w:hint="default"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其他商品服务支出等。</w:t>
      </w:r>
    </w:p>
    <w:p w14:paraId="6A6199D7">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七、关于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政府性基金预算支出表的说明</w:t>
      </w:r>
    </w:p>
    <w:p w14:paraId="0295360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没有政府性基金预算拨款收入，也没有使用政府性基金预算拨款安排的支出。</w:t>
      </w:r>
    </w:p>
    <w:p w14:paraId="4092E6A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八、关于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国有资本经营预算支出表的说明</w:t>
      </w:r>
    </w:p>
    <w:p w14:paraId="001B1C6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没有国有资本经营预算拨款收入，也没有使用国有资本经营预算拨款安排的支出。</w:t>
      </w:r>
    </w:p>
    <w:p w14:paraId="3D29D56C">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九、关于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项目支出表的说明</w:t>
      </w:r>
    </w:p>
    <w:p w14:paraId="5BC05A9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预算共安排项目支出</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56.89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20.79</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厉行节约</w:t>
      </w:r>
      <w:r>
        <w:rPr>
          <w:rFonts w:hint="default" w:ascii="Times New Roman" w:hAnsi="Times New Roman" w:eastAsia="方正仿宋_GB2312" w:cs="Times New Roman"/>
          <w:color w:val="auto"/>
          <w:kern w:val="0"/>
          <w:sz w:val="32"/>
          <w:szCs w:val="32"/>
        </w:rPr>
        <w:t>。主要包括：本年财政拨款安排</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万元（其中，一般公共预算拨款安排</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万元，政府性基金预算拨款安排</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万元），财政专户管理资金安排</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39297D30">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政府采购支出表的说明</w:t>
      </w:r>
    </w:p>
    <w:p w14:paraId="3D9FB43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没有使用一般公共预算拨款、政府性基金预算拨款、国有资本经营预算拨款、财政专户管理资金和单位资金安排的政府采购支出。</w:t>
      </w:r>
    </w:p>
    <w:p w14:paraId="3ECBF4E1">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十一、关于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政府购买服务支出表的说明</w:t>
      </w:r>
    </w:p>
    <w:p w14:paraId="2A3B035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没有安排政府购买服务支出。</w:t>
      </w:r>
    </w:p>
    <w:p w14:paraId="1A9278C3">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十二、其他重要事项情况说明</w:t>
      </w:r>
    </w:p>
    <w:p w14:paraId="2B574C4B">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（一）项目及绩效目标情况。</w:t>
      </w:r>
    </w:p>
    <w:p w14:paraId="6E033210">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1、“调研活动经费”项目。</w:t>
      </w:r>
    </w:p>
    <w:p w14:paraId="7D4B328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056CF87F">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用于区领导出国考察，调研重点项目招商引资开发区建设外地考察学习等</w:t>
      </w:r>
      <w:r>
        <w:rPr>
          <w:rFonts w:hint="eastAsia" w:ascii="Times New Roman" w:hAnsi="Times New Roman" w:eastAsia="方正仿宋_GB2312" w:cs="Times New Roman"/>
          <w:color w:val="auto"/>
          <w:kern w:val="0"/>
          <w:sz w:val="32"/>
          <w:szCs w:val="32"/>
          <w:lang w:eastAsia="zh-CN"/>
        </w:rPr>
        <w:t>。</w:t>
      </w:r>
    </w:p>
    <w:p w14:paraId="22C47900">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50AA984D">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首先，为了更好地履行政府职责，推动区域经济发展，区领导需要开展广泛的国内外调研活动。这些活动有助于了解国内外先进的经济发展理念、成功的招商引资案例以及开发区建设的先进经验，从而为本</w:t>
      </w:r>
      <w:r>
        <w:rPr>
          <w:rFonts w:hint="eastAsia" w:ascii="Times New Roman" w:hAnsi="Times New Roman" w:eastAsia="方正仿宋_GB2312" w:cs="Times New Roman"/>
          <w:color w:val="auto"/>
          <w:kern w:val="0"/>
          <w:sz w:val="32"/>
          <w:szCs w:val="32"/>
          <w:lang w:val="en-US" w:eastAsia="zh-CN"/>
        </w:rPr>
        <w:t>区</w:t>
      </w:r>
      <w:r>
        <w:rPr>
          <w:rFonts w:hint="default" w:ascii="Times New Roman" w:hAnsi="Times New Roman" w:eastAsia="方正仿宋_GB2312" w:cs="Times New Roman"/>
          <w:color w:val="auto"/>
          <w:kern w:val="0"/>
          <w:sz w:val="32"/>
          <w:szCs w:val="32"/>
        </w:rPr>
        <w:t>经济发展提供有益的借鉴和参考。</w:t>
      </w:r>
    </w:p>
    <w:p w14:paraId="1CDF13A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其次，针对重点项目招商引资，通过外出考察学习，可以深入了解国内外企业的投资需求和意向，掌握最新的招商引资政策和市场动态，提高招商引资的针对性和实效性。同时，也可以向外界展示本地的投资环境和优势资源，吸引更多的优质企业前来投资兴业。</w:t>
      </w:r>
    </w:p>
    <w:p w14:paraId="7CD949E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最后，对于开发区建设外地考察学习，可以借鉴其他地区的成功经验，结合本</w:t>
      </w:r>
      <w:r>
        <w:rPr>
          <w:rFonts w:hint="eastAsia" w:ascii="Times New Roman" w:hAnsi="Times New Roman" w:eastAsia="方正仿宋_GB2312" w:cs="Times New Roman"/>
          <w:color w:val="auto"/>
          <w:kern w:val="0"/>
          <w:sz w:val="32"/>
          <w:szCs w:val="32"/>
          <w:lang w:val="en-US" w:eastAsia="zh-CN"/>
        </w:rPr>
        <w:t>区</w:t>
      </w:r>
      <w:r>
        <w:rPr>
          <w:rFonts w:hint="default" w:ascii="Times New Roman" w:hAnsi="Times New Roman" w:eastAsia="方正仿宋_GB2312" w:cs="Times New Roman"/>
          <w:color w:val="auto"/>
          <w:kern w:val="0"/>
          <w:sz w:val="32"/>
          <w:szCs w:val="32"/>
        </w:rPr>
        <w:t>实际情况，制定更加科学合理的开发区建设规划和发展策略。这有助于提升开发区的综合竞争力和吸引力，推动区域经济的高质量发展。</w:t>
      </w:r>
    </w:p>
    <w:p w14:paraId="5D25AF5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（3）</w:t>
      </w:r>
      <w:r>
        <w:rPr>
          <w:rFonts w:hint="default" w:ascii="Times New Roman" w:hAnsi="Times New Roman" w:eastAsia="方正仿宋_GB2312" w:cs="Times New Roman"/>
          <w:color w:val="auto"/>
          <w:kern w:val="0"/>
          <w:sz w:val="32"/>
          <w:szCs w:val="32"/>
        </w:rPr>
        <w:t>实施主体。</w:t>
      </w:r>
    </w:p>
    <w:p w14:paraId="1248688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51EFC3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874283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D67BBC2">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41927499">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考察期间的交通费用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住宿费用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餐饮费用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学习材料费用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活动组织费用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其他相关费用等。</w:t>
      </w:r>
    </w:p>
    <w:p w14:paraId="64A0BC61">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（6）</w:t>
      </w:r>
      <w:r>
        <w:rPr>
          <w:rFonts w:hint="default" w:ascii="Times New Roman" w:hAnsi="Times New Roman" w:eastAsia="方正仿宋_GB2312" w:cs="Times New Roman"/>
          <w:color w:val="auto"/>
          <w:kern w:val="0"/>
          <w:sz w:val="32"/>
          <w:szCs w:val="32"/>
        </w:rPr>
        <w:t>年度预算安排。</w:t>
      </w:r>
    </w:p>
    <w:p w14:paraId="3760E040">
      <w:pPr>
        <w:numPr>
          <w:ilvl w:val="0"/>
          <w:numId w:val="0"/>
        </w:num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52.5万元。</w:t>
      </w:r>
    </w:p>
    <w:p w14:paraId="3F9A33D7">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8F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1D0D384">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2703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065EBE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41BE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EB2645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77B60AD">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调研活动经费</w:t>
            </w:r>
          </w:p>
        </w:tc>
      </w:tr>
      <w:tr w14:paraId="70D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E83107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37B224A">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0CAD09EB">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FC95FD4">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36B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57B479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2F18089D">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A854414">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3112334E">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6ABB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39D113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23E2EE45">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056F4AB">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52.5万元</w:t>
            </w:r>
          </w:p>
        </w:tc>
      </w:tr>
      <w:tr w14:paraId="4D07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C63A78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AE844A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202CE110">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52.5万元</w:t>
            </w:r>
          </w:p>
        </w:tc>
      </w:tr>
      <w:tr w14:paraId="1233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678EB55">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B457DE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667F0596">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004D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A2045D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3C19668">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D34E442">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B5E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162384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77A07A1A">
            <w:pPr>
              <w:jc w:val="left"/>
              <w:rPr>
                <w:rFonts w:hint="default" w:ascii="Times New Roman" w:hAnsi="Times New Roman" w:cs="Times New Roman"/>
                <w:color w:val="auto"/>
                <w:sz w:val="20"/>
              </w:rPr>
            </w:pPr>
            <w:r>
              <w:rPr>
                <w:rFonts w:hint="eastAsia" w:ascii="宋体" w:cs="宋体"/>
                <w:color w:val="auto"/>
                <w:sz w:val="20"/>
                <w:highlight w:val="none"/>
              </w:rPr>
              <w:t>通过区政府领导同志调研重点项目、招商引资、开发区建设、外地考察学习等活动，推动我区经济社会高质量发展。</w:t>
            </w:r>
          </w:p>
        </w:tc>
      </w:tr>
      <w:tr w14:paraId="11AA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FADAEF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21D058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665B229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1CCC11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1CBD81F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2864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087FA5">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175269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4234471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10AF9DB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kern w:val="0"/>
                <w:sz w:val="20"/>
                <w:szCs w:val="20"/>
                <w:lang w:val="en-US" w:eastAsia="zh-CN"/>
              </w:rPr>
              <w:t>调研次数</w:t>
            </w:r>
          </w:p>
        </w:tc>
        <w:tc>
          <w:tcPr>
            <w:tcW w:w="4228" w:type="dxa"/>
            <w:gridSpan w:val="2"/>
            <w:tcBorders>
              <w:tl2br w:val="nil"/>
              <w:tr2bl w:val="nil"/>
            </w:tcBorders>
            <w:vAlign w:val="center"/>
          </w:tcPr>
          <w:p w14:paraId="15FEB72B">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≥50次</w:t>
            </w:r>
          </w:p>
        </w:tc>
      </w:tr>
      <w:tr w14:paraId="40D1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BB87E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DA2C39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2846B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76076E5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质量程度</w:t>
            </w:r>
          </w:p>
        </w:tc>
        <w:tc>
          <w:tcPr>
            <w:tcW w:w="4228" w:type="dxa"/>
            <w:gridSpan w:val="2"/>
            <w:tcBorders>
              <w:tl2br w:val="nil"/>
              <w:tr2bl w:val="nil"/>
            </w:tcBorders>
            <w:vAlign w:val="center"/>
          </w:tcPr>
          <w:p w14:paraId="3CCE503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7BC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C9567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09C15F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DEC71A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B0A8CA4">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rPr>
              <w:t>按时完成</w:t>
            </w:r>
          </w:p>
        </w:tc>
        <w:tc>
          <w:tcPr>
            <w:tcW w:w="4228" w:type="dxa"/>
            <w:gridSpan w:val="2"/>
            <w:tcBorders>
              <w:tl2br w:val="nil"/>
              <w:tr2bl w:val="nil"/>
            </w:tcBorders>
            <w:vAlign w:val="center"/>
          </w:tcPr>
          <w:p w14:paraId="32A3A4FF">
            <w:pPr>
              <w:jc w:val="center"/>
              <w:rPr>
                <w:rFonts w:hint="default"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≥98%</w:t>
            </w:r>
          </w:p>
        </w:tc>
      </w:tr>
      <w:tr w14:paraId="02C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62EE8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4F280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033A05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1D3517F8">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kern w:val="0"/>
                <w:sz w:val="20"/>
              </w:rPr>
              <w:t>资金使用率</w:t>
            </w:r>
          </w:p>
        </w:tc>
        <w:tc>
          <w:tcPr>
            <w:tcW w:w="4228" w:type="dxa"/>
            <w:gridSpan w:val="2"/>
            <w:tcBorders>
              <w:tl2br w:val="nil"/>
              <w:tr2bl w:val="nil"/>
            </w:tcBorders>
            <w:vAlign w:val="center"/>
          </w:tcPr>
          <w:p w14:paraId="1DA2E3F6">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≤100%</w:t>
            </w:r>
          </w:p>
        </w:tc>
      </w:tr>
      <w:tr w14:paraId="4D4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496460E">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A2B03A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0FE2376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6E980517">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szCs w:val="20"/>
                <w:lang w:val="en-US" w:eastAsia="zh-CN"/>
              </w:rPr>
              <w:t>推动本区经济发展</w:t>
            </w:r>
          </w:p>
        </w:tc>
        <w:tc>
          <w:tcPr>
            <w:tcW w:w="4228" w:type="dxa"/>
            <w:gridSpan w:val="2"/>
            <w:tcBorders>
              <w:tl2br w:val="nil"/>
              <w:tr2bl w:val="nil"/>
            </w:tcBorders>
            <w:vAlign w:val="center"/>
          </w:tcPr>
          <w:p w14:paraId="54D6A8BB">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2FE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5EE00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817863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FB1E1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596D48A8">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提升区竞争力</w:t>
            </w:r>
          </w:p>
        </w:tc>
        <w:tc>
          <w:tcPr>
            <w:tcW w:w="4228" w:type="dxa"/>
            <w:gridSpan w:val="2"/>
            <w:tcBorders>
              <w:tl2br w:val="nil"/>
              <w:tr2bl w:val="nil"/>
            </w:tcBorders>
            <w:vAlign w:val="center"/>
          </w:tcPr>
          <w:p w14:paraId="33B5ECAB">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较大</w:t>
            </w:r>
          </w:p>
        </w:tc>
      </w:tr>
      <w:tr w14:paraId="680C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E9979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18D3B3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5770E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09F4C39">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5C01DC6B">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300A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901B83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BCA80E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4E6F1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827B793">
            <w:pPr>
              <w:widowControl/>
              <w:jc w:val="left"/>
              <w:textAlignment w:val="center"/>
              <w:rPr>
                <w:rFonts w:hint="default" w:ascii="Times New Roman" w:hAnsi="Times New Roman" w:eastAsia="宋体" w:cs="Times New Roman"/>
                <w:color w:val="auto"/>
                <w:sz w:val="20"/>
                <w:lang w:val="en-US" w:eastAsia="zh-CN"/>
              </w:rPr>
            </w:pPr>
            <w:r>
              <w:rPr>
                <w:rFonts w:hint="eastAsia" w:ascii="宋体" w:hAnsi="宋体" w:cs="宋体"/>
                <w:color w:val="auto"/>
                <w:kern w:val="0"/>
                <w:sz w:val="18"/>
                <w:szCs w:val="18"/>
                <w:lang w:val="en-US" w:eastAsia="zh-CN"/>
              </w:rPr>
              <w:t>创新能力提升</w:t>
            </w:r>
          </w:p>
        </w:tc>
        <w:tc>
          <w:tcPr>
            <w:tcW w:w="4228" w:type="dxa"/>
            <w:gridSpan w:val="2"/>
            <w:tcBorders>
              <w:tl2br w:val="nil"/>
              <w:tr2bl w:val="nil"/>
            </w:tcBorders>
            <w:vAlign w:val="center"/>
          </w:tcPr>
          <w:p w14:paraId="4212F77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p>
        </w:tc>
      </w:tr>
      <w:tr w14:paraId="02B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D9D4DE">
            <w:pPr>
              <w:jc w:val="center"/>
              <w:rPr>
                <w:rFonts w:hint="default" w:ascii="Times New Roman" w:hAnsi="Times New Roman" w:cs="Times New Roman"/>
                <w:color w:val="auto"/>
                <w:sz w:val="20"/>
              </w:rPr>
            </w:pPr>
          </w:p>
        </w:tc>
        <w:tc>
          <w:tcPr>
            <w:tcW w:w="723" w:type="dxa"/>
            <w:tcBorders>
              <w:tl2br w:val="nil"/>
              <w:tr2bl w:val="nil"/>
            </w:tcBorders>
            <w:vAlign w:val="center"/>
          </w:tcPr>
          <w:p w14:paraId="3509E197">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062C7AA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77FFC0C8">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621DBAB6">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≥98%</w:t>
            </w:r>
          </w:p>
        </w:tc>
      </w:tr>
    </w:tbl>
    <w:p w14:paraId="2CFEBBD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2、“应急管理经费”项目。</w:t>
      </w:r>
    </w:p>
    <w:p w14:paraId="5C6E0622">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72C37E65">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用于区政府应急值班值守</w:t>
      </w:r>
      <w:r>
        <w:rPr>
          <w:rFonts w:hint="eastAsia" w:ascii="Times New Roman" w:hAnsi="Times New Roman" w:eastAsia="方正仿宋_GB2312" w:cs="Times New Roman"/>
          <w:color w:val="auto"/>
          <w:kern w:val="0"/>
          <w:sz w:val="32"/>
          <w:szCs w:val="32"/>
          <w:lang w:val="en-US" w:eastAsia="zh-CN"/>
        </w:rPr>
        <w:t>防范</w:t>
      </w:r>
      <w:r>
        <w:rPr>
          <w:rFonts w:hint="default" w:ascii="Times New Roman" w:hAnsi="Times New Roman" w:eastAsia="方正仿宋_GB2312" w:cs="Times New Roman"/>
          <w:color w:val="auto"/>
          <w:kern w:val="0"/>
          <w:sz w:val="32"/>
          <w:szCs w:val="32"/>
        </w:rPr>
        <w:t>化解</w:t>
      </w:r>
      <w:r>
        <w:rPr>
          <w:rFonts w:hint="eastAsia" w:ascii="Times New Roman" w:hAnsi="Times New Roman" w:eastAsia="方正仿宋_GB2312" w:cs="Times New Roman"/>
          <w:color w:val="auto"/>
          <w:kern w:val="0"/>
          <w:sz w:val="32"/>
          <w:szCs w:val="32"/>
          <w:lang w:val="en-US" w:eastAsia="zh-CN"/>
        </w:rPr>
        <w:t>重</w:t>
      </w:r>
      <w:r>
        <w:rPr>
          <w:rFonts w:hint="default" w:ascii="Times New Roman" w:hAnsi="Times New Roman" w:eastAsia="方正仿宋_GB2312" w:cs="Times New Roman"/>
          <w:color w:val="auto"/>
          <w:kern w:val="0"/>
          <w:sz w:val="32"/>
          <w:szCs w:val="32"/>
        </w:rPr>
        <w:t>大风险，及时应对紧急情况等</w:t>
      </w:r>
      <w:r>
        <w:rPr>
          <w:rFonts w:hint="eastAsia" w:ascii="Times New Roman" w:hAnsi="Times New Roman" w:eastAsia="方正仿宋_GB2312" w:cs="Times New Roman"/>
          <w:color w:val="auto"/>
          <w:kern w:val="0"/>
          <w:sz w:val="32"/>
          <w:szCs w:val="32"/>
          <w:lang w:eastAsia="zh-CN"/>
        </w:rPr>
        <w:t>。</w:t>
      </w:r>
    </w:p>
    <w:p w14:paraId="5F3C031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3BA47E9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《中共淮北市委办公室淮北市人民政府办公室印发&lt;关于落实安全生产“党政同责一岗双责”的意见&gt;的通知》（淮办发〔2014〕19号）。</w:t>
      </w:r>
    </w:p>
    <w:p w14:paraId="2AADEEE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1AA5705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603616D7">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D3B7C5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725A69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1CC830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制定应急物资储备和应急救援装备规划并组织实施，确保在紧急情况下有足够的物资和装备进行支援；负责应急管理、安全生产的宣传教育和培训工作，提高全社会的防范和应急处置能力。确保区政府应急值班值守工作的正常运行，及时接收、处理和上报紧急信息，为领导决策提供及时、准确的信息支持。同时，加强对应急值班值守人员的培训和管理，提升业务水平和应急处理能力</w:t>
      </w:r>
      <w:r>
        <w:rPr>
          <w:rFonts w:hint="eastAsia" w:ascii="Times New Roman" w:hAnsi="Times New Roman" w:eastAsia="方正仿宋_GB2312" w:cs="Times New Roman"/>
          <w:color w:val="auto"/>
          <w:kern w:val="0"/>
          <w:sz w:val="32"/>
          <w:szCs w:val="32"/>
          <w:lang w:val="en-US" w:eastAsia="zh-CN"/>
        </w:rPr>
        <w:t>等。</w:t>
      </w:r>
    </w:p>
    <w:p w14:paraId="0840DAB6">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25万</w:t>
      </w:r>
    </w:p>
    <w:p w14:paraId="44F497EF">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F7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FCBE651">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018E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3743DD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EC0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90A638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7CB63A4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应急管理经费</w:t>
            </w:r>
          </w:p>
        </w:tc>
      </w:tr>
      <w:tr w14:paraId="202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17CE30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151104F">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1107A3DE">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2835C19">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3F98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197A97D">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16561073">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78CFFF18">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86E3AC1">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2A61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AE81A3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0C7A460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561D184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25万元</w:t>
            </w:r>
          </w:p>
        </w:tc>
      </w:tr>
      <w:tr w14:paraId="582B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D9B222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172EA14">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B3B6015">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25万元</w:t>
            </w:r>
          </w:p>
        </w:tc>
      </w:tr>
      <w:tr w14:paraId="6EC5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5E6054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BD83FD5">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03BA74EF">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583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AFBA87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7B30ABA">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AC2D186">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D25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B39D2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7AEC1408">
            <w:pPr>
              <w:jc w:val="left"/>
              <w:rPr>
                <w:rFonts w:hint="eastAsia" w:ascii="Times New Roman" w:hAnsi="Times New Roman" w:cs="Times New Roman" w:eastAsiaTheme="minorEastAsia"/>
                <w:color w:val="auto"/>
                <w:sz w:val="20"/>
                <w:lang w:eastAsia="zh-CN"/>
              </w:rPr>
            </w:pPr>
            <w:r>
              <w:rPr>
                <w:rFonts w:hint="eastAsia" w:ascii="宋体" w:cs="宋体"/>
                <w:color w:val="auto"/>
                <w:sz w:val="20"/>
                <w:highlight w:val="none"/>
                <w:lang w:val="en-US" w:eastAsia="zh-CN"/>
              </w:rPr>
              <w:t>通过</w:t>
            </w:r>
            <w:r>
              <w:rPr>
                <w:rFonts w:hint="eastAsia" w:ascii="宋体" w:cs="宋体"/>
                <w:color w:val="auto"/>
                <w:sz w:val="20"/>
                <w:highlight w:val="none"/>
              </w:rPr>
              <w:t>应急值班值守</w:t>
            </w:r>
            <w:r>
              <w:rPr>
                <w:rFonts w:hint="eastAsia" w:ascii="宋体" w:cs="宋体"/>
                <w:color w:val="auto"/>
                <w:sz w:val="20"/>
                <w:highlight w:val="none"/>
                <w:lang w:val="en-US" w:eastAsia="zh-CN"/>
              </w:rPr>
              <w:t>等管理防范</w:t>
            </w:r>
            <w:r>
              <w:rPr>
                <w:rFonts w:hint="eastAsia" w:ascii="宋体" w:cs="宋体"/>
                <w:color w:val="auto"/>
                <w:sz w:val="20"/>
                <w:highlight w:val="none"/>
              </w:rPr>
              <w:t>化解</w:t>
            </w:r>
            <w:r>
              <w:rPr>
                <w:rFonts w:hint="eastAsia" w:ascii="宋体" w:cs="宋体"/>
                <w:color w:val="auto"/>
                <w:sz w:val="20"/>
                <w:highlight w:val="none"/>
                <w:lang w:val="en-US" w:eastAsia="zh-CN"/>
              </w:rPr>
              <w:t>重</w:t>
            </w:r>
            <w:r>
              <w:rPr>
                <w:rFonts w:hint="eastAsia" w:ascii="宋体" w:cs="宋体"/>
                <w:color w:val="auto"/>
                <w:sz w:val="20"/>
                <w:highlight w:val="none"/>
              </w:rPr>
              <w:t>大风险，及时应对紧急情况等</w:t>
            </w:r>
            <w:r>
              <w:rPr>
                <w:rFonts w:hint="eastAsia" w:ascii="宋体" w:cs="宋体"/>
                <w:color w:val="auto"/>
                <w:sz w:val="20"/>
                <w:highlight w:val="none"/>
                <w:lang w:eastAsia="zh-CN"/>
              </w:rPr>
              <w:t>。</w:t>
            </w:r>
          </w:p>
        </w:tc>
      </w:tr>
      <w:tr w14:paraId="3AA7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0E8160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0F489F7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0A4D487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6D78D48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7E9860F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2442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4669E2">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8B09B4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1625F83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08725F88">
            <w:pPr>
              <w:widowControl/>
              <w:jc w:val="left"/>
              <w:textAlignment w:val="center"/>
              <w:rPr>
                <w:rFonts w:hint="default" w:ascii="Times New Roman" w:hAnsi="Times New Roman" w:eastAsia="宋体" w:cs="Times New Roman"/>
                <w:color w:val="auto"/>
                <w:sz w:val="20"/>
                <w:lang w:val="en-US" w:eastAsia="zh-CN"/>
              </w:rPr>
            </w:pPr>
            <w:r>
              <w:rPr>
                <w:rFonts w:hint="eastAsia" w:eastAsia="宋体"/>
                <w:color w:val="auto"/>
                <w:sz w:val="20"/>
                <w:szCs w:val="20"/>
                <w:lang w:val="en-US" w:eastAsia="zh-CN"/>
              </w:rPr>
              <w:t>应急值守天数</w:t>
            </w:r>
          </w:p>
        </w:tc>
        <w:tc>
          <w:tcPr>
            <w:tcW w:w="4228" w:type="dxa"/>
            <w:gridSpan w:val="2"/>
            <w:tcBorders>
              <w:tl2br w:val="nil"/>
              <w:tr2bl w:val="nil"/>
            </w:tcBorders>
            <w:vAlign w:val="center"/>
          </w:tcPr>
          <w:p w14:paraId="150CC3E1">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=365天</w:t>
            </w:r>
          </w:p>
        </w:tc>
      </w:tr>
      <w:tr w14:paraId="3600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1A84E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6DC89A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4ABD9B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2E42020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szCs w:val="20"/>
                <w:lang w:val="en-US" w:eastAsia="zh-CN"/>
              </w:rPr>
              <w:t>应急报告质量</w:t>
            </w:r>
          </w:p>
        </w:tc>
        <w:tc>
          <w:tcPr>
            <w:tcW w:w="4228" w:type="dxa"/>
            <w:gridSpan w:val="2"/>
            <w:tcBorders>
              <w:tl2br w:val="nil"/>
              <w:tr2bl w:val="nil"/>
            </w:tcBorders>
            <w:vAlign w:val="center"/>
          </w:tcPr>
          <w:p w14:paraId="3B9F43A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4A3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C5422C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620C3B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6858C6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754014D">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应急响应速度</w:t>
            </w:r>
          </w:p>
        </w:tc>
        <w:tc>
          <w:tcPr>
            <w:tcW w:w="4228" w:type="dxa"/>
            <w:gridSpan w:val="2"/>
            <w:tcBorders>
              <w:tl2br w:val="nil"/>
              <w:tr2bl w:val="nil"/>
            </w:tcBorders>
            <w:vAlign w:val="center"/>
          </w:tcPr>
          <w:p w14:paraId="3A643A9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较快</w:t>
            </w:r>
          </w:p>
        </w:tc>
      </w:tr>
      <w:tr w14:paraId="150F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6D9AA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270C1FE">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7E9B42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5CA76D02">
            <w:pPr>
              <w:widowControl/>
              <w:jc w:val="left"/>
              <w:textAlignment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经费使用</w:t>
            </w:r>
          </w:p>
        </w:tc>
        <w:tc>
          <w:tcPr>
            <w:tcW w:w="4228" w:type="dxa"/>
            <w:gridSpan w:val="2"/>
            <w:tcBorders>
              <w:tl2br w:val="nil"/>
              <w:tr2bl w:val="nil"/>
            </w:tcBorders>
            <w:vAlign w:val="center"/>
          </w:tcPr>
          <w:p w14:paraId="150A3529">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≤25万元</w:t>
            </w:r>
          </w:p>
        </w:tc>
      </w:tr>
      <w:tr w14:paraId="0D58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D5E2FB">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E11B76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122AF8A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0A683B68">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减少经济损失</w:t>
            </w:r>
          </w:p>
        </w:tc>
        <w:tc>
          <w:tcPr>
            <w:tcW w:w="4228" w:type="dxa"/>
            <w:gridSpan w:val="2"/>
            <w:tcBorders>
              <w:tl2br w:val="nil"/>
              <w:tr2bl w:val="nil"/>
            </w:tcBorders>
            <w:vAlign w:val="center"/>
          </w:tcPr>
          <w:p w14:paraId="649326B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较多</w:t>
            </w:r>
          </w:p>
        </w:tc>
      </w:tr>
      <w:tr w14:paraId="3274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F5449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D4DDC3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3A4249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476B81F2">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对保障机构正常运转的影响程度</w:t>
            </w:r>
          </w:p>
        </w:tc>
        <w:tc>
          <w:tcPr>
            <w:tcW w:w="4228" w:type="dxa"/>
            <w:gridSpan w:val="2"/>
            <w:tcBorders>
              <w:tl2br w:val="nil"/>
              <w:tr2bl w:val="nil"/>
            </w:tcBorders>
            <w:vAlign w:val="center"/>
          </w:tcPr>
          <w:p w14:paraId="6C79A480">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较高</w:t>
            </w:r>
          </w:p>
        </w:tc>
      </w:tr>
      <w:tr w14:paraId="3DDB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FEA6D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2C6BFC8">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20C88F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12F4512">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6E46C284">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2A7E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7B5519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C395E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DB1439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08FF9A4B">
            <w:pPr>
              <w:widowControl/>
              <w:jc w:val="left"/>
              <w:textAlignment w:val="center"/>
              <w:rPr>
                <w:rFonts w:hint="default" w:ascii="Times New Roman" w:hAnsi="Times New Roman" w:eastAsia="宋体" w:cs="Times New Roman"/>
                <w:color w:val="auto"/>
                <w:sz w:val="20"/>
                <w:lang w:val="en-US" w:eastAsia="zh-CN"/>
              </w:rPr>
            </w:pPr>
            <w:r>
              <w:rPr>
                <w:rFonts w:hint="eastAsia" w:ascii="宋体" w:hAnsi="宋体" w:cs="宋体"/>
                <w:color w:val="auto"/>
                <w:kern w:val="0"/>
                <w:sz w:val="18"/>
                <w:szCs w:val="18"/>
                <w:lang w:val="en-US" w:eastAsia="zh-CN"/>
              </w:rPr>
              <w:t>应急管理能力提升</w:t>
            </w:r>
          </w:p>
        </w:tc>
        <w:tc>
          <w:tcPr>
            <w:tcW w:w="4228" w:type="dxa"/>
            <w:gridSpan w:val="2"/>
            <w:tcBorders>
              <w:tl2br w:val="nil"/>
              <w:tr2bl w:val="nil"/>
            </w:tcBorders>
            <w:vAlign w:val="center"/>
          </w:tcPr>
          <w:p w14:paraId="09E5AB2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p>
        </w:tc>
      </w:tr>
      <w:tr w14:paraId="087A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3CEF093">
            <w:pPr>
              <w:jc w:val="center"/>
              <w:rPr>
                <w:rFonts w:hint="default" w:ascii="Times New Roman" w:hAnsi="Times New Roman" w:cs="Times New Roman"/>
                <w:color w:val="auto"/>
                <w:sz w:val="20"/>
              </w:rPr>
            </w:pPr>
          </w:p>
        </w:tc>
        <w:tc>
          <w:tcPr>
            <w:tcW w:w="723" w:type="dxa"/>
            <w:tcBorders>
              <w:tl2br w:val="nil"/>
              <w:tr2bl w:val="nil"/>
            </w:tcBorders>
            <w:vAlign w:val="center"/>
          </w:tcPr>
          <w:p w14:paraId="63428F2B">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0097609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6B5E7BB6">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70EDCB0D">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≥98%</w:t>
            </w:r>
          </w:p>
        </w:tc>
      </w:tr>
    </w:tbl>
    <w:p w14:paraId="491D2062">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3</w:t>
      </w:r>
      <w:r>
        <w:rPr>
          <w:rFonts w:hint="default" w:ascii="Times New Roman" w:hAnsi="Times New Roman" w:eastAsia="方正仿宋_GB2312" w:cs="Times New Roman"/>
          <w:color w:val="auto"/>
          <w:kern w:val="0"/>
          <w:sz w:val="32"/>
          <w:szCs w:val="32"/>
        </w:rPr>
        <w:t>、“机要保密经费”项目。</w:t>
      </w:r>
    </w:p>
    <w:p w14:paraId="6795DE28">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41D7D074">
      <w:pPr>
        <w:ind w:firstLine="640" w:firstLineChars="200"/>
        <w:rPr>
          <w:rFonts w:hint="eastAsia" w:ascii="Times New Roman" w:hAnsi="Times New Roman" w:eastAsia="方正仿宋_GB2312" w:cs="Times New Roman"/>
          <w:color w:val="auto"/>
          <w:kern w:val="0"/>
          <w:sz w:val="32"/>
          <w:szCs w:val="32"/>
          <w:lang w:eastAsia="zh-CN"/>
        </w:rPr>
      </w:pPr>
      <w:r>
        <w:rPr>
          <w:rFonts w:hint="eastAsia" w:ascii="Times New Roman" w:hAnsi="Times New Roman" w:eastAsia="方正仿宋_GB2312" w:cs="Times New Roman"/>
          <w:color w:val="auto"/>
          <w:kern w:val="0"/>
          <w:sz w:val="32"/>
          <w:szCs w:val="32"/>
          <w:lang w:eastAsia="zh-CN"/>
        </w:rPr>
        <w:t>用于提高办公室人员机要保密意识，机要保密专用设备采购等。</w:t>
      </w:r>
    </w:p>
    <w:p w14:paraId="537B6C7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652E7370">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包括国家法律法规、对于保密工作重要性的认识以及上级政府或相关部门的具体要求和指导。</w:t>
      </w:r>
    </w:p>
    <w:p w14:paraId="38D4BA1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21E2A1F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D990CF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5F554F9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18ADE05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6E380C7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对办公室人员进行定期的保密法律法规培训，按照《保守国家秘密法实施条例》(2024年修订)《涉密政府采购管理暂行办法》（财库〔2019〕39号）等相关文件规定，采购涉密专用设备，并进行定期维护和更新，确保设备的正常运行和保密性能，以提高办公室人员的机要保密意识，确保涉密信息的安全，维护国家的安全和利益。</w:t>
      </w:r>
    </w:p>
    <w:p w14:paraId="2A175F25">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5万</w:t>
      </w:r>
    </w:p>
    <w:p w14:paraId="048B49F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8D8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E649A05">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38A6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627B8B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0A0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8181B2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5D4727F">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机要保密经费</w:t>
            </w:r>
          </w:p>
        </w:tc>
      </w:tr>
      <w:tr w14:paraId="269B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028522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183A3499">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0C5C477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383E7D32">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4BCF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2BB5A1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1139F3DC">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8904B25">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DB8FA69">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B0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36FD67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6531C89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4AEC84F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3305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0AB843F">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4DB04F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7FD49670">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23AB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BB4B0F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C11C6D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477FF449">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BE9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8B66386">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B92E572">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4E9333D">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E53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EA350B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E0ECDC1">
            <w:pPr>
              <w:jc w:val="left"/>
              <w:rPr>
                <w:rFonts w:hint="eastAsia" w:ascii="Times New Roman" w:hAnsi="Times New Roman" w:cs="Times New Roman" w:eastAsiaTheme="minorEastAsia"/>
                <w:color w:val="auto"/>
                <w:sz w:val="20"/>
                <w:lang w:eastAsia="zh-CN"/>
              </w:rPr>
            </w:pPr>
            <w:r>
              <w:rPr>
                <w:rFonts w:hint="eastAsia" w:ascii="宋体" w:cs="宋体"/>
                <w:color w:val="auto"/>
                <w:sz w:val="20"/>
                <w:highlight w:val="none"/>
                <w:lang w:val="en-US" w:eastAsia="zh-CN"/>
              </w:rPr>
              <w:t>提高办公室人员机要保密意识、配备机要保密专用设备等</w:t>
            </w:r>
            <w:r>
              <w:rPr>
                <w:rFonts w:hint="eastAsia" w:ascii="宋体" w:cs="宋体"/>
                <w:color w:val="auto"/>
                <w:sz w:val="20"/>
                <w:highlight w:val="none"/>
                <w:lang w:eastAsia="zh-CN"/>
              </w:rPr>
              <w:t>。</w:t>
            </w:r>
          </w:p>
        </w:tc>
      </w:tr>
      <w:tr w14:paraId="782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F52D11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723EFDD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2C6EAF2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4F43B93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13B02FB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B31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FF0CBB">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1D8586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77635EB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367EA193">
            <w:pPr>
              <w:widowControl/>
              <w:jc w:val="left"/>
              <w:textAlignment w:val="center"/>
              <w:rPr>
                <w:rFonts w:hint="eastAsia" w:ascii="Times New Roman" w:hAnsi="Times New Roman" w:eastAsia="宋体" w:cs="Times New Roman"/>
                <w:color w:val="auto"/>
                <w:sz w:val="20"/>
                <w:lang w:val="en-US" w:eastAsia="zh-CN"/>
              </w:rPr>
            </w:pPr>
            <w:r>
              <w:rPr>
                <w:color w:val="auto"/>
                <w:sz w:val="20"/>
                <w:szCs w:val="20"/>
              </w:rPr>
              <w:t>开展保密业务培训次数</w:t>
            </w:r>
          </w:p>
        </w:tc>
        <w:tc>
          <w:tcPr>
            <w:tcW w:w="4228" w:type="dxa"/>
            <w:gridSpan w:val="2"/>
            <w:tcBorders>
              <w:tl2br w:val="nil"/>
              <w:tr2bl w:val="nil"/>
            </w:tcBorders>
            <w:vAlign w:val="center"/>
          </w:tcPr>
          <w:p w14:paraId="5D85654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w:t>
            </w:r>
            <w:r>
              <w:rPr>
                <w:color w:val="auto"/>
              </w:rPr>
              <w:t>次</w:t>
            </w:r>
          </w:p>
        </w:tc>
      </w:tr>
      <w:tr w14:paraId="2810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9E2318">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5A586F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7197EE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15A4F36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培训人员合格率</w:t>
            </w:r>
          </w:p>
        </w:tc>
        <w:tc>
          <w:tcPr>
            <w:tcW w:w="4228" w:type="dxa"/>
            <w:gridSpan w:val="2"/>
            <w:tcBorders>
              <w:tl2br w:val="nil"/>
              <w:tr2bl w:val="nil"/>
            </w:tcBorders>
            <w:vAlign w:val="center"/>
          </w:tcPr>
          <w:p w14:paraId="2F498027">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kern w:val="0"/>
                <w:sz w:val="20"/>
                <w:szCs w:val="20"/>
              </w:rPr>
              <w:t>90%</w:t>
            </w:r>
          </w:p>
        </w:tc>
      </w:tr>
      <w:tr w14:paraId="623F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8805A8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5A078FA">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11167C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1AE3E8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rPr>
              <w:t>机要通讯</w:t>
            </w:r>
            <w:r>
              <w:rPr>
                <w:rFonts w:hint="eastAsia" w:ascii="Times New Roman" w:hAnsi="Times New Roman" w:eastAsia="宋体" w:cs="Times New Roman"/>
                <w:color w:val="auto"/>
                <w:kern w:val="0"/>
                <w:sz w:val="20"/>
                <w:lang w:val="en-US" w:eastAsia="zh-CN"/>
              </w:rPr>
              <w:t>设备</w:t>
            </w:r>
            <w:r>
              <w:rPr>
                <w:rFonts w:hint="default" w:ascii="Times New Roman" w:hAnsi="Times New Roman" w:eastAsia="宋体" w:cs="Times New Roman"/>
                <w:color w:val="auto"/>
                <w:kern w:val="0"/>
                <w:sz w:val="20"/>
              </w:rPr>
              <w:t>维护及时响应</w:t>
            </w:r>
          </w:p>
        </w:tc>
        <w:tc>
          <w:tcPr>
            <w:tcW w:w="4228" w:type="dxa"/>
            <w:gridSpan w:val="2"/>
            <w:tcBorders>
              <w:tl2br w:val="nil"/>
              <w:tr2bl w:val="nil"/>
            </w:tcBorders>
            <w:vAlign w:val="center"/>
          </w:tcPr>
          <w:p w14:paraId="65DF41C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p>
        </w:tc>
      </w:tr>
      <w:tr w14:paraId="3FF8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D1B31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BD3C27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A9C2E9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6FE511C1">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经费使用</w:t>
            </w:r>
          </w:p>
        </w:tc>
        <w:tc>
          <w:tcPr>
            <w:tcW w:w="4228" w:type="dxa"/>
            <w:gridSpan w:val="2"/>
            <w:tcBorders>
              <w:tl2br w:val="nil"/>
              <w:tr2bl w:val="nil"/>
            </w:tcBorders>
            <w:vAlign w:val="center"/>
          </w:tcPr>
          <w:p w14:paraId="30172DEA">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≤5万元</w:t>
            </w:r>
          </w:p>
        </w:tc>
      </w:tr>
      <w:tr w14:paraId="33E5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159404">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CA2064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4021956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291726E0">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失泄密事件发生率</w:t>
            </w:r>
          </w:p>
        </w:tc>
        <w:tc>
          <w:tcPr>
            <w:tcW w:w="4228" w:type="dxa"/>
            <w:gridSpan w:val="2"/>
            <w:tcBorders>
              <w:tl2br w:val="nil"/>
              <w:tr2bl w:val="nil"/>
            </w:tcBorders>
            <w:vAlign w:val="center"/>
          </w:tcPr>
          <w:p w14:paraId="6EB4B2A0">
            <w:pPr>
              <w:jc w:val="center"/>
              <w:rPr>
                <w:rFonts w:hint="default" w:ascii="Times New Roman" w:hAnsi="Times New Roman" w:cs="Times New Roman" w:eastAsiaTheme="minorEastAsia"/>
                <w:color w:val="auto"/>
                <w:sz w:val="20"/>
                <w:lang w:val="en-US" w:eastAsia="zh-CN"/>
              </w:rPr>
            </w:pPr>
            <w:r>
              <w:rPr>
                <w:color w:val="auto"/>
                <w:sz w:val="20"/>
                <w:szCs w:val="20"/>
              </w:rPr>
              <w:t>降低</w:t>
            </w:r>
          </w:p>
        </w:tc>
      </w:tr>
      <w:tr w14:paraId="0312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16F6F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8D89B6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3EA03F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1990DE8F">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保密满意度</w:t>
            </w:r>
          </w:p>
        </w:tc>
        <w:tc>
          <w:tcPr>
            <w:tcW w:w="4228" w:type="dxa"/>
            <w:gridSpan w:val="2"/>
            <w:tcBorders>
              <w:tl2br w:val="nil"/>
              <w:tr2bl w:val="nil"/>
            </w:tcBorders>
            <w:vAlign w:val="center"/>
          </w:tcPr>
          <w:p w14:paraId="30CF596B">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r w14:paraId="69C9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59D8E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B9A8FF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4E9C5E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43BFD2D7">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2031D834">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3BA6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415D2F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9A862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8C01FC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47B022B8">
            <w:pPr>
              <w:widowControl/>
              <w:jc w:val="left"/>
              <w:textAlignment w:val="center"/>
              <w:rPr>
                <w:rFonts w:hint="default" w:ascii="Times New Roman" w:hAnsi="Times New Roman" w:eastAsia="宋体" w:cs="Times New Roman"/>
                <w:color w:val="auto"/>
                <w:sz w:val="20"/>
                <w:lang w:val="en-US" w:eastAsia="zh-CN"/>
              </w:rPr>
            </w:pPr>
            <w:r>
              <w:rPr>
                <w:color w:val="auto"/>
                <w:sz w:val="20"/>
                <w:szCs w:val="20"/>
              </w:rPr>
              <w:t>项目持续期间严控失泄密事件</w:t>
            </w:r>
          </w:p>
        </w:tc>
        <w:tc>
          <w:tcPr>
            <w:tcW w:w="4228" w:type="dxa"/>
            <w:gridSpan w:val="2"/>
            <w:tcBorders>
              <w:tl2br w:val="nil"/>
              <w:tr2bl w:val="nil"/>
            </w:tcBorders>
            <w:vAlign w:val="center"/>
          </w:tcPr>
          <w:p w14:paraId="14CD191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＝0件</w:t>
            </w:r>
          </w:p>
        </w:tc>
      </w:tr>
      <w:tr w14:paraId="1407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A7660C">
            <w:pPr>
              <w:jc w:val="center"/>
              <w:rPr>
                <w:rFonts w:hint="default" w:ascii="Times New Roman" w:hAnsi="Times New Roman" w:cs="Times New Roman"/>
                <w:color w:val="auto"/>
                <w:sz w:val="20"/>
              </w:rPr>
            </w:pPr>
          </w:p>
        </w:tc>
        <w:tc>
          <w:tcPr>
            <w:tcW w:w="723" w:type="dxa"/>
            <w:tcBorders>
              <w:tl2br w:val="nil"/>
              <w:tr2bl w:val="nil"/>
            </w:tcBorders>
            <w:vAlign w:val="center"/>
          </w:tcPr>
          <w:p w14:paraId="2DB1B63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35A7418">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4040BE92">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188389F4">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5F27E0FC">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、“优化营商经费”项目。</w:t>
      </w:r>
    </w:p>
    <w:p w14:paraId="4778AA3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14FFD300">
      <w:pPr>
        <w:ind w:firstLine="640" w:firstLineChars="200"/>
        <w:rPr>
          <w:rFonts w:hint="eastAsia" w:ascii="Times New Roman" w:hAnsi="Times New Roman" w:eastAsia="方正仿宋_GB2312" w:cs="Times New Roman"/>
          <w:color w:val="auto"/>
          <w:kern w:val="0"/>
          <w:sz w:val="32"/>
          <w:szCs w:val="32"/>
          <w:lang w:eastAsia="zh-CN"/>
        </w:rPr>
      </w:pPr>
      <w:r>
        <w:rPr>
          <w:rFonts w:hint="eastAsia" w:ascii="Times New Roman" w:hAnsi="Times New Roman" w:eastAsia="方正仿宋_GB2312" w:cs="Times New Roman"/>
          <w:color w:val="auto"/>
          <w:kern w:val="0"/>
          <w:sz w:val="32"/>
          <w:szCs w:val="32"/>
          <w:lang w:eastAsia="zh-CN"/>
        </w:rPr>
        <w:t>用于营商环境政策印发宣传，工作单位业务技能培训。</w:t>
      </w:r>
    </w:p>
    <w:p w14:paraId="3345DAC2">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340DB52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通过政策宣传和业务技能培训等手段，全面优化本区营商环境，为经济高质量发展提供有力保障。</w:t>
      </w:r>
    </w:p>
    <w:p w14:paraId="29E659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5753A6B1">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66C908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27D2D2C7">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62486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0CDECC31">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10万</w:t>
      </w:r>
    </w:p>
    <w:p w14:paraId="0F44F33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C85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718D353">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7CAE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3B210E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3B23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148636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D55361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优化营商经费经费</w:t>
            </w:r>
          </w:p>
        </w:tc>
      </w:tr>
      <w:tr w14:paraId="0F21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FB5E68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0F6E402D">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995447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7210BC7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24BD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387819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7A76523">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A6E21EB">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0585E68B">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07D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057536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5BD9A39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E5FDAEF">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10万元</w:t>
            </w:r>
          </w:p>
        </w:tc>
      </w:tr>
      <w:tr w14:paraId="32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605E49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E60BCD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12B9982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10万元</w:t>
            </w:r>
          </w:p>
        </w:tc>
      </w:tr>
      <w:tr w14:paraId="6BA8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21CCEE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6CEB6B0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F091065">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4CB4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153A048">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2FDA108">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711742D">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5B48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DF9160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6C42C4D">
            <w:pPr>
              <w:jc w:val="left"/>
              <w:rPr>
                <w:rFonts w:hint="eastAsia" w:ascii="Times New Roman" w:hAnsi="Times New Roman" w:cs="Times New Roman" w:eastAsiaTheme="minorEastAsia"/>
                <w:color w:val="auto"/>
                <w:sz w:val="20"/>
                <w:lang w:eastAsia="zh-CN"/>
              </w:rPr>
            </w:pPr>
            <w:r>
              <w:rPr>
                <w:color w:val="auto"/>
                <w:sz w:val="20"/>
                <w:szCs w:val="20"/>
              </w:rPr>
              <w:t>通过优化营商经费项目，加强营商环境政策的印发宣传，提升工作单位业务技能，进一步改善和优化杜集区营商环境，提高企业和群众的满意度。</w:t>
            </w:r>
          </w:p>
        </w:tc>
      </w:tr>
      <w:tr w14:paraId="7F61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7D408D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564AAE7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455E264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5DC224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CA7407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33B2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0EDA93">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1D5865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2A1AB79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40ED8D6B">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政策等营商宣传</w:t>
            </w:r>
          </w:p>
        </w:tc>
        <w:tc>
          <w:tcPr>
            <w:tcW w:w="4228" w:type="dxa"/>
            <w:gridSpan w:val="2"/>
            <w:tcBorders>
              <w:tl2br w:val="nil"/>
              <w:tr2bl w:val="nil"/>
            </w:tcBorders>
            <w:vAlign w:val="center"/>
          </w:tcPr>
          <w:p w14:paraId="23087B3F">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2次</w:t>
            </w:r>
          </w:p>
        </w:tc>
      </w:tr>
      <w:tr w14:paraId="1F3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FE229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1B72D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2180E2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2721BB18">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技能培训人员满意度</w:t>
            </w:r>
          </w:p>
        </w:tc>
        <w:tc>
          <w:tcPr>
            <w:tcW w:w="4228" w:type="dxa"/>
            <w:gridSpan w:val="2"/>
            <w:tcBorders>
              <w:tl2br w:val="nil"/>
              <w:tr2bl w:val="nil"/>
            </w:tcBorders>
            <w:vAlign w:val="center"/>
          </w:tcPr>
          <w:p w14:paraId="13B2863A">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≥8</w:t>
            </w:r>
            <w:r>
              <w:rPr>
                <w:rFonts w:hint="default" w:ascii="Times New Roman" w:hAnsi="Times New Roman" w:eastAsia="宋体" w:cs="Times New Roman"/>
                <w:color w:val="auto"/>
                <w:kern w:val="0"/>
                <w:sz w:val="20"/>
                <w:szCs w:val="20"/>
              </w:rPr>
              <w:t>0%</w:t>
            </w:r>
          </w:p>
        </w:tc>
      </w:tr>
      <w:tr w14:paraId="7ED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651ACD">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2AF78A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C3B3D0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60D36B6">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宣传和培训时限</w:t>
            </w:r>
          </w:p>
        </w:tc>
        <w:tc>
          <w:tcPr>
            <w:tcW w:w="4228" w:type="dxa"/>
            <w:gridSpan w:val="2"/>
            <w:tcBorders>
              <w:tl2br w:val="nil"/>
              <w:tr2bl w:val="nil"/>
            </w:tcBorders>
            <w:vAlign w:val="center"/>
          </w:tcPr>
          <w:p w14:paraId="58C8474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1年</w:t>
            </w:r>
          </w:p>
        </w:tc>
      </w:tr>
      <w:tr w14:paraId="623A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01A7F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461B23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4D209D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DFB5E5">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预算范围内</w:t>
            </w:r>
          </w:p>
        </w:tc>
        <w:tc>
          <w:tcPr>
            <w:tcW w:w="4228" w:type="dxa"/>
            <w:gridSpan w:val="2"/>
            <w:tcBorders>
              <w:tl2br w:val="nil"/>
              <w:tr2bl w:val="nil"/>
            </w:tcBorders>
            <w:vAlign w:val="center"/>
          </w:tcPr>
          <w:p w14:paraId="03EA1565">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≤10万元</w:t>
            </w:r>
          </w:p>
        </w:tc>
      </w:tr>
      <w:tr w14:paraId="1812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5809CD">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CB0A3C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5BD8BE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6FCCADEF">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促进区域经济发展</w:t>
            </w:r>
          </w:p>
        </w:tc>
        <w:tc>
          <w:tcPr>
            <w:tcW w:w="4228" w:type="dxa"/>
            <w:gridSpan w:val="2"/>
            <w:tcBorders>
              <w:tl2br w:val="nil"/>
              <w:tr2bl w:val="nil"/>
            </w:tcBorders>
            <w:vAlign w:val="center"/>
          </w:tcPr>
          <w:p w14:paraId="434821FC">
            <w:pPr>
              <w:jc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较好</w:t>
            </w:r>
          </w:p>
        </w:tc>
      </w:tr>
      <w:tr w14:paraId="214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1BFDD2">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768D95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F8A2DF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6EBF959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政府服务水平</w:t>
            </w:r>
          </w:p>
        </w:tc>
        <w:tc>
          <w:tcPr>
            <w:tcW w:w="4228" w:type="dxa"/>
            <w:gridSpan w:val="2"/>
            <w:tcBorders>
              <w:tl2br w:val="nil"/>
              <w:tr2bl w:val="nil"/>
            </w:tcBorders>
            <w:vAlign w:val="center"/>
          </w:tcPr>
          <w:p w14:paraId="68670F08">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提高</w:t>
            </w:r>
          </w:p>
        </w:tc>
      </w:tr>
      <w:tr w14:paraId="2C8C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7C2FD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1463A48">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1DB0A1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431FAD1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对环境影响</w:t>
            </w:r>
          </w:p>
        </w:tc>
        <w:tc>
          <w:tcPr>
            <w:tcW w:w="4228" w:type="dxa"/>
            <w:gridSpan w:val="2"/>
            <w:tcBorders>
              <w:tl2br w:val="nil"/>
              <w:tr2bl w:val="nil"/>
            </w:tcBorders>
            <w:vAlign w:val="center"/>
          </w:tcPr>
          <w:p w14:paraId="6011E4D1">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减少</w:t>
            </w:r>
          </w:p>
        </w:tc>
      </w:tr>
      <w:tr w14:paraId="5AA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798E41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30B96F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EAE95F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154B29E7">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长期促进区域经济发展</w:t>
            </w:r>
          </w:p>
        </w:tc>
        <w:tc>
          <w:tcPr>
            <w:tcW w:w="4228" w:type="dxa"/>
            <w:gridSpan w:val="2"/>
            <w:tcBorders>
              <w:tl2br w:val="nil"/>
              <w:tr2bl w:val="nil"/>
            </w:tcBorders>
            <w:vAlign w:val="center"/>
          </w:tcPr>
          <w:p w14:paraId="0F78519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3ED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948EE4">
            <w:pPr>
              <w:jc w:val="center"/>
              <w:rPr>
                <w:rFonts w:hint="default" w:ascii="Times New Roman" w:hAnsi="Times New Roman" w:cs="Times New Roman"/>
                <w:color w:val="auto"/>
                <w:sz w:val="20"/>
              </w:rPr>
            </w:pPr>
          </w:p>
        </w:tc>
        <w:tc>
          <w:tcPr>
            <w:tcW w:w="723" w:type="dxa"/>
            <w:tcBorders>
              <w:tl2br w:val="nil"/>
              <w:tr2bl w:val="nil"/>
            </w:tcBorders>
            <w:vAlign w:val="center"/>
          </w:tcPr>
          <w:p w14:paraId="6F06AEED">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7257F9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32A84A8C">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505D9EF8">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78896F40">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5</w:t>
      </w:r>
      <w:r>
        <w:rPr>
          <w:rFonts w:hint="default" w:ascii="Times New Roman" w:hAnsi="Times New Roman" w:eastAsia="方正仿宋_GB2312" w:cs="Times New Roman"/>
          <w:color w:val="auto"/>
          <w:kern w:val="0"/>
          <w:sz w:val="32"/>
          <w:szCs w:val="32"/>
        </w:rPr>
        <w:t>、“政务网络及新媒体项目”项目。</w:t>
      </w:r>
    </w:p>
    <w:p w14:paraId="328EB91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4FDEE57A">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w:t>
      </w:r>
      <w:r>
        <w:rPr>
          <w:rFonts w:hint="eastAsia" w:ascii="Times New Roman" w:hAnsi="Times New Roman" w:eastAsia="方正仿宋_GB2312" w:cs="Times New Roman"/>
          <w:color w:val="auto"/>
          <w:kern w:val="0"/>
          <w:sz w:val="32"/>
          <w:szCs w:val="32"/>
          <w:lang w:val="en-US" w:eastAsia="zh-CN"/>
        </w:rPr>
        <w:t>政务</w:t>
      </w:r>
      <w:r>
        <w:rPr>
          <w:rFonts w:hint="default" w:ascii="Times New Roman" w:hAnsi="Times New Roman" w:eastAsia="方正仿宋_GB2312" w:cs="Times New Roman"/>
          <w:color w:val="auto"/>
          <w:kern w:val="0"/>
          <w:sz w:val="32"/>
          <w:szCs w:val="32"/>
        </w:rPr>
        <w:t>网络维护及更新</w:t>
      </w:r>
      <w:r>
        <w:rPr>
          <w:rFonts w:hint="eastAsia" w:ascii="Times New Roman" w:hAnsi="Times New Roman" w:eastAsia="方正仿宋_GB2312" w:cs="Times New Roman"/>
          <w:color w:val="auto"/>
          <w:kern w:val="0"/>
          <w:sz w:val="32"/>
          <w:szCs w:val="32"/>
          <w:lang w:eastAsia="zh-CN"/>
        </w:rPr>
        <w:t>。</w:t>
      </w:r>
    </w:p>
    <w:p w14:paraId="01F3E4F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75277124">
      <w:pPr>
        <w:numPr>
          <w:ilvl w:val="0"/>
          <w:numId w:val="0"/>
        </w:num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eastAsia="zh-CN"/>
        </w:rPr>
        <w:t>《杜集区基层政务公开标准化规范化工作信息保障运维服务合同》、《政务公开第三方运维服务合同》</w:t>
      </w:r>
      <w:r>
        <w:rPr>
          <w:rFonts w:hint="eastAsia" w:ascii="Times New Roman" w:hAnsi="Times New Roman" w:eastAsia="方正仿宋_GB2312" w:cs="Times New Roman"/>
          <w:color w:val="auto"/>
          <w:kern w:val="0"/>
          <w:sz w:val="32"/>
          <w:szCs w:val="32"/>
          <w:lang w:val="en-US" w:eastAsia="zh-CN"/>
        </w:rPr>
        <w:t>等。</w:t>
      </w:r>
    </w:p>
    <w:p w14:paraId="53B1CD6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3EDA48E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33AC439E">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A26A0CE">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1A6A58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0B6AE88A">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70万</w:t>
      </w:r>
    </w:p>
    <w:p w14:paraId="195E4700">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40D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8F2D9BF">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0B29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B66EF6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5069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D828A4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CB70C9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政务网络及新媒体项目经费</w:t>
            </w:r>
          </w:p>
        </w:tc>
      </w:tr>
      <w:tr w14:paraId="6220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3C25D6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41C01C29">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1EB01F4">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286D8B20">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74C8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C36532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EDA0FEB">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625EA240">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10E3755E">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0BE2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F0EAC8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41C1A14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42CE1CDE">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70万元</w:t>
            </w:r>
          </w:p>
        </w:tc>
      </w:tr>
      <w:tr w14:paraId="374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B4646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2B6C49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0B4EE262">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70万元</w:t>
            </w:r>
          </w:p>
        </w:tc>
      </w:tr>
      <w:tr w14:paraId="7418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CDA1B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084CE7B">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BCC4164">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D23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AB3746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0D330A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2168E417">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7AAD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78B77E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CD32ABD">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提升政府信息化建设</w:t>
            </w:r>
            <w:r>
              <w:rPr>
                <w:rFonts w:hint="eastAsia" w:ascii="Times New Roman" w:hAnsi="Times New Roman" w:cs="Times New Roman"/>
                <w:color w:val="auto"/>
                <w:sz w:val="20"/>
                <w:lang w:eastAsia="zh-CN"/>
              </w:rPr>
              <w:t>，</w:t>
            </w:r>
            <w:r>
              <w:rPr>
                <w:rFonts w:hint="eastAsia" w:ascii="Times New Roman" w:hAnsi="Times New Roman" w:cs="Times New Roman" w:eastAsiaTheme="minorEastAsia"/>
                <w:color w:val="auto"/>
                <w:sz w:val="20"/>
                <w:lang w:eastAsia="zh-CN"/>
              </w:rPr>
              <w:t>持续完善和创新政务</w:t>
            </w:r>
            <w:r>
              <w:rPr>
                <w:rFonts w:hint="eastAsia" w:ascii="Times New Roman" w:hAnsi="Times New Roman" w:cs="Times New Roman"/>
                <w:color w:val="auto"/>
                <w:sz w:val="20"/>
                <w:lang w:val="en-US" w:eastAsia="zh-CN"/>
              </w:rPr>
              <w:t>网络及</w:t>
            </w:r>
            <w:r>
              <w:rPr>
                <w:rFonts w:hint="eastAsia" w:ascii="Times New Roman" w:hAnsi="Times New Roman" w:cs="Times New Roman" w:eastAsiaTheme="minorEastAsia"/>
                <w:color w:val="auto"/>
                <w:sz w:val="20"/>
                <w:lang w:eastAsia="zh-CN"/>
              </w:rPr>
              <w:t>新媒体平台的功能，</w:t>
            </w:r>
            <w:r>
              <w:rPr>
                <w:rFonts w:hint="eastAsia" w:ascii="Times New Roman" w:hAnsi="Times New Roman" w:cs="Times New Roman"/>
                <w:color w:val="auto"/>
                <w:sz w:val="20"/>
                <w:lang w:val="en-US" w:eastAsia="zh-CN"/>
              </w:rPr>
              <w:t>确保</w:t>
            </w:r>
            <w:r>
              <w:rPr>
                <w:rFonts w:hint="eastAsia" w:ascii="Times New Roman" w:hAnsi="Times New Roman" w:cs="Times New Roman" w:eastAsiaTheme="minorEastAsia"/>
                <w:color w:val="auto"/>
                <w:sz w:val="20"/>
                <w:lang w:eastAsia="zh-CN"/>
              </w:rPr>
              <w:t>稳定性和可用性</w:t>
            </w:r>
            <w:r>
              <w:rPr>
                <w:rFonts w:hint="eastAsia" w:ascii="Times New Roman" w:hAnsi="Times New Roman" w:cs="Times New Roman"/>
                <w:color w:val="auto"/>
                <w:sz w:val="20"/>
                <w:lang w:eastAsia="zh-CN"/>
              </w:rPr>
              <w:t>，</w:t>
            </w:r>
            <w:r>
              <w:rPr>
                <w:rFonts w:hint="eastAsia" w:ascii="Times New Roman" w:hAnsi="Times New Roman" w:cs="Times New Roman" w:eastAsiaTheme="minorEastAsia"/>
                <w:color w:val="auto"/>
                <w:sz w:val="20"/>
                <w:lang w:eastAsia="zh-CN"/>
              </w:rPr>
              <w:t>满足政府与民众互动的需求。</w:t>
            </w:r>
          </w:p>
        </w:tc>
      </w:tr>
      <w:tr w14:paraId="5868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A8200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ED19AE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26713E6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2E72ABF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FF686D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2C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39DDEF">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AE9C80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05473C0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0CCD299E">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维护及更新次数</w:t>
            </w:r>
          </w:p>
        </w:tc>
        <w:tc>
          <w:tcPr>
            <w:tcW w:w="4228" w:type="dxa"/>
            <w:gridSpan w:val="2"/>
            <w:tcBorders>
              <w:tl2br w:val="nil"/>
              <w:tr2bl w:val="nil"/>
            </w:tcBorders>
            <w:vAlign w:val="center"/>
          </w:tcPr>
          <w:p w14:paraId="20C8776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2次</w:t>
            </w:r>
          </w:p>
        </w:tc>
      </w:tr>
      <w:tr w14:paraId="525F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23B04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F6A222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FC6FE0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02C2B41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稳定运行率</w:t>
            </w:r>
          </w:p>
        </w:tc>
        <w:tc>
          <w:tcPr>
            <w:tcW w:w="4228" w:type="dxa"/>
            <w:gridSpan w:val="2"/>
            <w:tcBorders>
              <w:tl2br w:val="nil"/>
              <w:tr2bl w:val="nil"/>
            </w:tcBorders>
            <w:vAlign w:val="center"/>
          </w:tcPr>
          <w:p w14:paraId="157B4449">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5027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5AC723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949978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A8AB86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5C54C5F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项目完成时间</w:t>
            </w:r>
          </w:p>
        </w:tc>
        <w:tc>
          <w:tcPr>
            <w:tcW w:w="4228" w:type="dxa"/>
            <w:gridSpan w:val="2"/>
            <w:tcBorders>
              <w:tl2br w:val="nil"/>
              <w:tr2bl w:val="nil"/>
            </w:tcBorders>
            <w:vAlign w:val="center"/>
          </w:tcPr>
          <w:p w14:paraId="5D0CB29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按时</w:t>
            </w:r>
          </w:p>
        </w:tc>
      </w:tr>
      <w:tr w14:paraId="3C7D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460FC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3DD681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ADB91C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31EA63F1">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总成本</w:t>
            </w:r>
          </w:p>
        </w:tc>
        <w:tc>
          <w:tcPr>
            <w:tcW w:w="4228" w:type="dxa"/>
            <w:gridSpan w:val="2"/>
            <w:tcBorders>
              <w:tl2br w:val="nil"/>
              <w:tr2bl w:val="nil"/>
            </w:tcBorders>
            <w:vAlign w:val="center"/>
          </w:tcPr>
          <w:p w14:paraId="6E41430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≤70万元</w:t>
            </w:r>
          </w:p>
        </w:tc>
      </w:tr>
      <w:tr w14:paraId="1D4A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AADC7A2">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13C331F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01B023A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7B66F973">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政府工作效率</w:t>
            </w:r>
          </w:p>
        </w:tc>
        <w:tc>
          <w:tcPr>
            <w:tcW w:w="4228" w:type="dxa"/>
            <w:gridSpan w:val="2"/>
            <w:tcBorders>
              <w:tl2br w:val="nil"/>
              <w:tr2bl w:val="nil"/>
            </w:tcBorders>
            <w:vAlign w:val="center"/>
          </w:tcPr>
          <w:p w14:paraId="139009D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提高</w:t>
            </w:r>
          </w:p>
        </w:tc>
      </w:tr>
      <w:tr w14:paraId="40A6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896676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2803D1C">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D35F23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5E4949DC">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315A8F3E">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7BB5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9CB4D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38E00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AF6570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278D01D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此项不适用</w:t>
            </w:r>
          </w:p>
        </w:tc>
        <w:tc>
          <w:tcPr>
            <w:tcW w:w="4228" w:type="dxa"/>
            <w:gridSpan w:val="2"/>
            <w:tcBorders>
              <w:tl2br w:val="nil"/>
              <w:tr2bl w:val="nil"/>
            </w:tcBorders>
            <w:vAlign w:val="center"/>
          </w:tcPr>
          <w:p w14:paraId="2874B97F">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此项不适用</w:t>
            </w:r>
          </w:p>
        </w:tc>
      </w:tr>
      <w:tr w14:paraId="0AE1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5643EF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9D1945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0D4D46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5A6E135C">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政务信息化长期发展</w:t>
            </w:r>
          </w:p>
        </w:tc>
        <w:tc>
          <w:tcPr>
            <w:tcW w:w="4228" w:type="dxa"/>
            <w:gridSpan w:val="2"/>
            <w:tcBorders>
              <w:tl2br w:val="nil"/>
              <w:tr2bl w:val="nil"/>
            </w:tcBorders>
            <w:vAlign w:val="center"/>
          </w:tcPr>
          <w:p w14:paraId="5D2C762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693E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E398A6">
            <w:pPr>
              <w:jc w:val="center"/>
              <w:rPr>
                <w:rFonts w:hint="default" w:ascii="Times New Roman" w:hAnsi="Times New Roman" w:cs="Times New Roman"/>
                <w:color w:val="auto"/>
                <w:sz w:val="20"/>
              </w:rPr>
            </w:pPr>
          </w:p>
        </w:tc>
        <w:tc>
          <w:tcPr>
            <w:tcW w:w="723" w:type="dxa"/>
            <w:tcBorders>
              <w:tl2br w:val="nil"/>
              <w:tr2bl w:val="nil"/>
            </w:tcBorders>
            <w:vAlign w:val="center"/>
          </w:tcPr>
          <w:p w14:paraId="7FD57B58">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5796EA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067FE2C0">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22330F22">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605ABBBE">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6</w:t>
      </w:r>
      <w:r>
        <w:rPr>
          <w:rFonts w:hint="default" w:ascii="Times New Roman" w:hAnsi="Times New Roman" w:eastAsia="方正仿宋_GB2312" w:cs="Times New Roman"/>
          <w:color w:val="auto"/>
          <w:kern w:val="0"/>
          <w:sz w:val="32"/>
          <w:szCs w:val="32"/>
        </w:rPr>
        <w:t>、“网络租赁经费”项目。</w:t>
      </w:r>
    </w:p>
    <w:p w14:paraId="462ADC77">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12639CD2">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用于区办公网络租赁及维修费用</w:t>
      </w:r>
      <w:r>
        <w:rPr>
          <w:rFonts w:hint="eastAsia" w:ascii="Times New Roman" w:hAnsi="Times New Roman" w:eastAsia="方正仿宋_GB2312" w:cs="Times New Roman"/>
          <w:color w:val="auto"/>
          <w:kern w:val="0"/>
          <w:sz w:val="32"/>
          <w:szCs w:val="32"/>
          <w:lang w:eastAsia="zh-CN"/>
        </w:rPr>
        <w:t>。</w:t>
      </w:r>
    </w:p>
    <w:p w14:paraId="72EEB69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1372DB6D">
      <w:pPr>
        <w:numPr>
          <w:ilvl w:val="0"/>
          <w:numId w:val="0"/>
        </w:num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eastAsia="zh-CN"/>
        </w:rPr>
        <w:t>《杜集区电子政务办公平台租赁服务项目续约合作协议书》、</w:t>
      </w:r>
      <w:r>
        <w:rPr>
          <w:rFonts w:hint="eastAsia" w:ascii="Times New Roman" w:hAnsi="Times New Roman" w:eastAsia="方正仿宋_GB2312" w:cs="Times New Roman"/>
          <w:color w:val="auto"/>
          <w:kern w:val="0"/>
          <w:sz w:val="32"/>
          <w:szCs w:val="32"/>
          <w:lang w:val="en-US" w:eastAsia="zh-CN"/>
        </w:rPr>
        <w:t>网络及机房维护服务等。</w:t>
      </w:r>
    </w:p>
    <w:p w14:paraId="617FE2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607BFC2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BE0A1C8">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1838A2F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11BA60A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31242F04">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40万</w:t>
      </w:r>
    </w:p>
    <w:p w14:paraId="0D0E582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0DB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507EFB2">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56D6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4E7756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533A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572A62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AD7CEB7">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网络租赁经费</w:t>
            </w:r>
          </w:p>
        </w:tc>
      </w:tr>
      <w:tr w14:paraId="1FFD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B616E0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76F02FDF">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52F69D87">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173FA28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421C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48F8FA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769FFE61">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84FDE35">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0752A78D">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7B05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DB8CE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6A9FFACD">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14F0A2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40万元</w:t>
            </w:r>
          </w:p>
        </w:tc>
      </w:tr>
      <w:tr w14:paraId="0D84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34B3B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0153A1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4B287F54">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40万元</w:t>
            </w:r>
          </w:p>
        </w:tc>
      </w:tr>
      <w:tr w14:paraId="7C27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60C5F90">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9D2569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172150CB">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469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46B51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503EFE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2AD66B2C">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1DE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C349A9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790E0AE">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保障区办公网络正常运行，提高网络使用效率，确保网络安全稳定。</w:t>
            </w:r>
          </w:p>
        </w:tc>
      </w:tr>
      <w:tr w14:paraId="40D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581A2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4D305F4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75A708F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4D32869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3484DF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921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E2DEF5">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D15B2CD">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01D910A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1EF6209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运转保障率</w:t>
            </w:r>
          </w:p>
        </w:tc>
        <w:tc>
          <w:tcPr>
            <w:tcW w:w="4228" w:type="dxa"/>
            <w:gridSpan w:val="2"/>
            <w:tcBorders>
              <w:tl2br w:val="nil"/>
              <w:tr2bl w:val="nil"/>
            </w:tcBorders>
            <w:vAlign w:val="center"/>
          </w:tcPr>
          <w:p w14:paraId="47A5090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2791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1C2BDB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630967C">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CC34F8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3DCDAFC0">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资金支出合规率</w:t>
            </w:r>
          </w:p>
        </w:tc>
        <w:tc>
          <w:tcPr>
            <w:tcW w:w="4228" w:type="dxa"/>
            <w:gridSpan w:val="2"/>
            <w:tcBorders>
              <w:tl2br w:val="nil"/>
              <w:tr2bl w:val="nil"/>
            </w:tcBorders>
            <w:vAlign w:val="center"/>
          </w:tcPr>
          <w:p w14:paraId="582E6AF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p>
        </w:tc>
      </w:tr>
      <w:tr w14:paraId="390C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AD535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D8E461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0FE712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F6F4E71">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修复及时率</w:t>
            </w:r>
          </w:p>
        </w:tc>
        <w:tc>
          <w:tcPr>
            <w:tcW w:w="4228" w:type="dxa"/>
            <w:gridSpan w:val="2"/>
            <w:tcBorders>
              <w:tl2br w:val="nil"/>
              <w:tr2bl w:val="nil"/>
            </w:tcBorders>
            <w:vAlign w:val="center"/>
          </w:tcPr>
          <w:p w14:paraId="2B962A11">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r>
              <w:rPr>
                <w:rFonts w:hint="default" w:ascii="Times New Roman" w:hAnsi="Times New Roman" w:eastAsia="宋体" w:cs="Times New Roman"/>
                <w:color w:val="auto"/>
                <w:kern w:val="0"/>
                <w:sz w:val="20"/>
                <w:szCs w:val="20"/>
              </w:rPr>
              <w:t>%</w:t>
            </w:r>
          </w:p>
        </w:tc>
      </w:tr>
      <w:tr w14:paraId="158C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75C080">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085040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FF7320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17A86C7B">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网络租赁及维修费用</w:t>
            </w:r>
          </w:p>
        </w:tc>
        <w:tc>
          <w:tcPr>
            <w:tcW w:w="4228" w:type="dxa"/>
            <w:gridSpan w:val="2"/>
            <w:tcBorders>
              <w:tl2br w:val="nil"/>
              <w:tr2bl w:val="nil"/>
            </w:tcBorders>
            <w:vAlign w:val="center"/>
          </w:tcPr>
          <w:p w14:paraId="2892A15E">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≤40万元</w:t>
            </w:r>
          </w:p>
        </w:tc>
      </w:tr>
      <w:tr w14:paraId="54A1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574315F">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68E5F23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7D75498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7E60185E">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网络使用效率提升率</w:t>
            </w:r>
          </w:p>
        </w:tc>
        <w:tc>
          <w:tcPr>
            <w:tcW w:w="4228" w:type="dxa"/>
            <w:gridSpan w:val="2"/>
            <w:tcBorders>
              <w:tl2br w:val="nil"/>
              <w:tr2bl w:val="nil"/>
            </w:tcBorders>
            <w:vAlign w:val="center"/>
          </w:tcPr>
          <w:p w14:paraId="57692ED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r>
              <w:rPr>
                <w:rFonts w:hint="default" w:ascii="Times New Roman" w:hAnsi="Times New Roman" w:eastAsia="宋体" w:cs="Times New Roman"/>
                <w:color w:val="auto"/>
                <w:kern w:val="0"/>
                <w:sz w:val="20"/>
                <w:szCs w:val="20"/>
              </w:rPr>
              <w:t>%</w:t>
            </w:r>
          </w:p>
        </w:tc>
      </w:tr>
      <w:tr w14:paraId="5E10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C356D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84AEF3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E47D2F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69050902">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政府工作效率</w:t>
            </w:r>
          </w:p>
        </w:tc>
        <w:tc>
          <w:tcPr>
            <w:tcW w:w="4228" w:type="dxa"/>
            <w:gridSpan w:val="2"/>
            <w:tcBorders>
              <w:tl2br w:val="nil"/>
              <w:tr2bl w:val="nil"/>
            </w:tcBorders>
            <w:vAlign w:val="center"/>
          </w:tcPr>
          <w:p w14:paraId="2AF5F454">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7CBD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091590">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1F10D4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EAA7F8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3190F0A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节能减排效果</w:t>
            </w:r>
          </w:p>
        </w:tc>
        <w:tc>
          <w:tcPr>
            <w:tcW w:w="4228" w:type="dxa"/>
            <w:gridSpan w:val="2"/>
            <w:tcBorders>
              <w:tl2br w:val="nil"/>
              <w:tr2bl w:val="nil"/>
            </w:tcBorders>
            <w:vAlign w:val="center"/>
          </w:tcPr>
          <w:p w14:paraId="1726DCF1">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符合国家节能减排标准</w:t>
            </w:r>
          </w:p>
        </w:tc>
      </w:tr>
      <w:tr w14:paraId="4C74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48A004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062332A">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4EA8C09">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9125E9F">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网络租赁服务持续优化率</w:t>
            </w:r>
          </w:p>
        </w:tc>
        <w:tc>
          <w:tcPr>
            <w:tcW w:w="4228" w:type="dxa"/>
            <w:gridSpan w:val="2"/>
            <w:tcBorders>
              <w:tl2br w:val="nil"/>
              <w:tr2bl w:val="nil"/>
            </w:tcBorders>
            <w:vAlign w:val="center"/>
          </w:tcPr>
          <w:p w14:paraId="7246EC2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5A9F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FD8D42">
            <w:pPr>
              <w:jc w:val="center"/>
              <w:rPr>
                <w:rFonts w:hint="default" w:ascii="Times New Roman" w:hAnsi="Times New Roman" w:cs="Times New Roman"/>
                <w:color w:val="auto"/>
                <w:sz w:val="20"/>
              </w:rPr>
            </w:pPr>
          </w:p>
        </w:tc>
        <w:tc>
          <w:tcPr>
            <w:tcW w:w="723" w:type="dxa"/>
            <w:tcBorders>
              <w:tl2br w:val="nil"/>
              <w:tr2bl w:val="nil"/>
            </w:tcBorders>
            <w:vAlign w:val="center"/>
          </w:tcPr>
          <w:p w14:paraId="0E79FF6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496DAE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0A086DF4">
            <w:pPr>
              <w:widowControl/>
              <w:jc w:val="left"/>
              <w:textAlignment w:val="center"/>
              <w:rPr>
                <w:rFonts w:hint="default" w:ascii="Times New Roman" w:hAnsi="Times New Roman" w:eastAsia="宋体" w:cs="Times New Roman"/>
                <w:color w:val="auto"/>
                <w:sz w:val="20"/>
              </w:rPr>
            </w:pPr>
            <w:r>
              <w:rPr>
                <w:rFonts w:hint="eastAsia" w:ascii="Times New Roman" w:hAnsi="Times New Roman" w:eastAsia="宋体" w:cs="Times New Roman"/>
                <w:color w:val="auto"/>
                <w:kern w:val="0"/>
                <w:sz w:val="20"/>
                <w:lang w:val="en-US" w:eastAsia="zh-CN"/>
              </w:rPr>
              <w:t>工作人员</w:t>
            </w: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4059EE90">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12378558">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7</w:t>
      </w:r>
      <w:r>
        <w:rPr>
          <w:rFonts w:hint="default" w:ascii="Times New Roman" w:hAnsi="Times New Roman" w:eastAsia="方正仿宋_GB2312" w:cs="Times New Roman"/>
          <w:color w:val="auto"/>
          <w:kern w:val="0"/>
          <w:sz w:val="32"/>
          <w:szCs w:val="32"/>
        </w:rPr>
        <w:t>、“日常办公经费”项目。</w:t>
      </w:r>
    </w:p>
    <w:p w14:paraId="220C539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794A7D07">
      <w:p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用于办公室日常工作的开展。</w:t>
      </w:r>
    </w:p>
    <w:p w14:paraId="03F5FE6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54244F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工作计划、人员编制和岗位需求等。</w:t>
      </w:r>
    </w:p>
    <w:p w14:paraId="783AEAD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4A340E80">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2B7BF67D">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3B18EAE">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7B983F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119B0DF4">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6.27万</w:t>
      </w:r>
    </w:p>
    <w:p w14:paraId="1E528E8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0FD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9847613">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43FB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FC8ACF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A4D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D34720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0A8C9542">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日常办公经费</w:t>
            </w:r>
          </w:p>
        </w:tc>
      </w:tr>
      <w:tr w14:paraId="0AC0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5DAC49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BD3F1A4">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1BAB3B4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3B6C8D9">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06B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1323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3C5181C6">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BF0F4A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C61FC66">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119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3CD66F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4FC9833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5EC86414">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6.27万元</w:t>
            </w:r>
          </w:p>
        </w:tc>
      </w:tr>
      <w:tr w14:paraId="1371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A27CBA6">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470684E">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1418293">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6.27万元</w:t>
            </w:r>
          </w:p>
        </w:tc>
      </w:tr>
      <w:tr w14:paraId="0C7F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94E5F2">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655F67D">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298C244A">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EA2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9880A91">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6D4449C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69E2778">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3F0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20A9F3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5DC1A8B">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保障办公室日常工作的顺利开展，提高办公效率和服务质量。</w:t>
            </w:r>
          </w:p>
        </w:tc>
      </w:tr>
      <w:tr w14:paraId="6021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84A600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291B19C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53B02F5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32395D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50F9473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77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4A2FA46">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545D0E5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1D1FA43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2096B3A2">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运转保障率</w:t>
            </w:r>
          </w:p>
        </w:tc>
        <w:tc>
          <w:tcPr>
            <w:tcW w:w="4228" w:type="dxa"/>
            <w:gridSpan w:val="2"/>
            <w:tcBorders>
              <w:tl2br w:val="nil"/>
              <w:tr2bl w:val="nil"/>
            </w:tcBorders>
            <w:vAlign w:val="center"/>
          </w:tcPr>
          <w:p w14:paraId="5469ADE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5D69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5ABD8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8F02C8F">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900F6E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6B8DD11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资金支出合规率</w:t>
            </w:r>
          </w:p>
        </w:tc>
        <w:tc>
          <w:tcPr>
            <w:tcW w:w="4228" w:type="dxa"/>
            <w:gridSpan w:val="2"/>
            <w:tcBorders>
              <w:tl2br w:val="nil"/>
              <w:tr2bl w:val="nil"/>
            </w:tcBorders>
            <w:vAlign w:val="center"/>
          </w:tcPr>
          <w:p w14:paraId="771773C9">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p>
        </w:tc>
      </w:tr>
      <w:tr w14:paraId="09F4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66BA7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9F2A53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CF1106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7FF9C0AF">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经费使用及时率</w:t>
            </w:r>
          </w:p>
        </w:tc>
        <w:tc>
          <w:tcPr>
            <w:tcW w:w="4228" w:type="dxa"/>
            <w:gridSpan w:val="2"/>
            <w:tcBorders>
              <w:tl2br w:val="nil"/>
              <w:tr2bl w:val="nil"/>
            </w:tcBorders>
            <w:vAlign w:val="center"/>
          </w:tcPr>
          <w:p w14:paraId="64A51CF4">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r>
              <w:rPr>
                <w:rFonts w:hint="default" w:ascii="Times New Roman" w:hAnsi="Times New Roman" w:eastAsia="宋体" w:cs="Times New Roman"/>
                <w:color w:val="auto"/>
                <w:kern w:val="0"/>
                <w:sz w:val="20"/>
                <w:szCs w:val="20"/>
              </w:rPr>
              <w:t>%</w:t>
            </w:r>
          </w:p>
        </w:tc>
      </w:tr>
      <w:tr w14:paraId="2A6E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215E7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EFECCF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F4EA57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091C93">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6E14F1A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≤6.27万元</w:t>
            </w:r>
          </w:p>
        </w:tc>
      </w:tr>
      <w:tr w14:paraId="5561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5C275A">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0227AA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1F8C3E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5ED890EF">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办公效率</w:t>
            </w:r>
          </w:p>
        </w:tc>
        <w:tc>
          <w:tcPr>
            <w:tcW w:w="4228" w:type="dxa"/>
            <w:gridSpan w:val="2"/>
            <w:tcBorders>
              <w:tl2br w:val="nil"/>
              <w:tr2bl w:val="nil"/>
            </w:tcBorders>
            <w:vAlign w:val="center"/>
          </w:tcPr>
          <w:p w14:paraId="1D02E58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38A0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345432">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C2861D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5CE09D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219D3853">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6B0867A5">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6888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7BC6A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7CA1DD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D221CC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24491D02">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负面影响</w:t>
            </w:r>
          </w:p>
        </w:tc>
        <w:tc>
          <w:tcPr>
            <w:tcW w:w="4228" w:type="dxa"/>
            <w:gridSpan w:val="2"/>
            <w:tcBorders>
              <w:tl2br w:val="nil"/>
              <w:tr2bl w:val="nil"/>
            </w:tcBorders>
            <w:vAlign w:val="center"/>
          </w:tcPr>
          <w:p w14:paraId="72B94CD7">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无</w:t>
            </w:r>
          </w:p>
        </w:tc>
      </w:tr>
      <w:tr w14:paraId="3833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1DE8AF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6F9665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55D7C33">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0627748C">
            <w:pPr>
              <w:widowControl/>
              <w:jc w:val="left"/>
              <w:textAlignment w:val="center"/>
              <w:rPr>
                <w:rFonts w:hint="default"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办公室工作持续优化</w:t>
            </w:r>
          </w:p>
        </w:tc>
        <w:tc>
          <w:tcPr>
            <w:tcW w:w="4228" w:type="dxa"/>
            <w:gridSpan w:val="2"/>
            <w:tcBorders>
              <w:tl2br w:val="nil"/>
              <w:tr2bl w:val="nil"/>
            </w:tcBorders>
            <w:vAlign w:val="center"/>
          </w:tcPr>
          <w:p w14:paraId="0047DFB2">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3FF5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948AFBF">
            <w:pPr>
              <w:jc w:val="center"/>
              <w:rPr>
                <w:rFonts w:hint="default" w:ascii="Times New Roman" w:hAnsi="Times New Roman" w:cs="Times New Roman"/>
                <w:color w:val="auto"/>
                <w:sz w:val="20"/>
              </w:rPr>
            </w:pPr>
          </w:p>
        </w:tc>
        <w:tc>
          <w:tcPr>
            <w:tcW w:w="723" w:type="dxa"/>
            <w:tcBorders>
              <w:tl2br w:val="nil"/>
              <w:tr2bl w:val="nil"/>
            </w:tcBorders>
            <w:vAlign w:val="center"/>
          </w:tcPr>
          <w:p w14:paraId="70C656F2">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8807DE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1C4D470A">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21C7E2B5">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4B7BCF57">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8</w:t>
      </w:r>
      <w:r>
        <w:rPr>
          <w:rFonts w:hint="default" w:ascii="Times New Roman" w:hAnsi="Times New Roman" w:eastAsia="方正仿宋_GB2312" w:cs="Times New Roman"/>
          <w:color w:val="auto"/>
          <w:kern w:val="0"/>
          <w:sz w:val="32"/>
          <w:szCs w:val="32"/>
        </w:rPr>
        <w:t>、“智慧城市建设”项目。</w:t>
      </w:r>
    </w:p>
    <w:p w14:paraId="17DE703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148C96C7">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用于办公设备购置维修等</w:t>
      </w:r>
      <w:r>
        <w:rPr>
          <w:rFonts w:hint="eastAsia" w:ascii="Times New Roman" w:hAnsi="Times New Roman" w:eastAsia="方正仿宋_GB2312" w:cs="Times New Roman"/>
          <w:color w:val="auto"/>
          <w:kern w:val="0"/>
          <w:sz w:val="32"/>
          <w:szCs w:val="32"/>
          <w:lang w:eastAsia="zh-CN"/>
        </w:rPr>
        <w:t>。</w:t>
      </w:r>
    </w:p>
    <w:p w14:paraId="58351DC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6F50BD02">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根据</w:t>
      </w:r>
      <w:r>
        <w:rPr>
          <w:rFonts w:hint="eastAsia" w:ascii="Times New Roman" w:hAnsi="Times New Roman" w:eastAsia="方正仿宋_GB2312" w:cs="Times New Roman"/>
          <w:color w:val="auto"/>
          <w:kern w:val="0"/>
          <w:sz w:val="32"/>
          <w:szCs w:val="32"/>
          <w:lang w:val="en-US" w:eastAsia="zh-CN"/>
        </w:rPr>
        <w:t>工作</w:t>
      </w:r>
      <w:r>
        <w:rPr>
          <w:rFonts w:hint="default" w:ascii="Times New Roman" w:hAnsi="Times New Roman" w:eastAsia="方正仿宋_GB2312" w:cs="Times New Roman"/>
          <w:color w:val="auto"/>
          <w:kern w:val="0"/>
          <w:sz w:val="32"/>
          <w:szCs w:val="32"/>
        </w:rPr>
        <w:t>需求，包括硬件设备购置、软件系统配置等方面。</w:t>
      </w:r>
    </w:p>
    <w:p w14:paraId="1E3E0E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513B422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13997EC8">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7E4CD7E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C0F08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4E3F27B2">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5万</w:t>
      </w:r>
    </w:p>
    <w:p w14:paraId="24F25B5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777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9EC74F5">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3FD4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AF789B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7F5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6C481E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F06C8B4">
            <w:pPr>
              <w:jc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智慧城市建设</w:t>
            </w:r>
          </w:p>
        </w:tc>
      </w:tr>
      <w:tr w14:paraId="523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242C10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7E459440">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21D7791A">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0C2E0D2A">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655E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9EA60A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6D7F25F">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41B88D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5D9D27FC">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4ACE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31DAE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3424450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10F096D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664C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188E468">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21E296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22C2D58">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1C25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8504BA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0C0FFBB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750663C0">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3B5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E2250D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BEE63CA">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172101E3">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04D2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A20D34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B4C8782">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通过智慧城市建设项目中的办公设备购置维修，提升政府办公室的工作效率，确保办公设备的正常运行，满足政府日常办公需求，提高政府服务的质量和效率。</w:t>
            </w:r>
          </w:p>
        </w:tc>
      </w:tr>
      <w:tr w14:paraId="517D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D27A5C7">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5E7A31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7A7EC1E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35CD97C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5D1D7E1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235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59F529">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3AD85D6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6AA82EE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58150610">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购置维修办公设备数量</w:t>
            </w:r>
          </w:p>
        </w:tc>
        <w:tc>
          <w:tcPr>
            <w:tcW w:w="4228" w:type="dxa"/>
            <w:gridSpan w:val="2"/>
            <w:tcBorders>
              <w:tl2br w:val="nil"/>
              <w:tr2bl w:val="nil"/>
            </w:tcBorders>
            <w:vAlign w:val="center"/>
          </w:tcPr>
          <w:p w14:paraId="0AB146B4">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≤10件</w:t>
            </w:r>
          </w:p>
        </w:tc>
      </w:tr>
      <w:tr w14:paraId="04E1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DAF72C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AFEC7B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5BEE27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3F8A092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办公设备质量</w:t>
            </w:r>
          </w:p>
        </w:tc>
        <w:tc>
          <w:tcPr>
            <w:tcW w:w="4228" w:type="dxa"/>
            <w:gridSpan w:val="2"/>
            <w:tcBorders>
              <w:tl2br w:val="nil"/>
              <w:tr2bl w:val="nil"/>
            </w:tcBorders>
            <w:vAlign w:val="center"/>
          </w:tcPr>
          <w:p w14:paraId="181CF10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达标</w:t>
            </w:r>
          </w:p>
        </w:tc>
      </w:tr>
      <w:tr w14:paraId="0AFD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B3959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85C3D6">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D4D6FA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A95632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设备购买维修及时率</w:t>
            </w:r>
          </w:p>
        </w:tc>
        <w:tc>
          <w:tcPr>
            <w:tcW w:w="4228" w:type="dxa"/>
            <w:gridSpan w:val="2"/>
            <w:tcBorders>
              <w:tl2br w:val="nil"/>
              <w:tr2bl w:val="nil"/>
            </w:tcBorders>
            <w:vAlign w:val="center"/>
          </w:tcPr>
          <w:p w14:paraId="1F9DA2BC">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2A25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ADBDD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C1CACC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7C7294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3CF7592F">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4CBCCB70">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≤5万元</w:t>
            </w:r>
          </w:p>
        </w:tc>
      </w:tr>
      <w:tr w14:paraId="3C5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95D9E7">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472D718">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5A543C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1A083BD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办公效率</w:t>
            </w:r>
          </w:p>
        </w:tc>
        <w:tc>
          <w:tcPr>
            <w:tcW w:w="4228" w:type="dxa"/>
            <w:gridSpan w:val="2"/>
            <w:tcBorders>
              <w:tl2br w:val="nil"/>
              <w:tr2bl w:val="nil"/>
            </w:tcBorders>
            <w:vAlign w:val="center"/>
          </w:tcPr>
          <w:p w14:paraId="610A26E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0161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94692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87D6E3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0FA89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3148E78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1B4EBAAD">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4E8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8DAE6A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C0FCF6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869597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8160456">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eastAsiaTheme="minorEastAsia"/>
                <w:color w:val="auto"/>
                <w:sz w:val="20"/>
                <w:lang w:val="en-US" w:eastAsia="zh-CN"/>
              </w:rPr>
              <w:t>资源节约与利用</w:t>
            </w:r>
          </w:p>
        </w:tc>
        <w:tc>
          <w:tcPr>
            <w:tcW w:w="4228" w:type="dxa"/>
            <w:gridSpan w:val="2"/>
            <w:tcBorders>
              <w:tl2br w:val="nil"/>
              <w:tr2bl w:val="nil"/>
            </w:tcBorders>
            <w:vAlign w:val="center"/>
          </w:tcPr>
          <w:p w14:paraId="33C6F9C8">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158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5973E1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60A6076">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093F160">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844AB2D">
            <w:pPr>
              <w:widowControl/>
              <w:jc w:val="left"/>
              <w:textAlignment w:val="center"/>
              <w:rPr>
                <w:rFonts w:hint="default"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办公室工作持续优化</w:t>
            </w:r>
          </w:p>
        </w:tc>
        <w:tc>
          <w:tcPr>
            <w:tcW w:w="4228" w:type="dxa"/>
            <w:gridSpan w:val="2"/>
            <w:tcBorders>
              <w:tl2br w:val="nil"/>
              <w:tr2bl w:val="nil"/>
            </w:tcBorders>
            <w:vAlign w:val="center"/>
          </w:tcPr>
          <w:p w14:paraId="5C8C78E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04E0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38CC5E8">
            <w:pPr>
              <w:jc w:val="center"/>
              <w:rPr>
                <w:rFonts w:hint="default" w:ascii="Times New Roman" w:hAnsi="Times New Roman" w:cs="Times New Roman"/>
                <w:color w:val="auto"/>
                <w:sz w:val="20"/>
              </w:rPr>
            </w:pPr>
          </w:p>
        </w:tc>
        <w:tc>
          <w:tcPr>
            <w:tcW w:w="723" w:type="dxa"/>
            <w:tcBorders>
              <w:tl2br w:val="nil"/>
              <w:tr2bl w:val="nil"/>
            </w:tcBorders>
            <w:vAlign w:val="center"/>
          </w:tcPr>
          <w:p w14:paraId="3E0678F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37545A0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7EBE0DA1">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2EC32BA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7A868666">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9</w:t>
      </w:r>
      <w:r>
        <w:rPr>
          <w:rFonts w:hint="default" w:ascii="Times New Roman" w:hAnsi="Times New Roman" w:eastAsia="方正仿宋_GB2312" w:cs="Times New Roman"/>
          <w:color w:val="auto"/>
          <w:kern w:val="0"/>
          <w:sz w:val="32"/>
          <w:szCs w:val="32"/>
        </w:rPr>
        <w:t>、“政务信息培训”项目。</w:t>
      </w:r>
    </w:p>
    <w:p w14:paraId="0C144106">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4015852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对杜集区各部门政务信息业务培训</w:t>
      </w:r>
      <w:r>
        <w:rPr>
          <w:rFonts w:hint="eastAsia" w:ascii="Times New Roman" w:hAnsi="Times New Roman" w:eastAsia="方正仿宋_GB2312" w:cs="Times New Roman"/>
          <w:color w:val="auto"/>
          <w:kern w:val="0"/>
          <w:sz w:val="32"/>
          <w:szCs w:val="32"/>
          <w:lang w:val="en-US" w:eastAsia="zh-CN"/>
        </w:rPr>
        <w:t>等</w:t>
      </w:r>
      <w:r>
        <w:rPr>
          <w:rFonts w:hint="default" w:ascii="Times New Roman" w:hAnsi="Times New Roman" w:eastAsia="方正仿宋_GB2312" w:cs="Times New Roman"/>
          <w:color w:val="auto"/>
          <w:kern w:val="0"/>
          <w:sz w:val="32"/>
          <w:szCs w:val="32"/>
        </w:rPr>
        <w:t>。</w:t>
      </w:r>
    </w:p>
    <w:p w14:paraId="656B0A8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5DEB1BD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对于提升政务信息工作质量的需要，提升各部门政务信息业务处理能力和水平，确保政务信息的准确性、及时性和完整性，有必要开展针对性的政务信息培训项目。</w:t>
      </w:r>
    </w:p>
    <w:p w14:paraId="414CFF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6DDDF93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72AF856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6F28F57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6CE45CF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5E23DC1A">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3万</w:t>
      </w:r>
    </w:p>
    <w:p w14:paraId="28C4503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88D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F2B17E2">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79C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F99706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0720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44A15D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7EAAD19D">
            <w:pPr>
              <w:jc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政务信息培训</w:t>
            </w:r>
          </w:p>
        </w:tc>
      </w:tr>
      <w:tr w14:paraId="1F1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96D326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58F88B10">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1F050B6">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239950F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119E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FB428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7BFBDA1E">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60A68EF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5466FAF9">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4678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22B071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224BCF4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78D7D5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3万元</w:t>
            </w:r>
          </w:p>
        </w:tc>
      </w:tr>
      <w:tr w14:paraId="0ECB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AC66C6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BD71A6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21792CBD">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3万元</w:t>
            </w:r>
          </w:p>
        </w:tc>
      </w:tr>
      <w:tr w14:paraId="6275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745BD8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3F6168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6F4EE48">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4E5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D5597F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EB4E43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5A47DFB">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1DA5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56883A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3C031B94">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提高杜集区各部门政务信息处理能力，增强政务信息的质量和时效性，促进政务信息公开和透明，提升政府服务效能。</w:t>
            </w:r>
          </w:p>
        </w:tc>
      </w:tr>
      <w:tr w14:paraId="4F4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B5004A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3B46DA2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0418AE4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3361794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E6608A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F94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616886">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36CDD9D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6446E95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7C409B3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培训人数</w:t>
            </w:r>
          </w:p>
        </w:tc>
        <w:tc>
          <w:tcPr>
            <w:tcW w:w="4228" w:type="dxa"/>
            <w:gridSpan w:val="2"/>
            <w:tcBorders>
              <w:tl2br w:val="nil"/>
              <w:tr2bl w:val="nil"/>
            </w:tcBorders>
            <w:vAlign w:val="center"/>
          </w:tcPr>
          <w:p w14:paraId="00F9111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≥50人</w:t>
            </w:r>
          </w:p>
        </w:tc>
      </w:tr>
      <w:tr w14:paraId="7DF3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54FC9C">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7CBDFAE">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52989C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0F81FB20">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培训合格率</w:t>
            </w:r>
          </w:p>
        </w:tc>
        <w:tc>
          <w:tcPr>
            <w:tcW w:w="4228" w:type="dxa"/>
            <w:gridSpan w:val="2"/>
            <w:tcBorders>
              <w:tl2br w:val="nil"/>
              <w:tr2bl w:val="nil"/>
            </w:tcBorders>
            <w:vAlign w:val="center"/>
          </w:tcPr>
          <w:p w14:paraId="7BF873B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≥90%</w:t>
            </w:r>
          </w:p>
        </w:tc>
      </w:tr>
      <w:tr w14:paraId="6221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0BF33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5EC01A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E19119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0E270CD1">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培训按时完成率</w:t>
            </w:r>
          </w:p>
        </w:tc>
        <w:tc>
          <w:tcPr>
            <w:tcW w:w="4228" w:type="dxa"/>
            <w:gridSpan w:val="2"/>
            <w:tcBorders>
              <w:tl2br w:val="nil"/>
              <w:tr2bl w:val="nil"/>
            </w:tcBorders>
            <w:vAlign w:val="center"/>
          </w:tcPr>
          <w:p w14:paraId="56D57C75">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r>
              <w:rPr>
                <w:rFonts w:hint="default" w:ascii="Times New Roman" w:hAnsi="Times New Roman" w:eastAsia="宋体" w:cs="Times New Roman"/>
                <w:color w:val="auto"/>
                <w:kern w:val="0"/>
                <w:sz w:val="20"/>
                <w:szCs w:val="20"/>
              </w:rPr>
              <w:t>%</w:t>
            </w:r>
          </w:p>
        </w:tc>
      </w:tr>
      <w:tr w14:paraId="47A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5E0C8D">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38AA75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5D9258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F8B824">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46032CA6">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≤3万元</w:t>
            </w:r>
          </w:p>
        </w:tc>
      </w:tr>
      <w:tr w14:paraId="34EC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08FAAC">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347833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C3CF1C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50C19144">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政务信息处理效率提升</w:t>
            </w:r>
          </w:p>
        </w:tc>
        <w:tc>
          <w:tcPr>
            <w:tcW w:w="4228" w:type="dxa"/>
            <w:gridSpan w:val="2"/>
            <w:tcBorders>
              <w:tl2br w:val="nil"/>
              <w:tr2bl w:val="nil"/>
            </w:tcBorders>
            <w:vAlign w:val="center"/>
          </w:tcPr>
          <w:p w14:paraId="699707C0">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r w14:paraId="2E8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64DCD3">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CB4C76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4A7991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4E0BB8B2">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政务信息公开透明度</w:t>
            </w:r>
          </w:p>
        </w:tc>
        <w:tc>
          <w:tcPr>
            <w:tcW w:w="4228" w:type="dxa"/>
            <w:gridSpan w:val="2"/>
            <w:tcBorders>
              <w:tl2br w:val="nil"/>
              <w:tr2bl w:val="nil"/>
            </w:tcBorders>
            <w:vAlign w:val="center"/>
          </w:tcPr>
          <w:p w14:paraId="51766082">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232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42CB7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9260094">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8D3D08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6B3BBD7">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1FEE97C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4142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1CE95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3B77C3F">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65BFD5">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1E80854F">
            <w:pPr>
              <w:widowControl/>
              <w:jc w:val="left"/>
              <w:textAlignment w:val="center"/>
              <w:rPr>
                <w:rFonts w:hint="default" w:ascii="Times New Roman" w:hAnsi="Times New Roman" w:eastAsia="宋体" w:cs="Times New Roman"/>
                <w:color w:val="auto"/>
                <w:sz w:val="20"/>
                <w:lang w:val="en-US" w:eastAsia="zh-CN"/>
              </w:rPr>
            </w:pPr>
            <w:r>
              <w:rPr>
                <w:color w:val="auto"/>
                <w:sz w:val="20"/>
                <w:szCs w:val="20"/>
              </w:rPr>
              <w:t>政务信息处理能力</w:t>
            </w:r>
          </w:p>
        </w:tc>
        <w:tc>
          <w:tcPr>
            <w:tcW w:w="4228" w:type="dxa"/>
            <w:gridSpan w:val="2"/>
            <w:tcBorders>
              <w:tl2br w:val="nil"/>
              <w:tr2bl w:val="nil"/>
            </w:tcBorders>
            <w:vAlign w:val="center"/>
          </w:tcPr>
          <w:p w14:paraId="4070C70B">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持续提升</w:t>
            </w:r>
          </w:p>
        </w:tc>
      </w:tr>
      <w:tr w14:paraId="1B7E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941193">
            <w:pPr>
              <w:jc w:val="center"/>
              <w:rPr>
                <w:rFonts w:hint="default" w:ascii="Times New Roman" w:hAnsi="Times New Roman" w:cs="Times New Roman"/>
                <w:color w:val="auto"/>
                <w:sz w:val="20"/>
              </w:rPr>
            </w:pPr>
          </w:p>
        </w:tc>
        <w:tc>
          <w:tcPr>
            <w:tcW w:w="723" w:type="dxa"/>
            <w:tcBorders>
              <w:tl2br w:val="nil"/>
              <w:tr2bl w:val="nil"/>
            </w:tcBorders>
            <w:vAlign w:val="center"/>
          </w:tcPr>
          <w:p w14:paraId="105F9EB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277C0F9">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1872FDE1">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7B3C6D1D">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3B3C3B0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（二）机关运行经费。</w:t>
      </w:r>
    </w:p>
    <w:p w14:paraId="6605FB4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机关运行经费财政拨款预算</w:t>
      </w:r>
      <w:r>
        <w:rPr>
          <w:rFonts w:hint="default" w:ascii="Times New Roman" w:hAnsi="Times New Roman" w:eastAsia="方正仿宋_GB2312" w:cs="Times New Roman"/>
          <w:color w:val="auto"/>
          <w:kern w:val="0"/>
          <w:sz w:val="32"/>
          <w:szCs w:val="32"/>
          <w:lang w:val="en-US" w:eastAsia="zh-CN"/>
        </w:rPr>
        <w:t>40.99</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eastAsia"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lang w:val="en-US" w:eastAsia="zh-CN"/>
        </w:rPr>
        <w:t>.03</w:t>
      </w:r>
      <w:r>
        <w:rPr>
          <w:rFonts w:hint="default" w:ascii="Times New Roman" w:hAnsi="Times New Roman" w:eastAsia="方正仿宋_GB2312" w:cs="Times New Roman"/>
          <w:color w:val="auto"/>
          <w:kern w:val="0"/>
          <w:sz w:val="32"/>
          <w:szCs w:val="32"/>
        </w:rPr>
        <w:t>万元，增长</w:t>
      </w:r>
      <w:r>
        <w:rPr>
          <w:rFonts w:hint="eastAsia" w:ascii="Times New Roman" w:hAnsi="Times New Roman" w:eastAsia="方正仿宋_GB2312" w:cs="Times New Roman"/>
          <w:color w:val="auto"/>
          <w:kern w:val="0"/>
          <w:sz w:val="32"/>
          <w:szCs w:val="32"/>
          <w:lang w:val="en-US" w:eastAsia="zh-CN"/>
        </w:rPr>
        <w:t>10.9</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2DEDB5E5">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（三）政府采购情况。</w:t>
      </w:r>
    </w:p>
    <w:p w14:paraId="49CBAC59">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政府采购预算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万元。其中：政府采购货物预算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万元，政府采购工程预算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万元，政府采购服务预算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32A2D6A4">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（四）国有资产占有使用情况。</w:t>
      </w:r>
    </w:p>
    <w:p w14:paraId="3BAF0100">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截至202</w:t>
      </w:r>
      <w:r>
        <w:rPr>
          <w:rFonts w:hint="eastAsia"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年12月31日，</w:t>
      </w: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rPr>
        <w:t>共有车辆</w:t>
      </w:r>
      <w:r>
        <w:rPr>
          <w:rFonts w:hint="default" w:ascii="Times New Roman" w:hAnsi="Times New Roman" w:eastAsia="方正仿宋_GB2312" w:cs="Times New Roman"/>
          <w:color w:val="auto"/>
          <w:kern w:val="0"/>
          <w:sz w:val="32"/>
          <w:szCs w:val="32"/>
          <w:lang w:val="en-US" w:eastAsia="zh-CN"/>
        </w:rPr>
        <w:t>2</w:t>
      </w:r>
      <w:r>
        <w:rPr>
          <w:rFonts w:hint="default" w:ascii="Times New Roman" w:hAnsi="Times New Roman" w:eastAsia="方正仿宋_GB2312" w:cs="Times New Roman"/>
          <w:color w:val="auto"/>
          <w:kern w:val="0"/>
          <w:sz w:val="32"/>
          <w:szCs w:val="32"/>
        </w:rPr>
        <w:t>辆，其中：主要领导干部用车</w:t>
      </w:r>
      <w:r>
        <w:rPr>
          <w:rFonts w:hint="default" w:ascii="Times New Roman" w:hAnsi="Times New Roman" w:eastAsia="方正仿宋_GB2312" w:cs="Times New Roman"/>
          <w:color w:val="auto"/>
          <w:kern w:val="0"/>
          <w:sz w:val="32"/>
          <w:szCs w:val="32"/>
          <w:lang w:val="en-US" w:eastAsia="zh-CN"/>
        </w:rPr>
        <w:t>1</w:t>
      </w:r>
      <w:r>
        <w:rPr>
          <w:rFonts w:hint="default" w:ascii="Times New Roman" w:hAnsi="Times New Roman" w:eastAsia="方正仿宋_GB2312" w:cs="Times New Roman"/>
          <w:color w:val="auto"/>
          <w:kern w:val="0"/>
          <w:sz w:val="32"/>
          <w:szCs w:val="32"/>
        </w:rPr>
        <w:t>辆、机要通信用车</w:t>
      </w:r>
      <w:r>
        <w:rPr>
          <w:rFonts w:hint="default" w:ascii="Times New Roman" w:hAnsi="Times New Roman" w:eastAsia="方正仿宋_GB2312" w:cs="Times New Roman"/>
          <w:color w:val="auto"/>
          <w:kern w:val="0"/>
          <w:sz w:val="32"/>
          <w:szCs w:val="32"/>
          <w:lang w:val="en-US" w:eastAsia="zh-CN"/>
        </w:rPr>
        <w:t>1</w:t>
      </w:r>
      <w:r>
        <w:rPr>
          <w:rFonts w:hint="default" w:ascii="Times New Roman" w:hAnsi="Times New Roman" w:eastAsia="方正仿宋_GB2312" w:cs="Times New Roman"/>
          <w:color w:val="auto"/>
          <w:kern w:val="0"/>
          <w:sz w:val="32"/>
          <w:szCs w:val="32"/>
        </w:rPr>
        <w:t>辆。单价50万元以上的通用设备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台（套），单价100万元以上的专用设备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w:t>
      </w:r>
    </w:p>
    <w:p w14:paraId="4A7035B2">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部门（单位）预算安排购置公务用车</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辆，购置费</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万元；安排购置单价50万元以上的通用设备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台（套），购置费</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万元；安排购置单价100万元以上专用设备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台（套），购置费</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64092D7B">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（五）绩效目标设置情况。</w:t>
      </w:r>
    </w:p>
    <w:p w14:paraId="7004C5E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w:t>
      </w:r>
      <w:r>
        <w:rPr>
          <w:rFonts w:hint="default" w:ascii="Times New Roman" w:hAnsi="Times New Roman" w:eastAsia="方正仿宋_GB2312" w:cs="Times New Roman"/>
          <w:color w:val="auto"/>
          <w:kern w:val="0"/>
          <w:sz w:val="32"/>
          <w:szCs w:val="32"/>
          <w:lang w:eastAsia="zh-CN"/>
        </w:rPr>
        <w:t>杜集区</w:t>
      </w:r>
      <w:r>
        <w:rPr>
          <w:rFonts w:hint="eastAsia" w:ascii="Times New Roman" w:hAnsi="Times New Roman" w:eastAsia="方正仿宋_GB2312" w:cs="Times New Roman"/>
          <w:color w:val="auto"/>
          <w:kern w:val="0"/>
          <w:sz w:val="32"/>
          <w:szCs w:val="32"/>
          <w:lang w:val="en-US" w:eastAsia="zh-CN"/>
        </w:rPr>
        <w:t>政府办9</w:t>
      </w:r>
      <w:r>
        <w:rPr>
          <w:rFonts w:hint="default" w:ascii="Times New Roman" w:hAnsi="Times New Roman" w:eastAsia="方正仿宋_GB2312" w:cs="Times New Roman"/>
          <w:color w:val="auto"/>
          <w:kern w:val="0"/>
          <w:sz w:val="32"/>
          <w:szCs w:val="32"/>
        </w:rPr>
        <w:t>个项目实行了绩效目标管理，涉及一般公共预算当年财政拨款</w:t>
      </w:r>
      <w:r>
        <w:rPr>
          <w:rFonts w:hint="eastAsia"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万元、政府性基金预算当年财政拨款</w:t>
      </w:r>
      <w:r>
        <w:rPr>
          <w:rFonts w:hint="eastAsia"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万元、财政专户管理资金当年安排</w:t>
      </w:r>
      <w:r>
        <w:rPr>
          <w:rFonts w:hint="eastAsia"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0B7E4FCF">
      <w:pPr>
        <w:pStyle w:val="4"/>
        <w:adjustRightInd w:val="0"/>
        <w:snapToGrid w:val="0"/>
        <w:spacing w:line="560" w:lineRule="exact"/>
        <w:jc w:val="center"/>
        <w:rPr>
          <w:rFonts w:hint="default" w:ascii="Times New Roman" w:hAnsi="Times New Roman" w:eastAsia="黑体" w:cs="Times New Roman"/>
          <w:bCs/>
          <w:color w:val="auto"/>
          <w:sz w:val="36"/>
          <w:szCs w:val="36"/>
        </w:rPr>
      </w:pPr>
    </w:p>
    <w:p w14:paraId="579EB7F4">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第四部分 名词解释</w:t>
      </w:r>
    </w:p>
    <w:p w14:paraId="6E26ABD7">
      <w:pPr>
        <w:rPr>
          <w:rFonts w:hint="default" w:ascii="Times New Roman" w:hAnsi="Times New Roman" w:cs="Times New Roman"/>
          <w:color w:val="auto"/>
        </w:rPr>
      </w:pPr>
    </w:p>
    <w:p w14:paraId="1DF92887">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rPr>
        <w:t>一、财政拨款收入：</w:t>
      </w:r>
      <w:r>
        <w:rPr>
          <w:rFonts w:hint="default" w:ascii="Times New Roman" w:hAnsi="Times New Roman" w:eastAsia="方正仿宋_GB2312" w:cs="Times New Roman"/>
          <w:color w:val="auto"/>
          <w:sz w:val="32"/>
          <w:szCs w:val="32"/>
        </w:rPr>
        <w:t>指部门或单位从同级财政部门取得的财政预算资金。</w:t>
      </w:r>
    </w:p>
    <w:p w14:paraId="475917B1">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rPr>
        <w:t>二、事业收入：</w:t>
      </w:r>
      <w:r>
        <w:rPr>
          <w:rFonts w:hint="default" w:ascii="Times New Roman" w:hAnsi="Times New Roman" w:eastAsia="方正仿宋_GB2312" w:cs="Times New Roman"/>
          <w:color w:val="auto"/>
          <w:sz w:val="32"/>
          <w:szCs w:val="32"/>
        </w:rPr>
        <w:t>指事业单位开展专业业务活动及辅助活动所取得的收入。</w:t>
      </w:r>
    </w:p>
    <w:p w14:paraId="6AF9D09A">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rPr>
        <w:t>三、财政专户管理资金：</w:t>
      </w:r>
      <w:r>
        <w:rPr>
          <w:rFonts w:hint="default" w:ascii="Times New Roman" w:hAnsi="Times New Roman" w:eastAsia="方正仿宋_GB2312" w:cs="Times New Roman"/>
          <w:color w:val="auto"/>
          <w:sz w:val="32"/>
          <w:szCs w:val="32"/>
        </w:rPr>
        <w:t>指按照非税收入管理相关规定，纳入财政专户管理的教育收费等。</w:t>
      </w:r>
    </w:p>
    <w:p w14:paraId="1E6F16B6">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lang w:val="en-US" w:eastAsia="zh-CN"/>
        </w:rPr>
        <w:t>四</w:t>
      </w:r>
      <w:r>
        <w:rPr>
          <w:rFonts w:hint="default" w:ascii="Times New Roman" w:hAnsi="Times New Roman" w:eastAsia="方正仿宋_GB2312" w:cs="Times New Roman"/>
          <w:b/>
          <w:color w:val="auto"/>
          <w:sz w:val="32"/>
          <w:szCs w:val="32"/>
        </w:rPr>
        <w:t>、基本支出：</w:t>
      </w:r>
      <w:r>
        <w:rPr>
          <w:rFonts w:hint="default" w:ascii="Times New Roman" w:hAnsi="Times New Roman" w:eastAsia="方正仿宋_GB2312" w:cs="Times New Roman"/>
          <w:color w:val="auto"/>
          <w:sz w:val="32"/>
          <w:szCs w:val="32"/>
        </w:rPr>
        <w:t>指为保障机构正常运转、完成日常工作任务而发生的人员支出和公用支出。</w:t>
      </w:r>
    </w:p>
    <w:p w14:paraId="0E2FFAC1">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lang w:val="en-US" w:eastAsia="zh-CN"/>
        </w:rPr>
        <w:t>五</w:t>
      </w:r>
      <w:r>
        <w:rPr>
          <w:rFonts w:hint="default" w:ascii="Times New Roman" w:hAnsi="Times New Roman" w:eastAsia="方正仿宋_GB2312" w:cs="Times New Roman"/>
          <w:b/>
          <w:color w:val="auto"/>
          <w:sz w:val="32"/>
          <w:szCs w:val="32"/>
        </w:rPr>
        <w:t>、项目支出：</w:t>
      </w:r>
      <w:r>
        <w:rPr>
          <w:rFonts w:hint="default" w:ascii="Times New Roman" w:hAnsi="Times New Roman" w:eastAsia="方正仿宋_GB2312" w:cs="Times New Roman"/>
          <w:color w:val="auto"/>
          <w:sz w:val="32"/>
          <w:szCs w:val="32"/>
        </w:rPr>
        <w:t>指在除基本支出之外的支出，主要用于完成特定的工作任务和事业发展目标。</w:t>
      </w:r>
    </w:p>
    <w:p w14:paraId="006A801B">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lang w:val="en-US" w:eastAsia="zh-CN"/>
        </w:rPr>
        <w:t>六</w:t>
      </w:r>
      <w:r>
        <w:rPr>
          <w:rFonts w:hint="default" w:ascii="Times New Roman" w:hAnsi="Times New Roman" w:eastAsia="方正仿宋_GB2312" w:cs="Times New Roman"/>
          <w:b/>
          <w:color w:val="auto"/>
          <w:sz w:val="32"/>
          <w:szCs w:val="32"/>
        </w:rPr>
        <w:t xml:space="preserve">、机关运行经费: </w:t>
      </w:r>
      <w:r>
        <w:rPr>
          <w:rFonts w:hint="default" w:ascii="Times New Roman" w:hAnsi="Times New Roman" w:eastAsia="方正仿宋_GB2312" w:cs="Times New Roman"/>
          <w:color w:val="auto"/>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9C34C62">
      <w:pPr>
        <w:rPr>
          <w:rFonts w:hint="default" w:ascii="Times New Roman" w:hAnsi="Times New Roman" w:cs="Times New Roman"/>
          <w:color w:val="auto"/>
        </w:rPr>
      </w:pPr>
    </w:p>
    <w:p w14:paraId="4670B7B1">
      <w:pPr>
        <w:rPr>
          <w:rFonts w:hint="default" w:ascii="Times New Roman" w:hAnsi="Times New Roman" w:cs="Times New Roman"/>
          <w:color w:val="auto"/>
        </w:rPr>
      </w:pPr>
    </w:p>
    <w:p w14:paraId="49510B67">
      <w:pPr>
        <w:rPr>
          <w:rFonts w:hint="default" w:ascii="Times New Roman" w:hAnsi="Times New Roman" w:cs="Times New Roman"/>
          <w:color w:val="auto"/>
        </w:rPr>
      </w:pPr>
    </w:p>
    <w:p w14:paraId="417F220A">
      <w:pPr>
        <w:rPr>
          <w:rFonts w:hint="default" w:ascii="Times New Roman" w:hAnsi="Times New Roman" w:cs="Times New Roman"/>
          <w:color w:val="auto"/>
        </w:rPr>
      </w:pPr>
    </w:p>
    <w:p w14:paraId="3DF39CB9">
      <w:pPr>
        <w:rPr>
          <w:rFonts w:hint="default" w:ascii="Times New Roman" w:hAnsi="Times New Roman" w:cs="Times New Roman"/>
          <w:color w:val="auto"/>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CB4E1C4-6C9C-4E8F-8CA2-9D037F05ED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6E6D6D40-CA30-4EC6-8E9F-FB3385DCDD72}"/>
  </w:font>
  <w:font w:name="方正仿宋_GB2312">
    <w:panose1 w:val="02000000000000000000"/>
    <w:charset w:val="86"/>
    <w:family w:val="auto"/>
    <w:pitch w:val="default"/>
    <w:sig w:usb0="A00002BF" w:usb1="184F6CFA" w:usb2="00000012" w:usb3="00000000" w:csb0="00040001" w:csb1="00000000"/>
    <w:embedRegular r:id="rId3" w:fontKey="{0EF6FD2E-FD39-45BB-A7F7-1A80B72B6C3F}"/>
  </w:font>
  <w:font w:name="方正楷体_GB2312">
    <w:panose1 w:val="02000000000000000000"/>
    <w:charset w:val="86"/>
    <w:family w:val="auto"/>
    <w:pitch w:val="default"/>
    <w:sig w:usb0="A00002BF" w:usb1="184F6CFA" w:usb2="00000012" w:usb3="00000000" w:csb0="00040001" w:csb1="00000000"/>
    <w:embedRegular r:id="rId4" w:fontKey="{3ADFEA8F-892F-4200-B8C5-D5C9C9CB0BD9}"/>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B4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6953D">
                          <w:pPr>
                            <w:pStyle w:val="2"/>
                            <w:keepNext w:val="0"/>
                            <w:keepLines w:val="0"/>
                            <w:pageBreakBefore w:val="0"/>
                            <w:widowControl w:val="0"/>
                            <w:kinsoku/>
                            <w:wordWrap/>
                            <w:overflowPunct/>
                            <w:topLinePunct w:val="0"/>
                            <w:bidi w:val="0"/>
                            <w:adjustRightInd/>
                            <w:snapToGrid w:val="0"/>
                            <w:ind w:right="420" w:rightChars="20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6953D">
                    <w:pPr>
                      <w:pStyle w:val="2"/>
                      <w:keepNext w:val="0"/>
                      <w:keepLines w:val="0"/>
                      <w:pageBreakBefore w:val="0"/>
                      <w:widowControl w:val="0"/>
                      <w:kinsoku/>
                      <w:wordWrap/>
                      <w:overflowPunct/>
                      <w:topLinePunct w:val="0"/>
                      <w:bidi w:val="0"/>
                      <w:adjustRightInd/>
                      <w:snapToGrid w:val="0"/>
                      <w:ind w:right="420" w:rightChars="20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80C1C40"/>
    <w:rsid w:val="0A1A3FDB"/>
    <w:rsid w:val="0A6842D0"/>
    <w:rsid w:val="121A6C0E"/>
    <w:rsid w:val="149B5C4E"/>
    <w:rsid w:val="16F91E5D"/>
    <w:rsid w:val="183C2862"/>
    <w:rsid w:val="19CB62F1"/>
    <w:rsid w:val="1B4072CF"/>
    <w:rsid w:val="1D083E1C"/>
    <w:rsid w:val="1FF40688"/>
    <w:rsid w:val="23AA7356"/>
    <w:rsid w:val="2A5266D7"/>
    <w:rsid w:val="2C0775AF"/>
    <w:rsid w:val="2CEC326F"/>
    <w:rsid w:val="2D171678"/>
    <w:rsid w:val="362E143E"/>
    <w:rsid w:val="3CE250B6"/>
    <w:rsid w:val="409B6FD2"/>
    <w:rsid w:val="43452E25"/>
    <w:rsid w:val="509A5B6A"/>
    <w:rsid w:val="56531E7E"/>
    <w:rsid w:val="5C18184C"/>
    <w:rsid w:val="6183303E"/>
    <w:rsid w:val="6C040FAA"/>
    <w:rsid w:val="6C6475C8"/>
    <w:rsid w:val="6CE6053F"/>
    <w:rsid w:val="6EA05E74"/>
    <w:rsid w:val="728B7844"/>
    <w:rsid w:val="738D3CFE"/>
    <w:rsid w:val="762A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565</Words>
  <Characters>661</Characters>
  <Lines>46</Lines>
  <Paragraphs>13</Paragraphs>
  <TotalTime>6</TotalTime>
  <ScaleCrop>false</ScaleCrop>
  <LinksUpToDate>false</LinksUpToDate>
  <CharactersWithSpaces>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紗霧</cp:lastModifiedBy>
  <dcterms:modified xsi:type="dcterms:W3CDTF">2026-01-12T01:19:06Z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eyJoZGlkIjoiOGI2MjgyYWRiMTgwMzUxZGQ5NjVjYjBjNzg2ZjQyOTMiLCJ1c2VySWQiOiI3MzgzODQyMDYifQ==</vt:lpwstr>
  </property>
  <property fmtid="{D5CDD505-2E9C-101B-9397-08002B2CF9AE}" pid="3" name="KSOProductBuildVer">
    <vt:lpwstr>2052-12.1.0.24034</vt:lpwstr>
  </property>
  <property fmtid="{D5CDD505-2E9C-101B-9397-08002B2CF9AE}" pid="4" name="ICV">
    <vt:lpwstr>BB5B2A0E95EA408283D6CD2F42341AE0_13</vt:lpwstr>
  </property>
</Properties>
</file>