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E2BB6">
      <w:pPr>
        <w:widowControl/>
        <w:spacing w:line="550" w:lineRule="exact"/>
        <w:jc w:val="center"/>
        <w:rPr>
          <w:rFonts w:hint="default" w:ascii="Times New Roman" w:hAnsi="Times New Roman" w:eastAsia="方正小标宋简体" w:cs="Times New Roman"/>
          <w:color w:val="auto"/>
          <w:sz w:val="44"/>
          <w:szCs w:val="44"/>
        </w:rPr>
      </w:pPr>
      <w:r>
        <w:rPr>
          <w:rFonts w:hint="eastAsia" w:ascii="Times New Roman" w:hAnsi="Times New Roman" w:eastAsia="方正小标宋简体" w:cs="Times New Roman"/>
          <w:color w:val="auto"/>
          <w:sz w:val="44"/>
          <w:szCs w:val="44"/>
          <w:lang w:val="en-US" w:eastAsia="zh-CN"/>
        </w:rPr>
        <w:t xml:space="preserve"> </w:t>
      </w:r>
      <w:r>
        <w:rPr>
          <w:rFonts w:hint="default" w:ascii="Times New Roman" w:hAnsi="Times New Roman" w:eastAsia="方正小标宋简体" w:cs="Times New Roman"/>
          <w:color w:val="auto"/>
          <w:sz w:val="44"/>
          <w:szCs w:val="44"/>
        </w:rPr>
        <w:t>关于202</w:t>
      </w:r>
      <w:r>
        <w:rPr>
          <w:rFonts w:hint="eastAsia" w:ascii="Times New Roman" w:hAnsi="Times New Roman" w:eastAsia="方正小标宋简体" w:cs="Times New Roman"/>
          <w:color w:val="auto"/>
          <w:sz w:val="44"/>
          <w:szCs w:val="44"/>
          <w:lang w:val="en-US" w:eastAsia="zh-CN"/>
        </w:rPr>
        <w:t>4</w:t>
      </w:r>
      <w:r>
        <w:rPr>
          <w:rFonts w:hint="default" w:ascii="Times New Roman" w:hAnsi="Times New Roman" w:eastAsia="方正小标宋简体" w:cs="Times New Roman"/>
          <w:color w:val="auto"/>
          <w:sz w:val="44"/>
          <w:szCs w:val="44"/>
        </w:rPr>
        <w:t>年区本级财政决算的报告</w:t>
      </w:r>
    </w:p>
    <w:p w14:paraId="57B5FBC8">
      <w:pPr>
        <w:widowControl/>
        <w:spacing w:line="550" w:lineRule="exact"/>
        <w:jc w:val="center"/>
        <w:rPr>
          <w:rFonts w:hint="default" w:ascii="Times New Roman" w:hAnsi="Times New Roman" w:eastAsia="楷体_GB2312" w:cs="Times New Roman"/>
          <w:b/>
          <w:color w:val="auto"/>
          <w:kern w:val="0"/>
          <w:sz w:val="32"/>
          <w:szCs w:val="32"/>
        </w:rPr>
      </w:pPr>
      <w:r>
        <w:rPr>
          <w:rFonts w:hint="default" w:ascii="Times New Roman" w:hAnsi="Times New Roman" w:eastAsia="楷体_GB2312" w:cs="Times New Roman"/>
          <w:b/>
          <w:color w:val="auto"/>
          <w:sz w:val="32"/>
          <w:szCs w:val="32"/>
        </w:rPr>
        <w:t>（202</w:t>
      </w:r>
      <w:r>
        <w:rPr>
          <w:rFonts w:hint="eastAsia" w:ascii="Times New Roman" w:hAnsi="Times New Roman" w:eastAsia="楷体_GB2312" w:cs="Times New Roman"/>
          <w:b/>
          <w:color w:val="auto"/>
          <w:sz w:val="32"/>
          <w:szCs w:val="32"/>
          <w:lang w:val="en-US" w:eastAsia="zh-CN"/>
        </w:rPr>
        <w:t>5</w:t>
      </w:r>
      <w:r>
        <w:rPr>
          <w:rFonts w:hint="default" w:ascii="Times New Roman" w:hAnsi="Times New Roman" w:eastAsia="楷体_GB2312" w:cs="Times New Roman"/>
          <w:b/>
          <w:color w:val="auto"/>
          <w:sz w:val="32"/>
          <w:szCs w:val="32"/>
        </w:rPr>
        <w:t>年7月</w:t>
      </w:r>
      <w:r>
        <w:rPr>
          <w:rFonts w:hint="eastAsia" w:ascii="Times New Roman" w:hAnsi="Times New Roman" w:eastAsia="楷体_GB2312" w:cs="Times New Roman"/>
          <w:b/>
          <w:color w:val="auto"/>
          <w:sz w:val="32"/>
          <w:szCs w:val="32"/>
          <w:lang w:val="en-US" w:eastAsia="zh-CN"/>
        </w:rPr>
        <w:t>30</w:t>
      </w:r>
      <w:r>
        <w:rPr>
          <w:rFonts w:hint="default" w:ascii="Times New Roman" w:hAnsi="Times New Roman" w:eastAsia="楷体_GB2312" w:cs="Times New Roman"/>
          <w:b/>
          <w:color w:val="auto"/>
          <w:sz w:val="32"/>
          <w:szCs w:val="32"/>
        </w:rPr>
        <w:t>日）</w:t>
      </w:r>
    </w:p>
    <w:p w14:paraId="0DB7DF63">
      <w:pPr>
        <w:spacing w:line="550" w:lineRule="exact"/>
        <w:jc w:val="center"/>
        <w:rPr>
          <w:rFonts w:hint="default" w:ascii="Times New Roman" w:hAnsi="Times New Roman" w:eastAsia="楷体_GB2312" w:cs="Times New Roman"/>
          <w:b/>
          <w:color w:val="auto"/>
          <w:lang w:val="en-US" w:eastAsia="zh-CN"/>
        </w:rPr>
      </w:pPr>
      <w:r>
        <w:rPr>
          <w:rFonts w:hint="default" w:ascii="Times New Roman" w:hAnsi="Times New Roman" w:eastAsia="楷体_GB2312" w:cs="Times New Roman"/>
          <w:b/>
          <w:color w:val="auto"/>
          <w:kern w:val="0"/>
          <w:sz w:val="32"/>
          <w:szCs w:val="32"/>
        </w:rPr>
        <w:t>区财政局</w:t>
      </w:r>
    </w:p>
    <w:p w14:paraId="665496F9">
      <w:pPr>
        <w:widowControl/>
        <w:spacing w:line="550" w:lineRule="exact"/>
        <w:rPr>
          <w:rFonts w:hint="default" w:ascii="Times New Roman" w:hAnsi="Times New Roman" w:eastAsia="楷体_GB2312" w:cs="Times New Roman"/>
          <w:b/>
          <w:color w:val="auto"/>
          <w:sz w:val="32"/>
          <w:szCs w:val="32"/>
        </w:rPr>
      </w:pPr>
    </w:p>
    <w:p w14:paraId="0D706A9B">
      <w:pPr>
        <w:keepNext w:val="0"/>
        <w:keepLines w:val="0"/>
        <w:pageBreakBefore w:val="0"/>
        <w:widowControl/>
        <w:kinsoku/>
        <w:wordWrap/>
        <w:overflowPunct/>
        <w:topLinePunct w:val="0"/>
        <w:autoSpaceDE/>
        <w:autoSpaceDN/>
        <w:bidi w:val="0"/>
        <w:adjustRightInd/>
        <w:spacing w:line="576" w:lineRule="exact"/>
        <w:ind w:left="0"/>
        <w:jc w:val="both"/>
        <w:textAlignment w:val="auto"/>
        <w:rPr>
          <w:rFonts w:hint="default" w:ascii="Times New Roman" w:hAnsi="Times New Roman" w:eastAsia="仿宋_GB2312" w:cs="Times New Roman"/>
          <w:bCs/>
          <w:color w:val="auto"/>
          <w:kern w:val="0"/>
          <w:sz w:val="32"/>
          <w:szCs w:val="32"/>
        </w:rPr>
      </w:pPr>
      <w:r>
        <w:rPr>
          <w:rFonts w:hint="default" w:ascii="Times New Roman" w:hAnsi="Times New Roman" w:eastAsia="仿宋_GB2312" w:cs="Times New Roman"/>
          <w:color w:val="auto"/>
          <w:sz w:val="32"/>
          <w:szCs w:val="32"/>
        </w:rPr>
        <w:t>区人大常委会：</w:t>
      </w:r>
    </w:p>
    <w:p w14:paraId="165087EB">
      <w:pPr>
        <w:keepNext w:val="0"/>
        <w:keepLines w:val="0"/>
        <w:pageBreakBefore w:val="0"/>
        <w:kinsoku/>
        <w:wordWrap/>
        <w:overflowPunct/>
        <w:topLinePunct w:val="0"/>
        <w:autoSpaceDE/>
        <w:autoSpaceDN/>
        <w:bidi w:val="0"/>
        <w:adjustRightInd/>
        <w:spacing w:line="576" w:lineRule="exact"/>
        <w:ind w:left="0" w:firstLine="640" w:firstLineChars="200"/>
        <w:jc w:val="both"/>
        <w:textAlignment w:val="auto"/>
        <w:rPr>
          <w:rFonts w:hint="default" w:ascii="Times New Roman" w:hAnsi="Times New Roman" w:eastAsia="黑体" w:cs="Times New Roman"/>
          <w:color w:val="auto"/>
          <w:sz w:val="32"/>
          <w:szCs w:val="32"/>
        </w:rPr>
      </w:pPr>
      <w:r>
        <w:rPr>
          <w:rFonts w:hint="default" w:ascii="Times New Roman" w:hAnsi="Times New Roman" w:eastAsia="仿宋_GB2312" w:cs="Times New Roman"/>
          <w:color w:val="auto"/>
          <w:sz w:val="32"/>
          <w:szCs w:val="32"/>
        </w:rPr>
        <w:t>受区政府委托，我向区人大常委会报告202</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年区本级财政决算和202</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年上半年财政预算执行情况，请予审议。</w:t>
      </w:r>
    </w:p>
    <w:p w14:paraId="2DF00EF7">
      <w:pPr>
        <w:keepNext w:val="0"/>
        <w:keepLines w:val="0"/>
        <w:pageBreakBefore w:val="0"/>
        <w:kinsoku/>
        <w:wordWrap/>
        <w:overflowPunct/>
        <w:topLinePunct w:val="0"/>
        <w:autoSpaceDE/>
        <w:autoSpaceDN/>
        <w:bidi w:val="0"/>
        <w:adjustRightInd/>
        <w:spacing w:line="576" w:lineRule="exact"/>
        <w:ind w:left="0" w:firstLine="640" w:firstLineChars="200"/>
        <w:jc w:val="both"/>
        <w:textAlignment w:val="auto"/>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rPr>
        <w:t>一、202</w:t>
      </w:r>
      <w:r>
        <w:rPr>
          <w:rFonts w:hint="default" w:ascii="Times New Roman" w:hAnsi="Times New Roman" w:eastAsia="黑体" w:cs="Times New Roman"/>
          <w:color w:val="auto"/>
          <w:sz w:val="32"/>
          <w:szCs w:val="32"/>
          <w:lang w:val="en-US" w:eastAsia="zh-CN"/>
        </w:rPr>
        <w:t>4</w:t>
      </w:r>
      <w:r>
        <w:rPr>
          <w:rFonts w:hint="default" w:ascii="Times New Roman" w:hAnsi="Times New Roman" w:eastAsia="黑体" w:cs="Times New Roman"/>
          <w:color w:val="auto"/>
          <w:sz w:val="32"/>
          <w:szCs w:val="32"/>
        </w:rPr>
        <w:t>年财政决算和202</w:t>
      </w:r>
      <w:r>
        <w:rPr>
          <w:rFonts w:hint="default" w:ascii="Times New Roman" w:hAnsi="Times New Roman" w:eastAsia="黑体" w:cs="Times New Roman"/>
          <w:color w:val="auto"/>
          <w:sz w:val="32"/>
          <w:szCs w:val="32"/>
          <w:lang w:val="en-US" w:eastAsia="zh-CN"/>
        </w:rPr>
        <w:t>5</w:t>
      </w:r>
      <w:r>
        <w:rPr>
          <w:rFonts w:hint="default" w:ascii="Times New Roman" w:hAnsi="Times New Roman" w:eastAsia="黑体" w:cs="Times New Roman"/>
          <w:color w:val="auto"/>
          <w:sz w:val="32"/>
          <w:szCs w:val="32"/>
        </w:rPr>
        <w:t>年上半年预算执行情况</w:t>
      </w:r>
    </w:p>
    <w:p w14:paraId="7A5A6D9D">
      <w:pPr>
        <w:keepNext w:val="0"/>
        <w:keepLines w:val="0"/>
        <w:pageBreakBefore w:val="0"/>
        <w:kinsoku/>
        <w:wordWrap/>
        <w:overflowPunct/>
        <w:topLinePunct w:val="0"/>
        <w:autoSpaceDE/>
        <w:autoSpaceDN/>
        <w:bidi w:val="0"/>
        <w:adjustRightInd/>
        <w:spacing w:line="576" w:lineRule="exact"/>
        <w:ind w:left="0" w:firstLine="480" w:firstLineChars="150"/>
        <w:jc w:val="both"/>
        <w:textAlignment w:val="auto"/>
        <w:rPr>
          <w:rFonts w:hint="default" w:ascii="Times New Roman" w:hAnsi="Times New Roman" w:eastAsia="楷体_GB2312" w:cs="Times New Roman"/>
          <w:b/>
          <w:color w:val="auto"/>
          <w:kern w:val="0"/>
          <w:sz w:val="32"/>
          <w:szCs w:val="32"/>
        </w:rPr>
      </w:pPr>
      <w:r>
        <w:rPr>
          <w:rFonts w:hint="default" w:ascii="Times New Roman" w:hAnsi="Times New Roman" w:eastAsia="楷体_GB2312" w:cs="Times New Roman"/>
          <w:b/>
          <w:color w:val="auto"/>
          <w:kern w:val="0"/>
          <w:sz w:val="32"/>
          <w:szCs w:val="32"/>
        </w:rPr>
        <w:t>（一）</w:t>
      </w:r>
      <w:r>
        <w:rPr>
          <w:rFonts w:hint="default" w:ascii="Times New Roman" w:hAnsi="Times New Roman" w:eastAsia="楷体_GB2312" w:cs="Times New Roman"/>
          <w:bCs/>
          <w:color w:val="auto"/>
          <w:kern w:val="0"/>
          <w:sz w:val="32"/>
          <w:szCs w:val="32"/>
        </w:rPr>
        <w:t>202</w:t>
      </w:r>
      <w:r>
        <w:rPr>
          <w:rFonts w:hint="default" w:ascii="Times New Roman" w:hAnsi="Times New Roman" w:eastAsia="楷体_GB2312" w:cs="Times New Roman"/>
          <w:bCs/>
          <w:color w:val="auto"/>
          <w:kern w:val="0"/>
          <w:sz w:val="32"/>
          <w:szCs w:val="32"/>
          <w:lang w:val="en-US" w:eastAsia="zh-CN"/>
        </w:rPr>
        <w:t>4</w:t>
      </w:r>
      <w:r>
        <w:rPr>
          <w:rFonts w:hint="default" w:ascii="Times New Roman" w:hAnsi="Times New Roman" w:eastAsia="楷体_GB2312" w:cs="Times New Roman"/>
          <w:b/>
          <w:color w:val="auto"/>
          <w:kern w:val="0"/>
          <w:sz w:val="32"/>
          <w:szCs w:val="32"/>
        </w:rPr>
        <w:t>年全区财政决算情况</w:t>
      </w:r>
    </w:p>
    <w:p w14:paraId="2FA214B8">
      <w:pPr>
        <w:keepNext w:val="0"/>
        <w:keepLines w:val="0"/>
        <w:pageBreakBefore w:val="0"/>
        <w:kinsoku/>
        <w:wordWrap/>
        <w:overflowPunct/>
        <w:topLinePunct w:val="0"/>
        <w:autoSpaceDE/>
        <w:autoSpaceDN/>
        <w:bidi w:val="0"/>
        <w:adjustRightInd/>
        <w:spacing w:line="576" w:lineRule="exact"/>
        <w:ind w:left="0" w:firstLine="640"/>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color w:val="auto"/>
          <w:kern w:val="0"/>
          <w:sz w:val="32"/>
          <w:szCs w:val="32"/>
        </w:rPr>
        <w:t>一般公共预算收支决算情况：</w:t>
      </w:r>
      <w:r>
        <w:rPr>
          <w:rFonts w:hint="default" w:ascii="Times New Roman" w:hAnsi="Times New Roman" w:eastAsia="仿宋_GB2312" w:cs="Times New Roman"/>
          <w:color w:val="auto"/>
          <w:sz w:val="32"/>
          <w:szCs w:val="32"/>
        </w:rPr>
        <w:t>一般公共预算收入</w:t>
      </w:r>
      <w:r>
        <w:rPr>
          <w:rFonts w:hint="default" w:ascii="Times New Roman" w:hAnsi="Times New Roman" w:eastAsia="仿宋_GB2312" w:cs="Times New Roman"/>
          <w:color w:val="auto"/>
          <w:sz w:val="32"/>
          <w:szCs w:val="32"/>
          <w:lang w:val="en-US" w:eastAsia="zh-CN"/>
        </w:rPr>
        <w:t>69175万</w:t>
      </w:r>
      <w:r>
        <w:rPr>
          <w:rFonts w:hint="default" w:ascii="Times New Roman" w:hAnsi="Times New Roman" w:eastAsia="仿宋_GB2312" w:cs="Times New Roman"/>
          <w:color w:val="auto"/>
          <w:sz w:val="32"/>
          <w:szCs w:val="32"/>
        </w:rPr>
        <w:t>元</w:t>
      </w:r>
      <w:r>
        <w:rPr>
          <w:rFonts w:hint="default" w:ascii="Times New Roman" w:hAnsi="Times New Roman" w:eastAsia="仿宋_GB2312" w:cs="Times New Roman"/>
          <w:color w:val="auto"/>
          <w:sz w:val="32"/>
          <w:szCs w:val="32"/>
          <w:lang w:eastAsia="zh-CN"/>
        </w:rPr>
        <w:t>，同比</w:t>
      </w:r>
      <w:r>
        <w:rPr>
          <w:rFonts w:hint="default" w:ascii="Times New Roman" w:hAnsi="Times New Roman" w:eastAsia="仿宋_GB2312" w:cs="Times New Roman"/>
          <w:color w:val="auto"/>
          <w:sz w:val="32"/>
          <w:szCs w:val="32"/>
        </w:rPr>
        <w:t>增长</w:t>
      </w:r>
      <w:r>
        <w:rPr>
          <w:rFonts w:hint="default" w:ascii="Times New Roman" w:hAnsi="Times New Roman" w:eastAsia="仿宋_GB2312" w:cs="Times New Roman"/>
          <w:color w:val="auto"/>
          <w:sz w:val="32"/>
          <w:szCs w:val="32"/>
          <w:lang w:val="en-US" w:eastAsia="zh-CN"/>
        </w:rPr>
        <w:t>2.2</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完成</w:t>
      </w:r>
      <w:r>
        <w:rPr>
          <w:rFonts w:hint="default" w:ascii="Times New Roman" w:hAnsi="Times New Roman" w:eastAsia="仿宋_GB2312" w:cs="Times New Roman"/>
          <w:color w:val="auto"/>
          <w:sz w:val="32"/>
          <w:szCs w:val="32"/>
          <w:lang w:eastAsia="zh-CN"/>
        </w:rPr>
        <w:t>年</w:t>
      </w:r>
      <w:r>
        <w:rPr>
          <w:rFonts w:hint="default" w:ascii="Times New Roman" w:hAnsi="Times New Roman" w:eastAsia="仿宋_GB2312" w:cs="Times New Roman"/>
          <w:color w:val="auto"/>
          <w:sz w:val="32"/>
          <w:szCs w:val="32"/>
        </w:rPr>
        <w:t>预算的100.</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全年可用财力223704</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支出总</w:t>
      </w:r>
      <w:r>
        <w:rPr>
          <w:rFonts w:hint="default" w:ascii="Times New Roman" w:hAnsi="Times New Roman" w:eastAsia="仿宋_GB2312" w:cs="Times New Roman"/>
          <w:color w:val="auto"/>
          <w:sz w:val="32"/>
          <w:szCs w:val="32"/>
        </w:rPr>
        <w:t>计</w:t>
      </w:r>
      <w:r>
        <w:rPr>
          <w:rFonts w:hint="default" w:ascii="Times New Roman" w:hAnsi="Times New Roman" w:eastAsia="仿宋_GB2312" w:cs="Times New Roman"/>
          <w:color w:val="auto"/>
          <w:sz w:val="32"/>
          <w:szCs w:val="32"/>
          <w:lang w:val="en-US" w:eastAsia="zh-CN"/>
        </w:rPr>
        <w:t>223704</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val="en-US" w:eastAsia="zh-CN"/>
        </w:rPr>
        <w:t>当年实现收支平衡</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具体收支项目见</w:t>
      </w:r>
      <w:r>
        <w:rPr>
          <w:rFonts w:hint="default" w:ascii="Times New Roman" w:hAnsi="Times New Roman" w:eastAsia="仿宋_GB2312" w:cs="Times New Roman"/>
          <w:color w:val="auto"/>
          <w:sz w:val="32"/>
          <w:szCs w:val="32"/>
        </w:rPr>
        <w:t>附表一）</w:t>
      </w:r>
      <w:r>
        <w:rPr>
          <w:rFonts w:hint="default" w:ascii="Times New Roman" w:hAnsi="Times New Roman" w:eastAsia="仿宋_GB2312" w:cs="Times New Roman"/>
          <w:color w:val="auto"/>
          <w:sz w:val="32"/>
          <w:szCs w:val="32"/>
          <w:lang w:eastAsia="zh-CN"/>
        </w:rPr>
        <w:t>。</w:t>
      </w:r>
    </w:p>
    <w:p w14:paraId="209DB6F0">
      <w:pPr>
        <w:keepNext w:val="0"/>
        <w:keepLines w:val="0"/>
        <w:pageBreakBefore w:val="0"/>
        <w:kinsoku/>
        <w:wordWrap/>
        <w:overflowPunct/>
        <w:topLinePunct w:val="0"/>
        <w:autoSpaceDE/>
        <w:autoSpaceDN/>
        <w:bidi w:val="0"/>
        <w:adjustRightInd/>
        <w:spacing w:line="576" w:lineRule="exact"/>
        <w:ind w:left="0" w:firstLine="627" w:firstLineChars="196"/>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color w:val="auto"/>
          <w:sz w:val="32"/>
          <w:szCs w:val="32"/>
        </w:rPr>
        <w:t>政府性基金预算收支决算情况：</w:t>
      </w:r>
      <w:r>
        <w:rPr>
          <w:rFonts w:hint="default" w:ascii="Times New Roman" w:hAnsi="Times New Roman" w:eastAsia="仿宋_GB2312" w:cs="Times New Roman"/>
          <w:color w:val="auto"/>
          <w:sz w:val="32"/>
          <w:szCs w:val="32"/>
        </w:rPr>
        <w:t>政府性基金</w:t>
      </w:r>
      <w:r>
        <w:rPr>
          <w:rFonts w:hint="default" w:ascii="Times New Roman" w:hAnsi="Times New Roman" w:eastAsia="仿宋_GB2312" w:cs="Times New Roman"/>
          <w:color w:val="auto"/>
          <w:sz w:val="32"/>
          <w:szCs w:val="32"/>
          <w:lang w:val="en-US" w:eastAsia="zh-CN"/>
        </w:rPr>
        <w:t>全年收入总计58755</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Cs/>
          <w:color w:val="auto"/>
          <w:sz w:val="32"/>
          <w:szCs w:val="32"/>
          <w:lang w:val="en-US" w:eastAsia="zh-CN"/>
        </w:rPr>
        <w:t>支出总计58755万元。</w:t>
      </w:r>
      <w:r>
        <w:rPr>
          <w:rFonts w:hint="default" w:ascii="Times New Roman" w:hAnsi="Times New Roman" w:eastAsia="仿宋_GB2312" w:cs="Times New Roman"/>
          <w:color w:val="auto"/>
          <w:sz w:val="32"/>
          <w:szCs w:val="32"/>
          <w:lang w:val="en-US" w:eastAsia="zh-CN"/>
        </w:rPr>
        <w:t>当年实现收支平衡</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具体收支项目见</w:t>
      </w:r>
      <w:r>
        <w:rPr>
          <w:rFonts w:hint="default" w:ascii="Times New Roman" w:hAnsi="Times New Roman" w:eastAsia="仿宋_GB2312" w:cs="Times New Roman"/>
          <w:color w:val="auto"/>
          <w:sz w:val="32"/>
          <w:szCs w:val="32"/>
        </w:rPr>
        <w:t>附表二）。</w:t>
      </w:r>
    </w:p>
    <w:p w14:paraId="3C2AB724">
      <w:pPr>
        <w:keepNext w:val="0"/>
        <w:keepLines w:val="0"/>
        <w:pageBreakBefore w:val="0"/>
        <w:kinsoku/>
        <w:wordWrap/>
        <w:overflowPunct/>
        <w:topLinePunct w:val="0"/>
        <w:autoSpaceDE/>
        <w:autoSpaceDN/>
        <w:bidi w:val="0"/>
        <w:adjustRightInd/>
        <w:spacing w:line="576" w:lineRule="exact"/>
        <w:ind w:left="0" w:firstLine="627" w:firstLineChars="196"/>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szCs w:val="32"/>
        </w:rPr>
        <w:t>国有资本经营预算收支决算情况：</w:t>
      </w:r>
      <w:r>
        <w:rPr>
          <w:rFonts w:hint="default" w:ascii="Times New Roman" w:hAnsi="Times New Roman" w:eastAsia="仿宋_GB2312" w:cs="Times New Roman"/>
          <w:color w:val="auto"/>
          <w:sz w:val="32"/>
          <w:szCs w:val="32"/>
        </w:rPr>
        <w:t>国有资本经营</w:t>
      </w:r>
      <w:r>
        <w:rPr>
          <w:rFonts w:hint="default" w:ascii="Times New Roman" w:hAnsi="Times New Roman" w:eastAsia="仿宋_GB2312" w:cs="Times New Roman"/>
          <w:color w:val="auto"/>
          <w:sz w:val="32"/>
          <w:szCs w:val="32"/>
          <w:lang w:val="en-US" w:eastAsia="zh-CN"/>
        </w:rPr>
        <w:t>全年收入总计</w:t>
      </w:r>
      <w:r>
        <w:rPr>
          <w:rFonts w:hint="default" w:ascii="Times New Roman" w:hAnsi="Times New Roman" w:eastAsia="仿宋_GB2312" w:cs="Times New Roman"/>
          <w:color w:val="auto"/>
          <w:sz w:val="32"/>
          <w:szCs w:val="32"/>
        </w:rPr>
        <w:t>2</w:t>
      </w:r>
      <w:r>
        <w:rPr>
          <w:rFonts w:hint="default" w:ascii="Times New Roman" w:hAnsi="Times New Roman" w:eastAsia="仿宋_GB2312" w:cs="Times New Roman"/>
          <w:color w:val="auto"/>
          <w:sz w:val="32"/>
          <w:szCs w:val="32"/>
          <w:lang w:val="en-US" w:eastAsia="zh-CN"/>
        </w:rPr>
        <w:t>218</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lang w:val="en-US" w:eastAsia="zh-CN"/>
        </w:rPr>
        <w:t>支出总计2218万元</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当年实现收支平衡</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szCs w:val="32"/>
          <w:lang w:val="en-US" w:eastAsia="zh-CN"/>
        </w:rPr>
        <w:t>具体收支项目见</w:t>
      </w:r>
      <w:r>
        <w:rPr>
          <w:rFonts w:hint="default" w:ascii="Times New Roman" w:hAnsi="Times New Roman" w:eastAsia="仿宋_GB2312" w:cs="Times New Roman"/>
          <w:color w:val="auto"/>
          <w:sz w:val="32"/>
          <w:szCs w:val="32"/>
        </w:rPr>
        <w:t>附表三）。</w:t>
      </w:r>
    </w:p>
    <w:p w14:paraId="0ECA2406">
      <w:pPr>
        <w:keepNext w:val="0"/>
        <w:keepLines w:val="0"/>
        <w:pageBreakBefore w:val="0"/>
        <w:kinsoku/>
        <w:wordWrap/>
        <w:overflowPunct/>
        <w:topLinePunct w:val="0"/>
        <w:autoSpaceDE/>
        <w:autoSpaceDN/>
        <w:bidi w:val="0"/>
        <w:adjustRightInd/>
        <w:spacing w:line="576" w:lineRule="exact"/>
        <w:ind w:left="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color w:val="auto"/>
          <w:kern w:val="0"/>
          <w:sz w:val="32"/>
          <w:szCs w:val="32"/>
        </w:rPr>
        <w:t>政府性债务情况：</w:t>
      </w:r>
      <w:r>
        <w:rPr>
          <w:rFonts w:hint="default" w:ascii="Times New Roman" w:hAnsi="Times New Roman" w:eastAsia="仿宋_GB2312" w:cs="Times New Roman"/>
          <w:b w:val="0"/>
          <w:bCs/>
          <w:color w:val="auto"/>
          <w:kern w:val="0"/>
          <w:sz w:val="32"/>
          <w:szCs w:val="32"/>
          <w:lang w:val="en-US" w:eastAsia="zh-CN"/>
        </w:rPr>
        <w:t>2024年</w:t>
      </w:r>
      <w:r>
        <w:rPr>
          <w:rFonts w:hint="default" w:ascii="Times New Roman" w:hAnsi="Times New Roman" w:eastAsia="仿宋_GB2312" w:cs="Times New Roman"/>
          <w:color w:val="auto"/>
          <w:kern w:val="2"/>
          <w:sz w:val="32"/>
          <w:szCs w:val="32"/>
          <w:lang w:val="en-US" w:eastAsia="zh-CN" w:bidi="ar-SA"/>
        </w:rPr>
        <w:t>新增地方政府债务36134万元，其中专项债务32100万元，一般债务4034万元。截至2024年底，我区实债务余额460958.59万元，在省定我区债务限额内。2024年偿还到期债务本息16122.63万元，实现应偿尽偿。</w:t>
      </w:r>
    </w:p>
    <w:p w14:paraId="02110029">
      <w:pPr>
        <w:keepNext w:val="0"/>
        <w:keepLines w:val="0"/>
        <w:pageBreakBefore w:val="0"/>
        <w:kinsoku/>
        <w:wordWrap/>
        <w:overflowPunct/>
        <w:topLinePunct w:val="0"/>
        <w:autoSpaceDE/>
        <w:autoSpaceDN/>
        <w:bidi w:val="0"/>
        <w:adjustRightInd/>
        <w:spacing w:line="576" w:lineRule="exact"/>
        <w:ind w:left="0" w:firstLine="627" w:firstLineChars="196"/>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color w:val="auto"/>
          <w:sz w:val="32"/>
          <w:szCs w:val="32"/>
        </w:rPr>
        <w:t>区本级财政支出决算情况 ：</w:t>
      </w:r>
      <w:r>
        <w:rPr>
          <w:rFonts w:hint="default" w:ascii="Times New Roman" w:hAnsi="Times New Roman" w:eastAsia="仿宋_GB2312" w:cs="Times New Roman"/>
          <w:color w:val="auto"/>
          <w:sz w:val="32"/>
          <w:szCs w:val="32"/>
        </w:rPr>
        <w:t>经区十一届人大</w:t>
      </w:r>
      <w:r>
        <w:rPr>
          <w:rFonts w:hint="default" w:ascii="Times New Roman" w:hAnsi="Times New Roman" w:eastAsia="仿宋_GB2312" w:cs="Times New Roman"/>
          <w:color w:val="auto"/>
          <w:sz w:val="32"/>
          <w:szCs w:val="32"/>
          <w:lang w:eastAsia="zh-CN"/>
        </w:rPr>
        <w:t>四</w:t>
      </w:r>
      <w:r>
        <w:rPr>
          <w:rFonts w:hint="default" w:ascii="Times New Roman" w:hAnsi="Times New Roman" w:eastAsia="仿宋_GB2312" w:cs="Times New Roman"/>
          <w:color w:val="auto"/>
          <w:sz w:val="32"/>
          <w:szCs w:val="32"/>
        </w:rPr>
        <w:t>次会议批准，202</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年区本级财政支出预算1</w:t>
      </w:r>
      <w:r>
        <w:rPr>
          <w:rFonts w:hint="default" w:ascii="Times New Roman" w:hAnsi="Times New Roman" w:eastAsia="仿宋_GB2312" w:cs="Times New Roman"/>
          <w:color w:val="auto"/>
          <w:sz w:val="32"/>
          <w:szCs w:val="32"/>
          <w:lang w:val="en-US" w:eastAsia="zh-CN"/>
        </w:rPr>
        <w:t>20010</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加上预算执行中市追加、上年结转及调入资金，最后支出预算为</w:t>
      </w:r>
      <w:r>
        <w:rPr>
          <w:rFonts w:hint="default" w:ascii="Times New Roman" w:hAnsi="Times New Roman" w:eastAsia="仿宋_GB2312" w:cs="Times New Roman"/>
          <w:color w:val="auto"/>
          <w:sz w:val="32"/>
          <w:szCs w:val="32"/>
          <w:lang w:val="en-US" w:eastAsia="zh-CN"/>
        </w:rPr>
        <w:t>183674</w:t>
      </w:r>
      <w:r>
        <w:rPr>
          <w:rFonts w:hint="default" w:ascii="Times New Roman" w:hAnsi="Times New Roman" w:eastAsia="仿宋_GB2312" w:cs="Times New Roman"/>
          <w:color w:val="auto"/>
          <w:sz w:val="32"/>
          <w:szCs w:val="32"/>
        </w:rPr>
        <w:t>万元。202</w:t>
      </w:r>
      <w:r>
        <w:rPr>
          <w:rFonts w:hint="default" w:ascii="Times New Roman" w:hAnsi="Times New Roman" w:eastAsia="仿宋_GB2312" w:cs="Times New Roman"/>
          <w:color w:val="auto"/>
          <w:sz w:val="32"/>
          <w:szCs w:val="32"/>
          <w:lang w:val="en-US" w:eastAsia="zh-CN"/>
        </w:rPr>
        <w:t>4</w:t>
      </w:r>
      <w:r>
        <w:rPr>
          <w:rFonts w:hint="default" w:ascii="Times New Roman" w:hAnsi="Times New Roman" w:eastAsia="仿宋_GB2312" w:cs="Times New Roman"/>
          <w:color w:val="auto"/>
          <w:sz w:val="32"/>
          <w:szCs w:val="32"/>
        </w:rPr>
        <w:t>年区本级财政累计支出</w:t>
      </w:r>
      <w:r>
        <w:rPr>
          <w:rFonts w:hint="default" w:ascii="Times New Roman" w:hAnsi="Times New Roman" w:eastAsia="仿宋_GB2312" w:cs="Times New Roman"/>
          <w:color w:val="auto"/>
          <w:sz w:val="32"/>
          <w:szCs w:val="32"/>
          <w:lang w:val="en-US" w:eastAsia="zh-CN"/>
        </w:rPr>
        <w:t>171990</w:t>
      </w:r>
      <w:r>
        <w:rPr>
          <w:rFonts w:hint="default" w:ascii="Times New Roman" w:hAnsi="Times New Roman" w:eastAsia="仿宋_GB2312" w:cs="Times New Roman"/>
          <w:color w:val="auto"/>
          <w:sz w:val="32"/>
          <w:szCs w:val="32"/>
        </w:rPr>
        <w:t>万元，同比</w:t>
      </w:r>
      <w:r>
        <w:rPr>
          <w:rFonts w:hint="default" w:ascii="Times New Roman" w:hAnsi="Times New Roman" w:eastAsia="仿宋_GB2312" w:cs="Times New Roman"/>
          <w:color w:val="auto"/>
          <w:sz w:val="32"/>
          <w:szCs w:val="32"/>
          <w:lang w:eastAsia="zh-CN"/>
        </w:rPr>
        <w:t>增</w:t>
      </w:r>
      <w:r>
        <w:rPr>
          <w:rFonts w:hint="default" w:ascii="Times New Roman" w:hAnsi="Times New Roman" w:eastAsia="仿宋_GB2312" w:cs="Times New Roman"/>
          <w:color w:val="auto"/>
          <w:sz w:val="32"/>
          <w:szCs w:val="32"/>
        </w:rPr>
        <w:t>支</w:t>
      </w:r>
      <w:r>
        <w:rPr>
          <w:rFonts w:hint="default" w:ascii="Times New Roman" w:hAnsi="Times New Roman" w:eastAsia="仿宋_GB2312" w:cs="Times New Roman"/>
          <w:color w:val="auto"/>
          <w:sz w:val="32"/>
          <w:szCs w:val="32"/>
          <w:lang w:val="en-US" w:eastAsia="zh-CN"/>
        </w:rPr>
        <w:t>5659</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增幅</w:t>
      </w:r>
      <w:r>
        <w:rPr>
          <w:rFonts w:hint="default" w:ascii="Times New Roman" w:hAnsi="Times New Roman" w:eastAsia="仿宋_GB2312" w:cs="Times New Roman"/>
          <w:color w:val="auto"/>
          <w:sz w:val="32"/>
          <w:szCs w:val="32"/>
          <w:lang w:val="en-US" w:eastAsia="zh-CN"/>
        </w:rPr>
        <w:t>3.4</w:t>
      </w:r>
      <w:r>
        <w:rPr>
          <w:rFonts w:hint="default" w:ascii="Times New Roman" w:hAnsi="Times New Roman" w:eastAsia="仿宋_GB2312" w:cs="Times New Roman"/>
          <w:color w:val="auto"/>
          <w:sz w:val="32"/>
          <w:szCs w:val="32"/>
        </w:rPr>
        <w:t>%，收支相抵，</w:t>
      </w:r>
      <w:r>
        <w:rPr>
          <w:rFonts w:hint="default" w:ascii="Times New Roman" w:hAnsi="Times New Roman" w:eastAsia="仿宋_GB2312" w:cs="Times New Roman"/>
          <w:color w:val="auto"/>
          <w:sz w:val="32"/>
          <w:szCs w:val="32"/>
          <w:lang w:val="en-US" w:eastAsia="zh-CN"/>
        </w:rPr>
        <w:t>结转下年使用11684</w:t>
      </w:r>
      <w:r>
        <w:rPr>
          <w:rFonts w:hint="default" w:ascii="Times New Roman" w:hAnsi="Times New Roman" w:eastAsia="仿宋_GB2312" w:cs="Times New Roman"/>
          <w:color w:val="auto"/>
          <w:sz w:val="32"/>
          <w:szCs w:val="32"/>
        </w:rPr>
        <w:t>万元（具体分类支出情况见附表四）</w:t>
      </w:r>
      <w:r>
        <w:rPr>
          <w:rFonts w:hint="default" w:ascii="Times New Roman" w:hAnsi="Times New Roman" w:eastAsia="仿宋_GB2312" w:cs="Times New Roman"/>
          <w:color w:val="auto"/>
          <w:sz w:val="32"/>
          <w:szCs w:val="32"/>
          <w:lang w:eastAsia="zh-CN"/>
        </w:rPr>
        <w:t>。</w:t>
      </w:r>
    </w:p>
    <w:p w14:paraId="578A3B9C">
      <w:pPr>
        <w:pStyle w:val="15"/>
        <w:keepNext w:val="0"/>
        <w:keepLines w:val="0"/>
        <w:pageBreakBefore w:val="0"/>
        <w:kinsoku/>
        <w:wordWrap/>
        <w:overflowPunct/>
        <w:topLinePunct w:val="0"/>
        <w:autoSpaceDE/>
        <w:autoSpaceDN/>
        <w:bidi w:val="0"/>
        <w:adjustRightInd/>
        <w:spacing w:before="0" w:beforeAutospacing="0" w:after="0" w:afterAutospacing="0" w:line="576" w:lineRule="exact"/>
        <w:ind w:left="0" w:firstLine="640" w:firstLineChars="200"/>
        <w:jc w:val="both"/>
        <w:textAlignment w:val="auto"/>
        <w:rPr>
          <w:rFonts w:hint="default" w:ascii="Times New Roman" w:hAnsi="Times New Roman" w:eastAsia="楷体_GB2312" w:cs="Times New Roman"/>
          <w:b/>
          <w:color w:val="auto"/>
          <w:sz w:val="32"/>
          <w:szCs w:val="32"/>
        </w:rPr>
      </w:pPr>
      <w:r>
        <w:rPr>
          <w:rFonts w:hint="default" w:ascii="Times New Roman" w:hAnsi="Times New Roman" w:eastAsia="楷体_GB2312" w:cs="Times New Roman"/>
          <w:b/>
          <w:color w:val="auto"/>
          <w:sz w:val="32"/>
          <w:szCs w:val="32"/>
        </w:rPr>
        <w:t>（二）</w:t>
      </w:r>
      <w:r>
        <w:rPr>
          <w:rFonts w:hint="default" w:ascii="Times New Roman" w:hAnsi="Times New Roman" w:eastAsia="楷体_GB2312" w:cs="Times New Roman"/>
          <w:bCs/>
          <w:color w:val="auto"/>
          <w:sz w:val="32"/>
          <w:szCs w:val="32"/>
        </w:rPr>
        <w:t>202</w:t>
      </w:r>
      <w:r>
        <w:rPr>
          <w:rFonts w:hint="default" w:ascii="Times New Roman" w:hAnsi="Times New Roman" w:eastAsia="楷体_GB2312" w:cs="Times New Roman"/>
          <w:bCs/>
          <w:color w:val="auto"/>
          <w:sz w:val="32"/>
          <w:szCs w:val="32"/>
          <w:lang w:val="en-US" w:eastAsia="zh-CN"/>
        </w:rPr>
        <w:t>5</w:t>
      </w:r>
      <w:r>
        <w:rPr>
          <w:rFonts w:hint="default" w:ascii="Times New Roman" w:hAnsi="Times New Roman" w:eastAsia="楷体_GB2312" w:cs="Times New Roman"/>
          <w:b/>
          <w:color w:val="auto"/>
          <w:sz w:val="32"/>
          <w:szCs w:val="32"/>
        </w:rPr>
        <w:t>年上半年财政预算执行情况</w:t>
      </w:r>
    </w:p>
    <w:p w14:paraId="46616B3B">
      <w:pPr>
        <w:keepNext w:val="0"/>
        <w:keepLines w:val="0"/>
        <w:pageBreakBefore w:val="0"/>
        <w:kinsoku/>
        <w:wordWrap/>
        <w:overflowPunct/>
        <w:topLinePunct w:val="0"/>
        <w:autoSpaceDE/>
        <w:autoSpaceDN/>
        <w:bidi w:val="0"/>
        <w:adjustRightInd/>
        <w:spacing w:line="576" w:lineRule="exact"/>
        <w:ind w:left="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经区十一届人大</w:t>
      </w:r>
      <w:r>
        <w:rPr>
          <w:rFonts w:hint="default" w:ascii="Times New Roman" w:hAnsi="Times New Roman" w:eastAsia="仿宋_GB2312" w:cs="Times New Roman"/>
          <w:color w:val="auto"/>
          <w:sz w:val="32"/>
          <w:szCs w:val="32"/>
          <w:lang w:eastAsia="zh-CN"/>
        </w:rPr>
        <w:t>五</w:t>
      </w:r>
      <w:r>
        <w:rPr>
          <w:rFonts w:hint="default" w:ascii="Times New Roman" w:hAnsi="Times New Roman" w:eastAsia="仿宋_GB2312" w:cs="Times New Roman"/>
          <w:color w:val="auto"/>
          <w:sz w:val="32"/>
          <w:szCs w:val="32"/>
        </w:rPr>
        <w:t>次会议批准，202</w:t>
      </w:r>
      <w:r>
        <w:rPr>
          <w:rFonts w:hint="default" w:ascii="Times New Roman" w:hAnsi="Times New Roman" w:eastAsia="仿宋_GB2312" w:cs="Times New Roman"/>
          <w:color w:val="auto"/>
          <w:sz w:val="32"/>
          <w:szCs w:val="32"/>
          <w:lang w:val="en-US" w:eastAsia="zh-CN"/>
        </w:rPr>
        <w:t>5</w:t>
      </w:r>
      <w:r>
        <w:rPr>
          <w:rFonts w:hint="default" w:ascii="Times New Roman" w:hAnsi="Times New Roman" w:eastAsia="仿宋_GB2312" w:cs="Times New Roman"/>
          <w:color w:val="auto"/>
          <w:sz w:val="32"/>
          <w:szCs w:val="32"/>
        </w:rPr>
        <w:t>年一般公共预算收入预期</w:t>
      </w:r>
      <w:r>
        <w:rPr>
          <w:rFonts w:hint="default" w:ascii="Times New Roman" w:hAnsi="Times New Roman" w:eastAsia="仿宋_GB2312" w:cs="Times New Roman"/>
          <w:color w:val="auto"/>
          <w:sz w:val="32"/>
          <w:szCs w:val="32"/>
          <w:lang w:val="en-US" w:eastAsia="zh-CN"/>
        </w:rPr>
        <w:t>70300万</w:t>
      </w:r>
      <w:r>
        <w:rPr>
          <w:rFonts w:hint="default" w:ascii="Times New Roman" w:hAnsi="Times New Roman" w:eastAsia="仿宋_GB2312" w:cs="Times New Roman"/>
          <w:color w:val="auto"/>
          <w:sz w:val="32"/>
          <w:szCs w:val="32"/>
        </w:rPr>
        <w:t>元，增长</w:t>
      </w:r>
      <w:r>
        <w:rPr>
          <w:rFonts w:hint="default" w:ascii="Times New Roman" w:hAnsi="Times New Roman" w:eastAsia="仿宋_GB2312" w:cs="Times New Roman"/>
          <w:color w:val="auto"/>
          <w:sz w:val="32"/>
          <w:szCs w:val="32"/>
          <w:lang w:val="en-US" w:eastAsia="zh-CN"/>
        </w:rPr>
        <w:t>2</w:t>
      </w:r>
      <w:r>
        <w:rPr>
          <w:rFonts w:hint="default" w:ascii="Times New Roman" w:hAnsi="Times New Roman" w:eastAsia="仿宋_GB2312" w:cs="Times New Roman"/>
          <w:color w:val="auto"/>
          <w:sz w:val="32"/>
          <w:szCs w:val="32"/>
        </w:rPr>
        <w:t>%；全区财政支出预算13</w:t>
      </w:r>
      <w:r>
        <w:rPr>
          <w:rFonts w:hint="default" w:ascii="Times New Roman" w:hAnsi="Times New Roman" w:eastAsia="仿宋_GB2312" w:cs="Times New Roman"/>
          <w:color w:val="auto"/>
          <w:sz w:val="32"/>
          <w:szCs w:val="32"/>
          <w:lang w:val="en-US" w:eastAsia="zh-CN"/>
        </w:rPr>
        <w:t>5000万</w:t>
      </w:r>
      <w:r>
        <w:rPr>
          <w:rFonts w:hint="default" w:ascii="Times New Roman" w:hAnsi="Times New Roman" w:eastAsia="仿宋_GB2312" w:cs="Times New Roman"/>
          <w:color w:val="auto"/>
          <w:sz w:val="32"/>
          <w:szCs w:val="32"/>
        </w:rPr>
        <w:t>元，增长</w:t>
      </w:r>
      <w:r>
        <w:rPr>
          <w:rFonts w:hint="default" w:ascii="Times New Roman" w:hAnsi="Times New Roman" w:eastAsia="仿宋_GB2312" w:cs="Times New Roman"/>
          <w:color w:val="auto"/>
          <w:sz w:val="32"/>
          <w:szCs w:val="32"/>
          <w:lang w:val="en-US" w:eastAsia="zh-CN"/>
        </w:rPr>
        <w:t>1.9</w:t>
      </w:r>
      <w:r>
        <w:rPr>
          <w:rFonts w:hint="default" w:ascii="Times New Roman" w:hAnsi="Times New Roman" w:eastAsia="仿宋_GB2312" w:cs="Times New Roman"/>
          <w:color w:val="auto"/>
          <w:sz w:val="32"/>
          <w:szCs w:val="32"/>
        </w:rPr>
        <w:t>%，其中区本级财政支出预算</w:t>
      </w:r>
      <w:r>
        <w:rPr>
          <w:rFonts w:hint="default" w:ascii="Times New Roman" w:hAnsi="Times New Roman" w:eastAsia="仿宋_GB2312" w:cs="Times New Roman"/>
          <w:color w:val="auto"/>
          <w:sz w:val="32"/>
          <w:szCs w:val="32"/>
          <w:lang w:val="en-US" w:eastAsia="zh-CN"/>
        </w:rPr>
        <w:t>118700万</w:t>
      </w:r>
      <w:r>
        <w:rPr>
          <w:rFonts w:hint="default" w:ascii="Times New Roman" w:hAnsi="Times New Roman" w:eastAsia="仿宋_GB2312" w:cs="Times New Roman"/>
          <w:color w:val="auto"/>
          <w:sz w:val="32"/>
          <w:szCs w:val="32"/>
        </w:rPr>
        <w:t>元；国有资本经营预算收入预期</w:t>
      </w:r>
      <w:r>
        <w:rPr>
          <w:rFonts w:hint="default" w:ascii="Times New Roman" w:hAnsi="Times New Roman" w:eastAsia="仿宋_GB2312" w:cs="Times New Roman"/>
          <w:color w:val="auto"/>
          <w:sz w:val="32"/>
          <w:szCs w:val="32"/>
          <w:lang w:val="en-US" w:eastAsia="zh-CN"/>
        </w:rPr>
        <w:t>3996</w:t>
      </w:r>
      <w:r>
        <w:rPr>
          <w:rFonts w:hint="default" w:ascii="Times New Roman" w:hAnsi="Times New Roman" w:eastAsia="仿宋_GB2312" w:cs="Times New Roman"/>
          <w:color w:val="auto"/>
          <w:sz w:val="32"/>
          <w:szCs w:val="32"/>
        </w:rPr>
        <w:t>万元，支出</w:t>
      </w:r>
      <w:r>
        <w:rPr>
          <w:rFonts w:hint="default" w:ascii="Times New Roman" w:hAnsi="Times New Roman" w:eastAsia="仿宋_GB2312" w:cs="Times New Roman"/>
          <w:color w:val="auto"/>
          <w:sz w:val="32"/>
          <w:szCs w:val="32"/>
          <w:lang w:val="en-US" w:eastAsia="zh-CN"/>
        </w:rPr>
        <w:t>3996</w:t>
      </w:r>
      <w:r>
        <w:rPr>
          <w:rFonts w:hint="default" w:ascii="Times New Roman" w:hAnsi="Times New Roman" w:eastAsia="仿宋_GB2312" w:cs="Times New Roman"/>
          <w:color w:val="auto"/>
          <w:sz w:val="32"/>
          <w:szCs w:val="32"/>
        </w:rPr>
        <w:t>万元。</w:t>
      </w:r>
    </w:p>
    <w:p w14:paraId="716F153D">
      <w:pPr>
        <w:keepNext w:val="0"/>
        <w:keepLines w:val="0"/>
        <w:pageBreakBefore w:val="0"/>
        <w:kinsoku/>
        <w:wordWrap/>
        <w:overflowPunct/>
        <w:topLinePunct w:val="0"/>
        <w:autoSpaceDE/>
        <w:autoSpaceDN/>
        <w:bidi w:val="0"/>
        <w:adjustRightInd/>
        <w:spacing w:line="576" w:lineRule="exact"/>
        <w:ind w:left="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bCs/>
          <w:color w:val="auto"/>
          <w:sz w:val="32"/>
        </w:rPr>
        <w:t>一般公共预算执行情况：</w:t>
      </w:r>
      <w:r>
        <w:rPr>
          <w:rFonts w:hint="default" w:ascii="Times New Roman" w:hAnsi="Times New Roman" w:eastAsia="仿宋_GB2312" w:cs="Times New Roman"/>
          <w:color w:val="auto"/>
          <w:sz w:val="32"/>
          <w:szCs w:val="32"/>
        </w:rPr>
        <w:t>上半年一般公共预算收入完成</w:t>
      </w:r>
      <w:r>
        <w:rPr>
          <w:rFonts w:hint="default" w:ascii="Times New Roman" w:hAnsi="Times New Roman" w:eastAsia="仿宋_GB2312" w:cs="Times New Roman"/>
          <w:color w:val="auto"/>
          <w:sz w:val="32"/>
          <w:szCs w:val="32"/>
          <w:lang w:val="en-US" w:eastAsia="zh-CN"/>
        </w:rPr>
        <w:t>42116</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同比增长</w:t>
      </w:r>
      <w:r>
        <w:rPr>
          <w:rFonts w:hint="default" w:ascii="Times New Roman" w:hAnsi="Times New Roman" w:eastAsia="仿宋_GB2312" w:cs="Times New Roman"/>
          <w:color w:val="auto"/>
          <w:sz w:val="32"/>
          <w:szCs w:val="32"/>
          <w:lang w:val="en-US" w:eastAsia="zh-CN"/>
        </w:rPr>
        <w:t>3.9%，</w:t>
      </w:r>
      <w:r>
        <w:rPr>
          <w:rFonts w:hint="default" w:ascii="Times New Roman" w:hAnsi="Times New Roman" w:eastAsia="仿宋_GB2312" w:cs="Times New Roman"/>
          <w:color w:val="auto"/>
          <w:sz w:val="32"/>
          <w:szCs w:val="32"/>
        </w:rPr>
        <w:t>完成年预算的</w:t>
      </w:r>
      <w:r>
        <w:rPr>
          <w:rFonts w:hint="default" w:ascii="Times New Roman" w:hAnsi="Times New Roman" w:eastAsia="仿宋_GB2312" w:cs="Times New Roman"/>
          <w:color w:val="auto"/>
          <w:sz w:val="32"/>
          <w:szCs w:val="32"/>
          <w:lang w:val="en-US" w:eastAsia="zh-CN"/>
        </w:rPr>
        <w:t>59.9</w:t>
      </w:r>
      <w:r>
        <w:rPr>
          <w:rFonts w:hint="default" w:ascii="Times New Roman" w:hAnsi="Times New Roman" w:eastAsia="仿宋_GB2312" w:cs="Times New Roman"/>
          <w:color w:val="auto"/>
          <w:sz w:val="32"/>
          <w:szCs w:val="32"/>
        </w:rPr>
        <w:t>%，实现时间过半、任务完成过半。全区财政支出</w:t>
      </w:r>
      <w:r>
        <w:rPr>
          <w:rFonts w:hint="default" w:ascii="Times New Roman" w:hAnsi="Times New Roman" w:eastAsia="仿宋_GB2312" w:cs="Times New Roman"/>
          <w:color w:val="auto"/>
          <w:sz w:val="32"/>
          <w:szCs w:val="32"/>
          <w:lang w:val="en-US" w:eastAsia="zh-CN"/>
        </w:rPr>
        <w:t>96914</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strike w:val="0"/>
          <w:dstrike w:val="0"/>
          <w:color w:val="auto"/>
          <w:sz w:val="32"/>
          <w:szCs w:val="32"/>
        </w:rPr>
        <w:t>区本级财政支出</w:t>
      </w:r>
      <w:r>
        <w:rPr>
          <w:rFonts w:hint="default" w:ascii="Times New Roman" w:hAnsi="Times New Roman" w:eastAsia="仿宋_GB2312" w:cs="Times New Roman"/>
          <w:strike w:val="0"/>
          <w:dstrike w:val="0"/>
          <w:color w:val="auto"/>
          <w:sz w:val="32"/>
          <w:szCs w:val="32"/>
          <w:lang w:val="en-US" w:eastAsia="zh-CN"/>
        </w:rPr>
        <w:t>79060</w:t>
      </w:r>
      <w:r>
        <w:rPr>
          <w:rFonts w:hint="default" w:ascii="Times New Roman" w:hAnsi="Times New Roman" w:eastAsia="仿宋_GB2312" w:cs="Times New Roman"/>
          <w:strike w:val="0"/>
          <w:dstrike w:val="0"/>
          <w:color w:val="auto"/>
          <w:sz w:val="32"/>
          <w:szCs w:val="32"/>
        </w:rPr>
        <w:t>万元</w:t>
      </w:r>
      <w:r>
        <w:rPr>
          <w:rFonts w:hint="default" w:ascii="Times New Roman" w:hAnsi="Times New Roman" w:eastAsia="仿宋_GB2312" w:cs="Times New Roman"/>
          <w:strike w:val="0"/>
          <w:dstrike w:val="0"/>
          <w:color w:val="auto"/>
          <w:sz w:val="32"/>
          <w:szCs w:val="32"/>
          <w:lang w:eastAsia="zh-CN"/>
        </w:rPr>
        <w:t>、</w:t>
      </w:r>
      <w:r>
        <w:rPr>
          <w:rFonts w:hint="default" w:ascii="Times New Roman" w:hAnsi="Times New Roman" w:eastAsia="仿宋_GB2312" w:cs="Times New Roman"/>
          <w:color w:val="auto"/>
          <w:sz w:val="32"/>
          <w:szCs w:val="32"/>
        </w:rPr>
        <w:t>补助镇办支出</w:t>
      </w:r>
      <w:r>
        <w:rPr>
          <w:rFonts w:hint="default" w:ascii="Times New Roman" w:hAnsi="Times New Roman" w:eastAsia="仿宋_GB2312" w:cs="Times New Roman"/>
          <w:color w:val="auto"/>
          <w:sz w:val="32"/>
          <w:szCs w:val="32"/>
          <w:lang w:val="en-US" w:eastAsia="zh-CN"/>
        </w:rPr>
        <w:t>17854</w:t>
      </w:r>
      <w:r>
        <w:rPr>
          <w:rFonts w:hint="default" w:ascii="Times New Roman" w:hAnsi="Times New Roman" w:eastAsia="仿宋_GB2312" w:cs="Times New Roman"/>
          <w:color w:val="auto"/>
          <w:sz w:val="32"/>
          <w:szCs w:val="32"/>
        </w:rPr>
        <w:t>万元</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color w:val="auto"/>
          <w:sz w:val="32"/>
          <w:szCs w:val="32"/>
        </w:rPr>
        <w:t>，完成年预算的</w:t>
      </w:r>
      <w:r>
        <w:rPr>
          <w:rFonts w:hint="default" w:ascii="Times New Roman" w:hAnsi="Times New Roman" w:eastAsia="仿宋_GB2312" w:cs="Times New Roman"/>
          <w:color w:val="auto"/>
          <w:sz w:val="32"/>
          <w:szCs w:val="32"/>
          <w:lang w:val="en-US" w:eastAsia="zh-CN"/>
        </w:rPr>
        <w:t>71.8</w:t>
      </w:r>
      <w:r>
        <w:rPr>
          <w:rFonts w:hint="default" w:ascii="Times New Roman" w:hAnsi="Times New Roman" w:eastAsia="仿宋_GB2312" w:cs="Times New Roman"/>
          <w:color w:val="auto"/>
          <w:sz w:val="32"/>
          <w:szCs w:val="32"/>
        </w:rPr>
        <w:t>%，同比增支</w:t>
      </w:r>
      <w:r>
        <w:rPr>
          <w:rFonts w:hint="default" w:ascii="Times New Roman" w:hAnsi="Times New Roman" w:eastAsia="仿宋_GB2312" w:cs="Times New Roman"/>
          <w:color w:val="auto"/>
          <w:sz w:val="32"/>
          <w:szCs w:val="32"/>
          <w:lang w:val="en-US" w:eastAsia="zh-CN"/>
        </w:rPr>
        <w:t>1129</w:t>
      </w:r>
      <w:r>
        <w:rPr>
          <w:rFonts w:hint="default" w:ascii="Times New Roman" w:hAnsi="Times New Roman" w:eastAsia="仿宋_GB2312" w:cs="Times New Roman"/>
          <w:color w:val="auto"/>
          <w:sz w:val="32"/>
          <w:szCs w:val="32"/>
        </w:rPr>
        <w:t>万元，增幅</w:t>
      </w:r>
      <w:r>
        <w:rPr>
          <w:rFonts w:hint="default" w:ascii="Times New Roman" w:hAnsi="Times New Roman" w:eastAsia="仿宋_GB2312" w:cs="Times New Roman"/>
          <w:color w:val="auto"/>
          <w:sz w:val="32"/>
          <w:szCs w:val="32"/>
          <w:lang w:val="en-US" w:eastAsia="zh-CN"/>
        </w:rPr>
        <w:t>1.18</w:t>
      </w:r>
      <w:r>
        <w:rPr>
          <w:rFonts w:hint="default" w:ascii="Times New Roman" w:hAnsi="Times New Roman" w:eastAsia="仿宋_GB2312" w:cs="Times New Roman"/>
          <w:color w:val="auto"/>
          <w:sz w:val="32"/>
          <w:szCs w:val="32"/>
        </w:rPr>
        <w:t>%。</w:t>
      </w:r>
    </w:p>
    <w:p w14:paraId="6C51B6BA">
      <w:pPr>
        <w:keepNext w:val="0"/>
        <w:keepLines w:val="0"/>
        <w:pageBreakBefore w:val="0"/>
        <w:kinsoku/>
        <w:wordWrap/>
        <w:overflowPunct/>
        <w:topLinePunct w:val="0"/>
        <w:autoSpaceDE/>
        <w:autoSpaceDN/>
        <w:bidi w:val="0"/>
        <w:adjustRightInd/>
        <w:spacing w:line="576" w:lineRule="exact"/>
        <w:ind w:left="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color w:val="auto"/>
          <w:kern w:val="0"/>
          <w:sz w:val="32"/>
          <w:szCs w:val="32"/>
        </w:rPr>
        <w:t>政府性基金预算执行情况：</w:t>
      </w:r>
      <w:r>
        <w:rPr>
          <w:rFonts w:hint="default" w:ascii="Times New Roman" w:hAnsi="Times New Roman" w:eastAsia="仿宋_GB2312" w:cs="Times New Roman"/>
          <w:color w:val="auto"/>
          <w:sz w:val="32"/>
          <w:szCs w:val="32"/>
        </w:rPr>
        <w:t>上半年政府性基金预算支出</w:t>
      </w:r>
      <w:r>
        <w:rPr>
          <w:rFonts w:hint="default" w:ascii="Times New Roman" w:hAnsi="Times New Roman" w:eastAsia="仿宋_GB2312" w:cs="Times New Roman"/>
          <w:color w:val="auto"/>
          <w:sz w:val="32"/>
          <w:szCs w:val="32"/>
          <w:lang w:val="en-US" w:eastAsia="zh-CN"/>
        </w:rPr>
        <w:t>48955</w:t>
      </w:r>
      <w:r>
        <w:rPr>
          <w:rFonts w:hint="default" w:ascii="Times New Roman" w:hAnsi="Times New Roman" w:eastAsia="仿宋_GB2312" w:cs="Times New Roman"/>
          <w:color w:val="auto"/>
          <w:sz w:val="32"/>
          <w:szCs w:val="32"/>
        </w:rPr>
        <w:t>万元。</w:t>
      </w:r>
    </w:p>
    <w:p w14:paraId="7B74B98A">
      <w:pPr>
        <w:keepNext w:val="0"/>
        <w:keepLines w:val="0"/>
        <w:pageBreakBefore w:val="0"/>
        <w:kinsoku/>
        <w:wordWrap/>
        <w:overflowPunct/>
        <w:topLinePunct w:val="0"/>
        <w:autoSpaceDE/>
        <w:autoSpaceDN/>
        <w:bidi w:val="0"/>
        <w:adjustRightInd/>
        <w:spacing w:line="576" w:lineRule="exact"/>
        <w:ind w:left="0" w:firstLine="640" w:firstLineChars="200"/>
        <w:jc w:val="both"/>
        <w:textAlignment w:val="auto"/>
        <w:rPr>
          <w:rFonts w:hint="default" w:ascii="Times New Roman" w:hAnsi="Times New Roman" w:eastAsia="楷体_GB2312" w:cs="Times New Roman"/>
          <w:b/>
          <w:bCs/>
          <w:color w:val="auto"/>
          <w:sz w:val="32"/>
          <w:szCs w:val="32"/>
        </w:rPr>
      </w:pPr>
      <w:r>
        <w:rPr>
          <w:rFonts w:hint="default" w:ascii="Times New Roman" w:hAnsi="Times New Roman" w:eastAsia="仿宋_GB2312" w:cs="Times New Roman"/>
          <w:b/>
          <w:bCs/>
          <w:color w:val="auto"/>
          <w:sz w:val="32"/>
          <w:szCs w:val="32"/>
        </w:rPr>
        <w:t>国有资本经营预算执行情况：</w:t>
      </w:r>
      <w:r>
        <w:rPr>
          <w:rFonts w:hint="default" w:ascii="Times New Roman" w:hAnsi="Times New Roman" w:eastAsia="仿宋_GB2312" w:cs="Times New Roman"/>
          <w:color w:val="auto"/>
          <w:sz w:val="32"/>
          <w:szCs w:val="32"/>
        </w:rPr>
        <w:t>上半年</w:t>
      </w:r>
      <w:r>
        <w:rPr>
          <w:rFonts w:hint="default" w:ascii="Times New Roman" w:hAnsi="Times New Roman" w:eastAsia="仿宋_GB2312" w:cs="Times New Roman"/>
          <w:color w:val="auto"/>
          <w:sz w:val="32"/>
          <w:szCs w:val="32"/>
          <w:lang w:eastAsia="zh-CN"/>
        </w:rPr>
        <w:t>国有资本经营预算收入</w:t>
      </w:r>
      <w:r>
        <w:rPr>
          <w:rFonts w:hint="default" w:ascii="Times New Roman" w:hAnsi="Times New Roman" w:eastAsia="仿宋_GB2312" w:cs="Times New Roman"/>
          <w:color w:val="auto"/>
          <w:sz w:val="32"/>
          <w:szCs w:val="32"/>
          <w:lang w:val="en-US" w:eastAsia="zh-CN"/>
        </w:rPr>
        <w:t>1780万元</w:t>
      </w:r>
      <w:r>
        <w:rPr>
          <w:rFonts w:hint="default" w:ascii="Times New Roman" w:hAnsi="Times New Roman" w:eastAsia="仿宋_GB2312" w:cs="Times New Roman"/>
          <w:color w:val="auto"/>
          <w:sz w:val="32"/>
          <w:szCs w:val="32"/>
          <w:lang w:eastAsia="zh-CN"/>
        </w:rPr>
        <w:t>，未发生支出。</w:t>
      </w:r>
    </w:p>
    <w:p w14:paraId="16458E9B">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0" w:leftChars="0" w:right="0" w:rightChars="0" w:firstLine="640" w:firstLineChars="200"/>
        <w:jc w:val="both"/>
        <w:textAlignment w:val="auto"/>
        <w:outlineLvl w:val="9"/>
        <w:rPr>
          <w:rFonts w:hint="default" w:ascii="Times New Roman" w:hAnsi="Times New Roman" w:eastAsia="仿宋_GB2312" w:cs="Times New Roman"/>
          <w:color w:val="auto"/>
          <w:sz w:val="32"/>
          <w:szCs w:val="32"/>
        </w:rPr>
      </w:pPr>
      <w:r>
        <w:rPr>
          <w:rFonts w:hint="default" w:ascii="Times New Roman" w:hAnsi="Times New Roman" w:eastAsia="仿宋_GB2312" w:cs="Times New Roman"/>
          <w:b/>
          <w:color w:val="auto"/>
          <w:kern w:val="0"/>
          <w:sz w:val="32"/>
          <w:szCs w:val="32"/>
        </w:rPr>
        <w:t>政府性债务情况：</w:t>
      </w:r>
      <w:r>
        <w:rPr>
          <w:rFonts w:hint="default" w:ascii="Times New Roman" w:hAnsi="Times New Roman" w:eastAsia="仿宋_GB2312" w:cs="Times New Roman"/>
          <w:color w:val="auto"/>
          <w:sz w:val="32"/>
          <w:szCs w:val="32"/>
          <w:lang w:val="en-US" w:eastAsia="zh-CN"/>
        </w:rPr>
        <w:t>上半年新增专项债券39500万元，其中乡村振兴建设项目7800万元、经开区装备制造产业园项目17200万元、高端智能制造产业园项目10000万元、高岳省级现代农业产业融合发展示范园提升项目4500万元。争取化债资金19500万元，有效化解绿地保交楼国开行贷款。截至6月底，我区债务余额518809.24万元，在省定我区债务限额内。今年到期债务26549.11万元，上半年已还18675.34万元，剩余7873.77万元按照序时进度偿还</w:t>
      </w:r>
      <w:r>
        <w:rPr>
          <w:rFonts w:hint="default" w:ascii="Times New Roman" w:hAnsi="Times New Roman" w:eastAsia="仿宋_GB2312" w:cs="Times New Roman"/>
          <w:color w:val="auto"/>
          <w:kern w:val="2"/>
          <w:sz w:val="32"/>
          <w:szCs w:val="32"/>
          <w:lang w:val="en-US" w:eastAsia="zh-CN" w:bidi="ar-SA"/>
        </w:rPr>
        <w:t>。</w:t>
      </w:r>
    </w:p>
    <w:p w14:paraId="10B95EBA">
      <w:pPr>
        <w:keepNext w:val="0"/>
        <w:keepLines w:val="0"/>
        <w:pageBreakBefore w:val="0"/>
        <w:kinsoku/>
        <w:wordWrap/>
        <w:overflowPunct/>
        <w:topLinePunct w:val="0"/>
        <w:autoSpaceDE/>
        <w:autoSpaceDN/>
        <w:bidi w:val="0"/>
        <w:adjustRightInd/>
        <w:spacing w:line="576" w:lineRule="exact"/>
        <w:ind w:left="0" w:firstLine="627" w:firstLineChars="196"/>
        <w:jc w:val="both"/>
        <w:textAlignment w:val="auto"/>
        <w:rPr>
          <w:rFonts w:hint="default" w:ascii="Times New Roman" w:hAnsi="Times New Roman" w:eastAsia="仿宋_GB2312" w:cs="Times New Roman"/>
          <w:color w:val="auto"/>
          <w:sz w:val="32"/>
          <w:szCs w:val="32"/>
          <w:lang w:eastAsia="zh-CN"/>
        </w:rPr>
      </w:pPr>
      <w:r>
        <w:rPr>
          <w:rFonts w:hint="default" w:ascii="Times New Roman" w:hAnsi="Times New Roman" w:eastAsia="仿宋_GB2312" w:cs="Times New Roman"/>
          <w:b/>
          <w:bCs/>
          <w:color w:val="auto"/>
          <w:sz w:val="32"/>
          <w:szCs w:val="32"/>
        </w:rPr>
        <w:t>区本级财政预算执行情况</w:t>
      </w:r>
      <w:r>
        <w:rPr>
          <w:rFonts w:hint="default" w:ascii="Times New Roman" w:hAnsi="Times New Roman" w:eastAsia="仿宋_GB2312" w:cs="Times New Roman"/>
          <w:b/>
          <w:bCs/>
          <w:color w:val="auto"/>
          <w:kern w:val="0"/>
          <w:sz w:val="32"/>
          <w:szCs w:val="32"/>
        </w:rPr>
        <w:t>：</w:t>
      </w:r>
      <w:r>
        <w:rPr>
          <w:rFonts w:hint="default" w:ascii="Times New Roman" w:hAnsi="Times New Roman" w:eastAsia="仿宋_GB2312" w:cs="Times New Roman"/>
          <w:color w:val="auto"/>
          <w:sz w:val="32"/>
        </w:rPr>
        <w:t>上半年区本级财政支出</w:t>
      </w:r>
      <w:r>
        <w:rPr>
          <w:rFonts w:hint="default" w:ascii="Times New Roman" w:hAnsi="Times New Roman" w:eastAsia="仿宋_GB2312" w:cs="Times New Roman"/>
          <w:color w:val="auto"/>
          <w:sz w:val="32"/>
          <w:lang w:val="en-US" w:eastAsia="zh-CN"/>
        </w:rPr>
        <w:t>79060</w:t>
      </w:r>
      <w:r>
        <w:rPr>
          <w:rFonts w:hint="default" w:ascii="Times New Roman" w:hAnsi="Times New Roman" w:eastAsia="仿宋_GB2312" w:cs="Times New Roman"/>
          <w:color w:val="auto"/>
          <w:sz w:val="32"/>
        </w:rPr>
        <w:t>万元，完成年预算的</w:t>
      </w:r>
      <w:r>
        <w:rPr>
          <w:rFonts w:hint="default" w:ascii="Times New Roman" w:hAnsi="Times New Roman" w:eastAsia="仿宋_GB2312" w:cs="Times New Roman"/>
          <w:color w:val="auto"/>
          <w:sz w:val="32"/>
          <w:lang w:val="en-US" w:eastAsia="zh-CN"/>
        </w:rPr>
        <w:t>66.6</w:t>
      </w:r>
      <w:r>
        <w:rPr>
          <w:rFonts w:hint="default" w:ascii="Times New Roman" w:hAnsi="Times New Roman" w:eastAsia="仿宋_GB2312" w:cs="Times New Roman"/>
          <w:color w:val="auto"/>
          <w:sz w:val="32"/>
        </w:rPr>
        <w:t>%，同比</w:t>
      </w:r>
      <w:r>
        <w:rPr>
          <w:rFonts w:hint="default" w:ascii="Times New Roman" w:hAnsi="Times New Roman" w:eastAsia="仿宋_GB2312" w:cs="Times New Roman"/>
          <w:color w:val="auto"/>
          <w:sz w:val="32"/>
          <w:lang w:eastAsia="zh-CN"/>
        </w:rPr>
        <w:t>减</w:t>
      </w:r>
      <w:r>
        <w:rPr>
          <w:rFonts w:hint="default" w:ascii="Times New Roman" w:hAnsi="Times New Roman" w:eastAsia="仿宋_GB2312" w:cs="Times New Roman"/>
          <w:color w:val="auto"/>
          <w:sz w:val="32"/>
        </w:rPr>
        <w:t>支</w:t>
      </w:r>
      <w:r>
        <w:rPr>
          <w:rFonts w:hint="default" w:ascii="Times New Roman" w:hAnsi="Times New Roman" w:eastAsia="仿宋_GB2312" w:cs="Times New Roman"/>
          <w:color w:val="auto"/>
          <w:sz w:val="32"/>
          <w:szCs w:val="32"/>
          <w:lang w:val="en-US" w:eastAsia="zh-CN"/>
        </w:rPr>
        <w:t>7910</w:t>
      </w:r>
      <w:r>
        <w:rPr>
          <w:rFonts w:hint="default" w:ascii="Times New Roman" w:hAnsi="Times New Roman" w:eastAsia="仿宋_GB2312" w:cs="Times New Roman"/>
          <w:color w:val="auto"/>
          <w:sz w:val="32"/>
        </w:rPr>
        <w:t>万元，</w:t>
      </w:r>
      <w:r>
        <w:rPr>
          <w:rFonts w:hint="default" w:ascii="Times New Roman" w:hAnsi="Times New Roman" w:eastAsia="仿宋_GB2312" w:cs="Times New Roman"/>
          <w:color w:val="auto"/>
          <w:sz w:val="32"/>
          <w:szCs w:val="32"/>
          <w:lang w:eastAsia="zh-CN"/>
        </w:rPr>
        <w:t>下降</w:t>
      </w:r>
      <w:r>
        <w:rPr>
          <w:rFonts w:hint="default" w:ascii="Times New Roman" w:hAnsi="Times New Roman" w:eastAsia="仿宋_GB2312" w:cs="Times New Roman"/>
          <w:color w:val="auto"/>
          <w:sz w:val="32"/>
          <w:szCs w:val="32"/>
          <w:lang w:val="en-US" w:eastAsia="zh-CN"/>
        </w:rPr>
        <w:t>9.1</w:t>
      </w:r>
      <w:r>
        <w:rPr>
          <w:rFonts w:hint="default" w:ascii="Times New Roman" w:hAnsi="Times New Roman" w:eastAsia="仿宋_GB2312" w:cs="Times New Roman"/>
          <w:color w:val="auto"/>
          <w:sz w:val="32"/>
          <w:szCs w:val="32"/>
        </w:rPr>
        <w:t>%</w:t>
      </w:r>
      <w:r>
        <w:rPr>
          <w:rFonts w:hint="default" w:ascii="Times New Roman" w:hAnsi="Times New Roman" w:eastAsia="仿宋_GB2312" w:cs="Times New Roman"/>
          <w:color w:val="auto"/>
          <w:sz w:val="32"/>
        </w:rPr>
        <w:t>（具体分类支出情况见附表五）。</w:t>
      </w:r>
      <w:r>
        <w:rPr>
          <w:rFonts w:hint="default" w:ascii="Times New Roman" w:hAnsi="Times New Roman" w:eastAsia="仿宋_GB2312" w:cs="Times New Roman"/>
          <w:color w:val="auto"/>
          <w:sz w:val="32"/>
          <w:lang w:eastAsia="zh-CN"/>
        </w:rPr>
        <w:t>减</w:t>
      </w:r>
      <w:r>
        <w:rPr>
          <w:rFonts w:hint="default" w:ascii="Times New Roman" w:hAnsi="Times New Roman" w:eastAsia="仿宋_GB2312" w:cs="Times New Roman"/>
          <w:color w:val="auto"/>
          <w:sz w:val="32"/>
        </w:rPr>
        <w:t>支主要原</w:t>
      </w:r>
      <w:r>
        <w:rPr>
          <w:rFonts w:hint="default" w:ascii="Times New Roman" w:hAnsi="Times New Roman" w:eastAsia="仿宋_GB2312" w:cs="Times New Roman"/>
          <w:color w:val="auto"/>
          <w:sz w:val="32"/>
          <w:szCs w:val="32"/>
        </w:rPr>
        <w:t>因</w:t>
      </w:r>
      <w:r>
        <w:rPr>
          <w:rFonts w:hint="default" w:ascii="Times New Roman" w:hAnsi="Times New Roman" w:eastAsia="仿宋_GB2312" w:cs="Times New Roman"/>
          <w:color w:val="auto"/>
          <w:sz w:val="32"/>
          <w:szCs w:val="32"/>
          <w:lang w:val="en-US" w:eastAsia="zh-CN"/>
        </w:rPr>
        <w:t>为，一是</w:t>
      </w:r>
      <w:r>
        <w:rPr>
          <w:rFonts w:hint="default" w:ascii="Times New Roman" w:hAnsi="Times New Roman" w:eastAsia="仿宋_GB2312" w:cs="Times New Roman"/>
          <w:color w:val="auto"/>
          <w:sz w:val="32"/>
          <w:szCs w:val="32"/>
          <w:lang w:eastAsia="zh-CN"/>
        </w:rPr>
        <w:t>龙湖一贯制学校工程进入收尾阶段，</w:t>
      </w:r>
      <w:r>
        <w:rPr>
          <w:rFonts w:hint="default" w:ascii="Times New Roman" w:hAnsi="Times New Roman" w:eastAsia="仿宋_GB2312" w:cs="Times New Roman"/>
          <w:color w:val="auto"/>
          <w:sz w:val="32"/>
          <w:szCs w:val="32"/>
          <w:lang w:val="en-US" w:eastAsia="zh-CN"/>
        </w:rPr>
        <w:t>资金投入减少；二是</w:t>
      </w:r>
      <w:r>
        <w:rPr>
          <w:rFonts w:hint="default" w:ascii="Times New Roman" w:hAnsi="Times New Roman" w:eastAsia="仿宋_GB2312" w:cs="Times New Roman"/>
          <w:color w:val="auto"/>
          <w:sz w:val="32"/>
          <w:lang w:val="en-US" w:eastAsia="zh-CN"/>
        </w:rPr>
        <w:t>不可比因素，去年同期向程蒋山土地综合整治工程项目及滂汪山环境整治项目拨付资金</w:t>
      </w:r>
      <w:r>
        <w:rPr>
          <w:rFonts w:hint="default" w:ascii="Times New Roman" w:hAnsi="Times New Roman" w:eastAsia="仿宋_GB2312" w:cs="Times New Roman"/>
          <w:color w:val="auto"/>
          <w:sz w:val="32"/>
          <w:lang w:eastAsia="zh-CN"/>
        </w:rPr>
        <w:t>。</w:t>
      </w:r>
    </w:p>
    <w:p w14:paraId="724536EA">
      <w:pPr>
        <w:pStyle w:val="15"/>
        <w:keepNext w:val="0"/>
        <w:keepLines w:val="0"/>
        <w:pageBreakBefore w:val="0"/>
        <w:kinsoku/>
        <w:wordWrap/>
        <w:overflowPunct/>
        <w:topLinePunct w:val="0"/>
        <w:autoSpaceDE/>
        <w:autoSpaceDN/>
        <w:bidi w:val="0"/>
        <w:adjustRightInd/>
        <w:spacing w:before="0" w:beforeAutospacing="0" w:after="0" w:afterAutospacing="0" w:line="576" w:lineRule="exact"/>
        <w:ind w:left="0" w:firstLine="640" w:firstLineChars="200"/>
        <w:jc w:val="both"/>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rPr>
        <w:t>从202</w:t>
      </w:r>
      <w:r>
        <w:rPr>
          <w:rFonts w:hint="default" w:ascii="Times New Roman" w:hAnsi="Times New Roman" w:eastAsia="仿宋_GB2312" w:cs="Times New Roman"/>
          <w:color w:val="auto"/>
          <w:sz w:val="32"/>
          <w:lang w:val="en-US" w:eastAsia="zh-CN"/>
        </w:rPr>
        <w:t>4</w:t>
      </w:r>
      <w:r>
        <w:rPr>
          <w:rFonts w:hint="default" w:ascii="Times New Roman" w:hAnsi="Times New Roman" w:eastAsia="仿宋_GB2312" w:cs="Times New Roman"/>
          <w:color w:val="auto"/>
          <w:sz w:val="32"/>
        </w:rPr>
        <w:t>年财政决算和202</w:t>
      </w:r>
      <w:r>
        <w:rPr>
          <w:rFonts w:hint="default" w:ascii="Times New Roman" w:hAnsi="Times New Roman" w:eastAsia="仿宋_GB2312" w:cs="Times New Roman"/>
          <w:color w:val="auto"/>
          <w:sz w:val="32"/>
          <w:lang w:val="en-US" w:eastAsia="zh-CN"/>
        </w:rPr>
        <w:t>5</w:t>
      </w:r>
      <w:r>
        <w:rPr>
          <w:rFonts w:hint="default" w:ascii="Times New Roman" w:hAnsi="Times New Roman" w:eastAsia="仿宋_GB2312" w:cs="Times New Roman"/>
          <w:color w:val="auto"/>
          <w:sz w:val="32"/>
        </w:rPr>
        <w:t>年上半年财政预算执行情况看，</w:t>
      </w:r>
      <w:r>
        <w:rPr>
          <w:rFonts w:hint="default" w:ascii="Times New Roman" w:hAnsi="Times New Roman" w:eastAsia="仿宋_GB2312" w:cs="Times New Roman"/>
          <w:color w:val="auto"/>
          <w:sz w:val="32"/>
          <w:szCs w:val="32"/>
        </w:rPr>
        <w:t>在区委</w:t>
      </w:r>
      <w:r>
        <w:rPr>
          <w:rFonts w:hint="default" w:ascii="Times New Roman" w:hAnsi="Times New Roman" w:eastAsia="仿宋_GB2312" w:cs="Times New Roman"/>
          <w:color w:val="auto"/>
          <w:sz w:val="32"/>
          <w:szCs w:val="32"/>
          <w:lang w:val="en-US" w:eastAsia="zh-CN"/>
        </w:rPr>
        <w:t>区政府</w:t>
      </w:r>
      <w:r>
        <w:rPr>
          <w:rFonts w:hint="default" w:ascii="Times New Roman" w:hAnsi="Times New Roman" w:eastAsia="仿宋_GB2312" w:cs="Times New Roman"/>
          <w:color w:val="auto"/>
          <w:sz w:val="32"/>
          <w:szCs w:val="32"/>
        </w:rPr>
        <w:t>的正确领导下，在区人大及其常委会的监督支持下，区财政局坚持以习近平新时代中国特色社会主义思想为指导，</w:t>
      </w:r>
      <w:r>
        <w:rPr>
          <w:rFonts w:hint="default" w:ascii="Times New Roman" w:hAnsi="Times New Roman" w:eastAsia="仿宋_GB2312" w:cs="Times New Roman"/>
          <w:color w:val="auto"/>
          <w:sz w:val="32"/>
          <w:szCs w:val="32"/>
          <w:highlight w:val="none"/>
          <w:lang w:val="en-US" w:eastAsia="zh-CN"/>
        </w:rPr>
        <w:t>严格贯彻中央、省市经济工作会议精神，充分发挥财政职能作用，围绕全年财政收入目标，扎实组织抓税收</w:t>
      </w:r>
      <w:r>
        <w:rPr>
          <w:rFonts w:hint="default" w:ascii="Times New Roman" w:hAnsi="Times New Roman" w:eastAsia="仿宋_GB2312" w:cs="Times New Roman"/>
          <w:color w:val="auto"/>
          <w:sz w:val="32"/>
          <w:szCs w:val="32"/>
        </w:rPr>
        <w:t>，优化结构抓支出，改革创新抓管理，全区财政运行呈现</w:t>
      </w:r>
      <w:r>
        <w:rPr>
          <w:rFonts w:hint="default" w:ascii="Times New Roman" w:hAnsi="Times New Roman" w:eastAsia="仿宋_GB2312" w:cs="Times New Roman"/>
          <w:color w:val="auto"/>
          <w:sz w:val="32"/>
          <w:szCs w:val="32"/>
          <w:lang w:val="en-US" w:eastAsia="zh-CN"/>
        </w:rPr>
        <w:t>平稳</w:t>
      </w:r>
      <w:r>
        <w:rPr>
          <w:rFonts w:hint="default" w:ascii="Times New Roman" w:hAnsi="Times New Roman" w:eastAsia="仿宋_GB2312" w:cs="Times New Roman"/>
          <w:color w:val="auto"/>
          <w:sz w:val="32"/>
          <w:szCs w:val="32"/>
        </w:rPr>
        <w:t>有序态势，为</w:t>
      </w:r>
      <w:r>
        <w:rPr>
          <w:rFonts w:hint="default" w:ascii="Times New Roman" w:hAnsi="Times New Roman" w:eastAsia="仿宋_GB2312" w:cs="Times New Roman"/>
          <w:color w:val="auto"/>
          <w:sz w:val="32"/>
          <w:szCs w:val="32"/>
          <w:lang w:eastAsia="zh-CN"/>
        </w:rPr>
        <w:t>杜集经济高质量发展</w:t>
      </w:r>
      <w:r>
        <w:rPr>
          <w:rFonts w:hint="default" w:ascii="Times New Roman" w:hAnsi="Times New Roman" w:eastAsia="仿宋_GB2312" w:cs="Times New Roman"/>
          <w:color w:val="auto"/>
          <w:sz w:val="32"/>
          <w:szCs w:val="32"/>
        </w:rPr>
        <w:t>提供坚实财力保障。</w:t>
      </w:r>
    </w:p>
    <w:p w14:paraId="1EF1DCB1">
      <w:pPr>
        <w:pStyle w:val="29"/>
        <w:rPr>
          <w:rFonts w:hint="default"/>
          <w:color w:val="auto"/>
        </w:rPr>
      </w:pPr>
      <w:bookmarkStart w:id="0" w:name="_GoBack"/>
      <w:bookmarkEnd w:id="0"/>
    </w:p>
    <w:sectPr>
      <w:headerReference r:id="rId3" w:type="default"/>
      <w:footerReference r:id="rId4" w:type="default"/>
      <w:pgSz w:w="11906" w:h="16838"/>
      <w:pgMar w:top="2098" w:right="1417" w:bottom="1984" w:left="1701" w:header="851" w:footer="1417" w:gutter="0"/>
      <w:pgBorders>
        <w:top w:val="none" w:sz="0" w:space="0"/>
        <w:left w:val="none" w:sz="0" w:space="0"/>
        <w:bottom w:val="none" w:sz="0" w:space="0"/>
        <w:right w:val="none" w:sz="0" w:space="0"/>
      </w:pgBorders>
      <w:cols w:space="0" w:num="1"/>
      <w:docGrid w:type="linesAndChars" w:linePitch="2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63BBA">
    <w:pPr>
      <w:pStyle w:val="13"/>
      <w:ind w:right="360" w:firstLine="360"/>
      <w:rPr>
        <w:rFonts w:cs="Times New Roman"/>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A6F410F">
                          <w:pPr>
                            <w:pStyle w:val="13"/>
                            <w:rPr>
                              <w:rFonts w:ascii="宋体" w:cs="宋体"/>
                              <w:sz w:val="28"/>
                              <w:szCs w:val="28"/>
                            </w:rPr>
                          </w:pPr>
                          <w:r>
                            <w:rPr>
                              <w:rFonts w:ascii="宋体" w:hAnsi="宋体" w:cs="宋体"/>
                              <w:sz w:val="28"/>
                              <w:szCs w:val="28"/>
                            </w:rPr>
                            <w:t xml:space="preserve">— </w:t>
                          </w: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rPr>
                            <w:t>19</w:t>
                          </w:r>
                          <w:r>
                            <w:rPr>
                              <w:rFonts w:ascii="宋体" w:hAnsi="宋体" w:cs="宋体"/>
                              <w:sz w:val="28"/>
                              <w:szCs w:val="28"/>
                            </w:rPr>
                            <w:fldChar w:fldCharType="end"/>
                          </w:r>
                          <w:r>
                            <w:rPr>
                              <w:rFonts w:ascii="宋体" w:hAnsi="宋体" w:cs="宋体"/>
                              <w:sz w:val="28"/>
                              <w:szCs w:val="28"/>
                            </w:rPr>
                            <w:t xml:space="preserve"> —</w:t>
                          </w:r>
                        </w:p>
                      </w:txbxContent>
                    </wps:txbx>
                    <wps:bodyPr wrap="none" lIns="0" tIns="0" rIns="0" bIns="0" upright="1">
                      <a:spAutoFit/>
                    </wps:bodyPr>
                  </wps:wsp>
                </a:graphicData>
              </a:graphic>
            </wp:anchor>
          </w:drawing>
        </mc:Choice>
        <mc:Fallback>
          <w:pict>
            <v:shape id="文本框 102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bJ+8PLAQAAnAMAAA4AAAAAAAAAAQAgAAAAHgEAAGRycy9lMm9E&#10;b2MueG1sUEsFBgAAAAAGAAYAWQEAAFsFAAAAAA==&#10;">
              <v:fill on="f" focussize="0,0"/>
              <v:stroke on="f"/>
              <v:imagedata o:title=""/>
              <o:lock v:ext="edit" aspectratio="f"/>
              <v:textbox inset="0mm,0mm,0mm,0mm" style="mso-fit-shape-to-text:t;">
                <w:txbxContent>
                  <w:p w14:paraId="4A6F410F">
                    <w:pPr>
                      <w:pStyle w:val="13"/>
                      <w:rPr>
                        <w:rFonts w:ascii="宋体" w:cs="宋体"/>
                        <w:sz w:val="28"/>
                        <w:szCs w:val="28"/>
                      </w:rPr>
                    </w:pPr>
                    <w:r>
                      <w:rPr>
                        <w:rFonts w:ascii="宋体" w:hAnsi="宋体" w:cs="宋体"/>
                        <w:sz w:val="28"/>
                        <w:szCs w:val="28"/>
                      </w:rPr>
                      <w:t xml:space="preserve">— </w:t>
                    </w:r>
                    <w:r>
                      <w:rPr>
                        <w:rFonts w:ascii="宋体" w:hAnsi="宋体" w:cs="宋体"/>
                        <w:sz w:val="28"/>
                        <w:szCs w:val="28"/>
                      </w:rPr>
                      <w:fldChar w:fldCharType="begin"/>
                    </w:r>
                    <w:r>
                      <w:rPr>
                        <w:rFonts w:ascii="宋体" w:hAnsi="宋体" w:cs="宋体"/>
                        <w:sz w:val="28"/>
                        <w:szCs w:val="28"/>
                      </w:rPr>
                      <w:instrText xml:space="preserve"> PAGE  \* MERGEFORMAT </w:instrText>
                    </w:r>
                    <w:r>
                      <w:rPr>
                        <w:rFonts w:ascii="宋体" w:hAnsi="宋体" w:cs="宋体"/>
                        <w:sz w:val="28"/>
                        <w:szCs w:val="28"/>
                      </w:rPr>
                      <w:fldChar w:fldCharType="separate"/>
                    </w:r>
                    <w:r>
                      <w:rPr>
                        <w:rFonts w:ascii="宋体" w:hAnsi="宋体" w:cs="宋体"/>
                        <w:sz w:val="28"/>
                        <w:szCs w:val="28"/>
                      </w:rPr>
                      <w:t>19</w:t>
                    </w:r>
                    <w:r>
                      <w:rPr>
                        <w:rFonts w:ascii="宋体" w:hAnsi="宋体" w:cs="宋体"/>
                        <w:sz w:val="28"/>
                        <w:szCs w:val="28"/>
                      </w:rPr>
                      <w:fldChar w:fldCharType="end"/>
                    </w:r>
                    <w:r>
                      <w:rPr>
                        <w:rFonts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3DCCC">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8C77FD"/>
    <w:multiLevelType w:val="singleLevel"/>
    <w:tmpl w:val="BA8C77FD"/>
    <w:lvl w:ilvl="0" w:tentative="0">
      <w:start w:val="1"/>
      <w:numFmt w:val="bullet"/>
      <w:pStyle w:val="9"/>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mirrorMargins w:val="1"/>
  <w:bordersDoNotSurroundHeader w:val="0"/>
  <w:bordersDoNotSurroundFooter w:val="0"/>
  <w:documentProtection w:enforcement="0"/>
  <w:defaultTabStop w:val="420"/>
  <w:doNotHyphenateCaps/>
  <w:drawingGridHorizontalSpacing w:val="105"/>
  <w:drawingGridVerticalSpacing w:val="295"/>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YzZjYmJhY2UwOWEzMzM0Y2U0Mjk3ZmJmMGExOTMifQ=="/>
  </w:docVars>
  <w:rsids>
    <w:rsidRoot w:val="00CC1453"/>
    <w:rsid w:val="00010C9B"/>
    <w:rsid w:val="000151F8"/>
    <w:rsid w:val="000178FE"/>
    <w:rsid w:val="00017949"/>
    <w:rsid w:val="00030AFA"/>
    <w:rsid w:val="00045952"/>
    <w:rsid w:val="00066419"/>
    <w:rsid w:val="00074AC8"/>
    <w:rsid w:val="00091F24"/>
    <w:rsid w:val="000C7787"/>
    <w:rsid w:val="000D3749"/>
    <w:rsid w:val="000F4BBB"/>
    <w:rsid w:val="0011217C"/>
    <w:rsid w:val="00115400"/>
    <w:rsid w:val="00127E0A"/>
    <w:rsid w:val="00135AF2"/>
    <w:rsid w:val="00140FED"/>
    <w:rsid w:val="001437AD"/>
    <w:rsid w:val="00147A9D"/>
    <w:rsid w:val="0015211C"/>
    <w:rsid w:val="0016020D"/>
    <w:rsid w:val="00163527"/>
    <w:rsid w:val="001773D7"/>
    <w:rsid w:val="0018033F"/>
    <w:rsid w:val="001A2932"/>
    <w:rsid w:val="001C04BB"/>
    <w:rsid w:val="001C7632"/>
    <w:rsid w:val="001D206D"/>
    <w:rsid w:val="001D6AB3"/>
    <w:rsid w:val="001F0DD7"/>
    <w:rsid w:val="001F7DDB"/>
    <w:rsid w:val="0022463A"/>
    <w:rsid w:val="00224FAF"/>
    <w:rsid w:val="00236088"/>
    <w:rsid w:val="00254C1B"/>
    <w:rsid w:val="00293D16"/>
    <w:rsid w:val="002A7252"/>
    <w:rsid w:val="002C1E58"/>
    <w:rsid w:val="002F0749"/>
    <w:rsid w:val="002F145E"/>
    <w:rsid w:val="003238B4"/>
    <w:rsid w:val="00327470"/>
    <w:rsid w:val="00333531"/>
    <w:rsid w:val="003406DF"/>
    <w:rsid w:val="0034410D"/>
    <w:rsid w:val="00345303"/>
    <w:rsid w:val="0035019E"/>
    <w:rsid w:val="0035423C"/>
    <w:rsid w:val="00360526"/>
    <w:rsid w:val="00372D26"/>
    <w:rsid w:val="003D7BEE"/>
    <w:rsid w:val="00406690"/>
    <w:rsid w:val="00410607"/>
    <w:rsid w:val="00425A1B"/>
    <w:rsid w:val="004346A8"/>
    <w:rsid w:val="00440C39"/>
    <w:rsid w:val="00467EE5"/>
    <w:rsid w:val="004746B8"/>
    <w:rsid w:val="004859DF"/>
    <w:rsid w:val="004B200D"/>
    <w:rsid w:val="004C0FF6"/>
    <w:rsid w:val="004D0B58"/>
    <w:rsid w:val="0050264A"/>
    <w:rsid w:val="00514FFD"/>
    <w:rsid w:val="005374DD"/>
    <w:rsid w:val="00544BD5"/>
    <w:rsid w:val="00573183"/>
    <w:rsid w:val="005A5547"/>
    <w:rsid w:val="005C31A6"/>
    <w:rsid w:val="005D1C80"/>
    <w:rsid w:val="005F49D4"/>
    <w:rsid w:val="005F606C"/>
    <w:rsid w:val="006075BD"/>
    <w:rsid w:val="006259A1"/>
    <w:rsid w:val="00630C77"/>
    <w:rsid w:val="006B244D"/>
    <w:rsid w:val="006B74BC"/>
    <w:rsid w:val="006D0FA6"/>
    <w:rsid w:val="006D7058"/>
    <w:rsid w:val="006F71A8"/>
    <w:rsid w:val="00712AFD"/>
    <w:rsid w:val="00720AE1"/>
    <w:rsid w:val="0072209B"/>
    <w:rsid w:val="00750D75"/>
    <w:rsid w:val="007549FD"/>
    <w:rsid w:val="007627DB"/>
    <w:rsid w:val="00762EE8"/>
    <w:rsid w:val="007A0E96"/>
    <w:rsid w:val="007B0596"/>
    <w:rsid w:val="007B6B26"/>
    <w:rsid w:val="007C0298"/>
    <w:rsid w:val="007C2032"/>
    <w:rsid w:val="00807DD0"/>
    <w:rsid w:val="0081446E"/>
    <w:rsid w:val="00832C75"/>
    <w:rsid w:val="00834408"/>
    <w:rsid w:val="008666E4"/>
    <w:rsid w:val="0087157B"/>
    <w:rsid w:val="00885CA3"/>
    <w:rsid w:val="00893712"/>
    <w:rsid w:val="008949FA"/>
    <w:rsid w:val="008F035F"/>
    <w:rsid w:val="00904ECC"/>
    <w:rsid w:val="009203BC"/>
    <w:rsid w:val="00937C2C"/>
    <w:rsid w:val="009416A0"/>
    <w:rsid w:val="00956959"/>
    <w:rsid w:val="0096562D"/>
    <w:rsid w:val="009D15AD"/>
    <w:rsid w:val="009D548E"/>
    <w:rsid w:val="009E1838"/>
    <w:rsid w:val="009E4147"/>
    <w:rsid w:val="00A4281D"/>
    <w:rsid w:val="00A52CC5"/>
    <w:rsid w:val="00A548C2"/>
    <w:rsid w:val="00A73CD3"/>
    <w:rsid w:val="00A862AC"/>
    <w:rsid w:val="00A94D72"/>
    <w:rsid w:val="00A97F38"/>
    <w:rsid w:val="00AA4E24"/>
    <w:rsid w:val="00AB6857"/>
    <w:rsid w:val="00AF0AA0"/>
    <w:rsid w:val="00AF4EB9"/>
    <w:rsid w:val="00B1522F"/>
    <w:rsid w:val="00B509FC"/>
    <w:rsid w:val="00B50CC9"/>
    <w:rsid w:val="00B74BE0"/>
    <w:rsid w:val="00B82ED9"/>
    <w:rsid w:val="00B9012E"/>
    <w:rsid w:val="00B917CC"/>
    <w:rsid w:val="00B94F9B"/>
    <w:rsid w:val="00BA7E19"/>
    <w:rsid w:val="00BC79F6"/>
    <w:rsid w:val="00BD3DFF"/>
    <w:rsid w:val="00BD5B28"/>
    <w:rsid w:val="00BE711A"/>
    <w:rsid w:val="00BF5603"/>
    <w:rsid w:val="00C07A49"/>
    <w:rsid w:val="00C2505E"/>
    <w:rsid w:val="00C303E6"/>
    <w:rsid w:val="00CA5003"/>
    <w:rsid w:val="00CC1453"/>
    <w:rsid w:val="00CD151D"/>
    <w:rsid w:val="00CD2D76"/>
    <w:rsid w:val="00CE1AA5"/>
    <w:rsid w:val="00D60BFE"/>
    <w:rsid w:val="00D7460F"/>
    <w:rsid w:val="00D959A1"/>
    <w:rsid w:val="00DA058F"/>
    <w:rsid w:val="00DA625F"/>
    <w:rsid w:val="00DB4990"/>
    <w:rsid w:val="00DE63BB"/>
    <w:rsid w:val="00E20FAE"/>
    <w:rsid w:val="00E3147D"/>
    <w:rsid w:val="00E44136"/>
    <w:rsid w:val="00E45498"/>
    <w:rsid w:val="00E661B1"/>
    <w:rsid w:val="00EB08DF"/>
    <w:rsid w:val="00EB6637"/>
    <w:rsid w:val="00EF0022"/>
    <w:rsid w:val="00EF4DD8"/>
    <w:rsid w:val="00F179C6"/>
    <w:rsid w:val="00F33FF4"/>
    <w:rsid w:val="00F66B91"/>
    <w:rsid w:val="00F72AFA"/>
    <w:rsid w:val="00F74DB8"/>
    <w:rsid w:val="00F75E19"/>
    <w:rsid w:val="00F85644"/>
    <w:rsid w:val="00FA0D66"/>
    <w:rsid w:val="00FA337D"/>
    <w:rsid w:val="00FA449D"/>
    <w:rsid w:val="00FC1F0E"/>
    <w:rsid w:val="00FD0644"/>
    <w:rsid w:val="00FD5563"/>
    <w:rsid w:val="00FD7FE3"/>
    <w:rsid w:val="00FE6F70"/>
    <w:rsid w:val="00FF1CD0"/>
    <w:rsid w:val="00FF4A35"/>
    <w:rsid w:val="01636E78"/>
    <w:rsid w:val="01F66ABD"/>
    <w:rsid w:val="025739FF"/>
    <w:rsid w:val="036F2ECE"/>
    <w:rsid w:val="03F90ED4"/>
    <w:rsid w:val="04157D30"/>
    <w:rsid w:val="057F5C95"/>
    <w:rsid w:val="058A16DC"/>
    <w:rsid w:val="05BE0E49"/>
    <w:rsid w:val="066202F1"/>
    <w:rsid w:val="0765096C"/>
    <w:rsid w:val="0A0A1424"/>
    <w:rsid w:val="0A0F63FB"/>
    <w:rsid w:val="0A7F442A"/>
    <w:rsid w:val="0AB72F85"/>
    <w:rsid w:val="0B521A65"/>
    <w:rsid w:val="0CB50A66"/>
    <w:rsid w:val="0D013FCF"/>
    <w:rsid w:val="0D0504FC"/>
    <w:rsid w:val="0DBB1986"/>
    <w:rsid w:val="0E06452B"/>
    <w:rsid w:val="0E883E64"/>
    <w:rsid w:val="0E8E72AB"/>
    <w:rsid w:val="0EDD5F77"/>
    <w:rsid w:val="0F4A0B76"/>
    <w:rsid w:val="0F501F75"/>
    <w:rsid w:val="0FF3674D"/>
    <w:rsid w:val="111778AE"/>
    <w:rsid w:val="116F431D"/>
    <w:rsid w:val="119269AA"/>
    <w:rsid w:val="11FF1952"/>
    <w:rsid w:val="12090D88"/>
    <w:rsid w:val="127477FF"/>
    <w:rsid w:val="12E94062"/>
    <w:rsid w:val="13ED4CE7"/>
    <w:rsid w:val="14A20BAF"/>
    <w:rsid w:val="14DC6753"/>
    <w:rsid w:val="15B8610B"/>
    <w:rsid w:val="15D04C68"/>
    <w:rsid w:val="16534086"/>
    <w:rsid w:val="16A11295"/>
    <w:rsid w:val="16DC051F"/>
    <w:rsid w:val="1734526E"/>
    <w:rsid w:val="17642CE7"/>
    <w:rsid w:val="179B7A92"/>
    <w:rsid w:val="180116B8"/>
    <w:rsid w:val="181634F0"/>
    <w:rsid w:val="1969287C"/>
    <w:rsid w:val="19707F5D"/>
    <w:rsid w:val="1B2C5837"/>
    <w:rsid w:val="1B364747"/>
    <w:rsid w:val="1B3C2C89"/>
    <w:rsid w:val="1BAD7089"/>
    <w:rsid w:val="1BD05350"/>
    <w:rsid w:val="1C032778"/>
    <w:rsid w:val="1C766D20"/>
    <w:rsid w:val="1CF374F2"/>
    <w:rsid w:val="1D5F660A"/>
    <w:rsid w:val="1DDB51C8"/>
    <w:rsid w:val="1DE10710"/>
    <w:rsid w:val="1E680F8F"/>
    <w:rsid w:val="1EAD3EF6"/>
    <w:rsid w:val="1EE753C6"/>
    <w:rsid w:val="1F374D1F"/>
    <w:rsid w:val="1F4673C3"/>
    <w:rsid w:val="1F7862EE"/>
    <w:rsid w:val="1FD54494"/>
    <w:rsid w:val="1FF90FED"/>
    <w:rsid w:val="20615078"/>
    <w:rsid w:val="2127683B"/>
    <w:rsid w:val="21A30804"/>
    <w:rsid w:val="21B225A8"/>
    <w:rsid w:val="21B24314"/>
    <w:rsid w:val="22336089"/>
    <w:rsid w:val="22681739"/>
    <w:rsid w:val="227E7C52"/>
    <w:rsid w:val="22BE5053"/>
    <w:rsid w:val="22E91B93"/>
    <w:rsid w:val="24194B61"/>
    <w:rsid w:val="24485436"/>
    <w:rsid w:val="245068F5"/>
    <w:rsid w:val="24C839E2"/>
    <w:rsid w:val="252E4254"/>
    <w:rsid w:val="262A02D0"/>
    <w:rsid w:val="265E6C30"/>
    <w:rsid w:val="2674607E"/>
    <w:rsid w:val="26A34BB6"/>
    <w:rsid w:val="26E05496"/>
    <w:rsid w:val="280F7757"/>
    <w:rsid w:val="29757973"/>
    <w:rsid w:val="2B3B0EF2"/>
    <w:rsid w:val="2B5D628A"/>
    <w:rsid w:val="2B8D79F9"/>
    <w:rsid w:val="2BB71A4A"/>
    <w:rsid w:val="2BFA7026"/>
    <w:rsid w:val="2C1B0C83"/>
    <w:rsid w:val="2C2C2F57"/>
    <w:rsid w:val="2C7A3CC3"/>
    <w:rsid w:val="2DE43E9F"/>
    <w:rsid w:val="2E70537D"/>
    <w:rsid w:val="2E81295C"/>
    <w:rsid w:val="2FCD1793"/>
    <w:rsid w:val="303F6767"/>
    <w:rsid w:val="307F7AFA"/>
    <w:rsid w:val="309B292D"/>
    <w:rsid w:val="31530A22"/>
    <w:rsid w:val="31857E82"/>
    <w:rsid w:val="3293788C"/>
    <w:rsid w:val="3301726D"/>
    <w:rsid w:val="33526BA3"/>
    <w:rsid w:val="34410CDA"/>
    <w:rsid w:val="355A1CB2"/>
    <w:rsid w:val="35B446E9"/>
    <w:rsid w:val="36587FEE"/>
    <w:rsid w:val="36AE11BD"/>
    <w:rsid w:val="36CE5337"/>
    <w:rsid w:val="36F54F9C"/>
    <w:rsid w:val="37944BC2"/>
    <w:rsid w:val="37B704C1"/>
    <w:rsid w:val="37CE6DA0"/>
    <w:rsid w:val="38A10D84"/>
    <w:rsid w:val="38B16CBE"/>
    <w:rsid w:val="396826B2"/>
    <w:rsid w:val="399902A0"/>
    <w:rsid w:val="39C605D6"/>
    <w:rsid w:val="3A564290"/>
    <w:rsid w:val="3A877D72"/>
    <w:rsid w:val="3BEB2A84"/>
    <w:rsid w:val="3BFE4759"/>
    <w:rsid w:val="3C5C6782"/>
    <w:rsid w:val="3CB3635D"/>
    <w:rsid w:val="3CCD4062"/>
    <w:rsid w:val="3CEA462E"/>
    <w:rsid w:val="3E2B12C1"/>
    <w:rsid w:val="3E341E35"/>
    <w:rsid w:val="3E8C07E2"/>
    <w:rsid w:val="3F9B06C8"/>
    <w:rsid w:val="3FB50C6C"/>
    <w:rsid w:val="3FFC3D52"/>
    <w:rsid w:val="404367AC"/>
    <w:rsid w:val="40CE75B7"/>
    <w:rsid w:val="40E8793D"/>
    <w:rsid w:val="40EB22D9"/>
    <w:rsid w:val="41B40CF5"/>
    <w:rsid w:val="4218713D"/>
    <w:rsid w:val="42546730"/>
    <w:rsid w:val="42EC266A"/>
    <w:rsid w:val="430B1915"/>
    <w:rsid w:val="438206B0"/>
    <w:rsid w:val="43FA2943"/>
    <w:rsid w:val="44C554DF"/>
    <w:rsid w:val="44E6304A"/>
    <w:rsid w:val="45294080"/>
    <w:rsid w:val="476D1EFD"/>
    <w:rsid w:val="48036E0A"/>
    <w:rsid w:val="48D663A5"/>
    <w:rsid w:val="490308B4"/>
    <w:rsid w:val="499B17BF"/>
    <w:rsid w:val="4A5676C5"/>
    <w:rsid w:val="4AB12B4E"/>
    <w:rsid w:val="4CF82B54"/>
    <w:rsid w:val="4D1675E0"/>
    <w:rsid w:val="4D1D28DB"/>
    <w:rsid w:val="4DAB1AD6"/>
    <w:rsid w:val="4DB539EC"/>
    <w:rsid w:val="4E1709C7"/>
    <w:rsid w:val="4E992277"/>
    <w:rsid w:val="4F542EE9"/>
    <w:rsid w:val="502241A2"/>
    <w:rsid w:val="51143E36"/>
    <w:rsid w:val="522F5036"/>
    <w:rsid w:val="52CF79B2"/>
    <w:rsid w:val="52D5780A"/>
    <w:rsid w:val="52E01F67"/>
    <w:rsid w:val="53570DD0"/>
    <w:rsid w:val="53607919"/>
    <w:rsid w:val="53933738"/>
    <w:rsid w:val="544D4D13"/>
    <w:rsid w:val="55740D24"/>
    <w:rsid w:val="56170651"/>
    <w:rsid w:val="563965AB"/>
    <w:rsid w:val="56E11927"/>
    <w:rsid w:val="57064E8B"/>
    <w:rsid w:val="5753390A"/>
    <w:rsid w:val="582D6064"/>
    <w:rsid w:val="58734BD8"/>
    <w:rsid w:val="58AC27C4"/>
    <w:rsid w:val="58E20584"/>
    <w:rsid w:val="598470B7"/>
    <w:rsid w:val="59BB4354"/>
    <w:rsid w:val="59C4289D"/>
    <w:rsid w:val="5A643AA2"/>
    <w:rsid w:val="5ABD553F"/>
    <w:rsid w:val="5B4A3759"/>
    <w:rsid w:val="5B563B41"/>
    <w:rsid w:val="5B726290"/>
    <w:rsid w:val="5CBD35D4"/>
    <w:rsid w:val="5D2E41AC"/>
    <w:rsid w:val="5E6E3A1D"/>
    <w:rsid w:val="5EC41A54"/>
    <w:rsid w:val="605E35A7"/>
    <w:rsid w:val="60736014"/>
    <w:rsid w:val="60970262"/>
    <w:rsid w:val="60B904BE"/>
    <w:rsid w:val="61730705"/>
    <w:rsid w:val="61EE3417"/>
    <w:rsid w:val="62EE098B"/>
    <w:rsid w:val="63280304"/>
    <w:rsid w:val="6375689A"/>
    <w:rsid w:val="63AD2929"/>
    <w:rsid w:val="63C72824"/>
    <w:rsid w:val="648C1560"/>
    <w:rsid w:val="64B11317"/>
    <w:rsid w:val="64F87EC9"/>
    <w:rsid w:val="661037E7"/>
    <w:rsid w:val="66194E54"/>
    <w:rsid w:val="66926DCC"/>
    <w:rsid w:val="66A247B7"/>
    <w:rsid w:val="66C0263F"/>
    <w:rsid w:val="675A043F"/>
    <w:rsid w:val="67B055FB"/>
    <w:rsid w:val="688B0A2A"/>
    <w:rsid w:val="68D347A9"/>
    <w:rsid w:val="68D64F8C"/>
    <w:rsid w:val="68FB795E"/>
    <w:rsid w:val="697B17DF"/>
    <w:rsid w:val="6A151FD3"/>
    <w:rsid w:val="6B4E75DF"/>
    <w:rsid w:val="6CF31A79"/>
    <w:rsid w:val="6D1F7993"/>
    <w:rsid w:val="6D3B2A1F"/>
    <w:rsid w:val="6DA957F2"/>
    <w:rsid w:val="6EA77C40"/>
    <w:rsid w:val="6F5E1CCF"/>
    <w:rsid w:val="6FF63B40"/>
    <w:rsid w:val="70251E61"/>
    <w:rsid w:val="7057373A"/>
    <w:rsid w:val="70AA17BF"/>
    <w:rsid w:val="71950224"/>
    <w:rsid w:val="71FF614C"/>
    <w:rsid w:val="72402885"/>
    <w:rsid w:val="73001740"/>
    <w:rsid w:val="73506376"/>
    <w:rsid w:val="73AF2DAD"/>
    <w:rsid w:val="756606B7"/>
    <w:rsid w:val="75A9252B"/>
    <w:rsid w:val="75D05823"/>
    <w:rsid w:val="75F40514"/>
    <w:rsid w:val="76654669"/>
    <w:rsid w:val="767945B8"/>
    <w:rsid w:val="76816FC9"/>
    <w:rsid w:val="77B04587"/>
    <w:rsid w:val="77BC29AE"/>
    <w:rsid w:val="77BF64BB"/>
    <w:rsid w:val="77EF4254"/>
    <w:rsid w:val="78785FA7"/>
    <w:rsid w:val="7BEC42D2"/>
    <w:rsid w:val="7C4B22EB"/>
    <w:rsid w:val="7C9B7036"/>
    <w:rsid w:val="7D6A4C5A"/>
    <w:rsid w:val="7E547FD7"/>
    <w:rsid w:val="7FAF6F3A"/>
    <w:rsid w:val="7FFA051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qFormat="1" w:unhideWhenUsed="0" w:uiPriority="0" w:semiHidden="0"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nhideWhenUsed="0"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99" w:semiHidden="0" w:name="Emphasis" w:locked="1"/>
    <w:lsdException w:uiPriority="99" w:name="Document Map"/>
    <w:lsdException w:qFormat="1" w:unhideWhenUsed="0" w:uiPriority="99" w:name="Plain Text"/>
    <w:lsdException w:uiPriority="99" w:name="E-mail Signature"/>
    <w:lsdException w:qFormat="1" w:unhideWhenUsed="0" w:uiPriority="99" w:semiHidden="0" w:name="Normal (Web)"/>
    <w:lsdException w:qFormat="1"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locked/>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link w:val="30"/>
    <w:qFormat/>
    <w:locked/>
    <w:uiPriority w:val="99"/>
    <w:pPr>
      <w:keepNext/>
      <w:keepLines/>
      <w:spacing w:before="260" w:after="260" w:line="415" w:lineRule="auto"/>
      <w:outlineLvl w:val="1"/>
    </w:pPr>
    <w:rPr>
      <w:rFonts w:ascii="Times New Roman" w:hAnsi="Times New Roman" w:eastAsia="黑体"/>
      <w:b/>
      <w:sz w:val="32"/>
    </w:rPr>
  </w:style>
  <w:style w:type="character" w:default="1" w:styleId="18">
    <w:name w:val="Default Paragraph Font"/>
    <w:semiHidden/>
    <w:qFormat/>
    <w:uiPriority w:val="99"/>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4">
    <w:name w:val="index 8"/>
    <w:basedOn w:val="1"/>
    <w:next w:val="1"/>
    <w:qFormat/>
    <w:uiPriority w:val="0"/>
    <w:pPr>
      <w:ind w:left="2940"/>
      <w:jc w:val="left"/>
    </w:pPr>
    <w:rPr>
      <w:rFonts w:hint="eastAsia"/>
    </w:rPr>
  </w:style>
  <w:style w:type="paragraph" w:styleId="5">
    <w:name w:val="Normal Indent"/>
    <w:basedOn w:val="1"/>
    <w:qFormat/>
    <w:uiPriority w:val="99"/>
    <w:pPr>
      <w:ind w:firstLine="420"/>
    </w:pPr>
    <w:rPr>
      <w:szCs w:val="20"/>
    </w:rPr>
  </w:style>
  <w:style w:type="paragraph" w:styleId="6">
    <w:name w:val="Body Text"/>
    <w:basedOn w:val="1"/>
    <w:next w:val="4"/>
    <w:link w:val="31"/>
    <w:qFormat/>
    <w:uiPriority w:val="99"/>
    <w:pPr>
      <w:spacing w:after="120"/>
    </w:pPr>
  </w:style>
  <w:style w:type="paragraph" w:styleId="7">
    <w:name w:val="Body Text Indent"/>
    <w:basedOn w:val="1"/>
    <w:link w:val="32"/>
    <w:qFormat/>
    <w:uiPriority w:val="99"/>
    <w:pPr>
      <w:spacing w:line="560" w:lineRule="exact"/>
      <w:ind w:firstLine="640" w:firstLineChars="200"/>
    </w:pPr>
    <w:rPr>
      <w:rFonts w:eastAsia="仿宋_GB2312"/>
      <w:sz w:val="32"/>
      <w:szCs w:val="22"/>
    </w:rPr>
  </w:style>
  <w:style w:type="paragraph" w:styleId="8">
    <w:name w:val="Plain Text"/>
    <w:basedOn w:val="1"/>
    <w:link w:val="33"/>
    <w:semiHidden/>
    <w:qFormat/>
    <w:uiPriority w:val="99"/>
    <w:rPr>
      <w:rFonts w:ascii="宋体" w:hAnsi="Courier New" w:cs="宋体"/>
      <w:kern w:val="0"/>
    </w:rPr>
  </w:style>
  <w:style w:type="paragraph" w:styleId="9">
    <w:name w:val="List Bullet 5"/>
    <w:basedOn w:val="1"/>
    <w:semiHidden/>
    <w:qFormat/>
    <w:uiPriority w:val="99"/>
    <w:pPr>
      <w:numPr>
        <w:ilvl w:val="0"/>
        <w:numId w:val="1"/>
      </w:numPr>
    </w:pPr>
  </w:style>
  <w:style w:type="paragraph" w:styleId="10">
    <w:name w:val="Date"/>
    <w:basedOn w:val="1"/>
    <w:next w:val="1"/>
    <w:link w:val="34"/>
    <w:qFormat/>
    <w:uiPriority w:val="99"/>
    <w:pPr>
      <w:ind w:left="100" w:leftChars="2500"/>
    </w:pPr>
  </w:style>
  <w:style w:type="paragraph" w:styleId="11">
    <w:name w:val="Body Text Indent 2"/>
    <w:basedOn w:val="1"/>
    <w:next w:val="1"/>
    <w:link w:val="35"/>
    <w:qFormat/>
    <w:uiPriority w:val="99"/>
    <w:pPr>
      <w:spacing w:line="480" w:lineRule="auto"/>
      <w:ind w:left="420" w:leftChars="200"/>
    </w:pPr>
  </w:style>
  <w:style w:type="paragraph" w:styleId="12">
    <w:name w:val="Balloon Text"/>
    <w:basedOn w:val="1"/>
    <w:link w:val="36"/>
    <w:semiHidden/>
    <w:qFormat/>
    <w:uiPriority w:val="99"/>
    <w:rPr>
      <w:kern w:val="0"/>
      <w:sz w:val="2"/>
      <w:szCs w:val="2"/>
    </w:rPr>
  </w:style>
  <w:style w:type="paragraph" w:styleId="13">
    <w:name w:val="footer"/>
    <w:basedOn w:val="1"/>
    <w:link w:val="37"/>
    <w:qFormat/>
    <w:uiPriority w:val="99"/>
    <w:pPr>
      <w:tabs>
        <w:tab w:val="center" w:pos="4153"/>
        <w:tab w:val="right" w:pos="8306"/>
      </w:tabs>
      <w:snapToGrid w:val="0"/>
      <w:jc w:val="left"/>
    </w:pPr>
    <w:rPr>
      <w:kern w:val="0"/>
      <w:sz w:val="18"/>
      <w:szCs w:val="18"/>
    </w:rPr>
  </w:style>
  <w:style w:type="paragraph" w:styleId="14">
    <w:name w:val="header"/>
    <w:basedOn w:val="1"/>
    <w:link w:val="38"/>
    <w:qFormat/>
    <w:uiPriority w:val="99"/>
    <w:pPr>
      <w:pBdr>
        <w:bottom w:val="single" w:color="auto" w:sz="6" w:space="1"/>
      </w:pBdr>
      <w:tabs>
        <w:tab w:val="center" w:pos="4153"/>
        <w:tab w:val="right" w:pos="8306"/>
      </w:tabs>
      <w:snapToGrid w:val="0"/>
      <w:jc w:val="center"/>
    </w:pPr>
    <w:rPr>
      <w:kern w:val="0"/>
      <w:sz w:val="18"/>
      <w:szCs w:val="18"/>
    </w:r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6">
    <w:name w:val="Body Text First Indent 2"/>
    <w:basedOn w:val="1"/>
    <w:next w:val="1"/>
    <w:link w:val="39"/>
    <w:qFormat/>
    <w:uiPriority w:val="99"/>
    <w:pPr>
      <w:ind w:firstLine="420"/>
    </w:pPr>
  </w:style>
  <w:style w:type="character" w:styleId="19">
    <w:name w:val="Strong"/>
    <w:basedOn w:val="18"/>
    <w:qFormat/>
    <w:locked/>
    <w:uiPriority w:val="0"/>
    <w:rPr>
      <w:b/>
      <w:bCs/>
    </w:rPr>
  </w:style>
  <w:style w:type="character" w:styleId="20">
    <w:name w:val="page number"/>
    <w:basedOn w:val="18"/>
    <w:qFormat/>
    <w:uiPriority w:val="99"/>
    <w:rPr>
      <w:rFonts w:cs="Times New Roman"/>
    </w:rPr>
  </w:style>
  <w:style w:type="character" w:styleId="21">
    <w:name w:val="FollowedHyperlink"/>
    <w:basedOn w:val="18"/>
    <w:semiHidden/>
    <w:unhideWhenUsed/>
    <w:qFormat/>
    <w:uiPriority w:val="99"/>
    <w:rPr>
      <w:color w:val="333333"/>
      <w:u w:val="none"/>
    </w:rPr>
  </w:style>
  <w:style w:type="character" w:styleId="22">
    <w:name w:val="Emphasis"/>
    <w:basedOn w:val="18"/>
    <w:qFormat/>
    <w:locked/>
    <w:uiPriority w:val="99"/>
    <w:rPr>
      <w:rFonts w:cs="Times New Roman"/>
    </w:rPr>
  </w:style>
  <w:style w:type="character" w:styleId="23">
    <w:name w:val="HTML Definition"/>
    <w:basedOn w:val="18"/>
    <w:semiHidden/>
    <w:unhideWhenUsed/>
    <w:qFormat/>
    <w:uiPriority w:val="99"/>
    <w:rPr>
      <w:i/>
      <w:iCs/>
    </w:rPr>
  </w:style>
  <w:style w:type="character" w:styleId="24">
    <w:name w:val="HTML Acronym"/>
    <w:basedOn w:val="18"/>
    <w:semiHidden/>
    <w:unhideWhenUsed/>
    <w:qFormat/>
    <w:uiPriority w:val="99"/>
  </w:style>
  <w:style w:type="character" w:styleId="25">
    <w:name w:val="Hyperlink"/>
    <w:basedOn w:val="18"/>
    <w:semiHidden/>
    <w:unhideWhenUsed/>
    <w:qFormat/>
    <w:uiPriority w:val="99"/>
    <w:rPr>
      <w:color w:val="0000FF"/>
      <w:u w:val="single"/>
    </w:rPr>
  </w:style>
  <w:style w:type="character" w:styleId="26">
    <w:name w:val="HTML Code"/>
    <w:basedOn w:val="18"/>
    <w:semiHidden/>
    <w:unhideWhenUsed/>
    <w:qFormat/>
    <w:uiPriority w:val="99"/>
    <w:rPr>
      <w:rFonts w:hint="default" w:ascii="monospace" w:hAnsi="monospace" w:eastAsia="monospace" w:cs="monospace"/>
      <w:sz w:val="21"/>
      <w:szCs w:val="21"/>
    </w:rPr>
  </w:style>
  <w:style w:type="character" w:styleId="27">
    <w:name w:val="HTML Keyboard"/>
    <w:basedOn w:val="18"/>
    <w:semiHidden/>
    <w:unhideWhenUsed/>
    <w:qFormat/>
    <w:uiPriority w:val="99"/>
    <w:rPr>
      <w:rFonts w:hint="default" w:ascii="monospace" w:hAnsi="monospace" w:eastAsia="monospace" w:cs="monospace"/>
      <w:sz w:val="21"/>
      <w:szCs w:val="21"/>
    </w:rPr>
  </w:style>
  <w:style w:type="character" w:styleId="28">
    <w:name w:val="HTML Sample"/>
    <w:basedOn w:val="18"/>
    <w:semiHidden/>
    <w:unhideWhenUsed/>
    <w:qFormat/>
    <w:uiPriority w:val="99"/>
    <w:rPr>
      <w:rFonts w:ascii="monospace" w:hAnsi="monospace" w:eastAsia="monospace" w:cs="monospace"/>
      <w:sz w:val="21"/>
      <w:szCs w:val="21"/>
    </w:rPr>
  </w:style>
  <w:style w:type="paragraph" w:customStyle="1" w:styleId="29">
    <w:name w:val="正文缩进1"/>
    <w:basedOn w:val="1"/>
    <w:qFormat/>
    <w:uiPriority w:val="99"/>
    <w:pPr>
      <w:ind w:firstLine="624"/>
      <w:textAlignment w:val="center"/>
    </w:pPr>
  </w:style>
  <w:style w:type="character" w:customStyle="1" w:styleId="30">
    <w:name w:val="Heading 2 Char"/>
    <w:basedOn w:val="18"/>
    <w:link w:val="3"/>
    <w:semiHidden/>
    <w:qFormat/>
    <w:uiPriority w:val="9"/>
    <w:rPr>
      <w:rFonts w:asciiTheme="majorHAnsi" w:hAnsiTheme="majorHAnsi" w:eastAsiaTheme="majorEastAsia" w:cstheme="majorBidi"/>
      <w:b/>
      <w:bCs/>
      <w:sz w:val="32"/>
      <w:szCs w:val="32"/>
    </w:rPr>
  </w:style>
  <w:style w:type="character" w:customStyle="1" w:styleId="31">
    <w:name w:val="Body Text Char"/>
    <w:basedOn w:val="18"/>
    <w:link w:val="6"/>
    <w:semiHidden/>
    <w:qFormat/>
    <w:uiPriority w:val="99"/>
    <w:rPr>
      <w:rFonts w:cs="Calibri"/>
      <w:szCs w:val="21"/>
    </w:rPr>
  </w:style>
  <w:style w:type="character" w:customStyle="1" w:styleId="32">
    <w:name w:val="Body Text Indent Char"/>
    <w:basedOn w:val="18"/>
    <w:link w:val="7"/>
    <w:semiHidden/>
    <w:qFormat/>
    <w:uiPriority w:val="99"/>
    <w:rPr>
      <w:rFonts w:cs="Calibri"/>
      <w:szCs w:val="21"/>
    </w:rPr>
  </w:style>
  <w:style w:type="character" w:customStyle="1" w:styleId="33">
    <w:name w:val="Plain Text Char"/>
    <w:basedOn w:val="18"/>
    <w:link w:val="8"/>
    <w:semiHidden/>
    <w:qFormat/>
    <w:locked/>
    <w:uiPriority w:val="99"/>
    <w:rPr>
      <w:rFonts w:ascii="宋体" w:hAnsi="Courier New" w:eastAsia="宋体" w:cs="宋体"/>
      <w:sz w:val="21"/>
      <w:szCs w:val="21"/>
      <w:lang w:val="en-US" w:eastAsia="zh-CN"/>
    </w:rPr>
  </w:style>
  <w:style w:type="character" w:customStyle="1" w:styleId="34">
    <w:name w:val="Date Char"/>
    <w:basedOn w:val="18"/>
    <w:link w:val="10"/>
    <w:semiHidden/>
    <w:qFormat/>
    <w:locked/>
    <w:uiPriority w:val="99"/>
    <w:rPr>
      <w:rFonts w:cs="Times New Roman"/>
    </w:rPr>
  </w:style>
  <w:style w:type="character" w:customStyle="1" w:styleId="35">
    <w:name w:val="Body Text Indent 2 Char"/>
    <w:basedOn w:val="18"/>
    <w:link w:val="11"/>
    <w:semiHidden/>
    <w:qFormat/>
    <w:uiPriority w:val="99"/>
    <w:rPr>
      <w:rFonts w:cs="Calibri"/>
      <w:szCs w:val="21"/>
    </w:rPr>
  </w:style>
  <w:style w:type="character" w:customStyle="1" w:styleId="36">
    <w:name w:val="Balloon Text Char"/>
    <w:basedOn w:val="18"/>
    <w:link w:val="12"/>
    <w:semiHidden/>
    <w:qFormat/>
    <w:locked/>
    <w:uiPriority w:val="99"/>
    <w:rPr>
      <w:rFonts w:cs="Times New Roman"/>
      <w:sz w:val="2"/>
      <w:szCs w:val="2"/>
    </w:rPr>
  </w:style>
  <w:style w:type="character" w:customStyle="1" w:styleId="37">
    <w:name w:val="Footer Char"/>
    <w:basedOn w:val="18"/>
    <w:link w:val="13"/>
    <w:semiHidden/>
    <w:qFormat/>
    <w:locked/>
    <w:uiPriority w:val="99"/>
    <w:rPr>
      <w:rFonts w:cs="Times New Roman"/>
      <w:sz w:val="18"/>
      <w:szCs w:val="18"/>
    </w:rPr>
  </w:style>
  <w:style w:type="character" w:customStyle="1" w:styleId="38">
    <w:name w:val="Header Char"/>
    <w:basedOn w:val="18"/>
    <w:link w:val="14"/>
    <w:semiHidden/>
    <w:qFormat/>
    <w:locked/>
    <w:uiPriority w:val="99"/>
    <w:rPr>
      <w:rFonts w:cs="Times New Roman"/>
      <w:sz w:val="18"/>
      <w:szCs w:val="18"/>
    </w:rPr>
  </w:style>
  <w:style w:type="character" w:customStyle="1" w:styleId="39">
    <w:name w:val="Body Text First Indent 2 Char"/>
    <w:basedOn w:val="32"/>
    <w:link w:val="16"/>
    <w:semiHidden/>
    <w:qFormat/>
    <w:uiPriority w:val="99"/>
  </w:style>
  <w:style w:type="character" w:customStyle="1" w:styleId="40">
    <w:name w:val="NormalCharacter"/>
    <w:semiHidden/>
    <w:qFormat/>
    <w:uiPriority w:val="99"/>
    <w:rPr>
      <w:rFonts w:ascii="Times New Roman" w:hAnsi="Times New Roman" w:eastAsia="宋体"/>
      <w:kern w:val="2"/>
      <w:sz w:val="24"/>
      <w:lang w:val="en-US" w:eastAsia="zh-CN"/>
    </w:rPr>
  </w:style>
  <w:style w:type="character" w:customStyle="1" w:styleId="41">
    <w:name w:val="font21"/>
    <w:basedOn w:val="18"/>
    <w:qFormat/>
    <w:uiPriority w:val="99"/>
    <w:rPr>
      <w:rFonts w:ascii="仿宋_GB2312" w:eastAsia="仿宋_GB2312" w:cs="仿宋_GB2312"/>
      <w:b/>
      <w:bCs/>
      <w:color w:val="000000"/>
      <w:sz w:val="28"/>
      <w:szCs w:val="28"/>
      <w:u w:val="none"/>
    </w:rPr>
  </w:style>
  <w:style w:type="character" w:customStyle="1" w:styleId="42">
    <w:name w:val="font51"/>
    <w:basedOn w:val="18"/>
    <w:qFormat/>
    <w:uiPriority w:val="99"/>
    <w:rPr>
      <w:rFonts w:ascii="方正小标宋简体" w:eastAsia="方正小标宋简体" w:cs="Times New Roman"/>
      <w:color w:val="000000"/>
      <w:sz w:val="32"/>
      <w:szCs w:val="32"/>
      <w:u w:val="none"/>
    </w:rPr>
  </w:style>
  <w:style w:type="paragraph" w:customStyle="1" w:styleId="43">
    <w:name w:val="正文首行缩进 21"/>
    <w:basedOn w:val="1"/>
    <w:qFormat/>
    <w:uiPriority w:val="99"/>
    <w:pPr>
      <w:ind w:firstLine="420" w:firstLineChars="200"/>
    </w:pPr>
    <w:rPr>
      <w:kern w:val="0"/>
      <w:sz w:val="20"/>
      <w:szCs w:val="22"/>
    </w:rPr>
  </w:style>
  <w:style w:type="character" w:customStyle="1" w:styleId="44">
    <w:name w:val="search-keywords"/>
    <w:basedOn w:val="18"/>
    <w:qFormat/>
    <w:uiPriority w:val="0"/>
    <w:rPr>
      <w:color w:val="FF0000"/>
    </w:rPr>
  </w:style>
  <w:style w:type="character" w:customStyle="1" w:styleId="45">
    <w:name w:val="c3"/>
    <w:basedOn w:val="18"/>
    <w:qFormat/>
    <w:uiPriority w:val="0"/>
  </w:style>
  <w:style w:type="character" w:customStyle="1" w:styleId="46">
    <w:name w:val="msg-box"/>
    <w:basedOn w:val="18"/>
    <w:qFormat/>
    <w:uiPriority w:val="0"/>
  </w:style>
  <w:style w:type="character" w:customStyle="1" w:styleId="47">
    <w:name w:val="c2"/>
    <w:basedOn w:val="18"/>
    <w:qFormat/>
    <w:uiPriority w:val="0"/>
  </w:style>
  <w:style w:type="character" w:customStyle="1" w:styleId="48">
    <w:name w:val="c1"/>
    <w:basedOn w:val="18"/>
    <w:qFormat/>
    <w:uiPriority w:val="0"/>
  </w:style>
  <w:style w:type="character" w:customStyle="1" w:styleId="49">
    <w:name w:val="line"/>
    <w:basedOn w:val="18"/>
    <w:qFormat/>
    <w:uiPriority w:val="0"/>
  </w:style>
  <w:style w:type="character" w:customStyle="1" w:styleId="50">
    <w:name w:val="img-title"/>
    <w:basedOn w:val="18"/>
    <w:qFormat/>
    <w:uiPriority w:val="0"/>
    <w:rPr>
      <w:vanish/>
    </w:rPr>
  </w:style>
  <w:style w:type="character" w:customStyle="1" w:styleId="51">
    <w:name w:val="datetime"/>
    <w:basedOn w:val="18"/>
    <w:qFormat/>
    <w:uiPriority w:val="0"/>
    <w:rPr>
      <w:color w:val="999999"/>
      <w:sz w:val="21"/>
      <w:szCs w:val="21"/>
    </w:rPr>
  </w:style>
  <w:style w:type="character" w:customStyle="1" w:styleId="52">
    <w:name w:val="state"/>
    <w:basedOn w:val="18"/>
    <w:qFormat/>
    <w:uiPriority w:val="0"/>
    <w:rPr>
      <w:color w:val="FFFFFF"/>
      <w:sz w:val="21"/>
      <w:szCs w:val="21"/>
      <w:shd w:val="clear" w:fill="999999"/>
    </w:rPr>
  </w:style>
  <w:style w:type="character" w:customStyle="1" w:styleId="53">
    <w:name w:val="responseno"/>
    <w:basedOn w:val="18"/>
    <w:qFormat/>
    <w:uiPriority w:val="0"/>
    <w:rPr>
      <w:shd w:val="clear" w:fill="CE0000"/>
    </w:rPr>
  </w:style>
  <w:style w:type="character" w:customStyle="1" w:styleId="54">
    <w:name w:val="time"/>
    <w:basedOn w:val="18"/>
    <w:qFormat/>
    <w:uiPriority w:val="0"/>
    <w:rPr>
      <w:color w:val="999999"/>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Sky123.Org</Company>
  <Pages>3</Pages>
  <Words>6097</Words>
  <Characters>7147</Characters>
  <Lines>0</Lines>
  <Paragraphs>0</Paragraphs>
  <TotalTime>44</TotalTime>
  <ScaleCrop>false</ScaleCrop>
  <LinksUpToDate>false</LinksUpToDate>
  <CharactersWithSpaces>7276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2016-05-13T08:21:00Z</dcterms:created>
  <dc:creator>Sky123.Org</dc:creator>
  <cp:lastModifiedBy>无常。</cp:lastModifiedBy>
  <cp:lastPrinted>2025-07-29T01:19:00Z</cp:lastPrinted>
  <dcterms:modified xsi:type="dcterms:W3CDTF">2025-09-29T08:27:39Z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D2126064040742E58ED389F435C3C1FD_13</vt:lpwstr>
  </property>
  <property fmtid="{D5CDD505-2E9C-101B-9397-08002B2CF9AE}" pid="4" name="KSOTemplateDocerSaveRecord">
    <vt:lpwstr>eyJoZGlkIjoiMjNjMDVkOTE4NWM1ODkwY2MyNjNlMjRjYTNkMTdlNWIiLCJ1c2VySWQiOiI3MDY1NTk1MTkifQ==</vt:lpwstr>
  </property>
</Properties>
</file>