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2EBD1">
      <w:pPr>
        <w:jc w:val="center"/>
        <w:rPr>
          <w:rFonts w:ascii="宋体" w:hAnsi="宋体"/>
          <w:b/>
          <w:color w:val="auto"/>
          <w:sz w:val="36"/>
          <w:szCs w:val="36"/>
        </w:rPr>
      </w:pPr>
      <w:r>
        <w:rPr>
          <w:rFonts w:hint="eastAsia" w:ascii="宋体" w:hAnsi="宋体"/>
          <w:b/>
          <w:color w:val="auto"/>
          <w:sz w:val="36"/>
          <w:szCs w:val="36"/>
        </w:rPr>
        <w:t>杜集区应急管理局2023</w:t>
      </w:r>
      <w:r>
        <w:rPr>
          <w:rFonts w:ascii="宋体" w:hAnsi="宋体"/>
          <w:b/>
          <w:color w:val="auto"/>
          <w:sz w:val="36"/>
          <w:szCs w:val="36"/>
        </w:rPr>
        <w:t>年</w:t>
      </w:r>
      <w:r>
        <w:rPr>
          <w:rFonts w:hint="eastAsia" w:ascii="宋体" w:hAnsi="宋体"/>
          <w:b/>
          <w:color w:val="auto"/>
          <w:sz w:val="36"/>
          <w:szCs w:val="36"/>
        </w:rPr>
        <w:t>度一般公共预算财政</w:t>
      </w:r>
    </w:p>
    <w:p w14:paraId="29E1999E">
      <w:pPr>
        <w:jc w:val="center"/>
        <w:rPr>
          <w:rFonts w:ascii="宋体" w:hAnsi="宋体"/>
          <w:b/>
          <w:color w:val="auto"/>
          <w:sz w:val="36"/>
          <w:szCs w:val="36"/>
        </w:rPr>
      </w:pPr>
      <w:r>
        <w:rPr>
          <w:rFonts w:hint="eastAsia" w:ascii="宋体" w:hAnsi="宋体"/>
          <w:b/>
          <w:color w:val="auto"/>
          <w:sz w:val="36"/>
          <w:szCs w:val="36"/>
        </w:rPr>
        <w:t>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支出决算情况说明</w:t>
      </w:r>
    </w:p>
    <w:p w14:paraId="19DBD158">
      <w:pPr>
        <w:jc w:val="center"/>
        <w:rPr>
          <w:rFonts w:ascii="楷体_GB2312" w:eastAsia="楷体_GB2312"/>
          <w:color w:val="auto"/>
          <w:szCs w:val="32"/>
        </w:rPr>
      </w:pPr>
    </w:p>
    <w:p w14:paraId="2CDF1574">
      <w:pPr>
        <w:adjustRightInd w:val="0"/>
        <w:snapToGrid w:val="0"/>
        <w:spacing w:line="360" w:lineRule="auto"/>
        <w:jc w:val="center"/>
        <w:rPr>
          <w:rFonts w:ascii="宋体" w:hAnsi="宋体"/>
          <w:color w:val="auto"/>
          <w:sz w:val="6"/>
          <w:szCs w:val="32"/>
        </w:rPr>
      </w:pPr>
    </w:p>
    <w:p w14:paraId="20BB950A">
      <w:pPr>
        <w:rPr>
          <w:rFonts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一、2023年度一般公共预算财政拨款“三公”经费支出决算表</w:t>
      </w:r>
    </w:p>
    <w:p w14:paraId="18B5AE9D">
      <w:pPr>
        <w:ind w:firstLine="6720" w:firstLineChars="2100"/>
        <w:rPr>
          <w:rFonts w:ascii="黑体" w:hAnsi="黑体" w:eastAsia="黑体"/>
          <w:color w:val="auto"/>
          <w:szCs w:val="32"/>
        </w:rPr>
      </w:pPr>
      <w:r>
        <w:rPr>
          <w:rFonts w:hint="eastAsia" w:ascii="仿宋_GB2312" w:hAnsi="仿宋_GB2312" w:cs="仿宋_GB2312"/>
          <w:color w:val="auto"/>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201230B">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262CDB14">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5ACE1628">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7C0B3631">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14:paraId="6BCD9D2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8784989">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vAlign w:val="center"/>
          </w:tcPr>
          <w:p w14:paraId="574FCB50">
            <w:pPr>
              <w:widowControl/>
              <w:jc w:val="center"/>
              <w:rPr>
                <w:rFonts w:ascii="宋体" w:hAnsi="宋体" w:cs="宋体"/>
                <w:b/>
                <w:bCs/>
                <w:color w:val="auto"/>
                <w:kern w:val="0"/>
                <w:szCs w:val="21"/>
              </w:rPr>
            </w:pPr>
            <w:r>
              <w:rPr>
                <w:rFonts w:hint="eastAsia" w:ascii="宋体" w:hAnsi="宋体" w:cs="宋体"/>
                <w:b/>
                <w:bCs/>
                <w:color w:val="auto"/>
                <w:kern w:val="0"/>
                <w:szCs w:val="21"/>
              </w:rPr>
              <w:t>　</w:t>
            </w:r>
          </w:p>
        </w:tc>
        <w:tc>
          <w:tcPr>
            <w:tcW w:w="2220" w:type="dxa"/>
            <w:tcBorders>
              <w:top w:val="nil"/>
              <w:left w:val="nil"/>
              <w:bottom w:val="single" w:color="auto" w:sz="4" w:space="0"/>
              <w:right w:val="single" w:color="auto" w:sz="4" w:space="0"/>
            </w:tcBorders>
            <w:vAlign w:val="center"/>
          </w:tcPr>
          <w:p w14:paraId="1C626D78">
            <w:pPr>
              <w:widowControl/>
              <w:jc w:val="center"/>
              <w:rPr>
                <w:rFonts w:ascii="宋体" w:hAnsi="宋体" w:cs="宋体"/>
                <w:b/>
                <w:bCs/>
                <w:color w:val="auto"/>
                <w:kern w:val="0"/>
                <w:szCs w:val="21"/>
              </w:rPr>
            </w:pPr>
            <w:r>
              <w:rPr>
                <w:rFonts w:hint="eastAsia" w:ascii="宋体" w:hAnsi="宋体" w:cs="宋体"/>
                <w:b/>
                <w:bCs/>
                <w:color w:val="auto"/>
                <w:kern w:val="0"/>
                <w:szCs w:val="21"/>
              </w:rPr>
              <w:t>　</w:t>
            </w:r>
          </w:p>
        </w:tc>
      </w:tr>
      <w:tr w14:paraId="79ACFDA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508781F">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vAlign w:val="bottom"/>
          </w:tcPr>
          <w:p w14:paraId="6ED69048">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vAlign w:val="bottom"/>
          </w:tcPr>
          <w:p w14:paraId="735610FA">
            <w:pPr>
              <w:widowControl/>
              <w:jc w:val="left"/>
              <w:rPr>
                <w:rFonts w:ascii="宋体" w:hAnsi="宋体" w:cs="宋体"/>
                <w:color w:val="auto"/>
                <w:kern w:val="0"/>
                <w:szCs w:val="21"/>
              </w:rPr>
            </w:pPr>
            <w:r>
              <w:rPr>
                <w:rFonts w:hint="eastAsia" w:ascii="宋体" w:hAnsi="宋体" w:cs="宋体"/>
                <w:color w:val="auto"/>
                <w:kern w:val="0"/>
                <w:szCs w:val="21"/>
              </w:rPr>
              <w:t>　</w:t>
            </w:r>
          </w:p>
        </w:tc>
      </w:tr>
      <w:tr w14:paraId="44C9E88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CBC919E">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vAlign w:val="bottom"/>
          </w:tcPr>
          <w:p w14:paraId="599C31B4">
            <w:pPr>
              <w:widowControl/>
              <w:jc w:val="left"/>
              <w:rPr>
                <w:rFonts w:ascii="宋体" w:hAnsi="宋体" w:cs="宋体"/>
                <w:color w:val="auto"/>
                <w:kern w:val="0"/>
                <w:szCs w:val="21"/>
              </w:rPr>
            </w:pPr>
            <w:r>
              <w:rPr>
                <w:rFonts w:hint="eastAsia" w:ascii="宋体" w:hAnsi="宋体" w:cs="宋体"/>
                <w:color w:val="auto"/>
                <w:kern w:val="0"/>
                <w:szCs w:val="21"/>
              </w:rPr>
              <w:t>　0.20</w:t>
            </w:r>
          </w:p>
        </w:tc>
        <w:tc>
          <w:tcPr>
            <w:tcW w:w="2220" w:type="dxa"/>
            <w:tcBorders>
              <w:top w:val="nil"/>
              <w:left w:val="nil"/>
              <w:bottom w:val="single" w:color="auto" w:sz="4" w:space="0"/>
              <w:right w:val="single" w:color="auto" w:sz="4" w:space="0"/>
            </w:tcBorders>
            <w:vAlign w:val="bottom"/>
          </w:tcPr>
          <w:p w14:paraId="5F9982D1">
            <w:pPr>
              <w:widowControl/>
              <w:jc w:val="left"/>
              <w:rPr>
                <w:rFonts w:ascii="宋体" w:hAnsi="宋体" w:cs="宋体"/>
                <w:color w:val="auto"/>
                <w:kern w:val="0"/>
                <w:szCs w:val="21"/>
              </w:rPr>
            </w:pPr>
            <w:r>
              <w:rPr>
                <w:rFonts w:hint="eastAsia" w:ascii="宋体" w:hAnsi="宋体" w:cs="宋体"/>
                <w:color w:val="auto"/>
                <w:kern w:val="0"/>
                <w:szCs w:val="21"/>
              </w:rPr>
              <w:t>　0.218</w:t>
            </w:r>
          </w:p>
        </w:tc>
      </w:tr>
      <w:tr w14:paraId="240E61A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9E5958F">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0B64AC0">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vAlign w:val="bottom"/>
          </w:tcPr>
          <w:p w14:paraId="1681FE04">
            <w:pPr>
              <w:widowControl/>
              <w:jc w:val="left"/>
              <w:rPr>
                <w:rFonts w:ascii="宋体" w:hAnsi="宋体" w:cs="宋体"/>
                <w:color w:val="auto"/>
                <w:kern w:val="0"/>
                <w:szCs w:val="21"/>
              </w:rPr>
            </w:pPr>
            <w:r>
              <w:rPr>
                <w:rFonts w:hint="eastAsia" w:ascii="宋体" w:hAnsi="宋体" w:cs="宋体"/>
                <w:color w:val="auto"/>
                <w:kern w:val="0"/>
                <w:szCs w:val="21"/>
              </w:rPr>
              <w:t>　</w:t>
            </w:r>
          </w:p>
        </w:tc>
      </w:tr>
      <w:tr w14:paraId="384EAB3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3097A3C">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2FC55563">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vAlign w:val="bottom"/>
          </w:tcPr>
          <w:p w14:paraId="60660386">
            <w:pPr>
              <w:widowControl/>
              <w:jc w:val="left"/>
              <w:rPr>
                <w:rFonts w:ascii="宋体" w:hAnsi="宋体" w:cs="宋体"/>
                <w:color w:val="auto"/>
                <w:kern w:val="0"/>
                <w:szCs w:val="21"/>
              </w:rPr>
            </w:pPr>
            <w:r>
              <w:rPr>
                <w:rFonts w:hint="eastAsia" w:ascii="宋体" w:hAnsi="宋体" w:cs="宋体"/>
                <w:color w:val="auto"/>
                <w:kern w:val="0"/>
                <w:szCs w:val="21"/>
              </w:rPr>
              <w:t>　</w:t>
            </w:r>
          </w:p>
        </w:tc>
      </w:tr>
      <w:tr w14:paraId="0F1B685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C3C63E3">
            <w:pPr>
              <w:widowControl/>
              <w:jc w:val="left"/>
              <w:rPr>
                <w:rFonts w:ascii="宋体" w:hAnsi="宋体" w:cs="宋体"/>
                <w:color w:val="auto"/>
                <w:kern w:val="0"/>
                <w:szCs w:val="21"/>
              </w:rPr>
            </w:pPr>
            <w:r>
              <w:rPr>
                <w:rFonts w:hint="eastAsia" w:ascii="宋体" w:hAnsi="宋体" w:cs="宋体"/>
                <w:color w:val="auto"/>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0A482E0">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vAlign w:val="bottom"/>
          </w:tcPr>
          <w:p w14:paraId="07CD6B60">
            <w:pPr>
              <w:widowControl/>
              <w:jc w:val="left"/>
              <w:rPr>
                <w:rFonts w:ascii="宋体" w:hAnsi="宋体" w:cs="宋体"/>
                <w:color w:val="auto"/>
                <w:kern w:val="0"/>
                <w:szCs w:val="21"/>
              </w:rPr>
            </w:pPr>
            <w:r>
              <w:rPr>
                <w:rFonts w:hint="eastAsia" w:ascii="宋体" w:hAnsi="宋体" w:cs="宋体"/>
                <w:color w:val="auto"/>
                <w:kern w:val="0"/>
                <w:szCs w:val="21"/>
              </w:rPr>
              <w:t>　</w:t>
            </w:r>
          </w:p>
        </w:tc>
      </w:tr>
    </w:tbl>
    <w:p w14:paraId="1A2B2D6C">
      <w:pPr>
        <w:ind w:firstLine="420" w:firstLineChars="200"/>
        <w:rPr>
          <w:rFonts w:ascii="仿宋_GB2312" w:hAnsi="仿宋"/>
          <w:color w:val="auto"/>
          <w:sz w:val="21"/>
          <w:szCs w:val="21"/>
        </w:rPr>
      </w:pPr>
    </w:p>
    <w:p w14:paraId="64DBC143">
      <w:pPr>
        <w:ind w:firstLine="420" w:firstLineChars="200"/>
        <w:rPr>
          <w:rFonts w:ascii="黑体" w:hAnsi="黑体" w:eastAsia="黑体"/>
          <w:color w:val="auto"/>
          <w:szCs w:val="32"/>
        </w:rPr>
      </w:pPr>
      <w:r>
        <w:rPr>
          <w:rFonts w:hint="eastAsia" w:ascii="仿宋_GB2312" w:hAnsi="仿宋"/>
          <w:color w:val="auto"/>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黑体" w:hAnsi="黑体" w:eastAsia="黑体"/>
          <w:color w:val="auto"/>
          <w:szCs w:val="32"/>
        </w:rPr>
        <w:t xml:space="preserve"> </w:t>
      </w:r>
    </w:p>
    <w:p w14:paraId="512C03BC">
      <w:pPr>
        <w:ind w:firstLine="640" w:firstLineChars="200"/>
        <w:rPr>
          <w:rFonts w:ascii="黑体" w:hAnsi="黑体" w:eastAsia="黑体"/>
          <w:color w:val="auto"/>
          <w:szCs w:val="32"/>
        </w:rPr>
      </w:pPr>
      <w:r>
        <w:rPr>
          <w:rFonts w:hint="eastAsia" w:ascii="黑体" w:hAnsi="黑体" w:eastAsia="黑体"/>
          <w:color w:val="auto"/>
          <w:szCs w:val="32"/>
        </w:rPr>
        <w:t xml:space="preserve">                                     </w:t>
      </w:r>
    </w:p>
    <w:p w14:paraId="0DF2D0C5">
      <w:pPr>
        <w:rPr>
          <w:rFonts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rPr>
        <w:t>2023</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46257B69">
      <w:pPr>
        <w:ind w:firstLine="643" w:firstLineChars="200"/>
        <w:rPr>
          <w:rFonts w:ascii="仿宋_GB2312" w:hAnsi="仿宋"/>
          <w:b/>
          <w:color w:val="auto"/>
          <w:szCs w:val="32"/>
        </w:rPr>
      </w:pPr>
      <w:r>
        <w:rPr>
          <w:rFonts w:hint="eastAsia" w:ascii="仿宋_GB2312" w:hAnsi="仿宋"/>
          <w:b/>
          <w:color w:val="auto"/>
          <w:szCs w:val="32"/>
        </w:rPr>
        <w:t>（一）一般公共预算财政拨款“三公”经费支出决算总体情况说明。</w:t>
      </w:r>
    </w:p>
    <w:p w14:paraId="3B0B074C">
      <w:pPr>
        <w:ind w:firstLine="640" w:firstLineChars="200"/>
        <w:rPr>
          <w:rFonts w:ascii="楷体_GB2312" w:hAnsi="仿宋" w:eastAsia="楷体_GB2312"/>
          <w:color w:val="auto"/>
          <w:szCs w:val="32"/>
        </w:rPr>
      </w:pPr>
      <w:r>
        <w:rPr>
          <w:rFonts w:hint="eastAsia" w:ascii="仿宋_GB2312" w:hAnsi="仿宋"/>
          <w:color w:val="auto"/>
          <w:szCs w:val="32"/>
        </w:rPr>
        <w:t>杜集区应急管理局2023年度一般公共预算财政拨款“三公”经费支出预算为0.20万元，支出决算为0.218万元，完成预算的109%，较上年增加0.018万元，增长1.8%。决算数大于预算数的</w:t>
      </w:r>
      <w:r>
        <w:rPr>
          <w:rFonts w:hint="eastAsia" w:ascii="仿宋_GB2312" w:hAnsi="仿宋"/>
          <w:color w:val="auto"/>
          <w:szCs w:val="32"/>
        </w:rPr>
        <w:t>主要原因是：接待人数增加</w:t>
      </w:r>
      <w:r>
        <w:rPr>
          <w:rFonts w:hint="eastAsia" w:ascii="仿宋_GB2312" w:hAnsi="仿宋"/>
          <w:color w:val="auto"/>
          <w:szCs w:val="32"/>
        </w:rPr>
        <w:t>。决算数较上年增加的</w:t>
      </w:r>
      <w:r>
        <w:rPr>
          <w:rFonts w:hint="eastAsia" w:ascii="仿宋_GB2312" w:hAnsi="仿宋"/>
          <w:color w:val="auto"/>
          <w:szCs w:val="32"/>
        </w:rPr>
        <w:t>主要原因是：接待人数增加</w:t>
      </w:r>
      <w:r>
        <w:rPr>
          <w:rFonts w:hint="eastAsia" w:ascii="仿宋_GB2312" w:hAnsi="仿宋"/>
          <w:color w:val="auto"/>
          <w:szCs w:val="32"/>
        </w:rPr>
        <w:t>。</w:t>
      </w:r>
      <w:r>
        <w:rPr>
          <w:rFonts w:hint="eastAsia" w:ascii="仿宋_GB2312" w:hAnsi="仿宋"/>
          <w:b/>
          <w:bCs/>
          <w:color w:val="auto"/>
          <w:szCs w:val="32"/>
        </w:rPr>
        <w:t>为全面反映“三公”经费支出，本次公布的“三公”经费决算为部门汇总数，包含单位本级和所属单位。</w:t>
      </w:r>
    </w:p>
    <w:p w14:paraId="55FCE273">
      <w:pPr>
        <w:ind w:firstLine="643" w:firstLineChars="200"/>
        <w:rPr>
          <w:rFonts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683C6F9B">
      <w:pPr>
        <w:ind w:firstLine="640" w:firstLineChars="200"/>
        <w:rPr>
          <w:rFonts w:ascii="仿宋_GB2312" w:hAnsi="仿宋"/>
          <w:color w:val="auto"/>
          <w:szCs w:val="32"/>
        </w:rPr>
      </w:pPr>
      <w:r>
        <w:rPr>
          <w:rFonts w:hint="eastAsia" w:ascii="仿宋_GB2312" w:hAnsi="仿宋"/>
          <w:color w:val="auto"/>
          <w:szCs w:val="32"/>
        </w:rPr>
        <w:t>杜集区应急管理局2023年度一般公共预算财政拨款“三公”经费支出决算中，因公出国（境）费支出决算0万元，占0%;公务接待费支出决算0.218万元，占100%；公务用车购置及运行维护费支出决算0万元，占0%。具体情况如下：</w:t>
      </w:r>
    </w:p>
    <w:p w14:paraId="081D647B">
      <w:pPr>
        <w:ind w:firstLine="628"/>
        <w:rPr>
          <w:rFonts w:ascii="仿宋_GB2312" w:hAnsi="仿宋"/>
          <w:color w:val="auto"/>
          <w:szCs w:val="32"/>
        </w:rPr>
      </w:pPr>
      <w:r>
        <w:rPr>
          <w:rFonts w:hint="eastAsia" w:ascii="仿宋_GB2312" w:hAnsi="仿宋"/>
          <w:b/>
          <w:bCs/>
          <w:color w:val="auto"/>
          <w:szCs w:val="32"/>
        </w:rPr>
        <w:t>1.因公出国（境）费支出</w:t>
      </w:r>
      <w:r>
        <w:rPr>
          <w:rFonts w:hint="eastAsia" w:ascii="仿宋_GB2312" w:hAnsi="仿宋"/>
          <w:color w:val="auto"/>
          <w:szCs w:val="32"/>
        </w:rPr>
        <w:t>0预算为0万元，支出决算为0万元，完成预算的0%；2022“与2023年度预算相比无变化”。2023年杜集区应急管理局因公出国（境）团组0次，累计出国（境）0人次。该项经费根据市外办批准的因公临时出国（境）计划。</w:t>
      </w:r>
    </w:p>
    <w:p w14:paraId="2DA0E392">
      <w:pPr>
        <w:ind w:firstLine="628"/>
        <w:rPr>
          <w:rFonts w:ascii="仿宋_GB2312" w:hAnsi="仿宋"/>
          <w:color w:val="auto"/>
          <w:szCs w:val="32"/>
        </w:rPr>
      </w:pPr>
      <w:r>
        <w:rPr>
          <w:rFonts w:hint="eastAsia" w:ascii="仿宋_GB2312" w:hAnsi="仿宋"/>
          <w:b/>
          <w:bCs/>
          <w:color w:val="auto"/>
          <w:szCs w:val="32"/>
        </w:rPr>
        <w:t>2.公务接待费支出</w:t>
      </w:r>
      <w:r>
        <w:rPr>
          <w:rFonts w:hint="eastAsia" w:ascii="仿宋_GB2312" w:hAnsi="仿宋"/>
          <w:color w:val="auto"/>
          <w:szCs w:val="32"/>
        </w:rPr>
        <w:t>预算为0.20万元，支出决算为0.218万元，完成预算的109%；较上年增加0.018万元，增长1.8%。</w:t>
      </w:r>
      <w:r>
        <w:rPr>
          <w:rFonts w:hint="eastAsia" w:ascii="仿宋_GB2312" w:hAnsi="仿宋"/>
          <w:color w:val="auto"/>
          <w:szCs w:val="32"/>
        </w:rPr>
        <w:t>决算数大于预算数的主要原因是接待人数增加</w:t>
      </w:r>
      <w:r>
        <w:rPr>
          <w:rFonts w:hint="eastAsia" w:ascii="仿宋_GB2312" w:hAnsi="仿宋"/>
          <w:color w:val="auto"/>
          <w:szCs w:val="32"/>
        </w:rPr>
        <w:t>。</w:t>
      </w:r>
      <w:r>
        <w:rPr>
          <w:rFonts w:hint="eastAsia" w:ascii="仿宋_GB2312" w:hAnsi="仿宋"/>
          <w:color w:val="auto"/>
          <w:szCs w:val="32"/>
        </w:rPr>
        <w:t>决算数较上年增加的主要原因是接待人数增加。</w:t>
      </w:r>
      <w:r>
        <w:rPr>
          <w:rFonts w:hint="eastAsia" w:ascii="仿宋_GB2312" w:hAnsi="仿宋"/>
          <w:color w:val="auto"/>
          <w:szCs w:val="32"/>
        </w:rPr>
        <w:t>2023年杜集区应急管理局国内公务接待共0批次（其中外事接待0批次），0人次（其中外事接待0人次）。经费使用贯彻</w:t>
      </w:r>
      <w:r>
        <w:rPr>
          <w:rFonts w:hint="eastAsia" w:ascii="仿宋_GB2312" w:hAnsi="仿宋"/>
          <w:color w:val="auto"/>
          <w:szCs w:val="32"/>
          <w:lang w:val="en-US" w:eastAsia="zh-CN"/>
        </w:rPr>
        <w:t>落实</w:t>
      </w:r>
      <w:r>
        <w:rPr>
          <w:rFonts w:hint="eastAsia" w:ascii="仿宋_GB2312" w:hAnsi="仿宋"/>
          <w:color w:val="auto"/>
          <w:szCs w:val="32"/>
        </w:rPr>
        <w:t>中央八项规定</w:t>
      </w:r>
      <w:r>
        <w:rPr>
          <w:rFonts w:hint="eastAsia" w:ascii="仿宋_GB2312" w:hAnsi="仿宋"/>
          <w:color w:val="auto"/>
          <w:szCs w:val="32"/>
          <w:lang w:val="en-US" w:eastAsia="zh-CN"/>
        </w:rPr>
        <w:t>精神</w:t>
      </w:r>
      <w:bookmarkStart w:id="0" w:name="_GoBack"/>
      <w:bookmarkEnd w:id="0"/>
      <w:r>
        <w:rPr>
          <w:rFonts w:hint="eastAsia" w:ascii="仿宋_GB2312" w:hAnsi="仿宋"/>
          <w:color w:val="auto"/>
          <w:szCs w:val="32"/>
        </w:rPr>
        <w:t>，严格执行《党政机关厉行节约反对浪费条例》、杜集区公务接待相关规定等。</w:t>
      </w:r>
    </w:p>
    <w:p w14:paraId="0233754D">
      <w:pPr>
        <w:ind w:firstLine="643" w:firstLineChars="200"/>
        <w:rPr>
          <w:rFonts w:ascii="仿宋_GB2312" w:hAnsi="仿宋"/>
          <w:color w:val="auto"/>
          <w:szCs w:val="32"/>
        </w:rPr>
      </w:pPr>
      <w:r>
        <w:rPr>
          <w:rFonts w:hint="eastAsia" w:ascii="仿宋_GB2312" w:hAnsi="仿宋"/>
          <w:b/>
          <w:bCs/>
          <w:color w:val="auto"/>
          <w:szCs w:val="32"/>
        </w:rPr>
        <w:t>3.公务用车购置及运行维护费支出</w:t>
      </w:r>
      <w:r>
        <w:rPr>
          <w:rFonts w:hint="eastAsia" w:ascii="仿宋_GB2312" w:hAnsi="仿宋"/>
          <w:color w:val="auto"/>
          <w:szCs w:val="32"/>
        </w:rPr>
        <w:t>预算为0万元，支出决算为 0万元，其中，公务用车购置费预算为0万元，支出决算为0万元，完成预算的0%；完成预算的0%；2022“与2023年度预算相比无变化”。 2023年购置公务用车0辆。</w:t>
      </w:r>
      <w:r>
        <w:rPr>
          <w:rFonts w:hint="eastAsia" w:ascii="楷体_GB2312" w:hAnsi="楷体_GB2312" w:eastAsia="楷体_GB2312" w:cs="楷体_GB2312"/>
          <w:color w:val="auto"/>
          <w:szCs w:val="32"/>
        </w:rPr>
        <w:t>2023年没有安排公务用车购置费</w:t>
      </w:r>
      <w:r>
        <w:rPr>
          <w:rFonts w:hint="eastAsia" w:ascii="楷体_GB2312" w:hAnsi="仿宋" w:eastAsia="楷体_GB2312"/>
          <w:color w:val="auto"/>
          <w:szCs w:val="32"/>
        </w:rPr>
        <w:t>。</w:t>
      </w:r>
      <w:r>
        <w:rPr>
          <w:rFonts w:hint="eastAsia" w:ascii="仿宋_GB2312" w:hAnsi="仿宋"/>
          <w:color w:val="auto"/>
          <w:szCs w:val="32"/>
        </w:rPr>
        <w:t>截至2023年12月31日，杜集区应急管理局开支财政拨款的公务用车保有量为0辆。</w:t>
      </w:r>
    </w:p>
    <w:p w14:paraId="0FD67D01">
      <w:pPr>
        <w:rPr>
          <w:color w:val="auto"/>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MDVkOTE4NWM1ODkwY2MyNjNlMjRjYTNkMTdlNWIifQ=="/>
  </w:docVars>
  <w:rsids>
    <w:rsidRoot w:val="00D303BC"/>
    <w:rsid w:val="00043004"/>
    <w:rsid w:val="0021523B"/>
    <w:rsid w:val="002B2D9A"/>
    <w:rsid w:val="002F6DE8"/>
    <w:rsid w:val="00326726"/>
    <w:rsid w:val="003547B8"/>
    <w:rsid w:val="003671B4"/>
    <w:rsid w:val="003A0E07"/>
    <w:rsid w:val="003B6E2C"/>
    <w:rsid w:val="00497C22"/>
    <w:rsid w:val="004D6484"/>
    <w:rsid w:val="005A0496"/>
    <w:rsid w:val="00613D73"/>
    <w:rsid w:val="00656EC6"/>
    <w:rsid w:val="006B3BF0"/>
    <w:rsid w:val="007719A9"/>
    <w:rsid w:val="008A3C6F"/>
    <w:rsid w:val="009770F9"/>
    <w:rsid w:val="0099566E"/>
    <w:rsid w:val="009D2B9A"/>
    <w:rsid w:val="00A00C09"/>
    <w:rsid w:val="00A92496"/>
    <w:rsid w:val="00AB0278"/>
    <w:rsid w:val="00B14CD1"/>
    <w:rsid w:val="00B2159B"/>
    <w:rsid w:val="00B72524"/>
    <w:rsid w:val="00C828C4"/>
    <w:rsid w:val="00CE25D9"/>
    <w:rsid w:val="00CF5077"/>
    <w:rsid w:val="00D2629D"/>
    <w:rsid w:val="00D27CB0"/>
    <w:rsid w:val="00D303BC"/>
    <w:rsid w:val="00D40EA9"/>
    <w:rsid w:val="00D9784E"/>
    <w:rsid w:val="00DB321D"/>
    <w:rsid w:val="00E02B6D"/>
    <w:rsid w:val="00F50738"/>
    <w:rsid w:val="00FC29F2"/>
    <w:rsid w:val="07D04D14"/>
    <w:rsid w:val="0CE6070D"/>
    <w:rsid w:val="15075D4E"/>
    <w:rsid w:val="18242EF9"/>
    <w:rsid w:val="288C452A"/>
    <w:rsid w:val="4D2D318C"/>
    <w:rsid w:val="7071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998</Words>
  <Characters>1099</Characters>
  <Lines>8</Lines>
  <Paragraphs>2</Paragraphs>
  <TotalTime>86</TotalTime>
  <ScaleCrop>false</ScaleCrop>
  <LinksUpToDate>false</LinksUpToDate>
  <CharactersWithSpaces>1179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微信用户</cp:lastModifiedBy>
  <cp:lastPrinted>2020-09-14T08:17:00Z</cp:lastPrinted>
  <dcterms:modified xsi:type="dcterms:W3CDTF">2025-08-15T08:48:21Z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B2A750680C374CAE94892F5444DC1DCF_13</vt:lpwstr>
  </property>
  <property fmtid="{D5CDD505-2E9C-101B-9397-08002B2CF9AE}" pid="4" name="KSOTemplateDocerSaveRecord">
    <vt:lpwstr>eyJoZGlkIjoiYWU0MTc0ZTAyYjk5NzQwYTQzZjExYWJhNWQ2NmRlYzkiLCJ1c2VySWQiOiIxMjk2NTYyNjA0In0=</vt:lpwstr>
  </property>
</Properties>
</file>