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457FF3">
      <w:pPr>
        <w:rPr>
          <w:rFonts w:ascii="仿宋_GB2312" w:hAnsi="仿宋_GB2312" w:eastAsia="仿宋_GB2312" w:cs="仿宋_GB2312"/>
          <w:sz w:val="36"/>
          <w:szCs w:val="36"/>
        </w:rPr>
      </w:pPr>
    </w:p>
    <w:p w14:paraId="4ADF22C3">
      <w:pPr>
        <w:rPr>
          <w:rFonts w:ascii="仿宋_GB2312" w:hAnsi="仿宋_GB2312" w:eastAsia="仿宋_GB2312" w:cs="仿宋_GB2312"/>
          <w:sz w:val="36"/>
          <w:szCs w:val="36"/>
        </w:rPr>
      </w:pPr>
    </w:p>
    <w:p w14:paraId="0B93F137">
      <w:pPr>
        <w:rPr>
          <w:rFonts w:ascii="仿宋_GB2312" w:hAnsi="仿宋_GB2312" w:eastAsia="仿宋_GB2312" w:cs="仿宋_GB2312"/>
          <w:sz w:val="36"/>
          <w:szCs w:val="36"/>
        </w:rPr>
      </w:pPr>
    </w:p>
    <w:p w14:paraId="65C1DE0B">
      <w:pPr>
        <w:rPr>
          <w:rFonts w:ascii="仿宋_GB2312" w:hAnsi="仿宋_GB2312" w:eastAsia="仿宋_GB2312" w:cs="仿宋_GB2312"/>
          <w:sz w:val="36"/>
          <w:szCs w:val="36"/>
        </w:rPr>
      </w:pPr>
    </w:p>
    <w:p w14:paraId="622AEF9C">
      <w:pPr>
        <w:adjustRightInd w:val="0"/>
        <w:snapToGrid w:val="0"/>
        <w:jc w:val="center"/>
        <w:outlineLvl w:val="0"/>
        <w:rPr>
          <w:rFonts w:ascii="方正小标宋_GBK" w:eastAsia="方正小标宋_GBK"/>
          <w:bCs/>
          <w:sz w:val="72"/>
          <w:szCs w:val="72"/>
        </w:rPr>
      </w:pPr>
      <w:r>
        <w:rPr>
          <w:rFonts w:hint="eastAsia" w:ascii="方正小标宋_GBK" w:eastAsia="方正小标宋_GBK"/>
          <w:bCs/>
          <w:sz w:val="72"/>
          <w:szCs w:val="72"/>
        </w:rPr>
        <w:t>建设项目环境影响报告表</w:t>
      </w:r>
    </w:p>
    <w:p w14:paraId="73DD9E44">
      <w:pPr>
        <w:adjustRightInd w:val="0"/>
        <w:snapToGrid w:val="0"/>
        <w:spacing w:before="192" w:beforeLines="80"/>
        <w:jc w:val="center"/>
        <w:rPr>
          <w:rFonts w:ascii="楷体_GB2312" w:eastAsia="楷体_GB2312"/>
          <w:bCs/>
          <w:sz w:val="48"/>
          <w:szCs w:val="48"/>
        </w:rPr>
      </w:pPr>
      <w:r>
        <w:rPr>
          <w:rFonts w:hint="eastAsia" w:ascii="楷体_GB2312" w:eastAsia="楷体_GB2312"/>
          <w:bCs/>
          <w:sz w:val="48"/>
          <w:szCs w:val="48"/>
        </w:rPr>
        <w:t>（污染影响类）</w:t>
      </w:r>
    </w:p>
    <w:p w14:paraId="29510990">
      <w:pPr>
        <w:adjustRightInd w:val="0"/>
        <w:snapToGrid w:val="0"/>
        <w:spacing w:line="288" w:lineRule="auto"/>
        <w:jc w:val="center"/>
        <w:rPr>
          <w:rFonts w:ascii="华文仿宋" w:hAnsi="华文仿宋" w:eastAsia="华文仿宋" w:cs="华文仿宋"/>
          <w:kern w:val="44"/>
          <w:sz w:val="44"/>
          <w:szCs w:val="44"/>
        </w:rPr>
      </w:pPr>
    </w:p>
    <w:p w14:paraId="37A18D61">
      <w:pPr>
        <w:jc w:val="center"/>
        <w:rPr>
          <w:rFonts w:eastAsia="仿宋"/>
          <w:sz w:val="52"/>
          <w:szCs w:val="52"/>
        </w:rPr>
      </w:pPr>
    </w:p>
    <w:p w14:paraId="68AA4166">
      <w:pPr>
        <w:ind w:firstLine="1040"/>
        <w:rPr>
          <w:rFonts w:eastAsia="仿宋"/>
          <w:sz w:val="44"/>
          <w:szCs w:val="44"/>
        </w:rPr>
      </w:pPr>
    </w:p>
    <w:p w14:paraId="51A51A9B">
      <w:pPr>
        <w:ind w:firstLine="1040"/>
        <w:rPr>
          <w:rFonts w:eastAsia="仿宋"/>
          <w:sz w:val="44"/>
          <w:szCs w:val="44"/>
        </w:rPr>
      </w:pPr>
    </w:p>
    <w:p w14:paraId="0099C151">
      <w:pPr>
        <w:ind w:firstLine="1040"/>
        <w:rPr>
          <w:rFonts w:eastAsia="仿宋"/>
          <w:sz w:val="44"/>
          <w:szCs w:val="44"/>
        </w:rPr>
      </w:pPr>
    </w:p>
    <w:p w14:paraId="3557A984">
      <w:pPr>
        <w:ind w:firstLine="1040"/>
        <w:rPr>
          <w:rFonts w:eastAsia="仿宋"/>
          <w:sz w:val="44"/>
          <w:szCs w:val="44"/>
        </w:rPr>
      </w:pPr>
    </w:p>
    <w:p w14:paraId="773B46CF">
      <w:pPr>
        <w:adjustRightInd w:val="0"/>
        <w:snapToGrid w:val="0"/>
        <w:spacing w:line="288" w:lineRule="auto"/>
        <w:ind w:firstLine="360" w:firstLineChars="100"/>
        <w:jc w:val="left"/>
        <w:rPr>
          <w:rFonts w:hint="default" w:eastAsia="仿宋_GB2312"/>
          <w:sz w:val="36"/>
          <w:szCs w:val="36"/>
          <w:u w:val="single"/>
          <w:lang w:val="en-US" w:eastAsia="zh-CN"/>
        </w:rPr>
      </w:pPr>
      <w:r>
        <w:rPr>
          <w:rFonts w:eastAsia="仿宋_GB2312"/>
          <w:sz w:val="36"/>
          <w:szCs w:val="36"/>
        </w:rPr>
        <w:t>项目名称：</w:t>
      </w:r>
      <w:r>
        <w:rPr>
          <w:rFonts w:hint="eastAsia" w:eastAsia="仿宋_GB2312"/>
          <w:sz w:val="36"/>
          <w:szCs w:val="36"/>
          <w:u w:val="single"/>
          <w:lang w:val="en-US" w:eastAsia="zh-CN"/>
        </w:rPr>
        <w:t xml:space="preserve">    </w:t>
      </w:r>
      <w:r>
        <w:rPr>
          <w:rFonts w:hint="eastAsia" w:eastAsia="仿宋_GB2312"/>
          <w:sz w:val="36"/>
          <w:szCs w:val="36"/>
          <w:u w:val="single"/>
          <w:lang w:eastAsia="zh-CN"/>
        </w:rPr>
        <w:t>火电厂智能燃烧稳燃设备建设项目</w:t>
      </w:r>
      <w:r>
        <w:rPr>
          <w:rFonts w:hint="eastAsia" w:eastAsia="仿宋_GB2312"/>
          <w:sz w:val="36"/>
          <w:szCs w:val="36"/>
          <w:u w:val="single"/>
          <w:lang w:val="en-US" w:eastAsia="zh-CN"/>
        </w:rPr>
        <w:t xml:space="preserve">    </w:t>
      </w:r>
    </w:p>
    <w:p w14:paraId="3FE64A97">
      <w:pPr>
        <w:adjustRightInd w:val="0"/>
        <w:snapToGrid w:val="0"/>
        <w:spacing w:line="288" w:lineRule="auto"/>
        <w:ind w:firstLine="360" w:firstLineChars="100"/>
        <w:rPr>
          <w:rFonts w:eastAsia="仿宋_GB2312"/>
          <w:sz w:val="36"/>
          <w:szCs w:val="36"/>
          <w:u w:val="single"/>
        </w:rPr>
      </w:pPr>
      <w:r>
        <w:rPr>
          <w:rFonts w:eastAsia="仿宋_GB2312"/>
          <w:sz w:val="36"/>
          <w:szCs w:val="36"/>
        </w:rPr>
        <w:t>建设单位：</w:t>
      </w:r>
      <w:r>
        <w:rPr>
          <w:rFonts w:hint="eastAsia" w:eastAsia="仿宋_GB2312"/>
          <w:sz w:val="36"/>
          <w:szCs w:val="36"/>
          <w:u w:val="single"/>
        </w:rPr>
        <w:t xml:space="preserve">       </w:t>
      </w:r>
      <w:r>
        <w:rPr>
          <w:rFonts w:hint="eastAsia" w:eastAsia="仿宋_GB2312"/>
          <w:sz w:val="36"/>
          <w:szCs w:val="36"/>
          <w:u w:val="single"/>
          <w:lang w:eastAsia="zh-CN"/>
        </w:rPr>
        <w:t>安徽燃迅电力科技有限公司</w:t>
      </w:r>
      <w:r>
        <w:rPr>
          <w:rFonts w:hint="eastAsia" w:eastAsia="仿宋_GB2312"/>
          <w:sz w:val="36"/>
          <w:szCs w:val="36"/>
          <w:u w:val="single"/>
        </w:rPr>
        <w:t xml:space="preserve">      </w:t>
      </w:r>
      <w:r>
        <w:rPr>
          <w:rFonts w:hint="eastAsia" w:eastAsia="仿宋"/>
          <w:sz w:val="36"/>
          <w:szCs w:val="36"/>
          <w:u w:val="single"/>
        </w:rPr>
        <w:t xml:space="preserve"> </w:t>
      </w:r>
    </w:p>
    <w:p w14:paraId="7BBEF1FC">
      <w:pPr>
        <w:adjustRightInd w:val="0"/>
        <w:snapToGrid w:val="0"/>
        <w:spacing w:line="288" w:lineRule="auto"/>
        <w:ind w:firstLine="360" w:firstLineChars="100"/>
        <w:rPr>
          <w:rFonts w:ascii="仿宋_GB2312" w:eastAsia="仿宋_GB2312"/>
          <w:sz w:val="36"/>
          <w:szCs w:val="36"/>
          <w:u w:val="single"/>
        </w:rPr>
      </w:pPr>
      <w:r>
        <w:rPr>
          <w:rFonts w:eastAsia="仿宋_GB2312"/>
          <w:sz w:val="36"/>
          <w:szCs w:val="36"/>
        </w:rPr>
        <w:t>编制日期：</w:t>
      </w:r>
      <w:r>
        <w:rPr>
          <w:rFonts w:eastAsia="仿宋_GB2312"/>
          <w:sz w:val="36"/>
          <w:szCs w:val="36"/>
          <w:u w:val="single"/>
        </w:rPr>
        <w:t xml:space="preserve">       </w:t>
      </w:r>
      <w:r>
        <w:rPr>
          <w:rFonts w:hint="eastAsia" w:eastAsia="仿宋_GB2312"/>
          <w:sz w:val="36"/>
          <w:szCs w:val="36"/>
          <w:u w:val="single"/>
          <w:lang w:val="en-US" w:eastAsia="zh-CN"/>
        </w:rPr>
        <w:t xml:space="preserve">    </w:t>
      </w:r>
      <w:r>
        <w:rPr>
          <w:rFonts w:eastAsia="仿宋_GB2312"/>
          <w:sz w:val="36"/>
          <w:szCs w:val="36"/>
          <w:u w:val="single"/>
        </w:rPr>
        <w:t xml:space="preserve">   202</w:t>
      </w:r>
      <w:r>
        <w:rPr>
          <w:rFonts w:hint="eastAsia" w:eastAsia="仿宋_GB2312"/>
          <w:sz w:val="36"/>
          <w:szCs w:val="36"/>
          <w:u w:val="single"/>
          <w:lang w:val="en-US" w:eastAsia="zh-CN"/>
        </w:rPr>
        <w:t>5</w:t>
      </w:r>
      <w:r>
        <w:rPr>
          <w:rFonts w:eastAsia="仿宋_GB2312"/>
          <w:sz w:val="36"/>
          <w:szCs w:val="36"/>
          <w:u w:val="single"/>
        </w:rPr>
        <w:t>年</w:t>
      </w:r>
      <w:r>
        <w:rPr>
          <w:rFonts w:hint="eastAsia" w:eastAsia="仿宋_GB2312"/>
          <w:sz w:val="36"/>
          <w:szCs w:val="36"/>
          <w:u w:val="single"/>
          <w:lang w:val="en-US" w:eastAsia="zh-CN"/>
        </w:rPr>
        <w:t>8</w:t>
      </w:r>
      <w:r>
        <w:rPr>
          <w:rFonts w:eastAsia="仿宋_GB2312"/>
          <w:sz w:val="36"/>
          <w:szCs w:val="36"/>
          <w:u w:val="single"/>
        </w:rPr>
        <w:t xml:space="preserve">月   </w:t>
      </w:r>
      <w:r>
        <w:rPr>
          <w:rFonts w:ascii="仿宋_GB2312" w:eastAsia="仿宋_GB2312"/>
          <w:sz w:val="36"/>
          <w:szCs w:val="36"/>
          <w:u w:val="single"/>
        </w:rPr>
        <w:t xml:space="preserve">  </w:t>
      </w:r>
      <w:r>
        <w:rPr>
          <w:rFonts w:hint="eastAsia" w:ascii="仿宋_GB2312" w:eastAsia="仿宋_GB2312"/>
          <w:sz w:val="36"/>
          <w:szCs w:val="36"/>
          <w:u w:val="single"/>
        </w:rPr>
        <w:t xml:space="preserve"> </w:t>
      </w:r>
      <w:r>
        <w:rPr>
          <w:rFonts w:ascii="仿宋_GB2312" w:eastAsia="仿宋_GB2312"/>
          <w:sz w:val="36"/>
          <w:szCs w:val="36"/>
          <w:u w:val="single"/>
        </w:rPr>
        <w:t xml:space="preserve">  </w:t>
      </w:r>
      <w:r>
        <w:rPr>
          <w:rFonts w:hint="eastAsia" w:ascii="仿宋_GB2312" w:eastAsia="仿宋_GB2312"/>
          <w:sz w:val="36"/>
          <w:szCs w:val="36"/>
          <w:u w:val="single"/>
        </w:rPr>
        <w:t xml:space="preserve"> </w:t>
      </w:r>
      <w:r>
        <w:rPr>
          <w:rFonts w:ascii="仿宋_GB2312" w:eastAsia="仿宋_GB2312"/>
          <w:sz w:val="36"/>
          <w:szCs w:val="36"/>
          <w:u w:val="single"/>
        </w:rPr>
        <w:t xml:space="preserve"> </w:t>
      </w:r>
      <w:r>
        <w:rPr>
          <w:rFonts w:hint="eastAsia" w:ascii="仿宋_GB2312" w:eastAsia="仿宋_GB2312"/>
          <w:sz w:val="36"/>
          <w:szCs w:val="36"/>
          <w:u w:val="single"/>
        </w:rPr>
        <w:t xml:space="preserve">  </w:t>
      </w:r>
      <w:r>
        <w:rPr>
          <w:rFonts w:ascii="仿宋_GB2312" w:eastAsia="仿宋_GB2312"/>
          <w:sz w:val="36"/>
          <w:szCs w:val="36"/>
          <w:u w:val="single"/>
        </w:rPr>
        <w:t xml:space="preserve">  </w:t>
      </w:r>
    </w:p>
    <w:p w14:paraId="49AC5F78">
      <w:pPr>
        <w:adjustRightInd w:val="0"/>
        <w:snapToGrid w:val="0"/>
        <w:spacing w:line="288" w:lineRule="auto"/>
        <w:ind w:firstLine="1040"/>
        <w:rPr>
          <w:rFonts w:ascii="仿宋_GB2312" w:eastAsia="仿宋_GB2312"/>
          <w:sz w:val="36"/>
          <w:szCs w:val="36"/>
          <w:u w:val="single"/>
        </w:rPr>
      </w:pPr>
      <w:bookmarkStart w:id="0" w:name="_Hlk57884087"/>
    </w:p>
    <w:p w14:paraId="2F7724E9">
      <w:pPr>
        <w:adjustRightInd w:val="0"/>
        <w:snapToGrid w:val="0"/>
        <w:spacing w:line="288" w:lineRule="auto"/>
        <w:ind w:firstLine="1040"/>
        <w:rPr>
          <w:rFonts w:ascii="仿宋_GB2312" w:eastAsia="仿宋_GB2312"/>
          <w:sz w:val="36"/>
          <w:szCs w:val="36"/>
        </w:rPr>
      </w:pPr>
    </w:p>
    <w:p w14:paraId="7D160ABA">
      <w:pPr>
        <w:adjustRightInd w:val="0"/>
        <w:snapToGrid w:val="0"/>
        <w:spacing w:line="288" w:lineRule="auto"/>
        <w:ind w:firstLine="1040"/>
        <w:rPr>
          <w:rFonts w:ascii="仿宋_GB2312" w:eastAsia="仿宋_GB2312"/>
          <w:sz w:val="36"/>
          <w:szCs w:val="36"/>
        </w:rPr>
      </w:pPr>
    </w:p>
    <w:p w14:paraId="7D530532">
      <w:pPr>
        <w:adjustRightInd w:val="0"/>
        <w:snapToGrid w:val="0"/>
        <w:spacing w:line="288" w:lineRule="auto"/>
        <w:ind w:firstLine="1040"/>
        <w:rPr>
          <w:rFonts w:ascii="仿宋_GB2312" w:eastAsia="仿宋_GB2312"/>
          <w:sz w:val="36"/>
          <w:szCs w:val="36"/>
        </w:rPr>
      </w:pPr>
    </w:p>
    <w:p w14:paraId="4D7C9841">
      <w:pPr>
        <w:adjustRightInd w:val="0"/>
        <w:snapToGrid w:val="0"/>
        <w:spacing w:line="288" w:lineRule="auto"/>
        <w:ind w:firstLine="1040"/>
        <w:rPr>
          <w:rFonts w:ascii="仿宋_GB2312" w:eastAsia="仿宋_GB2312"/>
          <w:sz w:val="36"/>
          <w:szCs w:val="36"/>
        </w:rPr>
      </w:pPr>
    </w:p>
    <w:bookmarkEnd w:id="0"/>
    <w:p w14:paraId="48294814">
      <w:pPr>
        <w:adjustRightInd w:val="0"/>
        <w:snapToGrid w:val="0"/>
        <w:spacing w:line="288" w:lineRule="auto"/>
        <w:jc w:val="center"/>
        <w:rPr>
          <w:rFonts w:ascii="楷体_GB2312" w:eastAsia="楷体_GB2312"/>
          <w:sz w:val="36"/>
          <w:szCs w:val="36"/>
        </w:rPr>
      </w:pPr>
      <w:r>
        <w:rPr>
          <w:rFonts w:hint="eastAsia" w:ascii="楷体_GB2312" w:eastAsia="楷体_GB2312"/>
          <w:sz w:val="36"/>
          <w:szCs w:val="36"/>
        </w:rPr>
        <w:t>中华人民共和国生态环境部制</w:t>
      </w:r>
    </w:p>
    <w:p w14:paraId="0DA2623B">
      <w:pPr>
        <w:pStyle w:val="9"/>
        <w:sectPr>
          <w:headerReference r:id="rId3" w:type="default"/>
          <w:footerReference r:id="rId4" w:type="default"/>
          <w:footerReference r:id="rId5" w:type="even"/>
          <w:pgSz w:w="11906" w:h="16838"/>
          <w:pgMar w:top="1418" w:right="1418" w:bottom="1418" w:left="1418" w:header="851" w:footer="1077" w:gutter="0"/>
          <w:pgBorders>
            <w:top w:val="none" w:sz="0" w:space="0"/>
            <w:left w:val="none" w:sz="0" w:space="0"/>
            <w:bottom w:val="none" w:sz="0" w:space="0"/>
            <w:right w:val="none" w:sz="0" w:space="0"/>
          </w:pgBorders>
          <w:pgNumType w:start="3"/>
          <w:cols w:space="720" w:num="1"/>
          <w:docGrid w:linePitch="312" w:charSpace="0"/>
        </w:sectPr>
      </w:pPr>
    </w:p>
    <w:p w14:paraId="17B36941">
      <w:pPr>
        <w:pStyle w:val="23"/>
        <w:jc w:val="center"/>
        <w:outlineLvl w:val="0"/>
        <w:rPr>
          <w:rFonts w:ascii="黑体" w:hAnsi="黑体" w:eastAsia="黑体"/>
          <w:snapToGrid w:val="0"/>
          <w:sz w:val="30"/>
          <w:szCs w:val="30"/>
        </w:rPr>
      </w:pPr>
      <w:r>
        <w:rPr>
          <w:rFonts w:hint="eastAsia" w:ascii="黑体" w:hAnsi="黑体" w:eastAsia="黑体"/>
          <w:snapToGrid w:val="0"/>
          <w:sz w:val="30"/>
          <w:szCs w:val="30"/>
        </w:rPr>
        <w:t>一、建设项目基本情况</w:t>
      </w:r>
    </w:p>
    <w:tbl>
      <w:tblPr>
        <w:tblStyle w:val="26"/>
        <w:tblW w:w="887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425"/>
        <w:gridCol w:w="1316"/>
        <w:gridCol w:w="2065"/>
        <w:gridCol w:w="2216"/>
        <w:gridCol w:w="3079"/>
      </w:tblGrid>
      <w:tr w14:paraId="0CA08D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81" w:type="dxa"/>
            <w:gridSpan w:val="2"/>
            <w:tcMar>
              <w:top w:w="16" w:type="dxa"/>
              <w:left w:w="16" w:type="dxa"/>
              <w:right w:w="16" w:type="dxa"/>
            </w:tcMar>
            <w:vAlign w:val="center"/>
          </w:tcPr>
          <w:p w14:paraId="4545439D">
            <w:pPr>
              <w:adjustRightInd w:val="0"/>
              <w:snapToGrid w:val="0"/>
              <w:jc w:val="center"/>
              <w:rPr>
                <w:rFonts w:ascii="宋体" w:hAnsi="宋体" w:cs="宋体"/>
                <w:b/>
                <w:szCs w:val="21"/>
              </w:rPr>
            </w:pPr>
            <w:r>
              <w:rPr>
                <w:rFonts w:hint="eastAsia" w:ascii="宋体" w:hAnsi="宋体" w:cs="宋体"/>
                <w:b/>
                <w:szCs w:val="21"/>
              </w:rPr>
              <w:t>建设项目名称</w:t>
            </w:r>
          </w:p>
        </w:tc>
        <w:tc>
          <w:tcPr>
            <w:tcW w:w="6889" w:type="dxa"/>
            <w:gridSpan w:val="3"/>
            <w:vAlign w:val="center"/>
          </w:tcPr>
          <w:p w14:paraId="25CBBE19">
            <w:pPr>
              <w:adjustRightInd w:val="0"/>
              <w:snapToGrid w:val="0"/>
              <w:jc w:val="center"/>
              <w:rPr>
                <w:rFonts w:hint="eastAsia" w:ascii="宋体" w:hAnsi="宋体" w:eastAsia="宋体" w:cs="宋体"/>
                <w:szCs w:val="21"/>
                <w:lang w:eastAsia="zh-CN"/>
              </w:rPr>
            </w:pPr>
            <w:r>
              <w:rPr>
                <w:rFonts w:hint="eastAsia"/>
                <w:szCs w:val="21"/>
                <w:lang w:eastAsia="zh-CN"/>
              </w:rPr>
              <w:t>火电厂智能燃烧稳燃设备建设项目</w:t>
            </w:r>
          </w:p>
        </w:tc>
      </w:tr>
      <w:tr w14:paraId="0DB02E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81" w:type="dxa"/>
            <w:gridSpan w:val="2"/>
            <w:tcMar>
              <w:top w:w="16" w:type="dxa"/>
              <w:left w:w="16" w:type="dxa"/>
              <w:right w:w="16" w:type="dxa"/>
            </w:tcMar>
            <w:vAlign w:val="center"/>
          </w:tcPr>
          <w:p w14:paraId="66508D75">
            <w:pPr>
              <w:adjustRightInd w:val="0"/>
              <w:snapToGrid w:val="0"/>
              <w:jc w:val="center"/>
              <w:rPr>
                <w:rFonts w:ascii="宋体" w:hAnsi="宋体" w:cs="宋体"/>
                <w:b/>
                <w:szCs w:val="21"/>
              </w:rPr>
            </w:pPr>
            <w:r>
              <w:rPr>
                <w:rFonts w:hint="eastAsia" w:ascii="宋体" w:hAnsi="宋体" w:cs="宋体"/>
                <w:b/>
                <w:szCs w:val="21"/>
              </w:rPr>
              <w:t>项目代码</w:t>
            </w:r>
          </w:p>
        </w:tc>
        <w:tc>
          <w:tcPr>
            <w:tcW w:w="6889" w:type="dxa"/>
            <w:gridSpan w:val="3"/>
            <w:vAlign w:val="center"/>
          </w:tcPr>
          <w:p w14:paraId="04B7C8C4">
            <w:pPr>
              <w:adjustRightInd w:val="0"/>
              <w:snapToGrid w:val="0"/>
              <w:jc w:val="center"/>
              <w:rPr>
                <w:rFonts w:ascii="宋体" w:hAnsi="宋体" w:cs="宋体"/>
                <w:szCs w:val="21"/>
              </w:rPr>
            </w:pPr>
            <w:r>
              <w:rPr>
                <w:rFonts w:hint="default" w:ascii="Times New Roman" w:hAnsi="Times New Roman" w:cs="Times New Roman"/>
                <w:szCs w:val="21"/>
              </w:rPr>
              <w:t>2406-340602-04-01-241270</w:t>
            </w:r>
          </w:p>
        </w:tc>
      </w:tr>
      <w:tr w14:paraId="06FA01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981" w:type="dxa"/>
            <w:gridSpan w:val="2"/>
            <w:tcMar>
              <w:top w:w="16" w:type="dxa"/>
              <w:left w:w="16" w:type="dxa"/>
              <w:right w:w="16" w:type="dxa"/>
            </w:tcMar>
            <w:vAlign w:val="center"/>
          </w:tcPr>
          <w:p w14:paraId="01F5CF77">
            <w:pPr>
              <w:adjustRightInd w:val="0"/>
              <w:snapToGrid w:val="0"/>
              <w:jc w:val="center"/>
              <w:rPr>
                <w:rFonts w:ascii="宋体" w:hAnsi="宋体" w:cs="宋体"/>
                <w:b/>
                <w:szCs w:val="21"/>
              </w:rPr>
            </w:pPr>
            <w:r>
              <w:rPr>
                <w:rFonts w:hint="eastAsia" w:ascii="宋体" w:hAnsi="宋体" w:cs="宋体"/>
                <w:b/>
                <w:szCs w:val="21"/>
              </w:rPr>
              <w:t>建设单位联系人</w:t>
            </w:r>
          </w:p>
        </w:tc>
        <w:tc>
          <w:tcPr>
            <w:tcW w:w="2038" w:type="dxa"/>
            <w:vAlign w:val="center"/>
          </w:tcPr>
          <w:p w14:paraId="782A0E16">
            <w:pPr>
              <w:adjustRightInd w:val="0"/>
              <w:snapToGrid w:val="0"/>
              <w:jc w:val="center"/>
              <w:rPr>
                <w:rFonts w:ascii="宋体" w:hAnsi="宋体" w:cs="宋体"/>
                <w:szCs w:val="21"/>
              </w:rPr>
            </w:pPr>
            <w:r>
              <w:rPr>
                <w:rFonts w:hint="eastAsia" w:ascii="Times New Roman" w:hAnsi="Times New Roman" w:eastAsia="宋体" w:cs="Times New Roman"/>
                <w:sz w:val="21"/>
                <w:szCs w:val="21"/>
                <w:lang w:val="en-US" w:eastAsia="zh-CN"/>
              </w:rPr>
              <w:t>肖杰</w:t>
            </w:r>
          </w:p>
        </w:tc>
        <w:tc>
          <w:tcPr>
            <w:tcW w:w="2212" w:type="dxa"/>
            <w:vAlign w:val="center"/>
          </w:tcPr>
          <w:p w14:paraId="1BBDC496">
            <w:pPr>
              <w:adjustRightInd w:val="0"/>
              <w:snapToGrid w:val="0"/>
              <w:jc w:val="center"/>
              <w:rPr>
                <w:rFonts w:ascii="宋体" w:hAnsi="宋体" w:cs="宋体"/>
                <w:b/>
                <w:szCs w:val="21"/>
              </w:rPr>
            </w:pPr>
            <w:r>
              <w:rPr>
                <w:rFonts w:hint="eastAsia" w:ascii="宋体" w:hAnsi="宋体" w:cs="宋体"/>
                <w:b/>
                <w:szCs w:val="21"/>
              </w:rPr>
              <w:t>联系方式</w:t>
            </w:r>
          </w:p>
        </w:tc>
        <w:tc>
          <w:tcPr>
            <w:tcW w:w="2639" w:type="dxa"/>
            <w:vAlign w:val="center"/>
          </w:tcPr>
          <w:p w14:paraId="2B7B51DD">
            <w:pPr>
              <w:adjustRightInd w:val="0"/>
              <w:snapToGrid w:val="0"/>
              <w:jc w:val="center"/>
              <w:rPr>
                <w:rFonts w:ascii="宋体" w:hAnsi="宋体" w:cs="宋体"/>
                <w:szCs w:val="21"/>
              </w:rPr>
            </w:pPr>
            <w:r>
              <w:rPr>
                <w:rFonts w:hint="eastAsia" w:ascii="Times New Roman" w:hAnsi="Times New Roman" w:eastAsia="宋体" w:cs="Times New Roman"/>
                <w:sz w:val="21"/>
                <w:szCs w:val="21"/>
                <w:lang w:val="en-US" w:eastAsia="zh-CN"/>
              </w:rPr>
              <w:t>18156164929</w:t>
            </w:r>
          </w:p>
        </w:tc>
      </w:tr>
      <w:tr w14:paraId="49502C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81" w:type="dxa"/>
            <w:gridSpan w:val="2"/>
            <w:tcMar>
              <w:top w:w="16" w:type="dxa"/>
              <w:left w:w="16" w:type="dxa"/>
              <w:right w:w="16" w:type="dxa"/>
            </w:tcMar>
            <w:vAlign w:val="center"/>
          </w:tcPr>
          <w:p w14:paraId="57911AD2">
            <w:pPr>
              <w:adjustRightInd w:val="0"/>
              <w:snapToGrid w:val="0"/>
              <w:jc w:val="center"/>
              <w:rPr>
                <w:rFonts w:ascii="宋体" w:hAnsi="宋体" w:cs="宋体"/>
                <w:b/>
                <w:szCs w:val="21"/>
              </w:rPr>
            </w:pPr>
            <w:r>
              <w:rPr>
                <w:rFonts w:hint="eastAsia" w:ascii="宋体" w:hAnsi="宋体" w:cs="宋体"/>
                <w:b/>
                <w:szCs w:val="21"/>
              </w:rPr>
              <w:t>建设地点</w:t>
            </w:r>
          </w:p>
        </w:tc>
        <w:tc>
          <w:tcPr>
            <w:tcW w:w="6889" w:type="dxa"/>
            <w:gridSpan w:val="3"/>
            <w:vAlign w:val="center"/>
          </w:tcPr>
          <w:p w14:paraId="3C3F76E7">
            <w:pPr>
              <w:adjustRightInd w:val="0"/>
              <w:snapToGrid w:val="0"/>
              <w:jc w:val="center"/>
              <w:rPr>
                <w:rFonts w:ascii="宋体" w:hAnsi="宋体" w:cs="宋体"/>
                <w:szCs w:val="21"/>
              </w:rPr>
            </w:pPr>
            <w:r>
              <w:rPr>
                <w:rFonts w:hint="eastAsia" w:ascii="Times New Roman" w:hAnsi="Times New Roman" w:cs="Times New Roman"/>
                <w:sz w:val="21"/>
                <w:szCs w:val="21"/>
                <w:lang w:val="en-US" w:eastAsia="zh-CN"/>
              </w:rPr>
              <w:t>淮北杜集经济开发区</w:t>
            </w:r>
            <w:r>
              <w:rPr>
                <w:rFonts w:hint="eastAsia" w:cs="Times New Roman"/>
                <w:sz w:val="21"/>
                <w:szCs w:val="21"/>
                <w:lang w:val="en-US" w:eastAsia="zh-CN"/>
              </w:rPr>
              <w:t>238省道</w:t>
            </w:r>
            <w:r>
              <w:rPr>
                <w:rFonts w:hint="eastAsia" w:ascii="Times New Roman" w:hAnsi="Times New Roman" w:cs="Times New Roman"/>
                <w:sz w:val="21"/>
                <w:szCs w:val="21"/>
                <w:lang w:val="en-US" w:eastAsia="zh-CN"/>
              </w:rPr>
              <w:t>西、山河大道南</w:t>
            </w:r>
          </w:p>
        </w:tc>
      </w:tr>
      <w:tr w14:paraId="08354B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81" w:type="dxa"/>
            <w:gridSpan w:val="2"/>
            <w:tcMar>
              <w:top w:w="16" w:type="dxa"/>
              <w:left w:w="16" w:type="dxa"/>
              <w:right w:w="16" w:type="dxa"/>
            </w:tcMar>
            <w:vAlign w:val="center"/>
          </w:tcPr>
          <w:p w14:paraId="207D20B8">
            <w:pPr>
              <w:adjustRightInd w:val="0"/>
              <w:snapToGrid w:val="0"/>
              <w:jc w:val="center"/>
              <w:rPr>
                <w:rFonts w:ascii="宋体" w:hAnsi="宋体" w:cs="宋体"/>
                <w:b/>
                <w:szCs w:val="21"/>
              </w:rPr>
            </w:pPr>
            <w:r>
              <w:rPr>
                <w:rFonts w:hint="eastAsia" w:ascii="宋体" w:hAnsi="宋体" w:cs="宋体"/>
                <w:b/>
                <w:szCs w:val="21"/>
              </w:rPr>
              <w:t>地理坐标</w:t>
            </w:r>
          </w:p>
        </w:tc>
        <w:tc>
          <w:tcPr>
            <w:tcW w:w="6889" w:type="dxa"/>
            <w:gridSpan w:val="3"/>
            <w:vAlign w:val="center"/>
          </w:tcPr>
          <w:p w14:paraId="1DA2B0C3">
            <w:pPr>
              <w:jc w:val="center"/>
              <w:rPr>
                <w:rFonts w:ascii="宋体" w:hAnsi="宋体" w:cs="宋体"/>
                <w:szCs w:val="21"/>
              </w:rPr>
            </w:pPr>
            <w:r>
              <w:rPr>
                <w:rFonts w:hint="eastAsia"/>
                <w:szCs w:val="21"/>
              </w:rPr>
              <w:t>经度：</w:t>
            </w:r>
            <w:r>
              <w:rPr>
                <w:szCs w:val="21"/>
              </w:rPr>
              <w:t>11</w:t>
            </w:r>
            <w:r>
              <w:rPr>
                <w:rFonts w:hint="eastAsia"/>
                <w:szCs w:val="21"/>
              </w:rPr>
              <w:t>6</w:t>
            </w:r>
            <w:r>
              <w:rPr>
                <w:szCs w:val="21"/>
              </w:rPr>
              <w:t>度</w:t>
            </w:r>
            <w:r>
              <w:rPr>
                <w:rFonts w:hint="eastAsia"/>
                <w:szCs w:val="21"/>
                <w:lang w:val="en-US" w:eastAsia="zh-CN"/>
              </w:rPr>
              <w:t>49</w:t>
            </w:r>
            <w:r>
              <w:rPr>
                <w:szCs w:val="21"/>
              </w:rPr>
              <w:t>分</w:t>
            </w:r>
            <w:r>
              <w:rPr>
                <w:rFonts w:hint="eastAsia"/>
                <w:szCs w:val="21"/>
              </w:rPr>
              <w:t>54.974</w:t>
            </w:r>
            <w:r>
              <w:rPr>
                <w:szCs w:val="21"/>
              </w:rPr>
              <w:t>秒，</w:t>
            </w:r>
            <w:r>
              <w:rPr>
                <w:rFonts w:hint="eastAsia"/>
                <w:szCs w:val="21"/>
              </w:rPr>
              <w:t>纬度：</w:t>
            </w:r>
            <w:r>
              <w:rPr>
                <w:szCs w:val="21"/>
              </w:rPr>
              <w:t>3</w:t>
            </w:r>
            <w:r>
              <w:rPr>
                <w:rFonts w:hint="eastAsia"/>
                <w:szCs w:val="21"/>
              </w:rPr>
              <w:t>4</w:t>
            </w:r>
            <w:r>
              <w:rPr>
                <w:szCs w:val="21"/>
              </w:rPr>
              <w:t>度</w:t>
            </w:r>
            <w:r>
              <w:rPr>
                <w:rFonts w:hint="eastAsia"/>
                <w:szCs w:val="21"/>
                <w:lang w:val="en-US" w:eastAsia="zh-CN"/>
              </w:rPr>
              <w:t>3</w:t>
            </w:r>
            <w:r>
              <w:rPr>
                <w:szCs w:val="21"/>
              </w:rPr>
              <w:t>分</w:t>
            </w:r>
            <w:r>
              <w:rPr>
                <w:rFonts w:hint="eastAsia"/>
                <w:szCs w:val="21"/>
              </w:rPr>
              <w:t>25.665</w:t>
            </w:r>
            <w:r>
              <w:rPr>
                <w:szCs w:val="21"/>
              </w:rPr>
              <w:t>秒</w:t>
            </w:r>
          </w:p>
        </w:tc>
      </w:tr>
      <w:tr w14:paraId="3A078F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981" w:type="dxa"/>
            <w:gridSpan w:val="2"/>
            <w:tcMar>
              <w:top w:w="16" w:type="dxa"/>
              <w:left w:w="16" w:type="dxa"/>
              <w:right w:w="16" w:type="dxa"/>
            </w:tcMar>
            <w:vAlign w:val="center"/>
          </w:tcPr>
          <w:p w14:paraId="5960C48E">
            <w:pPr>
              <w:adjustRightInd w:val="0"/>
              <w:snapToGrid w:val="0"/>
              <w:jc w:val="center"/>
              <w:rPr>
                <w:rFonts w:ascii="宋体" w:hAnsi="宋体" w:cs="宋体"/>
                <w:b/>
                <w:szCs w:val="21"/>
              </w:rPr>
            </w:pPr>
            <w:bookmarkStart w:id="1" w:name="OLE_LINK1" w:colFirst="3" w:colLast="3"/>
            <w:r>
              <w:rPr>
                <w:rFonts w:hint="eastAsia" w:ascii="宋体" w:hAnsi="宋体" w:cs="宋体"/>
                <w:b/>
                <w:szCs w:val="21"/>
              </w:rPr>
              <w:t>国民经济</w:t>
            </w:r>
          </w:p>
          <w:p w14:paraId="2DEF89B8">
            <w:pPr>
              <w:adjustRightInd w:val="0"/>
              <w:snapToGrid w:val="0"/>
              <w:jc w:val="center"/>
              <w:rPr>
                <w:rFonts w:ascii="宋体" w:hAnsi="宋体" w:cs="宋体"/>
                <w:b/>
                <w:szCs w:val="21"/>
              </w:rPr>
            </w:pPr>
            <w:r>
              <w:rPr>
                <w:rFonts w:hint="eastAsia" w:ascii="宋体" w:hAnsi="宋体" w:cs="宋体"/>
                <w:b/>
                <w:szCs w:val="21"/>
              </w:rPr>
              <w:t>行业类别</w:t>
            </w:r>
          </w:p>
        </w:tc>
        <w:tc>
          <w:tcPr>
            <w:tcW w:w="2038" w:type="dxa"/>
            <w:vAlign w:val="center"/>
          </w:tcPr>
          <w:p w14:paraId="11F99C72">
            <w:pPr>
              <w:adjustRightInd w:val="0"/>
              <w:snapToGrid w:val="0"/>
              <w:jc w:val="center"/>
              <w:rPr>
                <w:rFonts w:hint="eastAsia" w:ascii="宋体" w:hAnsi="宋体" w:eastAsia="宋体" w:cs="宋体"/>
                <w:szCs w:val="21"/>
                <w:lang w:eastAsia="zh-CN"/>
              </w:rPr>
            </w:pPr>
            <w:r>
              <w:rPr>
                <w:rFonts w:hint="eastAsia"/>
                <w:bCs/>
                <w:szCs w:val="21"/>
              </w:rPr>
              <w:t>C34</w:t>
            </w:r>
            <w:r>
              <w:rPr>
                <w:rFonts w:hint="eastAsia"/>
                <w:bCs/>
                <w:szCs w:val="21"/>
                <w:lang w:val="en-US" w:eastAsia="zh-CN"/>
              </w:rPr>
              <w:t>11</w:t>
            </w:r>
            <w:r>
              <w:rPr>
                <w:rFonts w:hint="eastAsia"/>
                <w:bCs/>
                <w:szCs w:val="21"/>
                <w:lang w:eastAsia="zh-CN"/>
              </w:rPr>
              <w:t>锅炉及辅助设备制造</w:t>
            </w:r>
          </w:p>
        </w:tc>
        <w:tc>
          <w:tcPr>
            <w:tcW w:w="2212" w:type="dxa"/>
            <w:vAlign w:val="center"/>
          </w:tcPr>
          <w:p w14:paraId="3B193680">
            <w:pPr>
              <w:adjustRightInd w:val="0"/>
              <w:snapToGrid w:val="0"/>
              <w:jc w:val="center"/>
              <w:rPr>
                <w:b/>
                <w:szCs w:val="21"/>
              </w:rPr>
            </w:pPr>
            <w:bookmarkStart w:id="2" w:name="_Hlk49843745"/>
            <w:r>
              <w:rPr>
                <w:b/>
                <w:szCs w:val="21"/>
              </w:rPr>
              <w:t>建设项目</w:t>
            </w:r>
          </w:p>
          <w:p w14:paraId="26F70DBD">
            <w:pPr>
              <w:adjustRightInd w:val="0"/>
              <w:snapToGrid w:val="0"/>
              <w:jc w:val="center"/>
              <w:rPr>
                <w:szCs w:val="21"/>
              </w:rPr>
            </w:pPr>
            <w:r>
              <w:rPr>
                <w:b/>
                <w:szCs w:val="21"/>
              </w:rPr>
              <w:t>行业类别</w:t>
            </w:r>
            <w:bookmarkEnd w:id="2"/>
          </w:p>
        </w:tc>
        <w:tc>
          <w:tcPr>
            <w:tcW w:w="2639" w:type="dxa"/>
            <w:vAlign w:val="center"/>
          </w:tcPr>
          <w:p w14:paraId="23F18840">
            <w:pPr>
              <w:adjustRightInd w:val="0"/>
              <w:snapToGrid w:val="0"/>
              <w:rPr>
                <w:szCs w:val="21"/>
              </w:rPr>
            </w:pPr>
            <w:r>
              <w:rPr>
                <w:rFonts w:hint="eastAsia"/>
                <w:szCs w:val="21"/>
              </w:rPr>
              <w:t>三十一、通用设备制造业34- 锅炉及原动设备制造34</w:t>
            </w:r>
            <w:r>
              <w:rPr>
                <w:rFonts w:hint="eastAsia"/>
                <w:szCs w:val="21"/>
                <w:lang w:val="en-US" w:eastAsia="zh-CN"/>
              </w:rPr>
              <w:t>1</w:t>
            </w:r>
            <w:r>
              <w:rPr>
                <w:rFonts w:hint="eastAsia"/>
                <w:szCs w:val="21"/>
              </w:rPr>
              <w:t>中“其他（仅分割、焊接、组装的除外；年用非溶剂型低VOCs含量涂料10吨以下的除外）”</w:t>
            </w:r>
          </w:p>
        </w:tc>
      </w:tr>
      <w:bookmarkEnd w:id="1"/>
      <w:tr w14:paraId="21B667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981" w:type="dxa"/>
            <w:gridSpan w:val="2"/>
            <w:tcMar>
              <w:top w:w="16" w:type="dxa"/>
              <w:left w:w="16" w:type="dxa"/>
              <w:right w:w="16" w:type="dxa"/>
            </w:tcMar>
            <w:vAlign w:val="center"/>
          </w:tcPr>
          <w:p w14:paraId="2D9F9AE1">
            <w:pPr>
              <w:adjustRightInd w:val="0"/>
              <w:snapToGrid w:val="0"/>
              <w:jc w:val="center"/>
              <w:rPr>
                <w:rFonts w:ascii="宋体" w:hAnsi="宋体" w:cs="宋体"/>
                <w:b/>
                <w:szCs w:val="21"/>
              </w:rPr>
            </w:pPr>
            <w:r>
              <w:rPr>
                <w:rFonts w:hint="eastAsia" w:ascii="宋体" w:hAnsi="宋体" w:cs="宋体"/>
                <w:b/>
                <w:szCs w:val="21"/>
              </w:rPr>
              <w:t>建设性质</w:t>
            </w:r>
          </w:p>
        </w:tc>
        <w:tc>
          <w:tcPr>
            <w:tcW w:w="2038" w:type="dxa"/>
            <w:vAlign w:val="center"/>
          </w:tcPr>
          <w:p w14:paraId="70303208">
            <w:pPr>
              <w:jc w:val="left"/>
              <w:rPr>
                <w:rFonts w:ascii="宋体" w:hAnsi="宋体" w:cs="宋体"/>
                <w:szCs w:val="21"/>
              </w:rPr>
            </w:pPr>
            <w:r>
              <w:rPr>
                <w:rFonts w:hint="eastAsia" w:ascii="宋体" w:hAnsi="宋体" w:cs="宋体"/>
                <w:szCs w:val="21"/>
              </w:rPr>
              <w:sym w:font="Wingdings 2" w:char="0052"/>
            </w:r>
            <w:r>
              <w:rPr>
                <w:rFonts w:hint="eastAsia" w:ascii="宋体" w:hAnsi="宋体" w:cs="宋体"/>
                <w:szCs w:val="21"/>
              </w:rPr>
              <w:t>新建（迁建）</w:t>
            </w:r>
          </w:p>
          <w:p w14:paraId="698FC01C">
            <w:pPr>
              <w:jc w:val="left"/>
              <w:rPr>
                <w:rFonts w:ascii="宋体" w:hAnsi="宋体" w:cs="宋体"/>
                <w:szCs w:val="21"/>
              </w:rPr>
            </w:pPr>
            <w:r>
              <w:rPr>
                <w:rFonts w:hint="eastAsia" w:ascii="宋体" w:hAnsi="宋体" w:cs="宋体"/>
                <w:szCs w:val="21"/>
              </w:rPr>
              <w:sym w:font="Wingdings 2" w:char="00A3"/>
            </w:r>
            <w:r>
              <w:rPr>
                <w:rFonts w:hint="eastAsia" w:ascii="宋体" w:hAnsi="宋体" w:cs="宋体"/>
                <w:szCs w:val="21"/>
              </w:rPr>
              <w:t>改建</w:t>
            </w:r>
          </w:p>
          <w:p w14:paraId="27ADF6DC">
            <w:pPr>
              <w:jc w:val="left"/>
              <w:rPr>
                <w:rFonts w:ascii="宋体" w:hAnsi="宋体" w:cs="宋体"/>
                <w:szCs w:val="21"/>
              </w:rPr>
            </w:pPr>
            <w:r>
              <w:rPr>
                <w:rFonts w:hint="eastAsia" w:ascii="宋体" w:hAnsi="宋体" w:cs="宋体"/>
                <w:szCs w:val="21"/>
              </w:rPr>
              <w:sym w:font="Wingdings 2" w:char="00A3"/>
            </w:r>
            <w:r>
              <w:rPr>
                <w:rFonts w:hint="eastAsia" w:ascii="宋体" w:hAnsi="宋体" w:cs="宋体"/>
                <w:szCs w:val="21"/>
              </w:rPr>
              <w:t>扩建</w:t>
            </w:r>
          </w:p>
          <w:p w14:paraId="08EE0EC2">
            <w:pPr>
              <w:jc w:val="left"/>
              <w:rPr>
                <w:rFonts w:ascii="宋体" w:hAnsi="宋体" w:cs="宋体"/>
                <w:szCs w:val="21"/>
              </w:rPr>
            </w:pPr>
            <w:r>
              <w:rPr>
                <w:rFonts w:hint="eastAsia" w:ascii="宋体" w:hAnsi="宋体" w:cs="宋体"/>
                <w:szCs w:val="21"/>
              </w:rPr>
              <w:sym w:font="Wingdings 2" w:char="00A3"/>
            </w:r>
            <w:r>
              <w:rPr>
                <w:rFonts w:hint="eastAsia" w:ascii="宋体" w:hAnsi="宋体" w:cs="宋体"/>
                <w:szCs w:val="21"/>
              </w:rPr>
              <w:t>技术改造</w:t>
            </w:r>
          </w:p>
        </w:tc>
        <w:tc>
          <w:tcPr>
            <w:tcW w:w="2212" w:type="dxa"/>
            <w:vAlign w:val="center"/>
          </w:tcPr>
          <w:p w14:paraId="65DCC630">
            <w:pPr>
              <w:adjustRightInd w:val="0"/>
              <w:snapToGrid w:val="0"/>
              <w:jc w:val="center"/>
              <w:rPr>
                <w:rFonts w:ascii="宋体" w:hAnsi="宋体" w:cs="宋体"/>
                <w:b/>
                <w:szCs w:val="21"/>
              </w:rPr>
            </w:pPr>
            <w:r>
              <w:rPr>
                <w:rFonts w:hint="eastAsia" w:ascii="宋体" w:hAnsi="宋体" w:cs="宋体"/>
                <w:b/>
                <w:szCs w:val="21"/>
              </w:rPr>
              <w:t>建设项目</w:t>
            </w:r>
          </w:p>
          <w:p w14:paraId="0C4E663A">
            <w:pPr>
              <w:adjustRightInd w:val="0"/>
              <w:snapToGrid w:val="0"/>
              <w:jc w:val="center"/>
              <w:rPr>
                <w:rFonts w:ascii="宋体" w:hAnsi="宋体" w:cs="宋体"/>
                <w:szCs w:val="21"/>
              </w:rPr>
            </w:pPr>
            <w:r>
              <w:rPr>
                <w:rFonts w:hint="eastAsia" w:ascii="宋体" w:hAnsi="宋体" w:cs="宋体"/>
                <w:b/>
                <w:szCs w:val="21"/>
              </w:rPr>
              <w:t>申报情形</w:t>
            </w:r>
          </w:p>
        </w:tc>
        <w:tc>
          <w:tcPr>
            <w:tcW w:w="2639" w:type="dxa"/>
            <w:vAlign w:val="center"/>
          </w:tcPr>
          <w:p w14:paraId="0C6EDD81">
            <w:pPr>
              <w:jc w:val="left"/>
              <w:rPr>
                <w:rFonts w:ascii="宋体" w:hAnsi="宋体" w:cs="宋体"/>
                <w:szCs w:val="21"/>
              </w:rPr>
            </w:pPr>
            <w:r>
              <w:rPr>
                <w:rFonts w:hint="eastAsia" w:ascii="宋体" w:hAnsi="宋体" w:cs="宋体"/>
                <w:szCs w:val="21"/>
              </w:rPr>
              <w:sym w:font="Wingdings 2" w:char="0052"/>
            </w:r>
            <w:r>
              <w:rPr>
                <w:rFonts w:hint="eastAsia" w:ascii="宋体" w:hAnsi="宋体" w:cs="宋体"/>
                <w:szCs w:val="21"/>
              </w:rPr>
              <w:t>首次申报项目</w:t>
            </w:r>
            <w:r>
              <w:rPr>
                <w:rFonts w:ascii="宋体" w:hAnsi="宋体" w:cs="宋体"/>
                <w:szCs w:val="21"/>
              </w:rPr>
              <w:t xml:space="preserve">             </w:t>
            </w:r>
          </w:p>
          <w:p w14:paraId="65E4CD3B">
            <w:pPr>
              <w:jc w:val="left"/>
              <w:rPr>
                <w:rFonts w:ascii="宋体" w:hAnsi="宋体" w:cs="宋体"/>
                <w:szCs w:val="21"/>
              </w:rPr>
            </w:pPr>
            <w:r>
              <w:rPr>
                <w:rFonts w:hint="eastAsia" w:ascii="宋体" w:hAnsi="宋体" w:cs="宋体"/>
                <w:szCs w:val="21"/>
              </w:rPr>
              <w:t>□不予批准后再次申报项目</w:t>
            </w:r>
          </w:p>
          <w:p w14:paraId="0391E8FC">
            <w:pPr>
              <w:jc w:val="left"/>
              <w:rPr>
                <w:rFonts w:ascii="宋体" w:hAnsi="宋体" w:cs="宋体"/>
                <w:szCs w:val="21"/>
              </w:rPr>
            </w:pPr>
            <w:r>
              <w:rPr>
                <w:rFonts w:hint="eastAsia" w:ascii="宋体" w:hAnsi="宋体" w:cs="宋体"/>
                <w:szCs w:val="21"/>
              </w:rPr>
              <w:sym w:font="Wingdings 2" w:char="00A3"/>
            </w:r>
            <w:r>
              <w:rPr>
                <w:rFonts w:hint="eastAsia" w:ascii="宋体" w:hAnsi="宋体" w:cs="宋体"/>
                <w:szCs w:val="21"/>
              </w:rPr>
              <w:t>超五年重新审核项目</w:t>
            </w:r>
            <w:r>
              <w:rPr>
                <w:rFonts w:ascii="宋体" w:hAnsi="宋体" w:cs="宋体"/>
                <w:szCs w:val="21"/>
              </w:rPr>
              <w:t xml:space="preserve">     </w:t>
            </w:r>
          </w:p>
          <w:p w14:paraId="63E27153">
            <w:pPr>
              <w:jc w:val="left"/>
              <w:rPr>
                <w:rFonts w:ascii="宋体" w:hAnsi="宋体" w:cs="宋体"/>
                <w:szCs w:val="21"/>
              </w:rPr>
            </w:pPr>
            <w:r>
              <w:rPr>
                <w:rFonts w:hint="eastAsia" w:ascii="宋体" w:hAnsi="宋体" w:cs="宋体"/>
                <w:szCs w:val="21"/>
              </w:rPr>
              <w:t>□重大变动重新报批项目</w:t>
            </w:r>
          </w:p>
        </w:tc>
      </w:tr>
      <w:tr w14:paraId="16FCF0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981" w:type="dxa"/>
            <w:gridSpan w:val="2"/>
            <w:tcMar>
              <w:top w:w="16" w:type="dxa"/>
              <w:left w:w="16" w:type="dxa"/>
              <w:right w:w="16" w:type="dxa"/>
            </w:tcMar>
            <w:vAlign w:val="center"/>
          </w:tcPr>
          <w:p w14:paraId="31972760">
            <w:pPr>
              <w:adjustRightInd w:val="0"/>
              <w:snapToGrid w:val="0"/>
              <w:jc w:val="center"/>
              <w:rPr>
                <w:rFonts w:ascii="宋体" w:hAnsi="宋体" w:cs="宋体"/>
                <w:b/>
                <w:szCs w:val="21"/>
              </w:rPr>
            </w:pPr>
            <w:r>
              <w:rPr>
                <w:rFonts w:hint="eastAsia" w:ascii="宋体" w:hAnsi="宋体" w:cs="宋体"/>
                <w:b/>
                <w:szCs w:val="21"/>
              </w:rPr>
              <w:t>项目审批（核准</w:t>
            </w:r>
            <w:r>
              <w:rPr>
                <w:rFonts w:ascii="宋体" w:hAnsi="宋体" w:cs="宋体"/>
                <w:b/>
                <w:szCs w:val="21"/>
              </w:rPr>
              <w:t>/</w:t>
            </w:r>
          </w:p>
          <w:p w14:paraId="191A250B">
            <w:pPr>
              <w:adjustRightInd w:val="0"/>
              <w:snapToGrid w:val="0"/>
              <w:jc w:val="center"/>
              <w:rPr>
                <w:rFonts w:ascii="宋体" w:hAnsi="宋体" w:cs="宋体"/>
                <w:b/>
                <w:szCs w:val="21"/>
              </w:rPr>
            </w:pPr>
            <w:r>
              <w:rPr>
                <w:rFonts w:hint="eastAsia" w:ascii="宋体" w:hAnsi="宋体" w:cs="宋体"/>
                <w:b/>
                <w:szCs w:val="21"/>
              </w:rPr>
              <w:t>备案）部门（选填）</w:t>
            </w:r>
          </w:p>
        </w:tc>
        <w:tc>
          <w:tcPr>
            <w:tcW w:w="2038" w:type="dxa"/>
            <w:vAlign w:val="center"/>
          </w:tcPr>
          <w:p w14:paraId="731DDF64">
            <w:pPr>
              <w:adjustRightInd w:val="0"/>
              <w:snapToGrid w:val="0"/>
              <w:jc w:val="center"/>
              <w:rPr>
                <w:rFonts w:ascii="宋体" w:hAnsi="宋体" w:cs="宋体"/>
                <w:szCs w:val="21"/>
              </w:rPr>
            </w:pPr>
            <w:r>
              <w:rPr>
                <w:rFonts w:hint="eastAsia" w:ascii="宋体" w:hAnsi="宋体" w:cs="宋体"/>
                <w:szCs w:val="21"/>
              </w:rPr>
              <w:t>安徽淮北杜集经济开发区管委会</w:t>
            </w:r>
          </w:p>
        </w:tc>
        <w:tc>
          <w:tcPr>
            <w:tcW w:w="2212" w:type="dxa"/>
            <w:vAlign w:val="center"/>
          </w:tcPr>
          <w:p w14:paraId="62F35279">
            <w:pPr>
              <w:adjustRightInd w:val="0"/>
              <w:snapToGrid w:val="0"/>
              <w:jc w:val="center"/>
              <w:rPr>
                <w:rFonts w:ascii="宋体" w:hAnsi="宋体" w:cs="宋体"/>
                <w:b/>
                <w:szCs w:val="21"/>
              </w:rPr>
            </w:pPr>
            <w:r>
              <w:rPr>
                <w:rFonts w:hint="eastAsia" w:ascii="宋体" w:hAnsi="宋体" w:cs="宋体"/>
                <w:b/>
                <w:szCs w:val="21"/>
              </w:rPr>
              <w:t>项目审批（核准</w:t>
            </w:r>
            <w:r>
              <w:rPr>
                <w:rFonts w:ascii="宋体" w:hAnsi="宋体" w:cs="宋体"/>
                <w:b/>
                <w:szCs w:val="21"/>
              </w:rPr>
              <w:t>/</w:t>
            </w:r>
          </w:p>
          <w:p w14:paraId="6A077874">
            <w:pPr>
              <w:adjustRightInd w:val="0"/>
              <w:snapToGrid w:val="0"/>
              <w:jc w:val="center"/>
              <w:rPr>
                <w:rFonts w:ascii="宋体" w:hAnsi="宋体" w:cs="宋体"/>
                <w:szCs w:val="21"/>
              </w:rPr>
            </w:pPr>
            <w:r>
              <w:rPr>
                <w:rFonts w:hint="eastAsia" w:ascii="宋体" w:hAnsi="宋体" w:cs="宋体"/>
                <w:b/>
                <w:szCs w:val="21"/>
              </w:rPr>
              <w:t>备案）文号（选填）</w:t>
            </w:r>
          </w:p>
        </w:tc>
        <w:tc>
          <w:tcPr>
            <w:tcW w:w="2639" w:type="dxa"/>
            <w:vAlign w:val="center"/>
          </w:tcPr>
          <w:p w14:paraId="30F9E202">
            <w:pPr>
              <w:adjustRightInd w:val="0"/>
              <w:snapToGrid w:val="0"/>
              <w:jc w:val="center"/>
              <w:rPr>
                <w:rFonts w:ascii="宋体" w:hAnsi="宋体" w:cs="宋体"/>
                <w:szCs w:val="21"/>
              </w:rPr>
            </w:pPr>
            <w:r>
              <w:rPr>
                <w:rFonts w:hint="eastAsia" w:ascii="宋体" w:hAnsi="宋体" w:cs="宋体"/>
                <w:szCs w:val="21"/>
              </w:rPr>
              <w:t>/</w:t>
            </w:r>
          </w:p>
        </w:tc>
      </w:tr>
      <w:tr w14:paraId="32D428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81" w:type="dxa"/>
            <w:gridSpan w:val="2"/>
            <w:tcMar>
              <w:top w:w="16" w:type="dxa"/>
              <w:left w:w="16" w:type="dxa"/>
              <w:right w:w="16" w:type="dxa"/>
            </w:tcMar>
            <w:vAlign w:val="center"/>
          </w:tcPr>
          <w:p w14:paraId="2EFCE7E9">
            <w:pPr>
              <w:adjustRightInd w:val="0"/>
              <w:snapToGrid w:val="0"/>
              <w:jc w:val="center"/>
              <w:rPr>
                <w:rFonts w:ascii="宋体" w:hAnsi="宋体" w:cs="宋体"/>
                <w:b/>
                <w:szCs w:val="21"/>
              </w:rPr>
            </w:pPr>
            <w:r>
              <w:rPr>
                <w:rFonts w:hint="eastAsia" w:ascii="宋体" w:hAnsi="宋体" w:cs="宋体"/>
                <w:b/>
                <w:szCs w:val="21"/>
              </w:rPr>
              <w:t>总投资（万元）</w:t>
            </w:r>
          </w:p>
        </w:tc>
        <w:tc>
          <w:tcPr>
            <w:tcW w:w="2038" w:type="dxa"/>
            <w:vAlign w:val="center"/>
          </w:tcPr>
          <w:p w14:paraId="58557C80">
            <w:pPr>
              <w:adjustRightInd w:val="0"/>
              <w:snapToGrid w:val="0"/>
              <w:jc w:val="center"/>
              <w:rPr>
                <w:rFonts w:hint="default" w:eastAsia="宋体"/>
                <w:szCs w:val="21"/>
                <w:lang w:val="en-US" w:eastAsia="zh-CN"/>
              </w:rPr>
            </w:pPr>
            <w:r>
              <w:rPr>
                <w:rFonts w:hint="eastAsia"/>
                <w:szCs w:val="21"/>
                <w:lang w:val="en-US" w:eastAsia="zh-CN"/>
              </w:rPr>
              <w:t>32000</w:t>
            </w:r>
          </w:p>
        </w:tc>
        <w:tc>
          <w:tcPr>
            <w:tcW w:w="2212" w:type="dxa"/>
            <w:tcMar>
              <w:top w:w="16" w:type="dxa"/>
              <w:left w:w="16" w:type="dxa"/>
              <w:right w:w="16" w:type="dxa"/>
            </w:tcMar>
            <w:vAlign w:val="center"/>
          </w:tcPr>
          <w:p w14:paraId="29096D6D">
            <w:pPr>
              <w:adjustRightInd w:val="0"/>
              <w:snapToGrid w:val="0"/>
              <w:jc w:val="center"/>
              <w:rPr>
                <w:b/>
                <w:szCs w:val="21"/>
              </w:rPr>
            </w:pPr>
            <w:r>
              <w:rPr>
                <w:b/>
                <w:szCs w:val="21"/>
              </w:rPr>
              <w:t>环保投资（万元）</w:t>
            </w:r>
          </w:p>
        </w:tc>
        <w:tc>
          <w:tcPr>
            <w:tcW w:w="2639" w:type="dxa"/>
            <w:vAlign w:val="center"/>
          </w:tcPr>
          <w:p w14:paraId="09A82E98">
            <w:pPr>
              <w:adjustRightInd w:val="0"/>
              <w:snapToGrid w:val="0"/>
              <w:jc w:val="center"/>
              <w:rPr>
                <w:szCs w:val="21"/>
              </w:rPr>
            </w:pPr>
            <w:r>
              <w:rPr>
                <w:rFonts w:hint="eastAsia"/>
                <w:szCs w:val="21"/>
                <w:lang w:val="en-US" w:eastAsia="zh-CN"/>
              </w:rPr>
              <w:t>35</w:t>
            </w:r>
            <w:r>
              <w:rPr>
                <w:rFonts w:hint="eastAsia"/>
                <w:szCs w:val="21"/>
              </w:rPr>
              <w:t>0</w:t>
            </w:r>
          </w:p>
        </w:tc>
      </w:tr>
      <w:tr w14:paraId="04DB33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81" w:type="dxa"/>
            <w:gridSpan w:val="2"/>
            <w:tcMar>
              <w:top w:w="16" w:type="dxa"/>
              <w:left w:w="16" w:type="dxa"/>
              <w:right w:w="16" w:type="dxa"/>
            </w:tcMar>
            <w:vAlign w:val="center"/>
          </w:tcPr>
          <w:p w14:paraId="71883A2F">
            <w:pPr>
              <w:adjustRightInd w:val="0"/>
              <w:snapToGrid w:val="0"/>
              <w:jc w:val="center"/>
              <w:rPr>
                <w:rFonts w:ascii="宋体" w:hAnsi="宋体" w:cs="宋体"/>
                <w:b/>
                <w:szCs w:val="21"/>
              </w:rPr>
            </w:pPr>
            <w:r>
              <w:rPr>
                <w:rFonts w:hint="eastAsia" w:ascii="宋体" w:hAnsi="宋体" w:cs="宋体"/>
                <w:b/>
                <w:szCs w:val="21"/>
              </w:rPr>
              <w:t>环保投资占比（</w:t>
            </w:r>
            <w:r>
              <w:rPr>
                <w:rFonts w:ascii="宋体" w:hAnsi="宋体" w:cs="宋体"/>
                <w:b/>
                <w:szCs w:val="21"/>
              </w:rPr>
              <w:t>%</w:t>
            </w:r>
            <w:r>
              <w:rPr>
                <w:rFonts w:hint="eastAsia" w:ascii="宋体" w:hAnsi="宋体" w:cs="宋体"/>
                <w:b/>
                <w:szCs w:val="21"/>
              </w:rPr>
              <w:t>）</w:t>
            </w:r>
          </w:p>
        </w:tc>
        <w:tc>
          <w:tcPr>
            <w:tcW w:w="2038" w:type="dxa"/>
            <w:vAlign w:val="center"/>
          </w:tcPr>
          <w:p w14:paraId="5BEDD73D">
            <w:pPr>
              <w:adjustRightInd w:val="0"/>
              <w:snapToGrid w:val="0"/>
              <w:jc w:val="center"/>
              <w:rPr>
                <w:szCs w:val="21"/>
              </w:rPr>
            </w:pPr>
            <w:r>
              <w:rPr>
                <w:rFonts w:hint="eastAsia"/>
                <w:szCs w:val="21"/>
                <w:lang w:val="en-US" w:eastAsia="zh-CN"/>
              </w:rPr>
              <w:t>1.1</w:t>
            </w:r>
            <w:r>
              <w:rPr>
                <w:rFonts w:hint="eastAsia"/>
                <w:szCs w:val="21"/>
              </w:rPr>
              <w:t>%</w:t>
            </w:r>
          </w:p>
        </w:tc>
        <w:tc>
          <w:tcPr>
            <w:tcW w:w="2212" w:type="dxa"/>
            <w:tcMar>
              <w:top w:w="16" w:type="dxa"/>
              <w:left w:w="16" w:type="dxa"/>
              <w:right w:w="16" w:type="dxa"/>
            </w:tcMar>
            <w:vAlign w:val="center"/>
          </w:tcPr>
          <w:p w14:paraId="75200826">
            <w:pPr>
              <w:adjustRightInd w:val="0"/>
              <w:snapToGrid w:val="0"/>
              <w:jc w:val="center"/>
              <w:rPr>
                <w:b/>
                <w:szCs w:val="21"/>
              </w:rPr>
            </w:pPr>
            <w:r>
              <w:rPr>
                <w:b/>
                <w:szCs w:val="21"/>
              </w:rPr>
              <w:t>施工工期</w:t>
            </w:r>
          </w:p>
        </w:tc>
        <w:tc>
          <w:tcPr>
            <w:tcW w:w="2639" w:type="dxa"/>
            <w:vAlign w:val="center"/>
          </w:tcPr>
          <w:p w14:paraId="19BD446F">
            <w:pPr>
              <w:adjustRightInd w:val="0"/>
              <w:snapToGrid w:val="0"/>
              <w:jc w:val="center"/>
              <w:rPr>
                <w:szCs w:val="21"/>
              </w:rPr>
            </w:pPr>
            <w:r>
              <w:rPr>
                <w:rFonts w:hint="eastAsia"/>
                <w:szCs w:val="21"/>
                <w:lang w:val="en-US" w:eastAsia="zh-CN"/>
              </w:rPr>
              <w:t>12</w:t>
            </w:r>
            <w:r>
              <w:rPr>
                <w:rFonts w:hint="eastAsia"/>
                <w:szCs w:val="21"/>
              </w:rPr>
              <w:t>个</w:t>
            </w:r>
            <w:r>
              <w:rPr>
                <w:szCs w:val="21"/>
              </w:rPr>
              <w:t>月</w:t>
            </w:r>
          </w:p>
        </w:tc>
      </w:tr>
      <w:tr w14:paraId="3EC6F8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81" w:type="dxa"/>
            <w:gridSpan w:val="2"/>
            <w:tcMar>
              <w:top w:w="16" w:type="dxa"/>
              <w:left w:w="16" w:type="dxa"/>
              <w:right w:w="16" w:type="dxa"/>
            </w:tcMar>
            <w:vAlign w:val="center"/>
          </w:tcPr>
          <w:p w14:paraId="39777EEA">
            <w:pPr>
              <w:adjustRightInd w:val="0"/>
              <w:snapToGrid w:val="0"/>
              <w:jc w:val="center"/>
              <w:rPr>
                <w:rFonts w:ascii="宋体" w:hAnsi="宋体" w:cs="宋体"/>
                <w:b/>
                <w:szCs w:val="21"/>
              </w:rPr>
            </w:pPr>
            <w:r>
              <w:rPr>
                <w:rFonts w:hint="eastAsia" w:ascii="宋体" w:hAnsi="宋体" w:cs="宋体"/>
                <w:b/>
                <w:szCs w:val="21"/>
              </w:rPr>
              <w:t>是否开工建设</w:t>
            </w:r>
          </w:p>
        </w:tc>
        <w:tc>
          <w:tcPr>
            <w:tcW w:w="2038" w:type="dxa"/>
            <w:vAlign w:val="center"/>
          </w:tcPr>
          <w:p w14:paraId="4789A1A5">
            <w:pPr>
              <w:adjustRightInd w:val="0"/>
              <w:snapToGrid w:val="0"/>
              <w:rPr>
                <w:rFonts w:ascii="宋体" w:hAnsi="宋体" w:cs="宋体"/>
                <w:szCs w:val="21"/>
              </w:rPr>
            </w:pPr>
            <w:r>
              <w:rPr>
                <w:rFonts w:hint="eastAsia" w:ascii="宋体" w:hAnsi="宋体" w:cs="宋体"/>
                <w:szCs w:val="21"/>
              </w:rPr>
              <w:sym w:font="Wingdings 2" w:char="0052"/>
            </w:r>
            <w:r>
              <w:rPr>
                <w:rFonts w:hint="eastAsia" w:ascii="宋体" w:hAnsi="宋体" w:cs="宋体"/>
                <w:szCs w:val="21"/>
              </w:rPr>
              <w:t>否</w:t>
            </w:r>
          </w:p>
          <w:p w14:paraId="0FB8E4CC">
            <w:pPr>
              <w:adjustRightInd w:val="0"/>
              <w:snapToGrid w:val="0"/>
              <w:rPr>
                <w:rFonts w:ascii="宋体" w:hAnsi="宋体" w:cs="宋体"/>
                <w:szCs w:val="21"/>
              </w:rPr>
            </w:pPr>
            <w:r>
              <w:rPr>
                <w:rFonts w:hint="eastAsia" w:ascii="宋体" w:hAnsi="宋体" w:cs="宋体"/>
                <w:szCs w:val="21"/>
              </w:rPr>
              <w:sym w:font="Wingdings 2" w:char="00A3"/>
            </w:r>
            <w:r>
              <w:rPr>
                <w:rFonts w:hint="eastAsia" w:ascii="宋体" w:hAnsi="宋体" w:cs="宋体"/>
                <w:szCs w:val="21"/>
              </w:rPr>
              <w:t>是：</w:t>
            </w:r>
            <w:r>
              <w:rPr>
                <w:rFonts w:hint="eastAsia" w:ascii="宋体" w:hAnsi="宋体" w:cs="宋体"/>
                <w:szCs w:val="21"/>
                <w:u w:val="single"/>
              </w:rPr>
              <w:t xml:space="preserve">             </w:t>
            </w:r>
          </w:p>
        </w:tc>
        <w:tc>
          <w:tcPr>
            <w:tcW w:w="2212" w:type="dxa"/>
            <w:tcMar>
              <w:top w:w="16" w:type="dxa"/>
              <w:left w:w="16" w:type="dxa"/>
              <w:right w:w="16" w:type="dxa"/>
            </w:tcMar>
            <w:vAlign w:val="center"/>
          </w:tcPr>
          <w:p w14:paraId="3B109620">
            <w:pPr>
              <w:adjustRightInd w:val="0"/>
              <w:snapToGrid w:val="0"/>
              <w:jc w:val="center"/>
              <w:rPr>
                <w:rFonts w:ascii="宋体" w:hAnsi="宋体" w:cs="宋体"/>
                <w:b/>
                <w:spacing w:val="-6"/>
                <w:szCs w:val="21"/>
              </w:rPr>
            </w:pPr>
            <w:r>
              <w:rPr>
                <w:rFonts w:hint="eastAsia" w:ascii="宋体" w:hAnsi="宋体" w:cs="宋体"/>
                <w:b/>
                <w:spacing w:val="-6"/>
                <w:szCs w:val="21"/>
              </w:rPr>
              <w:t>用地（用海）</w:t>
            </w:r>
          </w:p>
          <w:p w14:paraId="13F269FE">
            <w:pPr>
              <w:adjustRightInd w:val="0"/>
              <w:snapToGrid w:val="0"/>
              <w:jc w:val="center"/>
              <w:rPr>
                <w:rFonts w:ascii="宋体" w:hAnsi="宋体" w:cs="宋体"/>
                <w:szCs w:val="21"/>
              </w:rPr>
            </w:pPr>
            <w:r>
              <w:rPr>
                <w:rFonts w:hint="eastAsia" w:ascii="宋体" w:hAnsi="宋体" w:cs="宋体"/>
                <w:b/>
                <w:spacing w:val="-6"/>
                <w:szCs w:val="21"/>
              </w:rPr>
              <w:t>面积</w:t>
            </w:r>
            <w:r>
              <w:rPr>
                <w:b/>
                <w:spacing w:val="-6"/>
                <w:szCs w:val="21"/>
              </w:rPr>
              <w:t>（m</w:t>
            </w:r>
            <w:r>
              <w:rPr>
                <w:b/>
                <w:spacing w:val="-6"/>
                <w:szCs w:val="21"/>
                <w:vertAlign w:val="superscript"/>
              </w:rPr>
              <w:t>2</w:t>
            </w:r>
            <w:r>
              <w:rPr>
                <w:b/>
                <w:spacing w:val="-6"/>
                <w:szCs w:val="21"/>
              </w:rPr>
              <w:t>）</w:t>
            </w:r>
          </w:p>
        </w:tc>
        <w:tc>
          <w:tcPr>
            <w:tcW w:w="2639" w:type="dxa"/>
            <w:vAlign w:val="center"/>
          </w:tcPr>
          <w:p w14:paraId="1CFFDD07">
            <w:pPr>
              <w:adjustRightInd w:val="0"/>
              <w:snapToGrid w:val="0"/>
              <w:jc w:val="center"/>
              <w:rPr>
                <w:rFonts w:ascii="宋体" w:hAnsi="宋体" w:cs="宋体"/>
                <w:szCs w:val="21"/>
              </w:rPr>
            </w:pPr>
            <w:r>
              <w:rPr>
                <w:rFonts w:hint="eastAsia"/>
                <w:szCs w:val="21"/>
                <w:lang w:val="en-US" w:eastAsia="zh-CN"/>
              </w:rPr>
              <w:t>86</w:t>
            </w:r>
            <w:r>
              <w:rPr>
                <w:rFonts w:hint="eastAsia"/>
                <w:szCs w:val="21"/>
              </w:rPr>
              <w:t>亩（57333.3m</w:t>
            </w:r>
            <w:r>
              <w:rPr>
                <w:rFonts w:hint="eastAsia"/>
                <w:szCs w:val="21"/>
                <w:vertAlign w:val="superscript"/>
              </w:rPr>
              <w:t>2</w:t>
            </w:r>
            <w:r>
              <w:rPr>
                <w:rFonts w:hint="eastAsia"/>
                <w:szCs w:val="21"/>
              </w:rPr>
              <w:t>）</w:t>
            </w:r>
          </w:p>
        </w:tc>
      </w:tr>
      <w:tr w14:paraId="6B4EC1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981" w:type="dxa"/>
            <w:gridSpan w:val="2"/>
            <w:vAlign w:val="center"/>
          </w:tcPr>
          <w:p w14:paraId="51D2D02B">
            <w:pPr>
              <w:autoSpaceDE w:val="0"/>
              <w:autoSpaceDN w:val="0"/>
              <w:adjustRightInd w:val="0"/>
              <w:snapToGrid w:val="0"/>
              <w:jc w:val="center"/>
              <w:rPr>
                <w:rFonts w:ascii="宋体" w:hAnsi="宋体" w:cs="宋体"/>
                <w:b/>
                <w:kern w:val="0"/>
                <w:szCs w:val="21"/>
              </w:rPr>
            </w:pPr>
            <w:r>
              <w:rPr>
                <w:rFonts w:hint="eastAsia" w:ascii="宋体" w:hAnsi="宋体" w:cs="宋体"/>
                <w:b/>
                <w:kern w:val="0"/>
                <w:szCs w:val="21"/>
              </w:rPr>
              <w:t>专项评价设置情况</w:t>
            </w:r>
          </w:p>
        </w:tc>
        <w:tc>
          <w:tcPr>
            <w:tcW w:w="6889" w:type="dxa"/>
            <w:gridSpan w:val="3"/>
            <w:vAlign w:val="center"/>
          </w:tcPr>
          <w:p w14:paraId="4A263778">
            <w:pPr>
              <w:autoSpaceDE w:val="0"/>
              <w:autoSpaceDN w:val="0"/>
              <w:adjustRightInd w:val="0"/>
              <w:snapToGrid w:val="0"/>
              <w:jc w:val="center"/>
              <w:rPr>
                <w:rFonts w:ascii="宋体" w:hAnsi="宋体" w:cs="宋体"/>
                <w:kern w:val="0"/>
                <w:sz w:val="24"/>
              </w:rPr>
            </w:pPr>
            <w:r>
              <w:rPr>
                <w:rFonts w:hint="eastAsia" w:ascii="宋体" w:hAnsi="宋体" w:cs="宋体"/>
                <w:kern w:val="0"/>
                <w:sz w:val="24"/>
              </w:rPr>
              <w:t>无</w:t>
            </w:r>
          </w:p>
        </w:tc>
      </w:tr>
      <w:tr w14:paraId="109D7A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37" w:hRule="atLeast"/>
          <w:jc w:val="center"/>
        </w:trPr>
        <w:tc>
          <w:tcPr>
            <w:tcW w:w="407" w:type="dxa"/>
            <w:vAlign w:val="center"/>
          </w:tcPr>
          <w:p w14:paraId="32E5B8BB">
            <w:pPr>
              <w:autoSpaceDE w:val="0"/>
              <w:autoSpaceDN w:val="0"/>
              <w:adjustRightInd w:val="0"/>
              <w:snapToGrid w:val="0"/>
              <w:jc w:val="center"/>
              <w:rPr>
                <w:rFonts w:ascii="宋体" w:hAnsi="宋体" w:cs="宋体"/>
                <w:b/>
                <w:kern w:val="0"/>
                <w:szCs w:val="21"/>
              </w:rPr>
            </w:pPr>
            <w:r>
              <w:rPr>
                <w:rFonts w:hint="eastAsia" w:ascii="宋体" w:hAnsi="宋体" w:cs="宋体"/>
                <w:b/>
                <w:szCs w:val="21"/>
              </w:rPr>
              <w:t>规划情况</w:t>
            </w:r>
          </w:p>
        </w:tc>
        <w:tc>
          <w:tcPr>
            <w:tcW w:w="8463" w:type="dxa"/>
            <w:gridSpan w:val="4"/>
            <w:vAlign w:val="center"/>
          </w:tcPr>
          <w:p w14:paraId="3EC34189">
            <w:pPr>
              <w:pStyle w:val="11"/>
              <w:spacing w:line="360" w:lineRule="auto"/>
              <w:rPr>
                <w:b w:val="0"/>
                <w:bCs w:val="0"/>
                <w:kern w:val="2"/>
                <w:szCs w:val="24"/>
              </w:rPr>
            </w:pPr>
            <w:r>
              <w:rPr>
                <w:b/>
                <w:bCs/>
                <w:kern w:val="2"/>
                <w:szCs w:val="24"/>
              </w:rPr>
              <w:t>规划名称：</w:t>
            </w:r>
            <w:r>
              <w:rPr>
                <w:rFonts w:hint="eastAsia"/>
                <w:b w:val="0"/>
                <w:bCs w:val="0"/>
                <w:color w:val="FF0000"/>
                <w:kern w:val="2"/>
                <w:szCs w:val="24"/>
              </w:rPr>
              <w:t>《安徽淮北杜集经济开发区总体规划》</w:t>
            </w:r>
          </w:p>
          <w:p w14:paraId="37B4AFA6">
            <w:pPr>
              <w:pStyle w:val="11"/>
              <w:spacing w:line="360" w:lineRule="auto"/>
              <w:rPr>
                <w:kern w:val="2"/>
                <w:szCs w:val="24"/>
              </w:rPr>
            </w:pPr>
            <w:r>
              <w:rPr>
                <w:b/>
                <w:bCs/>
                <w:kern w:val="2"/>
                <w:szCs w:val="24"/>
              </w:rPr>
              <w:t>审批机关：</w:t>
            </w:r>
            <w:r>
              <w:rPr>
                <w:rFonts w:hint="eastAsia"/>
                <w:kern w:val="2"/>
                <w:szCs w:val="24"/>
              </w:rPr>
              <w:t>安徽省人民政府</w:t>
            </w:r>
          </w:p>
          <w:p w14:paraId="0F7383C6">
            <w:pPr>
              <w:autoSpaceDE w:val="0"/>
              <w:autoSpaceDN w:val="0"/>
              <w:adjustRightInd w:val="0"/>
              <w:snapToGrid w:val="0"/>
              <w:spacing w:line="360" w:lineRule="auto"/>
              <w:jc w:val="left"/>
              <w:rPr>
                <w:rFonts w:ascii="宋体" w:hAnsi="宋体" w:cs="宋体"/>
                <w:kern w:val="0"/>
                <w:sz w:val="24"/>
              </w:rPr>
            </w:pPr>
            <w:r>
              <w:rPr>
                <w:b/>
                <w:bCs/>
                <w:sz w:val="24"/>
              </w:rPr>
              <w:t>审批文件名称及文号：</w:t>
            </w:r>
            <w:r>
              <w:rPr>
                <w:rFonts w:hint="eastAsia"/>
                <w:sz w:val="24"/>
              </w:rPr>
              <w:t>《关于同意筹建安徽淮北杜集经济开发区的批复》（皖政秘〔2006〕164号）</w:t>
            </w:r>
          </w:p>
        </w:tc>
      </w:tr>
      <w:tr w14:paraId="0329F5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0" w:hRule="atLeast"/>
          <w:jc w:val="center"/>
        </w:trPr>
        <w:tc>
          <w:tcPr>
            <w:tcW w:w="407" w:type="dxa"/>
            <w:vAlign w:val="center"/>
          </w:tcPr>
          <w:p w14:paraId="108946C2">
            <w:pPr>
              <w:adjustRightInd w:val="0"/>
              <w:snapToGrid w:val="0"/>
              <w:jc w:val="center"/>
              <w:rPr>
                <w:rFonts w:ascii="宋体" w:hAnsi="宋体" w:cs="宋体"/>
                <w:b/>
                <w:szCs w:val="21"/>
              </w:rPr>
            </w:pPr>
            <w:r>
              <w:rPr>
                <w:rFonts w:hint="eastAsia" w:ascii="宋体" w:hAnsi="宋体" w:cs="宋体"/>
                <w:b/>
                <w:szCs w:val="21"/>
              </w:rPr>
              <w:t>规划环境影响</w:t>
            </w:r>
          </w:p>
          <w:p w14:paraId="540DF0E3">
            <w:pPr>
              <w:adjustRightInd w:val="0"/>
              <w:snapToGrid w:val="0"/>
              <w:jc w:val="center"/>
              <w:rPr>
                <w:rFonts w:ascii="宋体" w:hAnsi="宋体" w:cs="宋体"/>
                <w:b/>
                <w:kern w:val="0"/>
                <w:szCs w:val="21"/>
              </w:rPr>
            </w:pPr>
            <w:r>
              <w:rPr>
                <w:rFonts w:hint="eastAsia" w:ascii="宋体" w:hAnsi="宋体" w:cs="宋体"/>
                <w:b/>
                <w:szCs w:val="21"/>
              </w:rPr>
              <w:t>评价情况</w:t>
            </w:r>
          </w:p>
        </w:tc>
        <w:tc>
          <w:tcPr>
            <w:tcW w:w="8463" w:type="dxa"/>
            <w:gridSpan w:val="4"/>
            <w:vAlign w:val="center"/>
          </w:tcPr>
          <w:p w14:paraId="6448A5AF">
            <w:pPr>
              <w:autoSpaceDE w:val="0"/>
              <w:autoSpaceDN w:val="0"/>
              <w:adjustRightInd w:val="0"/>
              <w:snapToGrid w:val="0"/>
              <w:spacing w:line="360" w:lineRule="auto"/>
              <w:rPr>
                <w:rFonts w:hint="default" w:ascii="Times New Roman" w:hAnsi="Times New Roman" w:cs="Times New Roman"/>
                <w:kern w:val="0"/>
                <w:sz w:val="24"/>
                <w:szCs w:val="24"/>
              </w:rPr>
            </w:pPr>
            <w:r>
              <w:rPr>
                <w:b/>
                <w:bCs/>
                <w:kern w:val="0"/>
                <w:sz w:val="24"/>
              </w:rPr>
              <w:t>1</w:t>
            </w:r>
            <w:r>
              <w:rPr>
                <w:rFonts w:hint="default" w:ascii="Times New Roman" w:hAnsi="Times New Roman" w:cs="Times New Roman"/>
                <w:b/>
                <w:bCs/>
                <w:kern w:val="0"/>
                <w:sz w:val="24"/>
                <w:szCs w:val="24"/>
              </w:rPr>
              <w:t>、规划环境影响评价名称：</w:t>
            </w:r>
            <w:r>
              <w:rPr>
                <w:rFonts w:hint="default" w:ascii="Times New Roman" w:hAnsi="Times New Roman" w:cs="Times New Roman"/>
                <w:kern w:val="0"/>
                <w:sz w:val="24"/>
                <w:szCs w:val="24"/>
              </w:rPr>
              <w:t>《安徽淮北杜集经济开发区总体发展规划（2023-2035年）环境影响报告书》</w:t>
            </w:r>
          </w:p>
          <w:p w14:paraId="44FACAE7">
            <w:pPr>
              <w:autoSpaceDE w:val="0"/>
              <w:autoSpaceDN w:val="0"/>
              <w:adjustRightInd w:val="0"/>
              <w:snapToGrid w:val="0"/>
              <w:spacing w:line="360" w:lineRule="auto"/>
              <w:rPr>
                <w:rFonts w:hint="default" w:ascii="Times New Roman" w:hAnsi="Times New Roman" w:cs="Times New Roman"/>
                <w:kern w:val="0"/>
                <w:sz w:val="24"/>
                <w:szCs w:val="24"/>
              </w:rPr>
            </w:pPr>
            <w:r>
              <w:rPr>
                <w:rFonts w:hint="default" w:ascii="Times New Roman" w:hAnsi="Times New Roman" w:cs="Times New Roman"/>
                <w:b/>
                <w:bCs/>
                <w:kern w:val="0"/>
                <w:sz w:val="24"/>
                <w:szCs w:val="24"/>
              </w:rPr>
              <w:t>审查机关：</w:t>
            </w:r>
            <w:r>
              <w:rPr>
                <w:rFonts w:hint="default" w:ascii="Times New Roman" w:hAnsi="Times New Roman" w:cs="Times New Roman"/>
                <w:kern w:val="0"/>
                <w:sz w:val="24"/>
                <w:szCs w:val="24"/>
              </w:rPr>
              <w:t>淮北市生态环境局</w:t>
            </w:r>
          </w:p>
          <w:p w14:paraId="524644C0">
            <w:pPr>
              <w:autoSpaceDE w:val="0"/>
              <w:autoSpaceDN w:val="0"/>
              <w:adjustRightInd w:val="0"/>
              <w:snapToGrid w:val="0"/>
              <w:spacing w:line="360" w:lineRule="auto"/>
              <w:rPr>
                <w:rFonts w:ascii="宋体" w:hAnsi="宋体" w:cs="宋体"/>
                <w:kern w:val="0"/>
                <w:sz w:val="24"/>
              </w:rPr>
            </w:pPr>
            <w:r>
              <w:rPr>
                <w:rFonts w:hint="default" w:ascii="Times New Roman" w:hAnsi="Times New Roman" w:cs="Times New Roman"/>
                <w:b/>
                <w:bCs/>
                <w:kern w:val="0"/>
                <w:sz w:val="24"/>
                <w:szCs w:val="24"/>
              </w:rPr>
              <w:t>审查文件名称及文号：</w:t>
            </w:r>
            <w:r>
              <w:rPr>
                <w:rFonts w:hint="default" w:ascii="Times New Roman" w:hAnsi="Times New Roman" w:cs="Times New Roman"/>
                <w:kern w:val="0"/>
                <w:sz w:val="24"/>
                <w:szCs w:val="24"/>
              </w:rPr>
              <w:t>《关于印送&lt;安徽淮北杜集经济开发区总体发展规划（2023-2035年）环境影响报告书审查意见&gt;的函》</w:t>
            </w:r>
            <w:r>
              <w:rPr>
                <w:rFonts w:hint="default" w:ascii="Times New Roman" w:hAnsi="Times New Roman" w:cs="Times New Roman"/>
                <w:kern w:val="0"/>
                <w:sz w:val="24"/>
                <w:szCs w:val="24"/>
                <w:lang w:eastAsia="zh-CN"/>
              </w:rPr>
              <w:t>（</w:t>
            </w:r>
            <w:r>
              <w:rPr>
                <w:rFonts w:hint="default" w:ascii="Times New Roman" w:hAnsi="Times New Roman" w:cs="Times New Roman"/>
                <w:kern w:val="0"/>
                <w:sz w:val="24"/>
                <w:szCs w:val="24"/>
              </w:rPr>
              <w:t>淮环函〔2024〕68 号</w:t>
            </w:r>
            <w:r>
              <w:rPr>
                <w:rFonts w:hint="default" w:ascii="Times New Roman" w:hAnsi="Times New Roman" w:cs="Times New Roman"/>
                <w:kern w:val="0"/>
                <w:sz w:val="24"/>
                <w:szCs w:val="24"/>
                <w:lang w:eastAsia="zh-CN"/>
              </w:rPr>
              <w:t>）</w:t>
            </w:r>
          </w:p>
        </w:tc>
      </w:tr>
      <w:tr w14:paraId="54E6A4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7" w:type="dxa"/>
            <w:vAlign w:val="center"/>
          </w:tcPr>
          <w:p w14:paraId="722A911C">
            <w:pPr>
              <w:autoSpaceDE w:val="0"/>
              <w:autoSpaceDN w:val="0"/>
              <w:adjustRightInd w:val="0"/>
              <w:snapToGrid w:val="0"/>
              <w:rPr>
                <w:rFonts w:ascii="宋体" w:hAnsi="宋体" w:cs="宋体"/>
                <w:b/>
                <w:szCs w:val="21"/>
              </w:rPr>
            </w:pPr>
            <w:r>
              <w:rPr>
                <w:rFonts w:hint="eastAsia" w:ascii="宋体" w:hAnsi="宋体" w:cs="宋体"/>
                <w:b/>
                <w:kern w:val="0"/>
                <w:szCs w:val="21"/>
              </w:rPr>
              <w:t>规划及规划环境影响评价符合性分析</w:t>
            </w:r>
          </w:p>
        </w:tc>
        <w:tc>
          <w:tcPr>
            <w:tcW w:w="8463" w:type="dxa"/>
            <w:gridSpan w:val="4"/>
            <w:vAlign w:val="center"/>
          </w:tcPr>
          <w:p w14:paraId="0B464C2C">
            <w:pPr>
              <w:autoSpaceDE w:val="0"/>
              <w:autoSpaceDN w:val="0"/>
              <w:spacing w:line="360" w:lineRule="auto"/>
              <w:ind w:firstLine="482" w:firstLineChars="200"/>
              <w:jc w:val="left"/>
              <w:rPr>
                <w:b/>
                <w:bCs/>
                <w:kern w:val="0"/>
                <w:sz w:val="24"/>
              </w:rPr>
            </w:pPr>
            <w:r>
              <w:rPr>
                <w:rFonts w:hint="eastAsia"/>
                <w:b/>
                <w:bCs/>
                <w:kern w:val="0"/>
                <w:sz w:val="24"/>
              </w:rPr>
              <w:t>1、规划符合性分析</w:t>
            </w:r>
          </w:p>
          <w:p w14:paraId="01101F0E">
            <w:pPr>
              <w:autoSpaceDE w:val="0"/>
              <w:autoSpaceDN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（1）规划期限</w:t>
            </w:r>
          </w:p>
          <w:p w14:paraId="616BAA26">
            <w:pPr>
              <w:autoSpaceDE w:val="0"/>
              <w:autoSpaceDN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规划期限为：2023～2035年，其中近期：2023～2025年，远期：2025~2035年。</w:t>
            </w:r>
          </w:p>
          <w:p w14:paraId="7B20F9BF">
            <w:pPr>
              <w:autoSpaceDE w:val="0"/>
              <w:autoSpaceDN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（2）规划范围</w:t>
            </w:r>
          </w:p>
          <w:p w14:paraId="021310CC">
            <w:pPr>
              <w:autoSpaceDE w:val="0"/>
              <w:autoSpaceDN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开发区规划总面积为805.19公顷，包含2个区块，其中区块一面积为634.17公顷，四至范围为：东至岱河，南至青年路，西至尖山山脚，北至山河大道；区块二面积为171.03公顷，四至范围为：东至萧淮公路，南至岱河与萧淮公路交界处，西至岱河，北至开创路。</w:t>
            </w:r>
          </w:p>
          <w:p w14:paraId="10ECF89D">
            <w:pPr>
              <w:autoSpaceDE w:val="0"/>
              <w:autoSpaceDN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（3）产业空间布局规划</w:t>
            </w:r>
          </w:p>
          <w:p w14:paraId="4E4D84ED">
            <w:pPr>
              <w:autoSpaceDE w:val="0"/>
              <w:autoSpaceDN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①总体布局</w:t>
            </w:r>
          </w:p>
          <w:p w14:paraId="37498B98">
            <w:pPr>
              <w:autoSpaceDE w:val="0"/>
              <w:autoSpaceDN w:val="0"/>
              <w:spacing w:line="360" w:lineRule="auto"/>
              <w:ind w:firstLine="480" w:firstLineChars="200"/>
              <w:rPr>
                <w:rFonts w:hint="eastAsia" w:ascii="宋体" w:hAnsi="宋体" w:eastAsia="宋体" w:cs="宋体"/>
                <w:sz w:val="24"/>
              </w:rPr>
            </w:pPr>
            <w:r>
              <w:rPr>
                <w:rFonts w:hint="default" w:ascii="Times New Roman" w:hAnsi="Times New Roman" w:eastAsia="宋体" w:cs="Times New Roman"/>
                <w:sz w:val="24"/>
              </w:rPr>
              <w:t>以集约发展、有序联系、充分发挥地块优势为主要思路，合理布局研发、设计、生产、服务和场景，面向大中型企业提供生产制造基地、企业独立园区等，面向成长型中小企业提供研发基地，面向创业团队提供创客空间、孵化空间、双创空间；在横向上，根据不同类型企业的需求提供基于价值链的延展式产业服务，提供多样化的办公、生产、研发、物流转运空间；在研发环节，搭建产业研究平台、公共测试平台、技术交流平台，提供个性化研发、试验空间、样品测试空间等；在生产和服务环节，提供规模化的场地、个性化厂房或办公基地；支持杜集经济开发区优势产业、龙头企业提供智能车间、智能工厂、未来工厂等进行智能化、数字化升级示范，最终形成创新创业活力迸发、产业生态良好，集群集聚发</w:t>
            </w:r>
            <w:r>
              <w:rPr>
                <w:rFonts w:hint="eastAsia" w:ascii="宋体" w:hAnsi="宋体" w:eastAsia="宋体" w:cs="宋体"/>
                <w:sz w:val="24"/>
              </w:rPr>
              <w:t>展效应显著的产业集聚区，形成“一核、一轴、四基地”的产业发展总体空间布局形态。</w:t>
            </w:r>
          </w:p>
          <w:p w14:paraId="585FB721">
            <w:pPr>
              <w:autoSpaceDE w:val="0"/>
              <w:autoSpaceDN w:val="0"/>
              <w:spacing w:line="360" w:lineRule="auto"/>
              <w:ind w:firstLine="480" w:firstLineChars="200"/>
              <w:rPr>
                <w:rFonts w:hint="eastAsia" w:ascii="宋体" w:hAnsi="宋体" w:eastAsia="宋体" w:cs="宋体"/>
                <w:sz w:val="24"/>
              </w:rPr>
            </w:pPr>
            <w:r>
              <w:rPr>
                <w:rFonts w:hint="eastAsia" w:ascii="宋体" w:hAnsi="宋体" w:eastAsia="宋体" w:cs="宋体"/>
                <w:sz w:val="24"/>
              </w:rPr>
              <w:t>“一核”：在紫昱路北侧、富强路东侧、山河大道以南，以研发、孵化、培育创新型中小企业为主要功能，建设创客空间、智能车间，形成集研发、设计、孵化于一体的综合性创新孵化核心区。</w:t>
            </w:r>
          </w:p>
          <w:p w14:paraId="7B1A56E9">
            <w:pPr>
              <w:autoSpaceDE w:val="0"/>
              <w:autoSpaceDN w:val="0"/>
              <w:spacing w:line="360" w:lineRule="auto"/>
              <w:ind w:firstLine="480" w:firstLineChars="200"/>
              <w:rPr>
                <w:rFonts w:hint="eastAsia" w:ascii="宋体" w:hAnsi="宋体" w:eastAsia="宋体" w:cs="宋体"/>
                <w:sz w:val="24"/>
              </w:rPr>
            </w:pPr>
            <w:r>
              <w:rPr>
                <w:rFonts w:hint="eastAsia" w:ascii="宋体" w:hAnsi="宋体" w:eastAsia="宋体" w:cs="宋体"/>
                <w:sz w:val="24"/>
              </w:rPr>
              <w:t>“一轴”：沿杜集经济开发区南北向串联各制造基地的虚拟轴带。轴带上分布着杜集经济开发区的所有重要产业功能区。</w:t>
            </w:r>
          </w:p>
          <w:p w14:paraId="16BA0FFD">
            <w:pPr>
              <w:autoSpaceDE w:val="0"/>
              <w:autoSpaceDN w:val="0"/>
              <w:spacing w:line="360" w:lineRule="auto"/>
              <w:ind w:firstLine="480" w:firstLineChars="200"/>
              <w:rPr>
                <w:rFonts w:hint="eastAsia" w:ascii="宋体" w:hAnsi="宋体" w:eastAsia="宋体" w:cs="宋体"/>
                <w:sz w:val="24"/>
              </w:rPr>
            </w:pPr>
            <w:r>
              <w:rPr>
                <w:rFonts w:hint="eastAsia" w:ascii="宋体" w:hAnsi="宋体" w:eastAsia="宋体" w:cs="宋体"/>
                <w:sz w:val="24"/>
              </w:rPr>
              <w:t>“四基地”：</w:t>
            </w:r>
          </w:p>
          <w:p w14:paraId="56F6C59E">
            <w:pPr>
              <w:autoSpaceDE w:val="0"/>
              <w:autoSpaceDN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装备制造产业基地——发挥矿机装备优势，分别在青春路以南和开创路以南区域建设两大装备制造产业基地。一方面通过招商引进或本地扩大规模的矿机产业，积极引进智能矿机、智能机床与机器人、航空航天装备、智能电网配电设备及零配件等；另一方面重点依托现有装备制造产业，促进产业升级，打造高端装备制造转型升级先行区。</w:t>
            </w:r>
          </w:p>
          <w:p w14:paraId="698D4817">
            <w:pPr>
              <w:autoSpaceDE w:val="0"/>
              <w:autoSpaceDN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非金属新材料产业基地——分别在腾飞路以西和青春路以北区域建设非金属新材料产业基地。围绕硅基新材料、绿色建材等方向，重点发展新型玻璃、新型建材以及多晶硅产业链等新材料产业基地。</w:t>
            </w:r>
          </w:p>
          <w:p w14:paraId="2DA29080">
            <w:pPr>
              <w:autoSpaceDE w:val="0"/>
              <w:autoSpaceDN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电气机械产业基地——在岱河以东、202省道以西区域建设电气机械产业基地。积极引入新能源电池、汽车零部件、电气信号设备、绿色照明与智能家居等制造领域相关企业。</w:t>
            </w:r>
          </w:p>
          <w:p w14:paraId="79ECF57E">
            <w:pPr>
              <w:autoSpaceDE w:val="0"/>
              <w:autoSpaceDN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智能化系统与信息服务基地——沿岱河在山河大道以南区域打造智能化系统与信息服务基地，重点依托现有装备制造、非金属新材料等优势产业数字化升级需求，引入工业软件开发企业、工业互联网企业，发展数控嵌入式软件、自动化控制系统、互联网数据服务和新型信息技术服务等方向。</w:t>
            </w:r>
          </w:p>
          <w:p w14:paraId="1833859E">
            <w:pPr>
              <w:autoSpaceDE w:val="0"/>
              <w:autoSpaceDN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②功能分区</w:t>
            </w:r>
          </w:p>
          <w:p w14:paraId="79B4D762">
            <w:pPr>
              <w:autoSpaceDE w:val="0"/>
              <w:autoSpaceDN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开发区主要以工业用地为主，现状紫昱路以南的工业用地基本已经建设完成，未来拓展空间主要集中在腾飞路东侧和山河大道以北的区域。考虑园区生产与生活的完整性，除工业用地外，安排一定数量的研发功能、仓储功能、居住功能、公用设施及商业服务业设施功能等，加强开发区与城区的联系，实现产城融合发展，同时解决拆迁安置和保障房建设的需要，结合周边城区功能配套相关基础设施和公共服务设施用地。</w:t>
            </w:r>
          </w:p>
          <w:p w14:paraId="6926CEA1">
            <w:pPr>
              <w:autoSpaceDE w:val="0"/>
              <w:autoSpaceDN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装备制造产业基地：片区已经进驻了安徽矿机、中芬选矿等一批龙头企业，初步具备了装备制造集群优势。规划可利用空间约960亩，主要集中在开创路以南、开明路以西的区域，以生产制造功能为主建设标准化厂房，同时在北外环路南侧布局物流仓储功能，并预留一定的产业发展用地，重点布局智能制造产业园、智能矿机装备、智能机床与机器人等生产制造项目。</w:t>
            </w:r>
          </w:p>
          <w:p w14:paraId="460101FB">
            <w:pPr>
              <w:autoSpaceDE w:val="0"/>
              <w:autoSpaceDN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非金属新材料产业基地：片区目前引进了众城水泥、北华玻璃等一批企业。规划可利用空间约52亩，主要集中在腾飞路以西和青春路以北的区域，以生产制造功能为主，并预留一定的产业发展用地用以引驻高成长性项目，片区重点布局硅基新材料、新型材等类别的生产制造项目。</w:t>
            </w:r>
          </w:p>
          <w:p w14:paraId="32A8BEA4">
            <w:pPr>
              <w:autoSpaceDE w:val="0"/>
              <w:autoSpaceDN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电气机械产业基地：片区目前建设了创新产业园一期，正推进淮海都市产业园一期建设。规划可利用空间约490亩，主要集中在山河大道北侧区域，布局生产制造功能，加快电气机械产业培育，片区重点布局新能源电池、汽车零部件、电子元器件、智能家居、智慧照明等类别生产制造项目。</w:t>
            </w:r>
          </w:p>
          <w:p w14:paraId="4534C6AE">
            <w:pPr>
              <w:autoSpaceDE w:val="0"/>
              <w:autoSpaceDN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智能化系统与信息服务产业基地：规划可利用空间约460亩，主要分布在岱河两岸以及202省道北侧，布局新型产业用地（M0）功能，容积率控制在2.0~2.5之间，加快智能化系统与信息服务产业集聚，片区重点布局互联网与云计算、大数据类项目，以及生产智能化信息服务类项目。</w:t>
            </w:r>
          </w:p>
          <w:p w14:paraId="6F478401">
            <w:pPr>
              <w:autoSpaceDE w:val="0"/>
              <w:autoSpaceDN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创新孵化核心区：片区目前建设有杜集经开区管委会、电商产业园，引驻了安上装备、中清环保等企业。规划可利用空间约500亩，主要分布在富强路西侧，布局研发孵化功能，容积率控制在2.0～2.5之间，建成杜集经济开发区的创新极核，片区重点布局科创孵化基地、科技成果转化服务、柔性人才社区以及围绕装备制造、非金属新材料、电气机械等产业的创新服务项目。</w:t>
            </w:r>
          </w:p>
          <w:p w14:paraId="07DCE7B0">
            <w:pPr>
              <w:autoSpaceDE w:val="0"/>
              <w:autoSpaceDN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东部居住区：片区目前以居住功能为主，是区域内村庄搬迁安置的集中区。规划可利用空间约750亩，容积率控制在2.0～2.5之间，以产城融合为发展目标，在片区内布局居住功能、商业服务功能和公共服务功能，改善人居环境，完善教育、医疗、文化、交通、商业等配套设施。</w:t>
            </w:r>
          </w:p>
          <w:p w14:paraId="05602157">
            <w:pPr>
              <w:autoSpaceDE w:val="0"/>
              <w:autoSpaceDN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（4）规划主导产业</w:t>
            </w:r>
          </w:p>
          <w:p w14:paraId="7F7503D5">
            <w:pPr>
              <w:autoSpaceDE w:val="0"/>
              <w:autoSpaceDN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规划主导产业为装备制造业、非金属新材料和电气机械制造。</w:t>
            </w:r>
          </w:p>
          <w:p w14:paraId="4167013B">
            <w:pPr>
              <w:autoSpaceDE w:val="0"/>
              <w:autoSpaceDN w:val="0"/>
              <w:spacing w:line="360" w:lineRule="auto"/>
              <w:ind w:firstLine="480" w:firstLineChars="200"/>
              <w:rPr>
                <w:rFonts w:hint="eastAsia" w:ascii="Times New Roman" w:hAnsi="Times New Roman" w:eastAsia="宋体" w:cs="Times New Roman"/>
                <w:sz w:val="24"/>
                <w:lang w:eastAsia="zh-CN"/>
              </w:rPr>
            </w:pPr>
            <w:r>
              <w:rPr>
                <w:rFonts w:hint="eastAsia" w:ascii="Times New Roman" w:hAnsi="Times New Roman" w:eastAsia="宋体" w:cs="Times New Roman"/>
                <w:sz w:val="24"/>
                <w:lang w:eastAsia="zh-CN"/>
              </w:rPr>
              <w:t>本项目建设地点为杜集经济开发区238省道西、山河大道南，对照《安徽省淮北市杜集经济开发区总体发展规划图》可知本项目位于二类工业用地，符合杜集经济开发区的用地规划。</w:t>
            </w:r>
          </w:p>
          <w:p w14:paraId="5EEE6F06">
            <w:pPr>
              <w:autoSpaceDE w:val="0"/>
              <w:autoSpaceDN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对照《建设项目环境影响评价分类管理名录》（2021版），本项目行业类别为</w:t>
            </w:r>
            <w:r>
              <w:rPr>
                <w:rFonts w:hint="eastAsia" w:ascii="Times New Roman" w:hAnsi="Times New Roman" w:eastAsia="宋体" w:cs="Times New Roman"/>
                <w:sz w:val="24"/>
                <w:lang w:eastAsia="zh-CN"/>
              </w:rPr>
              <w:t>“</w:t>
            </w:r>
            <w:r>
              <w:rPr>
                <w:rFonts w:hint="default" w:ascii="Times New Roman" w:hAnsi="Times New Roman" w:eastAsia="宋体" w:cs="Times New Roman"/>
                <w:sz w:val="24"/>
              </w:rPr>
              <w:t>通用设备制造业</w:t>
            </w:r>
            <w:r>
              <w:rPr>
                <w:rFonts w:hint="eastAsia" w:ascii="Times New Roman" w:hAnsi="Times New Roman" w:eastAsia="宋体" w:cs="Times New Roman"/>
                <w:sz w:val="24"/>
                <w:lang w:eastAsia="zh-CN"/>
              </w:rPr>
              <w:t>”中的“</w:t>
            </w:r>
            <w:r>
              <w:rPr>
                <w:rFonts w:hint="default" w:ascii="Times New Roman" w:hAnsi="Times New Roman" w:eastAsia="宋体" w:cs="Times New Roman"/>
                <w:sz w:val="24"/>
              </w:rPr>
              <w:t>锅炉及原动设备制造</w:t>
            </w:r>
            <w:r>
              <w:rPr>
                <w:rFonts w:hint="eastAsia" w:ascii="Times New Roman" w:hAnsi="Times New Roman" w:eastAsia="宋体" w:cs="Times New Roman"/>
                <w:sz w:val="24"/>
                <w:lang w:eastAsia="zh-CN"/>
              </w:rPr>
              <w:t>”</w:t>
            </w:r>
            <w:r>
              <w:rPr>
                <w:rFonts w:hint="default" w:ascii="Times New Roman" w:hAnsi="Times New Roman" w:eastAsia="宋体" w:cs="Times New Roman"/>
                <w:sz w:val="24"/>
              </w:rPr>
              <w:t>，属于《安徽淮北杜集经济开发区总体发展规划（2023-2035年）》中的主导产业</w:t>
            </w:r>
            <w:r>
              <w:rPr>
                <w:rFonts w:hint="eastAsia" w:ascii="Times New Roman" w:hAnsi="Times New Roman" w:eastAsia="宋体" w:cs="Times New Roman"/>
                <w:sz w:val="24"/>
                <w:lang w:eastAsia="zh-CN"/>
              </w:rPr>
              <w:t>“</w:t>
            </w:r>
            <w:r>
              <w:rPr>
                <w:rFonts w:hint="default" w:ascii="Times New Roman" w:hAnsi="Times New Roman" w:eastAsia="宋体" w:cs="Times New Roman"/>
                <w:sz w:val="24"/>
              </w:rPr>
              <w:t>装备制造业</w:t>
            </w:r>
            <w:r>
              <w:rPr>
                <w:rFonts w:hint="eastAsia" w:ascii="Times New Roman" w:hAnsi="Times New Roman" w:eastAsia="宋体" w:cs="Times New Roman"/>
                <w:sz w:val="24"/>
                <w:lang w:eastAsia="zh-CN"/>
              </w:rPr>
              <w:t>”</w:t>
            </w:r>
            <w:r>
              <w:rPr>
                <w:rFonts w:hint="default" w:ascii="Times New Roman" w:hAnsi="Times New Roman" w:eastAsia="宋体" w:cs="Times New Roman"/>
                <w:sz w:val="24"/>
              </w:rPr>
              <w:t>。</w:t>
            </w:r>
          </w:p>
          <w:p w14:paraId="3D6BD00F">
            <w:pPr>
              <w:autoSpaceDE w:val="0"/>
              <w:autoSpaceDN w:val="0"/>
              <w:spacing w:line="360" w:lineRule="auto"/>
              <w:ind w:firstLine="480" w:firstLineChars="200"/>
              <w:rPr>
                <w:sz w:val="24"/>
              </w:rPr>
            </w:pPr>
            <w:r>
              <w:rPr>
                <w:rFonts w:hint="default" w:ascii="Times New Roman" w:hAnsi="Times New Roman" w:eastAsia="宋体" w:cs="Times New Roman"/>
                <w:sz w:val="24"/>
              </w:rPr>
              <w:t>因此，本项目建设与《安徽淮北杜集经济开发区总体发展规划（2023-2035年）》相符。</w:t>
            </w:r>
          </w:p>
          <w:p w14:paraId="49637443">
            <w:pPr>
              <w:pStyle w:val="3"/>
              <w:spacing w:before="0" w:after="0" w:line="360" w:lineRule="auto"/>
              <w:ind w:right="0" w:firstLine="482" w:firstLineChars="200"/>
              <w:rPr>
                <w:b/>
                <w:bCs/>
                <w:sz w:val="24"/>
                <w:szCs w:val="24"/>
              </w:rPr>
            </w:pPr>
            <w:r>
              <w:rPr>
                <w:b/>
                <w:bCs/>
                <w:sz w:val="24"/>
                <w:szCs w:val="24"/>
              </w:rPr>
              <w:t>2、规划环境影响评价符合性分析</w:t>
            </w:r>
          </w:p>
          <w:p w14:paraId="5FD3F85C">
            <w:pPr>
              <w:adjustRightInd w:val="0"/>
              <w:snapToGrid w:val="0"/>
              <w:spacing w:line="360" w:lineRule="auto"/>
              <w:ind w:firstLine="480" w:firstLineChars="200"/>
              <w:rPr>
                <w:sz w:val="24"/>
              </w:rPr>
            </w:pPr>
            <w:r>
              <w:rPr>
                <w:rFonts w:hint="eastAsia"/>
                <w:sz w:val="24"/>
                <w:lang w:eastAsia="zh-CN"/>
              </w:rPr>
              <w:t>项目</w:t>
            </w:r>
            <w:r>
              <w:rPr>
                <w:rFonts w:hint="eastAsia"/>
                <w:sz w:val="24"/>
              </w:rPr>
              <w:t>与《关于印送&lt;安徽淮北杜集经济开发区总体发展规划（2023-2035年）环境影响报告书审查意见&gt;的函》（淮环函〔2024〕68号）相符性分析</w:t>
            </w:r>
          </w:p>
          <w:p w14:paraId="22F1012A">
            <w:pPr>
              <w:widowControl/>
              <w:numPr>
                <w:ilvl w:val="0"/>
                <w:numId w:val="2"/>
              </w:numPr>
              <w:jc w:val="center"/>
              <w:rPr>
                <w:b/>
                <w:kern w:val="0"/>
                <w:szCs w:val="21"/>
              </w:rPr>
            </w:pPr>
            <w:r>
              <w:rPr>
                <w:b/>
                <w:kern w:val="0"/>
                <w:szCs w:val="21"/>
              </w:rPr>
              <w:t xml:space="preserve"> </w:t>
            </w:r>
            <w:r>
              <w:rPr>
                <w:rFonts w:hint="eastAsia"/>
                <w:b/>
                <w:kern w:val="0"/>
                <w:szCs w:val="21"/>
              </w:rPr>
              <w:t>本项目与规划环境影响评价结论及审查意见相符性分析</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4217"/>
              <w:gridCol w:w="3252"/>
              <w:gridCol w:w="551"/>
            </w:tblGrid>
            <w:tr w14:paraId="26517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2" w:type="pct"/>
                  <w:vAlign w:val="center"/>
                </w:tcPr>
                <w:p w14:paraId="29D2D83B">
                  <w:pPr>
                    <w:jc w:val="center"/>
                    <w:rPr>
                      <w:b/>
                      <w:bCs/>
                      <w:sz w:val="21"/>
                      <w:szCs w:val="21"/>
                    </w:rPr>
                  </w:pPr>
                  <w:r>
                    <w:rPr>
                      <w:rFonts w:hint="eastAsia"/>
                      <w:b/>
                      <w:bCs/>
                      <w:sz w:val="21"/>
                      <w:szCs w:val="21"/>
                    </w:rPr>
                    <w:t>序号</w:t>
                  </w:r>
                </w:p>
              </w:tc>
              <w:tc>
                <w:tcPr>
                  <w:tcW w:w="2684" w:type="pct"/>
                  <w:vAlign w:val="center"/>
                </w:tcPr>
                <w:p w14:paraId="22E8463D">
                  <w:pPr>
                    <w:jc w:val="center"/>
                    <w:rPr>
                      <w:b/>
                      <w:bCs/>
                      <w:sz w:val="21"/>
                      <w:szCs w:val="21"/>
                    </w:rPr>
                  </w:pPr>
                  <w:r>
                    <w:rPr>
                      <w:rFonts w:hint="eastAsia"/>
                      <w:b/>
                      <w:bCs/>
                      <w:sz w:val="21"/>
                      <w:szCs w:val="21"/>
                    </w:rPr>
                    <w:t>规划环评审查意见</w:t>
                  </w:r>
                </w:p>
              </w:tc>
              <w:tc>
                <w:tcPr>
                  <w:tcW w:w="1597" w:type="pct"/>
                  <w:vAlign w:val="center"/>
                </w:tcPr>
                <w:p w14:paraId="6A2A296C">
                  <w:pPr>
                    <w:jc w:val="center"/>
                    <w:rPr>
                      <w:b/>
                      <w:bCs/>
                      <w:sz w:val="21"/>
                      <w:szCs w:val="21"/>
                    </w:rPr>
                  </w:pPr>
                  <w:r>
                    <w:rPr>
                      <w:rFonts w:hint="eastAsia"/>
                      <w:b/>
                      <w:bCs/>
                      <w:sz w:val="21"/>
                      <w:szCs w:val="21"/>
                    </w:rPr>
                    <w:t>本项目情况</w:t>
                  </w:r>
                </w:p>
              </w:tc>
              <w:tc>
                <w:tcPr>
                  <w:tcW w:w="435" w:type="pct"/>
                  <w:vAlign w:val="center"/>
                </w:tcPr>
                <w:p w14:paraId="15F39458">
                  <w:pPr>
                    <w:jc w:val="center"/>
                    <w:rPr>
                      <w:b/>
                      <w:bCs/>
                      <w:sz w:val="21"/>
                      <w:szCs w:val="21"/>
                    </w:rPr>
                  </w:pPr>
                  <w:r>
                    <w:rPr>
                      <w:rFonts w:hint="eastAsia"/>
                      <w:b/>
                      <w:bCs/>
                      <w:sz w:val="21"/>
                      <w:szCs w:val="21"/>
                    </w:rPr>
                    <w:t>是否相符</w:t>
                  </w:r>
                </w:p>
              </w:tc>
            </w:tr>
            <w:tr w14:paraId="1A971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2" w:type="pct"/>
                  <w:vAlign w:val="center"/>
                </w:tcPr>
                <w:p w14:paraId="4331D759">
                  <w:pPr>
                    <w:jc w:val="center"/>
                    <w:rPr>
                      <w:sz w:val="21"/>
                      <w:szCs w:val="21"/>
                    </w:rPr>
                  </w:pPr>
                  <w:r>
                    <w:rPr>
                      <w:rFonts w:hint="eastAsia"/>
                      <w:sz w:val="21"/>
                      <w:szCs w:val="21"/>
                    </w:rPr>
                    <w:t>1</w:t>
                  </w:r>
                </w:p>
              </w:tc>
              <w:tc>
                <w:tcPr>
                  <w:tcW w:w="2684" w:type="pct"/>
                  <w:vAlign w:val="center"/>
                </w:tcPr>
                <w:p w14:paraId="77ACB4C3">
                  <w:pPr>
                    <w:pStyle w:val="8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9"/>
                      <w:sz w:val="21"/>
                      <w:szCs w:val="21"/>
                    </w:rPr>
                    <w:t>(一)加强《规划》引领，坚持绿色协调发</w:t>
                  </w:r>
                  <w:r>
                    <w:rPr>
                      <w:rFonts w:hint="default" w:ascii="Times New Roman" w:hAnsi="Times New Roman" w:eastAsia="宋体" w:cs="Times New Roman"/>
                      <w:spacing w:val="12"/>
                      <w:sz w:val="21"/>
                      <w:szCs w:val="21"/>
                    </w:rPr>
                    <w:t>展。《规划》应全面贯彻落实习近平生态</w:t>
                  </w:r>
                  <w:r>
                    <w:rPr>
                      <w:rFonts w:hint="default" w:ascii="Times New Roman" w:hAnsi="Times New Roman" w:eastAsia="宋体" w:cs="Times New Roman"/>
                      <w:spacing w:val="6"/>
                      <w:sz w:val="21"/>
                      <w:szCs w:val="21"/>
                    </w:rPr>
                    <w:t>文明思想，加强《规划》与《长江三角洲</w:t>
                  </w:r>
                  <w:r>
                    <w:rPr>
                      <w:rFonts w:hint="default" w:ascii="Times New Roman" w:hAnsi="Times New Roman" w:eastAsia="宋体" w:cs="Times New Roman"/>
                      <w:spacing w:val="10"/>
                      <w:sz w:val="21"/>
                      <w:szCs w:val="21"/>
                    </w:rPr>
                    <w:t>区域一体化发展规划纲要》、深入打好污</w:t>
                  </w:r>
                  <w:r>
                    <w:rPr>
                      <w:rFonts w:hint="default" w:ascii="Times New Roman" w:hAnsi="Times New Roman" w:eastAsia="宋体" w:cs="Times New Roman"/>
                      <w:spacing w:val="12"/>
                      <w:sz w:val="21"/>
                      <w:szCs w:val="21"/>
                    </w:rPr>
                    <w:t>染防治攻坚战等相关要求、区域生态环境</w:t>
                  </w:r>
                  <w:r>
                    <w:rPr>
                      <w:rFonts w:hint="default" w:ascii="Times New Roman" w:hAnsi="Times New Roman" w:eastAsia="宋体" w:cs="Times New Roman"/>
                      <w:spacing w:val="10"/>
                      <w:sz w:val="21"/>
                      <w:szCs w:val="21"/>
                    </w:rPr>
                    <w:t>分区管控要求、“三区三线”等的协调衔</w:t>
                  </w:r>
                  <w:r>
                    <w:rPr>
                      <w:rFonts w:hint="default" w:ascii="Times New Roman" w:hAnsi="Times New Roman" w:eastAsia="宋体" w:cs="Times New Roman"/>
                      <w:spacing w:val="12"/>
                      <w:sz w:val="21"/>
                      <w:szCs w:val="21"/>
                    </w:rPr>
                    <w:t>接，未纳入城镇开发边界的区域，建议按照自然资源部门管理要求进一步优化。统筹推进开发区整体发展和生态保护，基于区域资源、生态、环境等制约因素合理控制开发利用强度和开发区建设时序，进一步提高土地利用效率，协调好产业发展与</w:t>
                  </w:r>
                  <w:r>
                    <w:rPr>
                      <w:rFonts w:hint="default" w:ascii="Times New Roman" w:hAnsi="Times New Roman" w:eastAsia="宋体" w:cs="Times New Roman"/>
                      <w:spacing w:val="8"/>
                      <w:sz w:val="21"/>
                      <w:szCs w:val="21"/>
                    </w:rPr>
                    <w:t>区域环境保护的关系。</w:t>
                  </w:r>
                </w:p>
              </w:tc>
              <w:tc>
                <w:tcPr>
                  <w:tcW w:w="1597" w:type="pct"/>
                  <w:vAlign w:val="center"/>
                </w:tcPr>
                <w:p w14:paraId="308CE1A2">
                  <w:pPr>
                    <w:pStyle w:val="8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本项目位于开发区范围内，全部位于城镇开发边界内，项目属于C3411锅炉及辅助设备制造，对照“安徽淮北杜</w:t>
                  </w:r>
                  <w:r>
                    <w:rPr>
                      <w:rFonts w:hint="default" w:ascii="Times New Roman" w:hAnsi="Times New Roman" w:eastAsia="宋体" w:cs="Times New Roman"/>
                      <w:spacing w:val="18"/>
                      <w:sz w:val="21"/>
                      <w:szCs w:val="21"/>
                    </w:rPr>
                    <w:t>集经济开发区生态环境准入清</w:t>
                  </w:r>
                  <w:r>
                    <w:rPr>
                      <w:rFonts w:hint="default" w:ascii="Times New Roman" w:hAnsi="Times New Roman" w:eastAsia="宋体" w:cs="Times New Roman"/>
                      <w:sz w:val="21"/>
                      <w:szCs w:val="21"/>
                    </w:rPr>
                    <w:t>单”，不属于园区限制类和禁止</w:t>
                  </w:r>
                  <w:r>
                    <w:rPr>
                      <w:rFonts w:hint="default" w:ascii="Times New Roman" w:hAnsi="Times New Roman" w:eastAsia="宋体" w:cs="Times New Roman"/>
                      <w:spacing w:val="2"/>
                      <w:sz w:val="21"/>
                      <w:szCs w:val="21"/>
                    </w:rPr>
                    <w:t>类项目，不涉及开发区限制及禁止类产业，选址符合园区布局要</w:t>
                  </w:r>
                  <w:r>
                    <w:rPr>
                      <w:rFonts w:hint="default" w:ascii="Times New Roman" w:hAnsi="Times New Roman" w:eastAsia="宋体" w:cs="Times New Roman"/>
                      <w:sz w:val="21"/>
                      <w:szCs w:val="21"/>
                    </w:rPr>
                    <w:t>求。</w:t>
                  </w:r>
                </w:p>
              </w:tc>
              <w:tc>
                <w:tcPr>
                  <w:tcW w:w="435" w:type="pct"/>
                  <w:vAlign w:val="center"/>
                </w:tcPr>
                <w:p w14:paraId="3B635CD2">
                  <w:pPr>
                    <w:jc w:val="center"/>
                    <w:rPr>
                      <w:sz w:val="21"/>
                      <w:szCs w:val="21"/>
                    </w:rPr>
                  </w:pPr>
                  <w:r>
                    <w:rPr>
                      <w:rFonts w:hint="eastAsia"/>
                      <w:sz w:val="21"/>
                      <w:szCs w:val="21"/>
                    </w:rPr>
                    <w:t>相符</w:t>
                  </w:r>
                </w:p>
              </w:tc>
            </w:tr>
            <w:tr w14:paraId="2945C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2" w:type="pct"/>
                  <w:vAlign w:val="center"/>
                </w:tcPr>
                <w:p w14:paraId="7E8F1E21">
                  <w:pPr>
                    <w:jc w:val="center"/>
                    <w:rPr>
                      <w:sz w:val="21"/>
                      <w:szCs w:val="21"/>
                    </w:rPr>
                  </w:pPr>
                  <w:r>
                    <w:rPr>
                      <w:rFonts w:hint="eastAsia"/>
                      <w:sz w:val="21"/>
                      <w:szCs w:val="21"/>
                    </w:rPr>
                    <w:t>2</w:t>
                  </w:r>
                </w:p>
              </w:tc>
              <w:tc>
                <w:tcPr>
                  <w:tcW w:w="2684" w:type="pct"/>
                  <w:vAlign w:val="center"/>
                </w:tcPr>
                <w:p w14:paraId="591848CB">
                  <w:pPr>
                    <w:pStyle w:val="8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1"/>
                      <w:sz w:val="21"/>
                      <w:szCs w:val="21"/>
                    </w:rPr>
                    <w:t>（二）严守环境质量底线，保护区域生态</w:t>
                  </w:r>
                  <w:r>
                    <w:rPr>
                      <w:rFonts w:hint="default" w:ascii="Times New Roman" w:hAnsi="Times New Roman" w:eastAsia="宋体" w:cs="Times New Roman"/>
                      <w:spacing w:val="12"/>
                      <w:sz w:val="21"/>
                      <w:szCs w:val="21"/>
                    </w:rPr>
                    <w:t>环境质量。根据国家和安徽省大气、水、土壤、环境风险防范和固体废物污染防治相关要求，妥善解决区域现存生态环境问题，确保开发区建设项目污染物长期稳定达标排放，区域生态环境质量持续改善。开发区应根据受纳水体水环境质量现状及特征因子现状情况，审慎考虑并严格控制涉氟产业发展规模及水污染物排放强度，重金属污染物排放量和水污染物排放强度</w:t>
                  </w:r>
                  <w:r>
                    <w:rPr>
                      <w:rFonts w:hint="default" w:ascii="Times New Roman" w:hAnsi="Times New Roman" w:eastAsia="宋体" w:cs="Times New Roman"/>
                      <w:spacing w:val="8"/>
                      <w:sz w:val="21"/>
                      <w:szCs w:val="21"/>
                    </w:rPr>
                    <w:t>不得突破现有控制要求。</w:t>
                  </w:r>
                </w:p>
              </w:tc>
              <w:tc>
                <w:tcPr>
                  <w:tcW w:w="1597" w:type="pct"/>
                  <w:vAlign w:val="center"/>
                </w:tcPr>
                <w:p w14:paraId="7E29F4A0">
                  <w:pPr>
                    <w:pStyle w:val="8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9"/>
                      <w:sz w:val="21"/>
                      <w:szCs w:val="21"/>
                    </w:rPr>
                    <w:t>本项目污染物经处理后达标排</w:t>
                  </w:r>
                  <w:r>
                    <w:rPr>
                      <w:rFonts w:hint="default" w:ascii="Times New Roman" w:hAnsi="Times New Roman" w:eastAsia="宋体" w:cs="Times New Roman"/>
                      <w:spacing w:val="2"/>
                      <w:sz w:val="21"/>
                      <w:szCs w:val="21"/>
                    </w:rPr>
                    <w:t>放，固废按要求合理处理，本项</w:t>
                  </w:r>
                  <w:r>
                    <w:rPr>
                      <w:rFonts w:hint="default" w:ascii="Times New Roman" w:hAnsi="Times New Roman" w:eastAsia="宋体" w:cs="Times New Roman"/>
                      <w:spacing w:val="13"/>
                      <w:sz w:val="21"/>
                      <w:szCs w:val="21"/>
                    </w:rPr>
                    <w:t>目</w:t>
                  </w:r>
                  <w:r>
                    <w:rPr>
                      <w:rFonts w:hint="eastAsia"/>
                      <w:color w:val="auto"/>
                      <w:sz w:val="21"/>
                      <w:szCs w:val="21"/>
                      <w:lang w:eastAsia="zh-CN"/>
                    </w:rPr>
                    <w:t>生活污水经化粪池预处理，食堂餐饮废水经隔油池预处理，预处理后</w:t>
                  </w:r>
                  <w:r>
                    <w:rPr>
                      <w:rFonts w:hint="eastAsia"/>
                      <w:color w:val="auto"/>
                      <w:sz w:val="21"/>
                      <w:szCs w:val="21"/>
                    </w:rPr>
                    <w:t>一同汇入厂区总排口后经市政污水管网进入</w:t>
                  </w:r>
                  <w:r>
                    <w:rPr>
                      <w:rFonts w:hint="eastAsia"/>
                      <w:bCs/>
                      <w:color w:val="auto"/>
                      <w:sz w:val="21"/>
                      <w:szCs w:val="21"/>
                    </w:rPr>
                    <w:t>淮北市龙湖工业园污水处理厂</w:t>
                  </w:r>
                  <w:r>
                    <w:rPr>
                      <w:rFonts w:hint="eastAsia"/>
                      <w:color w:val="auto"/>
                      <w:sz w:val="21"/>
                      <w:szCs w:val="21"/>
                    </w:rPr>
                    <w:t>，</w:t>
                  </w:r>
                  <w:r>
                    <w:rPr>
                      <w:color w:val="auto"/>
                      <w:sz w:val="21"/>
                      <w:szCs w:val="21"/>
                      <w:lang w:bidi="ar"/>
                    </w:rPr>
                    <w:t>处理达标后排入</w:t>
                  </w:r>
                  <w:r>
                    <w:rPr>
                      <w:rFonts w:hint="eastAsia"/>
                      <w:color w:val="auto"/>
                      <w:sz w:val="21"/>
                      <w:szCs w:val="21"/>
                      <w:lang w:bidi="ar"/>
                    </w:rPr>
                    <w:t>龙河</w:t>
                  </w:r>
                  <w:r>
                    <w:rPr>
                      <w:rFonts w:hint="default" w:ascii="Times New Roman" w:hAnsi="Times New Roman" w:eastAsia="宋体" w:cs="Times New Roman"/>
                      <w:spacing w:val="2"/>
                      <w:sz w:val="21"/>
                      <w:szCs w:val="21"/>
                    </w:rPr>
                    <w:t>，不会突破开发</w:t>
                  </w:r>
                  <w:r>
                    <w:rPr>
                      <w:rFonts w:hint="default" w:ascii="Times New Roman" w:hAnsi="Times New Roman" w:eastAsia="宋体" w:cs="Times New Roman"/>
                      <w:spacing w:val="5"/>
                      <w:sz w:val="21"/>
                      <w:szCs w:val="21"/>
                    </w:rPr>
                    <w:t>区现有控制要求。</w:t>
                  </w:r>
                </w:p>
              </w:tc>
              <w:tc>
                <w:tcPr>
                  <w:tcW w:w="435" w:type="pct"/>
                  <w:vAlign w:val="center"/>
                </w:tcPr>
                <w:p w14:paraId="038EB836">
                  <w:pPr>
                    <w:jc w:val="center"/>
                    <w:rPr>
                      <w:sz w:val="21"/>
                      <w:szCs w:val="21"/>
                    </w:rPr>
                  </w:pPr>
                  <w:r>
                    <w:rPr>
                      <w:rFonts w:hint="eastAsia"/>
                      <w:sz w:val="21"/>
                      <w:szCs w:val="21"/>
                    </w:rPr>
                    <w:t>相符</w:t>
                  </w:r>
                </w:p>
              </w:tc>
            </w:tr>
            <w:tr w14:paraId="0CEAD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2" w:type="pct"/>
                  <w:vAlign w:val="center"/>
                </w:tcPr>
                <w:p w14:paraId="48A4FAAB">
                  <w:pPr>
                    <w:jc w:val="center"/>
                    <w:rPr>
                      <w:sz w:val="21"/>
                      <w:szCs w:val="21"/>
                    </w:rPr>
                  </w:pPr>
                  <w:r>
                    <w:rPr>
                      <w:rFonts w:hint="eastAsia"/>
                      <w:sz w:val="21"/>
                      <w:szCs w:val="21"/>
                    </w:rPr>
                    <w:t>3</w:t>
                  </w:r>
                </w:p>
              </w:tc>
              <w:tc>
                <w:tcPr>
                  <w:tcW w:w="2684" w:type="pct"/>
                  <w:vAlign w:val="top"/>
                </w:tcPr>
                <w:p w14:paraId="36845CFE">
                  <w:pPr>
                    <w:pStyle w:val="8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1"/>
                      <w:sz w:val="21"/>
                      <w:szCs w:val="21"/>
                    </w:rPr>
                    <w:t>（三）优化产业布局，加强生态环境分区</w:t>
                  </w:r>
                  <w:r>
                    <w:rPr>
                      <w:rFonts w:hint="default" w:ascii="Times New Roman" w:hAnsi="Times New Roman" w:eastAsia="宋体" w:cs="Times New Roman"/>
                      <w:spacing w:val="12"/>
                      <w:sz w:val="21"/>
                      <w:szCs w:val="21"/>
                    </w:rPr>
                    <w:t>管控。落实生态环境分区管控要求，结合</w:t>
                  </w:r>
                  <w:r>
                    <w:rPr>
                      <w:rFonts w:hint="default" w:ascii="Times New Roman" w:hAnsi="Times New Roman" w:eastAsia="宋体" w:cs="Times New Roman"/>
                      <w:spacing w:val="16"/>
                      <w:sz w:val="21"/>
                      <w:szCs w:val="21"/>
                    </w:rPr>
                    <w:t>国家和省长江经济带发展负面清单管控</w:t>
                  </w:r>
                  <w:r>
                    <w:rPr>
                      <w:rFonts w:hint="default" w:ascii="Times New Roman" w:hAnsi="Times New Roman" w:eastAsia="宋体" w:cs="Times New Roman"/>
                      <w:spacing w:val="12"/>
                      <w:sz w:val="21"/>
                      <w:szCs w:val="21"/>
                    </w:rPr>
                    <w:t>要求、区域资源优势和环境制约因素、开发区产业定位等，进一步完善产业发展规划，优化主导产业发展方向、功能分区和重大项目布局，严禁引入安徽省长江经济带发展负面清单中的项目。合理规划不同功能区的环境保护空间，严禁不符合管控要求的各类开发建设活动，规划实施不得损害周边地表水、地下水、环境空气和声环境等敏感目标环境质量和生态功能。做好开发区与周边生态敏感区、地表水、居住区之间的有效隔离和管控，敏感区周边严禁布设生态环境影响较大的建设项目，</w:t>
                  </w:r>
                  <w:r>
                    <w:rPr>
                      <w:rFonts w:hint="default" w:ascii="Times New Roman" w:hAnsi="Times New Roman" w:eastAsia="宋体" w:cs="Times New Roman"/>
                      <w:spacing w:val="17"/>
                      <w:sz w:val="21"/>
                      <w:szCs w:val="21"/>
                    </w:rPr>
                    <w:t>保障居住区和各类自然保护地的生态环</w:t>
                  </w:r>
                  <w:r>
                    <w:rPr>
                      <w:rFonts w:hint="default" w:ascii="Times New Roman" w:hAnsi="Times New Roman" w:eastAsia="宋体" w:cs="Times New Roman"/>
                      <w:spacing w:val="12"/>
                      <w:sz w:val="21"/>
                      <w:szCs w:val="21"/>
                    </w:rPr>
                    <w:t>境质量，实现产业发展与区域生态环境保</w:t>
                  </w:r>
                  <w:r>
                    <w:rPr>
                      <w:rFonts w:hint="default" w:ascii="Times New Roman" w:hAnsi="Times New Roman" w:eastAsia="宋体" w:cs="Times New Roman"/>
                      <w:spacing w:val="6"/>
                      <w:sz w:val="21"/>
                      <w:szCs w:val="21"/>
                    </w:rPr>
                    <w:t>护相协调。</w:t>
                  </w:r>
                </w:p>
              </w:tc>
              <w:tc>
                <w:tcPr>
                  <w:tcW w:w="1597" w:type="pct"/>
                  <w:vAlign w:val="center"/>
                </w:tcPr>
                <w:p w14:paraId="5CCFF621">
                  <w:pPr>
                    <w:pStyle w:val="8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8"/>
                      <w:sz w:val="21"/>
                      <w:szCs w:val="21"/>
                    </w:rPr>
                    <w:t>对照《产业结构调整指导目录》</w:t>
                  </w:r>
                  <w:r>
                    <w:rPr>
                      <w:rFonts w:hint="default" w:ascii="Times New Roman" w:hAnsi="Times New Roman" w:eastAsia="宋体" w:cs="Times New Roman"/>
                      <w:spacing w:val="7"/>
                      <w:sz w:val="21"/>
                      <w:szCs w:val="21"/>
                    </w:rPr>
                    <w:t>（2024年本</w:t>
                  </w:r>
                  <w:r>
                    <w:rPr>
                      <w:rFonts w:hint="default" w:ascii="Times New Roman" w:hAnsi="Times New Roman" w:eastAsia="宋体" w:cs="Times New Roman"/>
                      <w:spacing w:val="16"/>
                      <w:sz w:val="21"/>
                      <w:szCs w:val="21"/>
                    </w:rPr>
                    <w:t>），</w:t>
                  </w:r>
                  <w:r>
                    <w:rPr>
                      <w:rFonts w:hint="default" w:ascii="Times New Roman" w:hAnsi="Times New Roman" w:eastAsia="宋体" w:cs="Times New Roman"/>
                      <w:spacing w:val="7"/>
                      <w:sz w:val="21"/>
                      <w:szCs w:val="21"/>
                    </w:rPr>
                    <w:t>本项目不属于</w:t>
                  </w:r>
                  <w:r>
                    <w:rPr>
                      <w:rFonts w:hint="default" w:ascii="Times New Roman" w:hAnsi="Times New Roman" w:eastAsia="宋体" w:cs="Times New Roman"/>
                      <w:spacing w:val="-1"/>
                      <w:sz w:val="21"/>
                      <w:szCs w:val="21"/>
                    </w:rPr>
                    <w:t>“鼓励类”、“限制类”和“淘</w:t>
                  </w:r>
                  <w:r>
                    <w:rPr>
                      <w:rFonts w:hint="default" w:ascii="Times New Roman" w:hAnsi="Times New Roman" w:eastAsia="宋体" w:cs="Times New Roman"/>
                      <w:spacing w:val="4"/>
                      <w:sz w:val="21"/>
                      <w:szCs w:val="21"/>
                    </w:rPr>
                    <w:t>汰类”，属于“允许类”项目。</w:t>
                  </w:r>
                  <w:r>
                    <w:rPr>
                      <w:rFonts w:hint="default" w:ascii="Times New Roman" w:hAnsi="Times New Roman" w:eastAsia="宋体" w:cs="Times New Roman"/>
                      <w:spacing w:val="-3"/>
                      <w:sz w:val="21"/>
                      <w:szCs w:val="21"/>
                    </w:rPr>
                    <w:t>项目已于2024年6月21日，取</w:t>
                  </w:r>
                  <w:r>
                    <w:rPr>
                      <w:rFonts w:hint="default" w:ascii="Times New Roman" w:hAnsi="Times New Roman" w:eastAsia="宋体" w:cs="Times New Roman"/>
                      <w:spacing w:val="9"/>
                      <w:sz w:val="21"/>
                      <w:szCs w:val="21"/>
                    </w:rPr>
                    <w:t>得安徽淮北杜集经开区管理委员会备案（项目代码：2406-340602-04-01-241270</w:t>
                  </w:r>
                  <w:r>
                    <w:rPr>
                      <w:rFonts w:hint="default" w:ascii="Times New Roman" w:hAnsi="Times New Roman" w:eastAsia="宋体" w:cs="Times New Roman"/>
                      <w:spacing w:val="5"/>
                      <w:sz w:val="21"/>
                      <w:szCs w:val="21"/>
                    </w:rPr>
                    <w:t>），</w:t>
                  </w:r>
                  <w:r>
                    <w:rPr>
                      <w:rFonts w:hint="default" w:ascii="Times New Roman" w:hAnsi="Times New Roman" w:eastAsia="宋体" w:cs="Times New Roman"/>
                      <w:spacing w:val="2"/>
                      <w:sz w:val="21"/>
                      <w:szCs w:val="21"/>
                    </w:rPr>
                    <w:t>属于允许入园项目。且项目不属</w:t>
                  </w:r>
                  <w:r>
                    <w:rPr>
                      <w:rFonts w:hint="default" w:ascii="Times New Roman" w:hAnsi="Times New Roman" w:eastAsia="宋体" w:cs="Times New Roman"/>
                      <w:spacing w:val="9"/>
                      <w:sz w:val="21"/>
                      <w:szCs w:val="21"/>
                    </w:rPr>
                    <w:t>于安徽省长江经济带发展负面</w:t>
                  </w:r>
                  <w:r>
                    <w:rPr>
                      <w:rFonts w:hint="default" w:ascii="Times New Roman" w:hAnsi="Times New Roman" w:eastAsia="宋体" w:cs="Times New Roman"/>
                      <w:spacing w:val="7"/>
                      <w:sz w:val="21"/>
                      <w:szCs w:val="21"/>
                    </w:rPr>
                    <w:t>清单中的项目。</w:t>
                  </w:r>
                </w:p>
              </w:tc>
              <w:tc>
                <w:tcPr>
                  <w:tcW w:w="435" w:type="pct"/>
                  <w:vAlign w:val="center"/>
                </w:tcPr>
                <w:p w14:paraId="47146C21">
                  <w:pPr>
                    <w:jc w:val="center"/>
                    <w:rPr>
                      <w:sz w:val="21"/>
                      <w:szCs w:val="21"/>
                    </w:rPr>
                  </w:pPr>
                  <w:r>
                    <w:rPr>
                      <w:rFonts w:hint="eastAsia"/>
                      <w:sz w:val="21"/>
                      <w:szCs w:val="21"/>
                    </w:rPr>
                    <w:t>相符</w:t>
                  </w:r>
                </w:p>
              </w:tc>
            </w:tr>
            <w:tr w14:paraId="57CDC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2" w:type="pct"/>
                  <w:vAlign w:val="center"/>
                </w:tcPr>
                <w:p w14:paraId="61C7EC77">
                  <w:pPr>
                    <w:jc w:val="center"/>
                    <w:rPr>
                      <w:sz w:val="21"/>
                      <w:szCs w:val="21"/>
                    </w:rPr>
                  </w:pPr>
                  <w:r>
                    <w:rPr>
                      <w:rFonts w:hint="eastAsia"/>
                      <w:sz w:val="21"/>
                      <w:szCs w:val="21"/>
                    </w:rPr>
                    <w:t>4</w:t>
                  </w:r>
                </w:p>
              </w:tc>
              <w:tc>
                <w:tcPr>
                  <w:tcW w:w="2684" w:type="pct"/>
                  <w:vAlign w:val="top"/>
                </w:tcPr>
                <w:p w14:paraId="02BCB656">
                  <w:pPr>
                    <w:pStyle w:val="8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1"/>
                      <w:sz w:val="21"/>
                      <w:szCs w:val="21"/>
                    </w:rPr>
                    <w:t>（四）完善环保基础设施建设，强化环境</w:t>
                  </w:r>
                  <w:r>
                    <w:rPr>
                      <w:rFonts w:hint="default" w:ascii="Times New Roman" w:hAnsi="Times New Roman" w:eastAsia="宋体" w:cs="Times New Roman"/>
                      <w:spacing w:val="4"/>
                      <w:sz w:val="21"/>
                      <w:szCs w:val="21"/>
                    </w:rPr>
                    <w:t>污染防控。根据开发时序和开发强度要求，</w:t>
                  </w:r>
                  <w:r>
                    <w:rPr>
                      <w:rFonts w:hint="default" w:ascii="Times New Roman" w:hAnsi="Times New Roman" w:eastAsia="宋体" w:cs="Times New Roman"/>
                      <w:spacing w:val="6"/>
                      <w:sz w:val="21"/>
                      <w:szCs w:val="21"/>
                    </w:rPr>
                    <w:t>进一步优化区域供水、排水、中水回用等</w:t>
                  </w:r>
                  <w:r>
                    <w:rPr>
                      <w:rFonts w:hint="default" w:ascii="Times New Roman" w:hAnsi="Times New Roman" w:eastAsia="宋体" w:cs="Times New Roman"/>
                      <w:spacing w:val="13"/>
                      <w:sz w:val="21"/>
                      <w:szCs w:val="21"/>
                    </w:rPr>
                    <w:t>规划。按照科学规划、适度超前的原则，</w:t>
                  </w:r>
                  <w:r>
                    <w:rPr>
                      <w:rFonts w:hint="default" w:ascii="Times New Roman" w:hAnsi="Times New Roman" w:eastAsia="宋体" w:cs="Times New Roman"/>
                      <w:spacing w:val="10"/>
                      <w:sz w:val="21"/>
                      <w:szCs w:val="21"/>
                    </w:rPr>
                    <w:t>结合区域地表水环境质量现状、已批光伏产业、电池行业开发强度等，加快推进开</w:t>
                  </w:r>
                  <w:r>
                    <w:rPr>
                      <w:rFonts w:hint="default" w:ascii="Times New Roman" w:hAnsi="Times New Roman" w:eastAsia="宋体" w:cs="Times New Roman"/>
                      <w:spacing w:val="12"/>
                      <w:sz w:val="21"/>
                      <w:szCs w:val="21"/>
                    </w:rPr>
                    <w:t>发区含氟废水预处理设施工程，细化园区污染防治基础设施建设、排放和运行管理要求，强化开发区中水回用。落实开发区</w:t>
                  </w:r>
                  <w:r>
                    <w:rPr>
                      <w:rFonts w:hint="default" w:ascii="Times New Roman" w:hAnsi="Times New Roman" w:eastAsia="宋体" w:cs="Times New Roman"/>
                      <w:spacing w:val="4"/>
                      <w:sz w:val="21"/>
                      <w:szCs w:val="21"/>
                    </w:rPr>
                    <w:t>雨污分流、清污分流，做好初期雨水截污、</w:t>
                  </w:r>
                  <w:r>
                    <w:rPr>
                      <w:rFonts w:hint="default" w:ascii="Times New Roman" w:hAnsi="Times New Roman" w:eastAsia="宋体" w:cs="Times New Roman"/>
                      <w:spacing w:val="12"/>
                      <w:sz w:val="21"/>
                      <w:szCs w:val="21"/>
                    </w:rPr>
                    <w:t>收集、处理，保障开发区周边受纳水体的水环境功能、下游水环境保护目标及相关</w:t>
                  </w:r>
                  <w:r>
                    <w:rPr>
                      <w:rFonts w:hint="default" w:ascii="Times New Roman" w:hAnsi="Times New Roman" w:eastAsia="宋体" w:cs="Times New Roman"/>
                      <w:spacing w:val="8"/>
                      <w:sz w:val="21"/>
                      <w:szCs w:val="21"/>
                    </w:rPr>
                    <w:t>考核断面水质稳定达标。</w:t>
                  </w:r>
                </w:p>
              </w:tc>
              <w:tc>
                <w:tcPr>
                  <w:tcW w:w="1597" w:type="pct"/>
                  <w:vAlign w:val="center"/>
                </w:tcPr>
                <w:p w14:paraId="20A14B8C">
                  <w:pPr>
                    <w:pStyle w:val="8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z w:val="21"/>
                      <w:szCs w:val="21"/>
                      <w:lang w:eastAsia="zh-CN"/>
                    </w:rPr>
                  </w:pPr>
                  <w:r>
                    <w:rPr>
                      <w:rFonts w:hint="default" w:ascii="Times New Roman" w:hAnsi="Times New Roman" w:eastAsia="宋体" w:cs="Times New Roman"/>
                      <w:spacing w:val="2"/>
                      <w:sz w:val="21"/>
                      <w:szCs w:val="21"/>
                    </w:rPr>
                    <w:t>项目排水实行雨污分流制，本项</w:t>
                  </w:r>
                  <w:r>
                    <w:rPr>
                      <w:rFonts w:hint="default" w:ascii="Times New Roman" w:hAnsi="Times New Roman" w:eastAsia="宋体" w:cs="Times New Roman"/>
                      <w:spacing w:val="18"/>
                      <w:sz w:val="21"/>
                      <w:szCs w:val="21"/>
                    </w:rPr>
                    <w:t>目</w:t>
                  </w:r>
                  <w:r>
                    <w:rPr>
                      <w:rFonts w:hint="eastAsia"/>
                      <w:color w:val="auto"/>
                      <w:sz w:val="21"/>
                      <w:szCs w:val="21"/>
                      <w:lang w:eastAsia="zh-CN"/>
                    </w:rPr>
                    <w:t>生活污水经化粪池预处理，食堂餐饮废水经隔油池预处理，预处理后</w:t>
                  </w:r>
                  <w:r>
                    <w:rPr>
                      <w:rFonts w:hint="eastAsia"/>
                      <w:color w:val="auto"/>
                      <w:sz w:val="21"/>
                      <w:szCs w:val="21"/>
                    </w:rPr>
                    <w:t>一同汇入厂区总排口后经市政污水管网进入</w:t>
                  </w:r>
                  <w:r>
                    <w:rPr>
                      <w:rFonts w:hint="eastAsia"/>
                      <w:bCs/>
                      <w:color w:val="auto"/>
                      <w:sz w:val="21"/>
                      <w:szCs w:val="21"/>
                    </w:rPr>
                    <w:t>淮北市龙湖工业园污水处理厂</w:t>
                  </w:r>
                  <w:r>
                    <w:rPr>
                      <w:rFonts w:hint="eastAsia"/>
                      <w:color w:val="auto"/>
                      <w:sz w:val="21"/>
                      <w:szCs w:val="21"/>
                    </w:rPr>
                    <w:t>，</w:t>
                  </w:r>
                  <w:r>
                    <w:rPr>
                      <w:color w:val="auto"/>
                      <w:sz w:val="21"/>
                      <w:szCs w:val="21"/>
                      <w:lang w:bidi="ar"/>
                    </w:rPr>
                    <w:t>处理达标后排入</w:t>
                  </w:r>
                  <w:r>
                    <w:rPr>
                      <w:rFonts w:hint="eastAsia"/>
                      <w:color w:val="auto"/>
                      <w:sz w:val="21"/>
                      <w:szCs w:val="21"/>
                      <w:lang w:bidi="ar"/>
                    </w:rPr>
                    <w:t>龙河</w:t>
                  </w:r>
                  <w:r>
                    <w:rPr>
                      <w:rFonts w:hint="default" w:ascii="Times New Roman" w:hAnsi="Times New Roman" w:eastAsia="宋体" w:cs="Times New Roman"/>
                      <w:spacing w:val="2"/>
                      <w:sz w:val="21"/>
                      <w:szCs w:val="21"/>
                    </w:rPr>
                    <w:t>，废水排放执行</w:t>
                  </w:r>
                  <w:r>
                    <w:rPr>
                      <w:rFonts w:hint="default" w:ascii="Times New Roman" w:hAnsi="Times New Roman" w:eastAsia="宋体" w:cs="Times New Roman"/>
                      <w:spacing w:val="18"/>
                      <w:sz w:val="21"/>
                      <w:szCs w:val="21"/>
                    </w:rPr>
                    <w:t>龙湖污水处理厂</w:t>
                  </w:r>
                  <w:r>
                    <w:rPr>
                      <w:rFonts w:hint="default" w:ascii="Times New Roman" w:hAnsi="Times New Roman" w:eastAsia="宋体" w:cs="Times New Roman"/>
                      <w:spacing w:val="8"/>
                      <w:sz w:val="21"/>
                      <w:szCs w:val="21"/>
                    </w:rPr>
                    <w:t>接管限值</w:t>
                  </w:r>
                  <w:r>
                    <w:rPr>
                      <w:rFonts w:hint="eastAsia" w:ascii="Times New Roman" w:hAnsi="Times New Roman" w:cs="Times New Roman"/>
                      <w:spacing w:val="8"/>
                      <w:sz w:val="21"/>
                      <w:szCs w:val="21"/>
                      <w:lang w:eastAsia="zh-CN"/>
                    </w:rPr>
                    <w:t>要求</w:t>
                  </w:r>
                </w:p>
              </w:tc>
              <w:tc>
                <w:tcPr>
                  <w:tcW w:w="435" w:type="pct"/>
                  <w:vAlign w:val="center"/>
                </w:tcPr>
                <w:p w14:paraId="1AACD563">
                  <w:pPr>
                    <w:jc w:val="center"/>
                    <w:rPr>
                      <w:sz w:val="21"/>
                      <w:szCs w:val="21"/>
                    </w:rPr>
                  </w:pPr>
                  <w:r>
                    <w:rPr>
                      <w:rFonts w:hint="eastAsia"/>
                      <w:sz w:val="21"/>
                      <w:szCs w:val="21"/>
                    </w:rPr>
                    <w:t>相符</w:t>
                  </w:r>
                </w:p>
              </w:tc>
            </w:tr>
            <w:tr w14:paraId="3B11F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2" w:type="pct"/>
                  <w:vAlign w:val="center"/>
                </w:tcPr>
                <w:p w14:paraId="730435C2">
                  <w:pPr>
                    <w:jc w:val="center"/>
                    <w:rPr>
                      <w:sz w:val="21"/>
                      <w:szCs w:val="21"/>
                    </w:rPr>
                  </w:pPr>
                  <w:r>
                    <w:rPr>
                      <w:rFonts w:hint="eastAsia"/>
                      <w:sz w:val="21"/>
                      <w:szCs w:val="21"/>
                    </w:rPr>
                    <w:t>5</w:t>
                  </w:r>
                </w:p>
              </w:tc>
              <w:tc>
                <w:tcPr>
                  <w:tcW w:w="2684" w:type="pct"/>
                  <w:vAlign w:val="top"/>
                </w:tcPr>
                <w:p w14:paraId="18F6400C">
                  <w:pPr>
                    <w:pStyle w:val="8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1"/>
                      <w:sz w:val="21"/>
                      <w:szCs w:val="21"/>
                    </w:rPr>
                    <w:t>（五）细化生态环境准入清单，推动高质</w:t>
                  </w:r>
                  <w:r>
                    <w:rPr>
                      <w:rFonts w:hint="default" w:ascii="Times New Roman" w:hAnsi="Times New Roman" w:eastAsia="宋体" w:cs="Times New Roman"/>
                      <w:spacing w:val="12"/>
                      <w:sz w:val="21"/>
                      <w:szCs w:val="21"/>
                    </w:rPr>
                    <w:t>量发展。根据国家和区域发展战略，结合</w:t>
                  </w:r>
                  <w:r>
                    <w:rPr>
                      <w:rFonts w:hint="default" w:ascii="Times New Roman" w:hAnsi="Times New Roman" w:eastAsia="宋体" w:cs="Times New Roman"/>
                      <w:spacing w:val="6"/>
                      <w:sz w:val="21"/>
                      <w:szCs w:val="21"/>
                    </w:rPr>
                    <w:t>区域生态环境质量现状、生态环境分区管</w:t>
                  </w:r>
                  <w:r>
                    <w:rPr>
                      <w:rFonts w:hint="default" w:ascii="Times New Roman" w:hAnsi="Times New Roman" w:eastAsia="宋体" w:cs="Times New Roman"/>
                      <w:spacing w:val="10"/>
                      <w:sz w:val="21"/>
                      <w:szCs w:val="21"/>
                    </w:rPr>
                    <w:t>控要求、“三区三线”成果等，严格落实</w:t>
                  </w:r>
                  <w:r>
                    <w:rPr>
                      <w:rFonts w:hint="default" w:ascii="Times New Roman" w:hAnsi="Times New Roman" w:eastAsia="宋体" w:cs="Times New Roman"/>
                      <w:spacing w:val="6"/>
                      <w:sz w:val="21"/>
                      <w:szCs w:val="21"/>
                    </w:rPr>
                    <w:t>《报告书》生态环境准入要求。严格执行国家产业政策，坚决遏制高耗能、高排放</w:t>
                  </w:r>
                  <w:r>
                    <w:rPr>
                      <w:rFonts w:hint="default" w:ascii="Times New Roman" w:hAnsi="Times New Roman" w:eastAsia="宋体" w:cs="Times New Roman"/>
                      <w:spacing w:val="12"/>
                      <w:sz w:val="21"/>
                      <w:szCs w:val="21"/>
                    </w:rPr>
                    <w:t>项目盲目发展，限制与规划主导产业不相关且污染物排放量大的项目，严禁引入安</w:t>
                  </w:r>
                  <w:r>
                    <w:rPr>
                      <w:rFonts w:hint="default" w:ascii="Times New Roman" w:hAnsi="Times New Roman" w:eastAsia="宋体" w:cs="Times New Roman"/>
                      <w:spacing w:val="13"/>
                      <w:sz w:val="21"/>
                      <w:szCs w:val="21"/>
                    </w:rPr>
                    <w:t>徽省长江经济带发展负面清单中的项目。</w:t>
                  </w:r>
                  <w:r>
                    <w:rPr>
                      <w:rFonts w:hint="default" w:ascii="Times New Roman" w:hAnsi="Times New Roman" w:eastAsia="宋体" w:cs="Times New Roman"/>
                      <w:spacing w:val="4"/>
                      <w:sz w:val="21"/>
                      <w:szCs w:val="21"/>
                    </w:rPr>
                    <w:t>引进项目的生产工艺、设备、自动化水平，</w:t>
                  </w:r>
                  <w:r>
                    <w:rPr>
                      <w:rFonts w:hint="default" w:ascii="Times New Roman" w:hAnsi="Times New Roman" w:eastAsia="宋体" w:cs="Times New Roman"/>
                      <w:spacing w:val="12"/>
                      <w:sz w:val="21"/>
                      <w:szCs w:val="21"/>
                    </w:rPr>
                    <w:t>以及单位产品能耗、污染物排放、碳排放</w:t>
                  </w:r>
                  <w:r>
                    <w:rPr>
                      <w:rFonts w:hint="default" w:ascii="Times New Roman" w:hAnsi="Times New Roman" w:eastAsia="宋体" w:cs="Times New Roman"/>
                      <w:spacing w:val="8"/>
                      <w:sz w:val="21"/>
                      <w:szCs w:val="21"/>
                    </w:rPr>
                    <w:t>等不应低于国内同行业先进水平。</w:t>
                  </w:r>
                </w:p>
              </w:tc>
              <w:tc>
                <w:tcPr>
                  <w:tcW w:w="1597" w:type="pct"/>
                  <w:vAlign w:val="center"/>
                </w:tcPr>
                <w:p w14:paraId="414EB428">
                  <w:pPr>
                    <w:pStyle w:val="8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本项目不属于高耗能、高排放项目，不属于安徽省长江经济带发</w:t>
                  </w:r>
                  <w:r>
                    <w:rPr>
                      <w:rFonts w:hint="default" w:ascii="Times New Roman" w:hAnsi="Times New Roman" w:eastAsia="宋体" w:cs="Times New Roman"/>
                      <w:spacing w:val="7"/>
                      <w:sz w:val="21"/>
                      <w:szCs w:val="21"/>
                    </w:rPr>
                    <w:t>展负面清单中的项目。</w:t>
                  </w:r>
                </w:p>
              </w:tc>
              <w:tc>
                <w:tcPr>
                  <w:tcW w:w="435" w:type="pct"/>
                  <w:vAlign w:val="center"/>
                </w:tcPr>
                <w:p w14:paraId="0ECCDF43">
                  <w:pPr>
                    <w:jc w:val="center"/>
                    <w:rPr>
                      <w:sz w:val="21"/>
                      <w:szCs w:val="21"/>
                    </w:rPr>
                  </w:pPr>
                  <w:r>
                    <w:rPr>
                      <w:rFonts w:hint="eastAsia"/>
                      <w:sz w:val="21"/>
                      <w:szCs w:val="21"/>
                    </w:rPr>
                    <w:t>相符</w:t>
                  </w:r>
                </w:p>
              </w:tc>
            </w:tr>
            <w:tr w14:paraId="0CEC3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2" w:type="pct"/>
                  <w:vAlign w:val="center"/>
                </w:tcPr>
                <w:p w14:paraId="676F58EC">
                  <w:pPr>
                    <w:jc w:val="center"/>
                    <w:rPr>
                      <w:rFonts w:hint="eastAsia" w:eastAsia="宋体"/>
                      <w:sz w:val="21"/>
                      <w:szCs w:val="21"/>
                      <w:lang w:val="en-US" w:eastAsia="zh-CN"/>
                    </w:rPr>
                  </w:pPr>
                  <w:r>
                    <w:rPr>
                      <w:rFonts w:hint="eastAsia"/>
                      <w:sz w:val="21"/>
                      <w:szCs w:val="21"/>
                      <w:lang w:val="en-US" w:eastAsia="zh-CN"/>
                    </w:rPr>
                    <w:t>6</w:t>
                  </w:r>
                </w:p>
              </w:tc>
              <w:tc>
                <w:tcPr>
                  <w:tcW w:w="2684" w:type="pct"/>
                  <w:vAlign w:val="top"/>
                </w:tcPr>
                <w:p w14:paraId="17593695">
                  <w:pPr>
                    <w:pStyle w:val="8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spacing w:val="11"/>
                      <w:sz w:val="21"/>
                      <w:szCs w:val="21"/>
                    </w:rPr>
                  </w:pPr>
                  <w:r>
                    <w:rPr>
                      <w:rFonts w:hint="default" w:ascii="Times New Roman" w:hAnsi="Times New Roman" w:eastAsia="宋体" w:cs="Times New Roman"/>
                      <w:spacing w:val="11"/>
                      <w:sz w:val="21"/>
                      <w:szCs w:val="21"/>
                    </w:rPr>
                    <w:t>（六）提升环境管理水平，加强生态环境</w:t>
                  </w:r>
                  <w:r>
                    <w:rPr>
                      <w:rFonts w:hint="default" w:ascii="Times New Roman" w:hAnsi="Times New Roman" w:eastAsia="宋体" w:cs="Times New Roman"/>
                      <w:spacing w:val="4"/>
                      <w:sz w:val="21"/>
                      <w:szCs w:val="21"/>
                    </w:rPr>
                    <w:t>风险防控。着力提升开发区环境管理水平，</w:t>
                  </w:r>
                  <w:r>
                    <w:rPr>
                      <w:rFonts w:hint="default" w:ascii="Times New Roman" w:hAnsi="Times New Roman" w:eastAsia="宋体" w:cs="Times New Roman"/>
                      <w:spacing w:val="6"/>
                      <w:sz w:val="21"/>
                      <w:szCs w:val="21"/>
                    </w:rPr>
                    <w:t>统筹考虑区域内污染物排放、大气环境保</w:t>
                  </w:r>
                  <w:r>
                    <w:rPr>
                      <w:rFonts w:hint="default" w:ascii="Times New Roman" w:hAnsi="Times New Roman" w:eastAsia="宋体" w:cs="Times New Roman"/>
                      <w:spacing w:val="12"/>
                      <w:sz w:val="21"/>
                      <w:szCs w:val="21"/>
                    </w:rPr>
                    <w:t>护、水环境保护、环境风险防范、环境管理等要求，健全区域风险防范体系和生态安全保障体系，完善环境风险防范应急措施，落实应急处理处置方案要求，完善开</w:t>
                  </w:r>
                  <w:r>
                    <w:rPr>
                      <w:rFonts w:hint="default" w:ascii="Times New Roman" w:hAnsi="Times New Roman" w:eastAsia="宋体" w:cs="Times New Roman"/>
                      <w:spacing w:val="3"/>
                      <w:sz w:val="21"/>
                      <w:szCs w:val="21"/>
                    </w:rPr>
                    <w:t>发区环境风险“三级防控”体系建设要求。</w:t>
                  </w:r>
                  <w:r>
                    <w:rPr>
                      <w:rFonts w:hint="default" w:ascii="Times New Roman" w:hAnsi="Times New Roman" w:eastAsia="宋体" w:cs="Times New Roman"/>
                      <w:spacing w:val="12"/>
                      <w:sz w:val="21"/>
                      <w:szCs w:val="21"/>
                    </w:rPr>
                    <w:t>加强日常环境监管与监测，落实区域环境管理要求。做好开发区重大环境风险源的识别与管控，确保事故废水与外环境有效</w:t>
                  </w:r>
                  <w:r>
                    <w:rPr>
                      <w:rFonts w:hint="default" w:ascii="Times New Roman" w:hAnsi="Times New Roman" w:eastAsia="宋体" w:cs="Times New Roman"/>
                      <w:spacing w:val="7"/>
                      <w:sz w:val="21"/>
                      <w:szCs w:val="21"/>
                    </w:rPr>
                    <w:t>隔离、及时处置。</w:t>
                  </w:r>
                </w:p>
              </w:tc>
              <w:tc>
                <w:tcPr>
                  <w:tcW w:w="1597" w:type="pct"/>
                  <w:vAlign w:val="center"/>
                </w:tcPr>
                <w:p w14:paraId="5FA3E2E4">
                  <w:pPr>
                    <w:pStyle w:val="8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2"/>
                      <w:sz w:val="21"/>
                      <w:szCs w:val="21"/>
                    </w:rPr>
                  </w:pPr>
                  <w:r>
                    <w:rPr>
                      <w:rFonts w:hint="default" w:ascii="Times New Roman" w:hAnsi="Times New Roman" w:eastAsia="宋体" w:cs="Times New Roman"/>
                      <w:spacing w:val="18"/>
                      <w:sz w:val="21"/>
                      <w:szCs w:val="21"/>
                    </w:rPr>
                    <w:t>本项目按要求制定突发环境事</w:t>
                  </w:r>
                  <w:r>
                    <w:rPr>
                      <w:rFonts w:hint="default" w:ascii="Times New Roman" w:hAnsi="Times New Roman" w:eastAsia="宋体" w:cs="Times New Roman"/>
                      <w:spacing w:val="2"/>
                      <w:sz w:val="21"/>
                      <w:szCs w:val="21"/>
                    </w:rPr>
                    <w:t>件应急预案，落实环境风险防范</w:t>
                  </w:r>
                  <w:r>
                    <w:rPr>
                      <w:rFonts w:hint="default" w:ascii="Times New Roman" w:hAnsi="Times New Roman" w:eastAsia="宋体" w:cs="Times New Roman"/>
                      <w:spacing w:val="5"/>
                      <w:sz w:val="21"/>
                      <w:szCs w:val="21"/>
                    </w:rPr>
                    <w:t>措施等。</w:t>
                  </w:r>
                </w:p>
              </w:tc>
              <w:tc>
                <w:tcPr>
                  <w:tcW w:w="435" w:type="pct"/>
                  <w:vAlign w:val="center"/>
                </w:tcPr>
                <w:p w14:paraId="608624F6">
                  <w:pPr>
                    <w:jc w:val="center"/>
                    <w:rPr>
                      <w:rFonts w:hint="eastAsia"/>
                      <w:sz w:val="21"/>
                      <w:szCs w:val="21"/>
                    </w:rPr>
                  </w:pPr>
                  <w:r>
                    <w:rPr>
                      <w:rFonts w:hint="eastAsia"/>
                      <w:sz w:val="21"/>
                      <w:szCs w:val="21"/>
                    </w:rPr>
                    <w:t>相符</w:t>
                  </w:r>
                </w:p>
              </w:tc>
            </w:tr>
          </w:tbl>
          <w:p w14:paraId="7E1A05C8">
            <w:pPr>
              <w:autoSpaceDE w:val="0"/>
              <w:autoSpaceDN w:val="0"/>
              <w:adjustRightInd w:val="0"/>
              <w:snapToGrid w:val="0"/>
              <w:jc w:val="center"/>
              <w:rPr>
                <w:b/>
                <w:bCs/>
                <w:kern w:val="0"/>
                <w:sz w:val="24"/>
              </w:rPr>
            </w:pPr>
          </w:p>
        </w:tc>
      </w:tr>
      <w:tr w14:paraId="6B7364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777" w:hRule="atLeast"/>
          <w:jc w:val="center"/>
        </w:trPr>
        <w:tc>
          <w:tcPr>
            <w:tcW w:w="407" w:type="dxa"/>
            <w:vAlign w:val="center"/>
          </w:tcPr>
          <w:p w14:paraId="294098F5">
            <w:pPr>
              <w:autoSpaceDE w:val="0"/>
              <w:autoSpaceDN w:val="0"/>
              <w:adjustRightInd w:val="0"/>
              <w:snapToGrid w:val="0"/>
              <w:jc w:val="center"/>
              <w:rPr>
                <w:rFonts w:ascii="宋体" w:hAnsi="宋体" w:cs="宋体"/>
                <w:b/>
                <w:kern w:val="0"/>
                <w:szCs w:val="21"/>
              </w:rPr>
            </w:pPr>
            <w:r>
              <w:rPr>
                <w:rFonts w:hint="eastAsia" w:ascii="宋体" w:hAnsi="宋体" w:cs="宋体"/>
                <w:b/>
                <w:kern w:val="0"/>
                <w:szCs w:val="21"/>
              </w:rPr>
              <w:t>其他符合性分析</w:t>
            </w:r>
          </w:p>
        </w:tc>
        <w:tc>
          <w:tcPr>
            <w:tcW w:w="8463" w:type="dxa"/>
            <w:gridSpan w:val="4"/>
            <w:vAlign w:val="center"/>
          </w:tcPr>
          <w:p w14:paraId="1CF921A9">
            <w:pPr>
              <w:spacing w:line="360" w:lineRule="auto"/>
              <w:ind w:firstLine="422" w:firstLineChars="175"/>
              <w:rPr>
                <w:b/>
                <w:bCs/>
                <w:sz w:val="24"/>
              </w:rPr>
            </w:pPr>
            <w:r>
              <w:rPr>
                <w:rFonts w:hint="eastAsia"/>
                <w:b/>
                <w:bCs/>
                <w:sz w:val="24"/>
              </w:rPr>
              <w:t>（一）“三线一单”及生态环境分区管控符合性分析</w:t>
            </w:r>
          </w:p>
          <w:p w14:paraId="4A411B3A">
            <w:pPr>
              <w:spacing w:line="360" w:lineRule="auto"/>
              <w:ind w:firstLine="420" w:firstLineChars="175"/>
              <w:rPr>
                <w:sz w:val="24"/>
              </w:rPr>
            </w:pPr>
            <w:r>
              <w:rPr>
                <w:sz w:val="24"/>
              </w:rPr>
              <w:t>本项目的“三线一单”符合性分析如下：</w:t>
            </w:r>
          </w:p>
          <w:p w14:paraId="2BF05263">
            <w:pPr>
              <w:spacing w:line="360" w:lineRule="auto"/>
              <w:ind w:firstLine="420" w:firstLineChars="175"/>
              <w:rPr>
                <w:sz w:val="24"/>
              </w:rPr>
            </w:pPr>
            <w:r>
              <w:rPr>
                <w:rFonts w:hint="eastAsia"/>
                <w:sz w:val="24"/>
              </w:rPr>
              <w:t>（1）生态保护红线</w:t>
            </w:r>
          </w:p>
          <w:p w14:paraId="751B9603">
            <w:pPr>
              <w:spacing w:line="360" w:lineRule="auto"/>
              <w:ind w:firstLine="480" w:firstLineChars="200"/>
              <w:jc w:val="both"/>
              <w:rPr>
                <w:rFonts w:hint="eastAsia"/>
                <w:sz w:val="24"/>
              </w:rPr>
            </w:pPr>
            <w:r>
              <w:rPr>
                <w:rFonts w:hint="eastAsia"/>
                <w:sz w:val="24"/>
              </w:rPr>
              <w:t>拟建项目位于安徽省</w:t>
            </w:r>
            <w:r>
              <w:rPr>
                <w:rFonts w:hint="eastAsia"/>
                <w:sz w:val="24"/>
                <w:lang w:eastAsia="zh-CN"/>
              </w:rPr>
              <w:t>淮北杜集经济开发区238省道西、山河大道南</w:t>
            </w:r>
            <w:r>
              <w:rPr>
                <w:rFonts w:hint="eastAsia"/>
                <w:sz w:val="24"/>
              </w:rPr>
              <w:t>，对照《淮北市生态保护红线分布图》，拟建项目不涉及淮北市生态保护红线内容，不涉及生态保护红线。</w:t>
            </w:r>
          </w:p>
          <w:p w14:paraId="4721BA10">
            <w:pPr>
              <w:overflowPunct w:val="0"/>
              <w:adjustRightInd w:val="0"/>
              <w:snapToGrid w:val="0"/>
              <w:spacing w:line="360" w:lineRule="auto"/>
              <w:ind w:firstLine="480" w:firstLineChars="200"/>
              <w:rPr>
                <w:sz w:val="24"/>
              </w:rPr>
            </w:pPr>
            <w:r>
              <w:rPr>
                <w:rFonts w:hint="eastAsia" w:ascii="Times New Roman" w:hAnsi="Times New Roman" w:eastAsia="宋体" w:cs="Times New Roman"/>
                <w:kern w:val="0"/>
                <w:sz w:val="24"/>
              </w:rPr>
              <w:t>本项目与生态环境分区管控要求符合性分析如下</w:t>
            </w:r>
            <w:r>
              <w:rPr>
                <w:rFonts w:hint="eastAsia" w:ascii="Times New Roman" w:hAnsi="Times New Roman" w:eastAsia="宋体" w:cs="Times New Roman"/>
                <w:kern w:val="0"/>
                <w:sz w:val="24"/>
                <w:lang w:eastAsia="zh-CN"/>
              </w:rPr>
              <w:t>：</w:t>
            </w:r>
          </w:p>
          <w:p w14:paraId="33535FB8">
            <w:pPr>
              <w:spacing w:line="360" w:lineRule="auto"/>
              <w:ind w:firstLine="480" w:firstLineChars="200"/>
              <w:jc w:val="both"/>
              <w:rPr>
                <w:rFonts w:hint="eastAsia"/>
                <w:bCs/>
                <w:kern w:val="0"/>
                <w:sz w:val="24"/>
              </w:rPr>
            </w:pPr>
            <w:r>
              <w:rPr>
                <w:rFonts w:hint="eastAsia"/>
                <w:bCs/>
                <w:kern w:val="0"/>
                <w:sz w:val="24"/>
              </w:rPr>
              <w:t>经查询安徽省“三线一单”公众服务平台，本项目所在区域涉及1个</w:t>
            </w:r>
            <w:r>
              <w:rPr>
                <w:rFonts w:hint="eastAsia"/>
                <w:bCs/>
                <w:kern w:val="0"/>
                <w:sz w:val="24"/>
                <w:lang w:val="en-US" w:eastAsia="zh-CN"/>
              </w:rPr>
              <w:t>一般</w:t>
            </w:r>
            <w:r>
              <w:rPr>
                <w:rFonts w:hint="eastAsia"/>
                <w:bCs/>
                <w:kern w:val="0"/>
                <w:sz w:val="24"/>
              </w:rPr>
              <w:t>管控单元，单元编码ZH34060220041。</w:t>
            </w:r>
          </w:p>
          <w:p w14:paraId="31A73F6A">
            <w:pPr>
              <w:spacing w:line="360" w:lineRule="auto"/>
              <w:jc w:val="center"/>
              <w:rPr>
                <w:bCs/>
                <w:kern w:val="0"/>
                <w:szCs w:val="21"/>
              </w:rPr>
            </w:pPr>
            <w:r>
              <w:rPr>
                <w:rFonts w:hint="eastAsia"/>
                <w:b/>
                <w:bCs/>
                <w:sz w:val="24"/>
              </w:rPr>
              <mc:AlternateContent>
                <mc:Choice Requires="wps">
                  <w:drawing>
                    <wp:anchor distT="0" distB="0" distL="114300" distR="114300" simplePos="0" relativeHeight="251659264" behindDoc="0" locked="0" layoutInCell="1" allowOverlap="1">
                      <wp:simplePos x="0" y="0"/>
                      <wp:positionH relativeFrom="column">
                        <wp:posOffset>1249045</wp:posOffset>
                      </wp:positionH>
                      <wp:positionV relativeFrom="paragraph">
                        <wp:posOffset>722630</wp:posOffset>
                      </wp:positionV>
                      <wp:extent cx="1057910" cy="279400"/>
                      <wp:effectExtent l="4445" t="4445" r="23495" b="230505"/>
                      <wp:wrapNone/>
                      <wp:docPr id="2" name="自选图形 4"/>
                      <wp:cNvGraphicFramePr/>
                      <a:graphic xmlns:a="http://schemas.openxmlformats.org/drawingml/2006/main">
                        <a:graphicData uri="http://schemas.microsoft.com/office/word/2010/wordprocessingShape">
                          <wps:wsp>
                            <wps:cNvSpPr/>
                            <wps:spPr>
                              <a:xfrm>
                                <a:off x="0" y="0"/>
                                <a:ext cx="1057910" cy="279400"/>
                              </a:xfrm>
                              <a:prstGeom prst="wedgeRectCallout">
                                <a:avLst>
                                  <a:gd name="adj1" fmla="val -30551"/>
                                  <a:gd name="adj2" fmla="val 123181"/>
                                </a:avLst>
                              </a:prstGeom>
                              <a:solidFill>
                                <a:srgbClr val="FFFF00"/>
                              </a:solidFill>
                              <a:ln w="9525" cap="flat" cmpd="sng">
                                <a:solidFill>
                                  <a:srgbClr val="FF0000"/>
                                </a:solidFill>
                                <a:prstDash val="solid"/>
                                <a:miter/>
                                <a:headEnd type="none" w="med" len="med"/>
                                <a:tailEnd type="none" w="med" len="med"/>
                              </a:ln>
                            </wps:spPr>
                            <wps:txbx>
                              <w:txbxContent>
                                <w:p w14:paraId="3D8DE848">
                                  <w:r>
                                    <w:rPr>
                                      <w:rFonts w:hint="eastAsia"/>
                                    </w:rPr>
                                    <w:t>本项目所在地</w:t>
                                  </w:r>
                                </w:p>
                              </w:txbxContent>
                            </wps:txbx>
                            <wps:bodyPr upright="1"/>
                          </wps:wsp>
                        </a:graphicData>
                      </a:graphic>
                    </wp:anchor>
                  </w:drawing>
                </mc:Choice>
                <mc:Fallback>
                  <w:pict>
                    <v:shape id="自选图形 4" o:spid="_x0000_s1026" o:spt="61" type="#_x0000_t61" style="position:absolute;left:0pt;margin-left:98.35pt;margin-top:56.9pt;height:22pt;width:83.3pt;z-index:251659264;mso-width-relative:page;mso-height-relative:page;" fillcolor="#FFFF00" filled="t" stroked="t" coordsize="21600,21600" o:gfxdata="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DAsyn9gAAAALAQAADwAAAAAAAAABACAAAAAiAAAAZHJz&#10;L2Rvd25yZXYueG1sUEsBAhQAFAAAAAgAh07iQHWuYxI9AgAAjgQAAA4AAAAAAAAAAQAgAAAAJwEA&#10;AGRycy9lMm9Eb2MueG1sUEsFBgAAAAAGAAYAWQEAANYFAAAAAA==&#10;" adj="4201,37407">
                      <v:fill on="t" focussize="0,0"/>
                      <v:stroke color="#FF0000" joinstyle="miter"/>
                      <v:imagedata o:title=""/>
                      <o:lock v:ext="edit" aspectratio="f"/>
                      <v:textbox>
                        <w:txbxContent>
                          <w:p w14:paraId="3D8DE848">
                            <w:r>
                              <w:rPr>
                                <w:rFonts w:hint="eastAsia"/>
                              </w:rPr>
                              <w:t>本项目所在地</w:t>
                            </w:r>
                          </w:p>
                        </w:txbxContent>
                      </v:textbox>
                    </v:shape>
                  </w:pict>
                </mc:Fallback>
              </mc:AlternateContent>
            </w:r>
            <w:r>
              <w:drawing>
                <wp:inline distT="0" distB="0" distL="114300" distR="114300">
                  <wp:extent cx="5398770" cy="3154680"/>
                  <wp:effectExtent l="0" t="0" r="11430" b="7620"/>
                  <wp:docPr id="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0"/>
                          <pic:cNvPicPr>
                            <a:picLocks noChangeAspect="1"/>
                          </pic:cNvPicPr>
                        </pic:nvPicPr>
                        <pic:blipFill>
                          <a:blip r:embed="rId10"/>
                          <a:stretch>
                            <a:fillRect/>
                          </a:stretch>
                        </pic:blipFill>
                        <pic:spPr>
                          <a:xfrm>
                            <a:off x="0" y="0"/>
                            <a:ext cx="5398770" cy="3154680"/>
                          </a:xfrm>
                          <a:prstGeom prst="rect">
                            <a:avLst/>
                          </a:prstGeom>
                          <a:noFill/>
                          <a:ln>
                            <a:noFill/>
                          </a:ln>
                        </pic:spPr>
                      </pic:pic>
                    </a:graphicData>
                  </a:graphic>
                </wp:inline>
              </w:drawing>
            </w:r>
          </w:p>
          <w:p w14:paraId="18005285">
            <w:pPr>
              <w:pStyle w:val="16"/>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图1 项目与分区管控位置关系图</w:t>
            </w:r>
          </w:p>
          <w:p w14:paraId="440BB680">
            <w:pPr>
              <w:spacing w:line="360" w:lineRule="auto"/>
              <w:ind w:firstLine="420" w:firstLineChars="175"/>
              <w:rPr>
                <w:sz w:val="24"/>
              </w:rPr>
            </w:pPr>
            <w:r>
              <w:rPr>
                <w:rFonts w:hint="eastAsia"/>
                <w:sz w:val="24"/>
              </w:rPr>
              <w:t>①水环境分区管控级别及要求：对照《淮北市“三线一单”文本》，本项目位于水环境工业污染重点管控区。管控要求为：依据《中华人民共和国水污染防治法》、《水污染防治行动计划》、《安徽省水污染防治工作方案》及各市水污染防治工作方案对重点管控区实施管控；依据《安徽省淮河流域水污染防治条例》对淮河流域实施管控；依据开发区规划、规划环评及审查意见相关要求对开发区实施管控；落实《“十四五”生态环境保护规划》《安徽省“十四五”环境保护规划》《安徽省“十四五”节能减排实施方案》等要求，新建、改建和扩建项目水污染物实施“等量替代”。</w:t>
            </w:r>
          </w:p>
          <w:p w14:paraId="0074EA53">
            <w:pPr>
              <w:spacing w:line="360" w:lineRule="auto"/>
              <w:ind w:firstLine="420" w:firstLineChars="175"/>
              <w:rPr>
                <w:sz w:val="24"/>
              </w:rPr>
            </w:pPr>
            <w:r>
              <w:rPr>
                <w:rFonts w:hint="eastAsia"/>
                <w:sz w:val="24"/>
              </w:rPr>
              <w:t>本项目相符性分析：</w:t>
            </w:r>
            <w:r>
              <w:rPr>
                <w:rFonts w:hint="eastAsia"/>
                <w:color w:val="auto"/>
                <w:sz w:val="24"/>
              </w:rPr>
              <w:t>循环冷却用水不外排，</w:t>
            </w:r>
            <w:r>
              <w:rPr>
                <w:rFonts w:hint="eastAsia"/>
                <w:color w:val="auto"/>
                <w:sz w:val="24"/>
                <w:lang w:eastAsia="zh-CN"/>
              </w:rPr>
              <w:t>生活污水经化粪池预处理，食堂餐饮废水经隔油池预处理，预处理后</w:t>
            </w:r>
            <w:r>
              <w:rPr>
                <w:rFonts w:hint="eastAsia"/>
                <w:color w:val="auto"/>
                <w:sz w:val="24"/>
              </w:rPr>
              <w:t>一同汇入厂区总排口后经市政污水管网进入淮北市龙湖工业园污水处理厂，处理达标后排入龙河。因此，本项目满足水环境工业污染重点管控区要求。</w:t>
            </w:r>
          </w:p>
          <w:p w14:paraId="05E29A40">
            <w:pPr>
              <w:spacing w:line="360" w:lineRule="auto"/>
              <w:ind w:firstLine="420" w:firstLineChars="175"/>
              <w:rPr>
                <w:sz w:val="24"/>
              </w:rPr>
            </w:pPr>
            <w:r>
              <w:rPr>
                <w:rFonts w:hint="eastAsia"/>
                <w:sz w:val="24"/>
              </w:rPr>
              <w:t>②大气环境分区管控级别及要求：对照《淮北市“三线一单”文本》，本项目位于大气环境重点管控区。管控要求为：落实《安徽省大气污染防治条例》《“十四五”生态环境保护规划》《安徽省“十四五”环境保护规划》《环境空气细颗粒物污染综合防治技术政策》等要求，严格目标实施计划，加强环境监管，促进生态环境质量好转。上年度PM</w:t>
            </w:r>
            <w:r>
              <w:rPr>
                <w:rFonts w:hint="eastAsia"/>
                <w:sz w:val="24"/>
                <w:vertAlign w:val="subscript"/>
              </w:rPr>
              <w:t>2.5</w:t>
            </w:r>
            <w:r>
              <w:rPr>
                <w:rFonts w:hint="eastAsia"/>
                <w:sz w:val="24"/>
              </w:rPr>
              <w:t>不达标城市新建、改建和扩建项目大气污染物实施“倍量替代”，执行特别排放标准的行业实施提标升级改造。</w:t>
            </w:r>
          </w:p>
          <w:p w14:paraId="5E719719">
            <w:pPr>
              <w:spacing w:line="360" w:lineRule="auto"/>
              <w:ind w:firstLine="420" w:firstLineChars="175"/>
              <w:rPr>
                <w:sz w:val="24"/>
              </w:rPr>
            </w:pPr>
            <w:r>
              <w:rPr>
                <w:rFonts w:hint="eastAsia"/>
                <w:sz w:val="24"/>
              </w:rPr>
              <w:t>本项目相符性分析：</w:t>
            </w:r>
            <w:r>
              <w:rPr>
                <w:rFonts w:hint="eastAsia"/>
                <w:color w:val="auto"/>
                <w:sz w:val="24"/>
              </w:rPr>
              <w:t>本项目废气污染物为颗粒物</w:t>
            </w:r>
            <w:r>
              <w:rPr>
                <w:rFonts w:hint="eastAsia"/>
                <w:color w:val="auto"/>
                <w:sz w:val="24"/>
                <w:lang w:eastAsia="zh-CN"/>
              </w:rPr>
              <w:t>、非甲烷总烃、二甲苯</w:t>
            </w:r>
            <w:r>
              <w:rPr>
                <w:rFonts w:hint="eastAsia"/>
                <w:color w:val="auto"/>
                <w:sz w:val="24"/>
              </w:rPr>
              <w:t>，通过配套废气处理装置处理后污染物能够实现达标排放，不会对区域大气环境产生明显影响，项目的建设不会降低区域环境空气质量功能，能够满足区域大气环境质量底线要求。因此，本项目满足大气环境高排重点管控区要求。</w:t>
            </w:r>
          </w:p>
          <w:p w14:paraId="7B04D2E8">
            <w:pPr>
              <w:spacing w:line="360" w:lineRule="auto"/>
              <w:ind w:firstLine="420" w:firstLineChars="175"/>
              <w:rPr>
                <w:sz w:val="24"/>
              </w:rPr>
            </w:pPr>
            <w:r>
              <w:rPr>
                <w:rFonts w:hint="eastAsia"/>
                <w:sz w:val="24"/>
              </w:rPr>
              <w:t xml:space="preserve">③土壤环境分区管控：对照《淮北市“三线一单”文本》，本项目位于土壤环境风险一般防控区。管控要求为：依据《中华人民共和国土壤污染防治法》《土壤污染防治行动计划》《安徽省土壤污染防治工作方案》《安徽省“十四五”环境保护规划》等要求及各市土壤污染防治工作方案对一般管控区实施管控。 </w:t>
            </w:r>
          </w:p>
          <w:p w14:paraId="5683F87D">
            <w:pPr>
              <w:spacing w:line="360" w:lineRule="auto"/>
              <w:ind w:firstLine="420" w:firstLineChars="175"/>
              <w:rPr>
                <w:color w:val="auto"/>
                <w:sz w:val="24"/>
              </w:rPr>
            </w:pPr>
            <w:r>
              <w:rPr>
                <w:rFonts w:hint="eastAsia"/>
                <w:sz w:val="24"/>
              </w:rPr>
              <w:t>本项目相符性分析</w:t>
            </w:r>
            <w:r>
              <w:rPr>
                <w:rFonts w:hint="eastAsia"/>
                <w:color w:val="auto"/>
                <w:sz w:val="24"/>
              </w:rPr>
              <w:t>：本项目为新建项目，将严格按照分区防渗要求建设。因此，本项目满足土壤环境风险一般防控区管控要求。</w:t>
            </w:r>
          </w:p>
          <w:p w14:paraId="01189D82">
            <w:pPr>
              <w:spacing w:line="360" w:lineRule="auto"/>
              <w:ind w:firstLine="420" w:firstLineChars="175"/>
              <w:rPr>
                <w:sz w:val="24"/>
              </w:rPr>
            </w:pPr>
            <w:r>
              <w:rPr>
                <w:rFonts w:hint="eastAsia"/>
                <w:sz w:val="24"/>
              </w:rPr>
              <w:t>（2）环境质量底线</w:t>
            </w:r>
          </w:p>
          <w:p w14:paraId="7FC0E6F2">
            <w:pPr>
              <w:spacing w:line="360" w:lineRule="auto"/>
              <w:ind w:firstLine="420" w:firstLineChars="175"/>
              <w:rPr>
                <w:sz w:val="24"/>
              </w:rPr>
            </w:pPr>
            <w:r>
              <w:rPr>
                <w:sz w:val="24"/>
              </w:rPr>
              <w:t>根据环境功能区划，项目所在地区域环境空气功能为二类区，执行《环境空气质量标准》（GB3095-2012）中二级标准；</w:t>
            </w:r>
            <w:r>
              <w:rPr>
                <w:rFonts w:hint="eastAsia"/>
                <w:sz w:val="24"/>
              </w:rPr>
              <w:t>龙河</w:t>
            </w:r>
            <w:r>
              <w:rPr>
                <w:sz w:val="24"/>
              </w:rPr>
              <w:t>水环境质量执行《地表水环境质量标准》（GB3838-2002）中Ⅳ类标准；声环境功能为3类区，执行《声环境质量标准》（GB3096-2008）中3类标准；地下水环境执行《地下水环境质量标准》（GB/T14848-2017）中Ⅲ类标准；区域土壤环境执行《土壤环境质量 建设用地土壤污染风险管控标准</w:t>
            </w:r>
            <w:r>
              <w:rPr>
                <w:rFonts w:hint="eastAsia"/>
                <w:sz w:val="24"/>
              </w:rPr>
              <w:t>（试行）</w:t>
            </w:r>
            <w:r>
              <w:rPr>
                <w:sz w:val="24"/>
              </w:rPr>
              <w:t>》（GB36600-2018）中第二类用地筛选值标准。</w:t>
            </w:r>
          </w:p>
          <w:p w14:paraId="37C33AA4">
            <w:pPr>
              <w:spacing w:line="360" w:lineRule="auto"/>
              <w:ind w:firstLine="420" w:firstLineChars="175"/>
              <w:rPr>
                <w:sz w:val="24"/>
              </w:rPr>
            </w:pPr>
            <w:r>
              <w:rPr>
                <w:rFonts w:hint="eastAsia"/>
                <w:sz w:val="24"/>
              </w:rPr>
              <w:t>根据《202</w:t>
            </w:r>
            <w:r>
              <w:rPr>
                <w:rFonts w:hint="eastAsia"/>
                <w:sz w:val="24"/>
                <w:lang w:val="en-US" w:eastAsia="zh-CN"/>
              </w:rPr>
              <w:t>3</w:t>
            </w:r>
            <w:r>
              <w:rPr>
                <w:rFonts w:hint="eastAsia"/>
                <w:sz w:val="24"/>
              </w:rPr>
              <w:t>年淮北市环境质量公报》中的统计数据可知，</w:t>
            </w:r>
            <w:r>
              <w:rPr>
                <w:sz w:val="24"/>
              </w:rPr>
              <w:t>淮北市环境空气PM</w:t>
            </w:r>
            <w:r>
              <w:rPr>
                <w:sz w:val="24"/>
                <w:vertAlign w:val="subscript"/>
              </w:rPr>
              <w:t>2.5</w:t>
            </w:r>
            <w:r>
              <w:rPr>
                <w:sz w:val="24"/>
              </w:rPr>
              <w:t>、O</w:t>
            </w:r>
            <w:r>
              <w:rPr>
                <w:sz w:val="24"/>
                <w:vertAlign w:val="subscript"/>
              </w:rPr>
              <w:t>3</w:t>
            </w:r>
            <w:r>
              <w:rPr>
                <w:sz w:val="24"/>
              </w:rPr>
              <w:t>浓度值不满足《环境空气质量标准》(GB3095-2012)中二级标准，</w:t>
            </w:r>
            <w:r>
              <w:rPr>
                <w:rFonts w:hint="eastAsia"/>
                <w:sz w:val="24"/>
              </w:rPr>
              <w:t>淮北市</w:t>
            </w:r>
            <w:r>
              <w:rPr>
                <w:sz w:val="24"/>
              </w:rPr>
              <w:t>为环境空气质量不达标区；根据现状</w:t>
            </w:r>
            <w:r>
              <w:rPr>
                <w:rFonts w:hint="eastAsia"/>
                <w:sz w:val="24"/>
              </w:rPr>
              <w:t>引用</w:t>
            </w:r>
            <w:r>
              <w:rPr>
                <w:sz w:val="24"/>
              </w:rPr>
              <w:t>监测数据，</w:t>
            </w:r>
            <w:r>
              <w:rPr>
                <w:rFonts w:hint="eastAsia"/>
                <w:sz w:val="24"/>
              </w:rPr>
              <w:t>监测期间项目所在区域环境空气</w:t>
            </w:r>
            <w:r>
              <w:rPr>
                <w:sz w:val="24"/>
              </w:rPr>
              <w:t>TSP日均值满足《环境空气质量标准》（GB3095-2012）中的二级标准要求</w:t>
            </w:r>
            <w:r>
              <w:rPr>
                <w:rFonts w:hint="eastAsia"/>
                <w:sz w:val="24"/>
              </w:rPr>
              <w:t>。项目建成运行后，废气污染物通过配套废气处理装置处理后能够实现达标排放，不会降低或者进一步恶化区域环境空气质量。</w:t>
            </w:r>
          </w:p>
          <w:p w14:paraId="1A60E587">
            <w:pPr>
              <w:spacing w:line="360" w:lineRule="auto"/>
              <w:ind w:firstLine="420" w:firstLineChars="175"/>
              <w:rPr>
                <w:sz w:val="24"/>
              </w:rPr>
            </w:pPr>
            <w:r>
              <w:rPr>
                <w:rFonts w:hint="eastAsia"/>
                <w:sz w:val="24"/>
              </w:rPr>
              <w:t>根据</w:t>
            </w:r>
            <w:r>
              <w:rPr>
                <w:sz w:val="24"/>
              </w:rPr>
              <w:t>地表水环境</w:t>
            </w:r>
            <w:r>
              <w:rPr>
                <w:rFonts w:hint="eastAsia"/>
                <w:sz w:val="24"/>
              </w:rPr>
              <w:t>引用监测数据</w:t>
            </w:r>
            <w:r>
              <w:rPr>
                <w:sz w:val="24"/>
              </w:rPr>
              <w:t>可知，</w:t>
            </w:r>
            <w:r>
              <w:rPr>
                <w:rFonts w:hint="eastAsia"/>
                <w:sz w:val="24"/>
              </w:rPr>
              <w:t>监测期间</w:t>
            </w:r>
            <w:r>
              <w:rPr>
                <w:sz w:val="24"/>
              </w:rPr>
              <w:t>龙河各水质断面的各项监测指标均能满足《地表水环境质量标准》（GB3838-2002）的IV类要求</w:t>
            </w:r>
            <w:r>
              <w:rPr>
                <w:rFonts w:hint="eastAsia"/>
                <w:sz w:val="24"/>
              </w:rPr>
              <w:t>。</w:t>
            </w:r>
          </w:p>
          <w:p w14:paraId="09A3A5E0">
            <w:pPr>
              <w:spacing w:line="360" w:lineRule="auto"/>
              <w:ind w:firstLine="420" w:firstLineChars="175"/>
              <w:rPr>
                <w:sz w:val="24"/>
              </w:rPr>
            </w:pPr>
            <w:r>
              <w:rPr>
                <w:rFonts w:hint="eastAsia"/>
                <w:sz w:val="24"/>
              </w:rPr>
              <w:t>综上，项目建成运行后，不会降低区域环境质量的原有功能级别，满足环境质量底线控制要求。</w:t>
            </w:r>
          </w:p>
          <w:p w14:paraId="3461A40C">
            <w:pPr>
              <w:spacing w:line="360" w:lineRule="auto"/>
              <w:ind w:firstLine="420" w:firstLineChars="175"/>
              <w:rPr>
                <w:sz w:val="24"/>
              </w:rPr>
            </w:pPr>
            <w:r>
              <w:rPr>
                <w:rFonts w:hint="eastAsia"/>
                <w:sz w:val="24"/>
              </w:rPr>
              <w:t>（3）资源利用上线</w:t>
            </w:r>
          </w:p>
          <w:p w14:paraId="2061068E">
            <w:pPr>
              <w:spacing w:line="360" w:lineRule="auto"/>
              <w:ind w:firstLine="420" w:firstLineChars="175"/>
              <w:rPr>
                <w:sz w:val="24"/>
              </w:rPr>
            </w:pPr>
            <w:r>
              <w:rPr>
                <w:rFonts w:hint="eastAsia"/>
                <w:sz w:val="24"/>
              </w:rPr>
              <w:t>拟建项目位于安徽省</w:t>
            </w:r>
            <w:r>
              <w:rPr>
                <w:rFonts w:hint="eastAsia"/>
                <w:sz w:val="24"/>
                <w:lang w:eastAsia="zh-CN"/>
              </w:rPr>
              <w:t>淮北杜集经济开发区238省道西、山河大道南</w:t>
            </w:r>
            <w:r>
              <w:rPr>
                <w:rFonts w:hint="eastAsia"/>
                <w:sz w:val="24"/>
              </w:rPr>
              <w:t>。项目供水依托工业园供水系统，工业园供水系统富余能力完全满足本项目需求。本项目生产设备使用能源为电能，依托现有厂区内的供电系统，能够满足本项目供电需要。拟建项目资源利用均在淮北市杜集经济开发区可承受范围内。</w:t>
            </w:r>
          </w:p>
          <w:p w14:paraId="58042A72">
            <w:pPr>
              <w:spacing w:line="360" w:lineRule="auto"/>
              <w:ind w:firstLine="420" w:firstLineChars="175"/>
              <w:rPr>
                <w:sz w:val="24"/>
              </w:rPr>
            </w:pPr>
            <w:r>
              <w:rPr>
                <w:rFonts w:hint="eastAsia"/>
                <w:sz w:val="24"/>
              </w:rPr>
              <w:t>（4）生态环境准入清单</w:t>
            </w:r>
          </w:p>
          <w:p w14:paraId="24A57F71">
            <w:pPr>
              <w:spacing w:line="360" w:lineRule="auto"/>
              <w:ind w:firstLine="420" w:firstLineChars="175"/>
              <w:rPr>
                <w:sz w:val="24"/>
              </w:rPr>
            </w:pPr>
            <w:r>
              <w:rPr>
                <w:rFonts w:hint="eastAsia"/>
                <w:sz w:val="24"/>
              </w:rPr>
              <w:t>本项目对照</w:t>
            </w:r>
            <w:r>
              <w:rPr>
                <w:rFonts w:hint="eastAsia"/>
                <w:sz w:val="24"/>
                <w:lang w:eastAsia="zh-CN"/>
              </w:rPr>
              <w:t>《</w:t>
            </w:r>
            <w:r>
              <w:rPr>
                <w:rFonts w:hint="default" w:ascii="Times New Roman" w:hAnsi="Times New Roman" w:cs="Times New Roman"/>
                <w:kern w:val="0"/>
                <w:sz w:val="24"/>
                <w:szCs w:val="24"/>
              </w:rPr>
              <w:t>安徽淮北杜集经济开发区总体发展规划（2023-2035年）环境影响报告书</w:t>
            </w:r>
            <w:r>
              <w:rPr>
                <w:rFonts w:hint="eastAsia"/>
                <w:sz w:val="24"/>
                <w:lang w:eastAsia="zh-CN"/>
              </w:rPr>
              <w:t>》</w:t>
            </w:r>
            <w:r>
              <w:rPr>
                <w:rFonts w:hint="eastAsia"/>
                <w:sz w:val="24"/>
              </w:rPr>
              <w:t>、《市场准入负面清单》（202</w:t>
            </w:r>
            <w:r>
              <w:rPr>
                <w:rFonts w:hint="eastAsia"/>
                <w:sz w:val="24"/>
                <w:lang w:val="en-US" w:eastAsia="zh-CN"/>
              </w:rPr>
              <w:t>5</w:t>
            </w:r>
            <w:r>
              <w:rPr>
                <w:rFonts w:hint="eastAsia"/>
                <w:sz w:val="24"/>
              </w:rPr>
              <w:t>年版）进行说明。</w:t>
            </w:r>
          </w:p>
          <w:p w14:paraId="01D00670">
            <w:pPr>
              <w:pStyle w:val="3"/>
              <w:spacing w:before="0" w:after="0" w:line="360" w:lineRule="auto"/>
              <w:ind w:right="0" w:firstLine="480" w:firstLineChars="200"/>
              <w:rPr>
                <w:sz w:val="24"/>
                <w:szCs w:val="24"/>
              </w:rPr>
            </w:pPr>
            <w:r>
              <w:rPr>
                <w:sz w:val="24"/>
                <w:szCs w:val="24"/>
              </w:rPr>
              <w:t>①</w:t>
            </w:r>
            <w:r>
              <w:rPr>
                <w:rFonts w:hint="eastAsia"/>
                <w:sz w:val="24"/>
                <w:szCs w:val="24"/>
              </w:rPr>
              <w:t>与《安徽淮北杜集经济开发区总体发展规划（2023-2035年）》生态环境准入清单对照分析</w:t>
            </w:r>
          </w:p>
          <w:p w14:paraId="0464660E">
            <w:pPr>
              <w:widowControl/>
              <w:numPr>
                <w:ilvl w:val="0"/>
                <w:numId w:val="2"/>
              </w:numPr>
              <w:jc w:val="center"/>
              <w:rPr>
                <w:b/>
                <w:kern w:val="0"/>
                <w:szCs w:val="21"/>
              </w:rPr>
            </w:pPr>
            <w:r>
              <w:rPr>
                <w:b/>
                <w:kern w:val="0"/>
                <w:szCs w:val="21"/>
              </w:rPr>
              <w:t xml:space="preserve">  </w:t>
            </w:r>
            <w:r>
              <w:rPr>
                <w:rFonts w:hint="eastAsia"/>
                <w:b/>
                <w:kern w:val="0"/>
                <w:szCs w:val="21"/>
              </w:rPr>
              <w:t>杜集经济开发区生态环境准入清单一览表</w:t>
            </w:r>
          </w:p>
          <w:tbl>
            <w:tblPr>
              <w:tblStyle w:val="78"/>
              <w:tblW w:w="4996"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728"/>
              <w:gridCol w:w="741"/>
              <w:gridCol w:w="771"/>
              <w:gridCol w:w="1651"/>
              <w:gridCol w:w="4547"/>
            </w:tblGrid>
            <w:tr w14:paraId="000174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431" w:type="pct"/>
                  <w:tcBorders>
                    <w:tl2br w:val="nil"/>
                    <w:tr2bl w:val="nil"/>
                  </w:tcBorders>
                  <w:vAlign w:val="center"/>
                </w:tcPr>
                <w:p w14:paraId="794D9049">
                  <w:pPr>
                    <w:widowControl/>
                    <w:adjustRightInd w:val="0"/>
                    <w:snapToGrid w:val="0"/>
                    <w:jc w:val="center"/>
                    <w:rPr>
                      <w:rFonts w:hint="eastAsia"/>
                      <w:kern w:val="0"/>
                      <w:szCs w:val="21"/>
                    </w:rPr>
                  </w:pPr>
                  <w:r>
                    <w:rPr>
                      <w:rFonts w:hint="eastAsia"/>
                      <w:kern w:val="0"/>
                      <w:szCs w:val="21"/>
                    </w:rPr>
                    <w:t>管控类别</w:t>
                  </w:r>
                </w:p>
              </w:tc>
              <w:tc>
                <w:tcPr>
                  <w:tcW w:w="438" w:type="pct"/>
                  <w:tcBorders>
                    <w:tl2br w:val="nil"/>
                    <w:tr2bl w:val="nil"/>
                  </w:tcBorders>
                  <w:vAlign w:val="center"/>
                </w:tcPr>
                <w:p w14:paraId="29EB648A">
                  <w:pPr>
                    <w:widowControl/>
                    <w:adjustRightInd w:val="0"/>
                    <w:snapToGrid w:val="0"/>
                    <w:jc w:val="center"/>
                    <w:rPr>
                      <w:rFonts w:hint="eastAsia"/>
                      <w:kern w:val="0"/>
                      <w:szCs w:val="21"/>
                    </w:rPr>
                  </w:pPr>
                  <w:r>
                    <w:rPr>
                      <w:rFonts w:hint="eastAsia"/>
                      <w:kern w:val="0"/>
                      <w:szCs w:val="21"/>
                    </w:rPr>
                    <w:t>主导产业</w:t>
                  </w:r>
                </w:p>
              </w:tc>
              <w:tc>
                <w:tcPr>
                  <w:tcW w:w="1435" w:type="pct"/>
                  <w:gridSpan w:val="2"/>
                  <w:tcBorders>
                    <w:tl2br w:val="nil"/>
                    <w:tr2bl w:val="nil"/>
                  </w:tcBorders>
                  <w:vAlign w:val="center"/>
                </w:tcPr>
                <w:p w14:paraId="4E56C1C0">
                  <w:pPr>
                    <w:widowControl/>
                    <w:adjustRightInd w:val="0"/>
                    <w:snapToGrid w:val="0"/>
                    <w:jc w:val="center"/>
                    <w:rPr>
                      <w:rFonts w:hint="eastAsia"/>
                      <w:kern w:val="0"/>
                      <w:szCs w:val="21"/>
                    </w:rPr>
                  </w:pPr>
                  <w:r>
                    <w:rPr>
                      <w:rFonts w:hint="eastAsia"/>
                      <w:kern w:val="0"/>
                      <w:szCs w:val="21"/>
                    </w:rPr>
                    <w:t>行业类别</w:t>
                  </w:r>
                </w:p>
              </w:tc>
              <w:tc>
                <w:tcPr>
                  <w:tcW w:w="2694" w:type="pct"/>
                  <w:tcBorders>
                    <w:tl2br w:val="nil"/>
                    <w:tr2bl w:val="nil"/>
                  </w:tcBorders>
                  <w:vAlign w:val="center"/>
                </w:tcPr>
                <w:p w14:paraId="2E198E16">
                  <w:pPr>
                    <w:widowControl/>
                    <w:adjustRightInd w:val="0"/>
                    <w:snapToGrid w:val="0"/>
                    <w:jc w:val="center"/>
                    <w:rPr>
                      <w:rFonts w:hint="eastAsia"/>
                      <w:kern w:val="0"/>
                      <w:szCs w:val="21"/>
                    </w:rPr>
                  </w:pPr>
                  <w:r>
                    <w:rPr>
                      <w:rFonts w:hint="eastAsia"/>
                      <w:kern w:val="0"/>
                      <w:szCs w:val="21"/>
                    </w:rPr>
                    <w:t>备注</w:t>
                  </w:r>
                </w:p>
              </w:tc>
            </w:tr>
            <w:tr w14:paraId="3DA3CA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431" w:type="pct"/>
                  <w:vMerge w:val="restart"/>
                  <w:tcBorders>
                    <w:tl2br w:val="nil"/>
                    <w:tr2bl w:val="nil"/>
                  </w:tcBorders>
                  <w:vAlign w:val="center"/>
                </w:tcPr>
                <w:p w14:paraId="2D105D2D">
                  <w:pPr>
                    <w:widowControl/>
                    <w:adjustRightInd w:val="0"/>
                    <w:snapToGrid w:val="0"/>
                    <w:jc w:val="center"/>
                    <w:rPr>
                      <w:rFonts w:hint="eastAsia"/>
                      <w:kern w:val="0"/>
                      <w:szCs w:val="21"/>
                    </w:rPr>
                  </w:pPr>
                  <w:r>
                    <w:rPr>
                      <w:rFonts w:hint="eastAsia"/>
                      <w:kern w:val="0"/>
                      <w:szCs w:val="21"/>
                    </w:rPr>
                    <w:t>鼓励类</w:t>
                  </w:r>
                </w:p>
              </w:tc>
              <w:tc>
                <w:tcPr>
                  <w:tcW w:w="438" w:type="pct"/>
                  <w:vMerge w:val="restart"/>
                  <w:tcBorders>
                    <w:tl2br w:val="nil"/>
                    <w:tr2bl w:val="nil"/>
                  </w:tcBorders>
                  <w:vAlign w:val="center"/>
                </w:tcPr>
                <w:p w14:paraId="345ED037">
                  <w:pPr>
                    <w:widowControl/>
                    <w:adjustRightInd w:val="0"/>
                    <w:snapToGrid w:val="0"/>
                    <w:jc w:val="center"/>
                    <w:rPr>
                      <w:rFonts w:hint="eastAsia"/>
                      <w:kern w:val="0"/>
                      <w:szCs w:val="21"/>
                    </w:rPr>
                  </w:pPr>
                  <w:r>
                    <w:rPr>
                      <w:rFonts w:hint="eastAsia"/>
                      <w:kern w:val="0"/>
                      <w:szCs w:val="21"/>
                    </w:rPr>
                    <w:t>非金属新材料</w:t>
                  </w:r>
                </w:p>
              </w:tc>
              <w:tc>
                <w:tcPr>
                  <w:tcW w:w="457" w:type="pct"/>
                  <w:vMerge w:val="restart"/>
                  <w:tcBorders>
                    <w:tl2br w:val="nil"/>
                    <w:tr2bl w:val="nil"/>
                  </w:tcBorders>
                  <w:vAlign w:val="center"/>
                </w:tcPr>
                <w:p w14:paraId="0FC265CA">
                  <w:pPr>
                    <w:widowControl/>
                    <w:adjustRightInd w:val="0"/>
                    <w:snapToGrid w:val="0"/>
                    <w:jc w:val="center"/>
                    <w:rPr>
                      <w:rFonts w:hint="eastAsia"/>
                      <w:kern w:val="0"/>
                      <w:szCs w:val="21"/>
                    </w:rPr>
                  </w:pPr>
                  <w:r>
                    <w:rPr>
                      <w:rFonts w:hint="eastAsia"/>
                      <w:kern w:val="0"/>
                      <w:szCs w:val="21"/>
                    </w:rPr>
                    <w:t>30非金矿物制品业</w:t>
                  </w:r>
                </w:p>
              </w:tc>
              <w:tc>
                <w:tcPr>
                  <w:tcW w:w="977" w:type="pct"/>
                  <w:tcBorders>
                    <w:tl2br w:val="nil"/>
                    <w:tr2bl w:val="nil"/>
                  </w:tcBorders>
                  <w:vAlign w:val="center"/>
                </w:tcPr>
                <w:p w14:paraId="1ACC5B1D">
                  <w:pPr>
                    <w:widowControl/>
                    <w:adjustRightInd w:val="0"/>
                    <w:snapToGrid w:val="0"/>
                    <w:jc w:val="center"/>
                    <w:rPr>
                      <w:rFonts w:hint="eastAsia"/>
                      <w:kern w:val="0"/>
                      <w:szCs w:val="21"/>
                    </w:rPr>
                  </w:pPr>
                  <w:r>
                    <w:rPr>
                      <w:rFonts w:hint="eastAsia"/>
                      <w:kern w:val="0"/>
                      <w:szCs w:val="21"/>
                    </w:rPr>
                    <w:t>301水泥、石灰、石膏制造</w:t>
                  </w:r>
                </w:p>
              </w:tc>
              <w:tc>
                <w:tcPr>
                  <w:tcW w:w="2694" w:type="pct"/>
                  <w:tcBorders>
                    <w:tl2br w:val="nil"/>
                    <w:tr2bl w:val="nil"/>
                  </w:tcBorders>
                  <w:vAlign w:val="center"/>
                </w:tcPr>
                <w:p w14:paraId="3C876394">
                  <w:pPr>
                    <w:widowControl/>
                    <w:adjustRightInd w:val="0"/>
                    <w:snapToGrid w:val="0"/>
                    <w:jc w:val="center"/>
                    <w:rPr>
                      <w:rFonts w:hint="eastAsia"/>
                      <w:kern w:val="0"/>
                      <w:szCs w:val="21"/>
                    </w:rPr>
                  </w:pPr>
                  <w:r>
                    <w:rPr>
                      <w:rFonts w:hint="eastAsia"/>
                      <w:kern w:val="0"/>
                      <w:szCs w:val="21"/>
                    </w:rPr>
                    <w:t>3012石灰和石膏制造</w:t>
                  </w:r>
                </w:p>
              </w:tc>
            </w:tr>
            <w:tr w14:paraId="7EB860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431" w:type="pct"/>
                  <w:vMerge w:val="continue"/>
                  <w:tcBorders>
                    <w:tl2br w:val="nil"/>
                    <w:tr2bl w:val="nil"/>
                  </w:tcBorders>
                  <w:vAlign w:val="center"/>
                </w:tcPr>
                <w:p w14:paraId="2AEF6402">
                  <w:pPr>
                    <w:widowControl/>
                    <w:adjustRightInd w:val="0"/>
                    <w:snapToGrid w:val="0"/>
                    <w:jc w:val="center"/>
                    <w:rPr>
                      <w:rFonts w:hint="eastAsia"/>
                      <w:kern w:val="0"/>
                      <w:szCs w:val="21"/>
                    </w:rPr>
                  </w:pPr>
                </w:p>
              </w:tc>
              <w:tc>
                <w:tcPr>
                  <w:tcW w:w="438" w:type="pct"/>
                  <w:vMerge w:val="continue"/>
                  <w:tcBorders>
                    <w:tl2br w:val="nil"/>
                    <w:tr2bl w:val="nil"/>
                  </w:tcBorders>
                  <w:vAlign w:val="center"/>
                </w:tcPr>
                <w:p w14:paraId="166DAD5C">
                  <w:pPr>
                    <w:widowControl/>
                    <w:adjustRightInd w:val="0"/>
                    <w:snapToGrid w:val="0"/>
                    <w:jc w:val="center"/>
                    <w:rPr>
                      <w:rFonts w:hint="eastAsia"/>
                      <w:kern w:val="0"/>
                      <w:szCs w:val="21"/>
                    </w:rPr>
                  </w:pPr>
                </w:p>
              </w:tc>
              <w:tc>
                <w:tcPr>
                  <w:tcW w:w="457" w:type="pct"/>
                  <w:vMerge w:val="continue"/>
                  <w:tcBorders>
                    <w:tl2br w:val="nil"/>
                    <w:tr2bl w:val="nil"/>
                  </w:tcBorders>
                  <w:vAlign w:val="center"/>
                </w:tcPr>
                <w:p w14:paraId="264D854B">
                  <w:pPr>
                    <w:widowControl/>
                    <w:adjustRightInd w:val="0"/>
                    <w:snapToGrid w:val="0"/>
                    <w:jc w:val="center"/>
                    <w:rPr>
                      <w:rFonts w:hint="eastAsia"/>
                      <w:kern w:val="0"/>
                      <w:szCs w:val="21"/>
                    </w:rPr>
                  </w:pPr>
                </w:p>
              </w:tc>
              <w:tc>
                <w:tcPr>
                  <w:tcW w:w="977" w:type="pct"/>
                  <w:tcBorders>
                    <w:tl2br w:val="nil"/>
                    <w:tr2bl w:val="nil"/>
                  </w:tcBorders>
                  <w:vAlign w:val="center"/>
                </w:tcPr>
                <w:p w14:paraId="63CDF635">
                  <w:pPr>
                    <w:widowControl/>
                    <w:adjustRightInd w:val="0"/>
                    <w:snapToGrid w:val="0"/>
                    <w:jc w:val="center"/>
                    <w:rPr>
                      <w:rFonts w:hint="eastAsia"/>
                      <w:kern w:val="0"/>
                      <w:szCs w:val="21"/>
                    </w:rPr>
                  </w:pPr>
                  <w:r>
                    <w:rPr>
                      <w:rFonts w:hint="eastAsia"/>
                      <w:kern w:val="0"/>
                      <w:szCs w:val="21"/>
                    </w:rPr>
                    <w:t>302石膏、水泥制品及类似制品制造</w:t>
                  </w:r>
                </w:p>
              </w:tc>
              <w:tc>
                <w:tcPr>
                  <w:tcW w:w="2694" w:type="pct"/>
                  <w:tcBorders>
                    <w:tl2br w:val="nil"/>
                    <w:tr2bl w:val="nil"/>
                  </w:tcBorders>
                  <w:vAlign w:val="center"/>
                </w:tcPr>
                <w:p w14:paraId="7F291BB2">
                  <w:pPr>
                    <w:widowControl/>
                    <w:adjustRightInd w:val="0"/>
                    <w:snapToGrid w:val="0"/>
                    <w:jc w:val="center"/>
                    <w:rPr>
                      <w:rFonts w:hint="eastAsia"/>
                      <w:kern w:val="0"/>
                      <w:szCs w:val="21"/>
                    </w:rPr>
                  </w:pPr>
                  <w:r>
                    <w:rPr>
                      <w:rFonts w:hint="eastAsia"/>
                      <w:kern w:val="0"/>
                      <w:szCs w:val="21"/>
                    </w:rPr>
                    <w:t>3021水泥制品制造3022砼结构构件制造3023石棉水泥制品制造3024轻质建筑材料制造3029其他水泥类似制品制造</w:t>
                  </w:r>
                </w:p>
              </w:tc>
            </w:tr>
            <w:tr w14:paraId="5CF75E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3" w:hRule="atLeast"/>
              </w:trPr>
              <w:tc>
                <w:tcPr>
                  <w:tcW w:w="431" w:type="pct"/>
                  <w:vMerge w:val="continue"/>
                  <w:tcBorders>
                    <w:tl2br w:val="nil"/>
                    <w:tr2bl w:val="nil"/>
                  </w:tcBorders>
                  <w:vAlign w:val="center"/>
                </w:tcPr>
                <w:p w14:paraId="19BBC6F1">
                  <w:pPr>
                    <w:widowControl/>
                    <w:adjustRightInd w:val="0"/>
                    <w:snapToGrid w:val="0"/>
                    <w:jc w:val="center"/>
                    <w:rPr>
                      <w:rFonts w:hint="eastAsia"/>
                      <w:kern w:val="0"/>
                      <w:szCs w:val="21"/>
                    </w:rPr>
                  </w:pPr>
                </w:p>
              </w:tc>
              <w:tc>
                <w:tcPr>
                  <w:tcW w:w="438" w:type="pct"/>
                  <w:vMerge w:val="continue"/>
                  <w:tcBorders>
                    <w:tl2br w:val="nil"/>
                    <w:tr2bl w:val="nil"/>
                  </w:tcBorders>
                  <w:vAlign w:val="center"/>
                </w:tcPr>
                <w:p w14:paraId="2EF72704">
                  <w:pPr>
                    <w:widowControl/>
                    <w:adjustRightInd w:val="0"/>
                    <w:snapToGrid w:val="0"/>
                    <w:jc w:val="center"/>
                    <w:rPr>
                      <w:rFonts w:hint="eastAsia"/>
                      <w:kern w:val="0"/>
                      <w:szCs w:val="21"/>
                    </w:rPr>
                  </w:pPr>
                </w:p>
              </w:tc>
              <w:tc>
                <w:tcPr>
                  <w:tcW w:w="457" w:type="pct"/>
                  <w:vMerge w:val="continue"/>
                  <w:tcBorders>
                    <w:tl2br w:val="nil"/>
                    <w:tr2bl w:val="nil"/>
                  </w:tcBorders>
                  <w:vAlign w:val="center"/>
                </w:tcPr>
                <w:p w14:paraId="64817BC5">
                  <w:pPr>
                    <w:widowControl/>
                    <w:adjustRightInd w:val="0"/>
                    <w:snapToGrid w:val="0"/>
                    <w:jc w:val="center"/>
                    <w:rPr>
                      <w:rFonts w:hint="eastAsia"/>
                      <w:kern w:val="0"/>
                      <w:szCs w:val="21"/>
                    </w:rPr>
                  </w:pPr>
                </w:p>
              </w:tc>
              <w:tc>
                <w:tcPr>
                  <w:tcW w:w="977" w:type="pct"/>
                  <w:tcBorders>
                    <w:tl2br w:val="nil"/>
                    <w:tr2bl w:val="nil"/>
                  </w:tcBorders>
                  <w:vAlign w:val="center"/>
                </w:tcPr>
                <w:p w14:paraId="22094C2D">
                  <w:pPr>
                    <w:widowControl/>
                    <w:adjustRightInd w:val="0"/>
                    <w:snapToGrid w:val="0"/>
                    <w:jc w:val="center"/>
                    <w:rPr>
                      <w:rFonts w:hint="eastAsia"/>
                      <w:kern w:val="0"/>
                      <w:szCs w:val="21"/>
                    </w:rPr>
                  </w:pPr>
                  <w:r>
                    <w:rPr>
                      <w:rFonts w:hint="eastAsia"/>
                      <w:kern w:val="0"/>
                      <w:szCs w:val="21"/>
                    </w:rPr>
                    <w:t>304玻璃制造</w:t>
                  </w:r>
                </w:p>
              </w:tc>
              <w:tc>
                <w:tcPr>
                  <w:tcW w:w="2694" w:type="pct"/>
                  <w:tcBorders>
                    <w:tl2br w:val="nil"/>
                    <w:tr2bl w:val="nil"/>
                  </w:tcBorders>
                  <w:vAlign w:val="center"/>
                </w:tcPr>
                <w:p w14:paraId="25F2EF77">
                  <w:pPr>
                    <w:widowControl/>
                    <w:adjustRightInd w:val="0"/>
                    <w:snapToGrid w:val="0"/>
                    <w:jc w:val="center"/>
                    <w:rPr>
                      <w:rFonts w:hint="eastAsia"/>
                      <w:kern w:val="0"/>
                      <w:szCs w:val="21"/>
                    </w:rPr>
                  </w:pPr>
                  <w:r>
                    <w:rPr>
                      <w:rFonts w:hint="eastAsia"/>
                      <w:kern w:val="0"/>
                      <w:szCs w:val="21"/>
                    </w:rPr>
                    <w:t>3042特种玻璃制造3049其他玻璃制造</w:t>
                  </w:r>
                </w:p>
              </w:tc>
            </w:tr>
            <w:tr w14:paraId="384084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3" w:hRule="atLeast"/>
              </w:trPr>
              <w:tc>
                <w:tcPr>
                  <w:tcW w:w="431" w:type="pct"/>
                  <w:vMerge w:val="continue"/>
                  <w:tcBorders>
                    <w:tl2br w:val="nil"/>
                    <w:tr2bl w:val="nil"/>
                  </w:tcBorders>
                  <w:vAlign w:val="center"/>
                </w:tcPr>
                <w:p w14:paraId="122FED10">
                  <w:pPr>
                    <w:widowControl/>
                    <w:adjustRightInd w:val="0"/>
                    <w:snapToGrid w:val="0"/>
                    <w:jc w:val="center"/>
                    <w:rPr>
                      <w:rFonts w:hint="eastAsia"/>
                      <w:kern w:val="0"/>
                      <w:szCs w:val="21"/>
                    </w:rPr>
                  </w:pPr>
                </w:p>
              </w:tc>
              <w:tc>
                <w:tcPr>
                  <w:tcW w:w="438" w:type="pct"/>
                  <w:vMerge w:val="restart"/>
                  <w:tcBorders>
                    <w:tl2br w:val="nil"/>
                    <w:tr2bl w:val="nil"/>
                  </w:tcBorders>
                  <w:vAlign w:val="center"/>
                </w:tcPr>
                <w:p w14:paraId="497D435C">
                  <w:pPr>
                    <w:widowControl/>
                    <w:adjustRightInd w:val="0"/>
                    <w:snapToGrid w:val="0"/>
                    <w:jc w:val="center"/>
                    <w:rPr>
                      <w:rFonts w:hint="eastAsia"/>
                      <w:kern w:val="0"/>
                      <w:szCs w:val="21"/>
                    </w:rPr>
                  </w:pPr>
                  <w:r>
                    <w:rPr>
                      <w:rFonts w:hint="eastAsia"/>
                      <w:kern w:val="0"/>
                      <w:szCs w:val="21"/>
                    </w:rPr>
                    <w:t>装备制造业</w:t>
                  </w:r>
                </w:p>
              </w:tc>
              <w:tc>
                <w:tcPr>
                  <w:tcW w:w="457" w:type="pct"/>
                  <w:vMerge w:val="restart"/>
                  <w:tcBorders>
                    <w:tl2br w:val="nil"/>
                    <w:tr2bl w:val="nil"/>
                  </w:tcBorders>
                  <w:vAlign w:val="center"/>
                </w:tcPr>
                <w:p w14:paraId="18F4C582">
                  <w:pPr>
                    <w:widowControl/>
                    <w:adjustRightInd w:val="0"/>
                    <w:snapToGrid w:val="0"/>
                    <w:jc w:val="center"/>
                    <w:rPr>
                      <w:rFonts w:hint="eastAsia"/>
                      <w:kern w:val="0"/>
                      <w:szCs w:val="21"/>
                    </w:rPr>
                  </w:pPr>
                  <w:r>
                    <w:rPr>
                      <w:rFonts w:hint="eastAsia"/>
                      <w:kern w:val="0"/>
                      <w:szCs w:val="21"/>
                    </w:rPr>
                    <w:t>35专用设备制造业</w:t>
                  </w:r>
                </w:p>
              </w:tc>
              <w:tc>
                <w:tcPr>
                  <w:tcW w:w="977" w:type="pct"/>
                  <w:tcBorders>
                    <w:tl2br w:val="nil"/>
                    <w:tr2bl w:val="nil"/>
                  </w:tcBorders>
                  <w:vAlign w:val="center"/>
                </w:tcPr>
                <w:p w14:paraId="487B0F2E">
                  <w:pPr>
                    <w:widowControl/>
                    <w:adjustRightInd w:val="0"/>
                    <w:snapToGrid w:val="0"/>
                    <w:jc w:val="center"/>
                    <w:rPr>
                      <w:rFonts w:hint="eastAsia"/>
                      <w:kern w:val="0"/>
                      <w:szCs w:val="21"/>
                    </w:rPr>
                  </w:pPr>
                  <w:r>
                    <w:rPr>
                      <w:rFonts w:hint="eastAsia"/>
                      <w:kern w:val="0"/>
                      <w:szCs w:val="21"/>
                    </w:rPr>
                    <w:t>351采矿、冶金、建筑专用设备制造</w:t>
                  </w:r>
                </w:p>
              </w:tc>
              <w:tc>
                <w:tcPr>
                  <w:tcW w:w="2694" w:type="pct"/>
                  <w:tcBorders>
                    <w:tl2br w:val="nil"/>
                    <w:tr2bl w:val="nil"/>
                  </w:tcBorders>
                  <w:vAlign w:val="center"/>
                </w:tcPr>
                <w:p w14:paraId="7B06B609">
                  <w:pPr>
                    <w:widowControl/>
                    <w:adjustRightInd w:val="0"/>
                    <w:snapToGrid w:val="0"/>
                    <w:jc w:val="center"/>
                    <w:rPr>
                      <w:rFonts w:hint="eastAsia"/>
                      <w:kern w:val="0"/>
                      <w:szCs w:val="21"/>
                    </w:rPr>
                  </w:pPr>
                  <w:r>
                    <w:rPr>
                      <w:rFonts w:hint="eastAsia"/>
                      <w:kern w:val="0"/>
                      <w:szCs w:val="21"/>
                    </w:rPr>
                    <w:t>3511矿山机械制造3512石油钻采专用设备制造3513深海石油钻探设备制造3514建筑工程用机械制造3515建筑材料生产专用机械制造3516冶金专用设备制造3517隧道施工专用机械制造</w:t>
                  </w:r>
                </w:p>
              </w:tc>
            </w:tr>
            <w:tr w14:paraId="7C1F82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3" w:hRule="atLeast"/>
              </w:trPr>
              <w:tc>
                <w:tcPr>
                  <w:tcW w:w="431" w:type="pct"/>
                  <w:vMerge w:val="continue"/>
                  <w:tcBorders>
                    <w:tl2br w:val="nil"/>
                    <w:tr2bl w:val="nil"/>
                  </w:tcBorders>
                  <w:vAlign w:val="center"/>
                </w:tcPr>
                <w:p w14:paraId="66EE64BD">
                  <w:pPr>
                    <w:widowControl/>
                    <w:adjustRightInd w:val="0"/>
                    <w:snapToGrid w:val="0"/>
                    <w:jc w:val="center"/>
                    <w:rPr>
                      <w:rFonts w:hint="eastAsia"/>
                      <w:kern w:val="0"/>
                      <w:szCs w:val="21"/>
                    </w:rPr>
                  </w:pPr>
                </w:p>
              </w:tc>
              <w:tc>
                <w:tcPr>
                  <w:tcW w:w="438" w:type="pct"/>
                  <w:vMerge w:val="continue"/>
                  <w:tcBorders>
                    <w:tl2br w:val="nil"/>
                    <w:tr2bl w:val="nil"/>
                  </w:tcBorders>
                  <w:vAlign w:val="center"/>
                </w:tcPr>
                <w:p w14:paraId="23CBFAA9">
                  <w:pPr>
                    <w:widowControl/>
                    <w:adjustRightInd w:val="0"/>
                    <w:snapToGrid w:val="0"/>
                    <w:jc w:val="center"/>
                    <w:rPr>
                      <w:rFonts w:hint="eastAsia"/>
                      <w:kern w:val="0"/>
                      <w:szCs w:val="21"/>
                    </w:rPr>
                  </w:pPr>
                </w:p>
              </w:tc>
              <w:tc>
                <w:tcPr>
                  <w:tcW w:w="457" w:type="pct"/>
                  <w:vMerge w:val="continue"/>
                  <w:tcBorders>
                    <w:tl2br w:val="nil"/>
                    <w:tr2bl w:val="nil"/>
                  </w:tcBorders>
                  <w:vAlign w:val="center"/>
                </w:tcPr>
                <w:p w14:paraId="219253C5">
                  <w:pPr>
                    <w:widowControl/>
                    <w:adjustRightInd w:val="0"/>
                    <w:snapToGrid w:val="0"/>
                    <w:jc w:val="center"/>
                    <w:rPr>
                      <w:rFonts w:hint="eastAsia"/>
                      <w:kern w:val="0"/>
                      <w:szCs w:val="21"/>
                    </w:rPr>
                  </w:pPr>
                </w:p>
              </w:tc>
              <w:tc>
                <w:tcPr>
                  <w:tcW w:w="977" w:type="pct"/>
                  <w:tcBorders>
                    <w:tl2br w:val="nil"/>
                    <w:tr2bl w:val="nil"/>
                  </w:tcBorders>
                  <w:vAlign w:val="center"/>
                </w:tcPr>
                <w:p w14:paraId="658D021F">
                  <w:pPr>
                    <w:widowControl/>
                    <w:adjustRightInd w:val="0"/>
                    <w:snapToGrid w:val="0"/>
                    <w:jc w:val="center"/>
                    <w:rPr>
                      <w:rFonts w:hint="eastAsia"/>
                      <w:kern w:val="0"/>
                      <w:szCs w:val="21"/>
                    </w:rPr>
                  </w:pPr>
                  <w:r>
                    <w:rPr>
                      <w:rFonts w:hint="eastAsia"/>
                      <w:kern w:val="0"/>
                      <w:szCs w:val="21"/>
                    </w:rPr>
                    <w:t>352化工、木材、非金属加工专用设备制造</w:t>
                  </w:r>
                </w:p>
              </w:tc>
              <w:tc>
                <w:tcPr>
                  <w:tcW w:w="2694" w:type="pct"/>
                  <w:tcBorders>
                    <w:tl2br w:val="nil"/>
                    <w:tr2bl w:val="nil"/>
                  </w:tcBorders>
                  <w:vAlign w:val="center"/>
                </w:tcPr>
                <w:p w14:paraId="65CAEB02">
                  <w:pPr>
                    <w:widowControl/>
                    <w:adjustRightInd w:val="0"/>
                    <w:snapToGrid w:val="0"/>
                    <w:jc w:val="center"/>
                    <w:rPr>
                      <w:rFonts w:hint="eastAsia"/>
                      <w:kern w:val="0"/>
                      <w:szCs w:val="21"/>
                    </w:rPr>
                  </w:pPr>
                  <w:r>
                    <w:rPr>
                      <w:rFonts w:hint="eastAsia"/>
                      <w:kern w:val="0"/>
                      <w:szCs w:val="21"/>
                    </w:rPr>
                    <w:t>3521炼油、化工生产专用设备制造3522橡胶加工专用设备制造3523塑料加工专用设备制造3524木竹材加工机械制造3525模具制造3529其他非金属加工专用设备制造</w:t>
                  </w:r>
                </w:p>
              </w:tc>
            </w:tr>
            <w:tr w14:paraId="66F15A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3" w:hRule="atLeast"/>
              </w:trPr>
              <w:tc>
                <w:tcPr>
                  <w:tcW w:w="431" w:type="pct"/>
                  <w:vMerge w:val="continue"/>
                  <w:tcBorders>
                    <w:tl2br w:val="nil"/>
                    <w:tr2bl w:val="nil"/>
                  </w:tcBorders>
                  <w:vAlign w:val="center"/>
                </w:tcPr>
                <w:p w14:paraId="16927FF3">
                  <w:pPr>
                    <w:widowControl/>
                    <w:adjustRightInd w:val="0"/>
                    <w:snapToGrid w:val="0"/>
                    <w:jc w:val="center"/>
                    <w:rPr>
                      <w:rFonts w:hint="eastAsia"/>
                      <w:kern w:val="0"/>
                      <w:szCs w:val="21"/>
                    </w:rPr>
                  </w:pPr>
                </w:p>
              </w:tc>
              <w:tc>
                <w:tcPr>
                  <w:tcW w:w="438" w:type="pct"/>
                  <w:vMerge w:val="continue"/>
                  <w:tcBorders>
                    <w:tl2br w:val="nil"/>
                    <w:tr2bl w:val="nil"/>
                  </w:tcBorders>
                  <w:vAlign w:val="center"/>
                </w:tcPr>
                <w:p w14:paraId="2884899B">
                  <w:pPr>
                    <w:widowControl/>
                    <w:adjustRightInd w:val="0"/>
                    <w:snapToGrid w:val="0"/>
                    <w:jc w:val="center"/>
                    <w:rPr>
                      <w:rFonts w:hint="eastAsia"/>
                      <w:kern w:val="0"/>
                      <w:szCs w:val="21"/>
                    </w:rPr>
                  </w:pPr>
                </w:p>
              </w:tc>
              <w:tc>
                <w:tcPr>
                  <w:tcW w:w="457" w:type="pct"/>
                  <w:vMerge w:val="continue"/>
                  <w:tcBorders>
                    <w:tl2br w:val="nil"/>
                    <w:tr2bl w:val="nil"/>
                  </w:tcBorders>
                  <w:vAlign w:val="center"/>
                </w:tcPr>
                <w:p w14:paraId="452E91EB">
                  <w:pPr>
                    <w:widowControl/>
                    <w:adjustRightInd w:val="0"/>
                    <w:snapToGrid w:val="0"/>
                    <w:jc w:val="center"/>
                    <w:rPr>
                      <w:rFonts w:hint="eastAsia"/>
                      <w:kern w:val="0"/>
                      <w:szCs w:val="21"/>
                    </w:rPr>
                  </w:pPr>
                </w:p>
              </w:tc>
              <w:tc>
                <w:tcPr>
                  <w:tcW w:w="977" w:type="pct"/>
                  <w:tcBorders>
                    <w:tl2br w:val="nil"/>
                    <w:tr2bl w:val="nil"/>
                  </w:tcBorders>
                  <w:vAlign w:val="center"/>
                </w:tcPr>
                <w:p w14:paraId="117A3DCC">
                  <w:pPr>
                    <w:widowControl/>
                    <w:adjustRightInd w:val="0"/>
                    <w:snapToGrid w:val="0"/>
                    <w:jc w:val="center"/>
                    <w:rPr>
                      <w:rFonts w:hint="eastAsia"/>
                      <w:kern w:val="0"/>
                      <w:szCs w:val="21"/>
                    </w:rPr>
                  </w:pPr>
                  <w:r>
                    <w:rPr>
                      <w:rFonts w:hint="eastAsia"/>
                      <w:kern w:val="0"/>
                      <w:szCs w:val="21"/>
                    </w:rPr>
                    <w:t>356电子和电工机械专用设备制造</w:t>
                  </w:r>
                </w:p>
              </w:tc>
              <w:tc>
                <w:tcPr>
                  <w:tcW w:w="2694" w:type="pct"/>
                  <w:tcBorders>
                    <w:tl2br w:val="nil"/>
                    <w:tr2bl w:val="nil"/>
                  </w:tcBorders>
                  <w:vAlign w:val="center"/>
                </w:tcPr>
                <w:p w14:paraId="128FB1AB">
                  <w:pPr>
                    <w:widowControl/>
                    <w:adjustRightInd w:val="0"/>
                    <w:snapToGrid w:val="0"/>
                    <w:jc w:val="center"/>
                    <w:rPr>
                      <w:rFonts w:hint="eastAsia"/>
                      <w:kern w:val="0"/>
                      <w:szCs w:val="21"/>
                    </w:rPr>
                  </w:pPr>
                  <w:r>
                    <w:rPr>
                      <w:rFonts w:hint="eastAsia"/>
                      <w:kern w:val="0"/>
                      <w:szCs w:val="21"/>
                    </w:rPr>
                    <w:t>3561电工机械专用设备制造3562半导体器件专用设备制造3563电子元器件与机电组件设备制造3569其他电子专用设备制造</w:t>
                  </w:r>
                </w:p>
              </w:tc>
            </w:tr>
            <w:tr w14:paraId="7B0A61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3" w:hRule="atLeast"/>
              </w:trPr>
              <w:tc>
                <w:tcPr>
                  <w:tcW w:w="431" w:type="pct"/>
                  <w:vMerge w:val="continue"/>
                  <w:tcBorders>
                    <w:tl2br w:val="nil"/>
                    <w:tr2bl w:val="nil"/>
                  </w:tcBorders>
                  <w:vAlign w:val="center"/>
                </w:tcPr>
                <w:p w14:paraId="009D932B">
                  <w:pPr>
                    <w:widowControl/>
                    <w:adjustRightInd w:val="0"/>
                    <w:snapToGrid w:val="0"/>
                    <w:jc w:val="center"/>
                    <w:rPr>
                      <w:rFonts w:hint="eastAsia"/>
                      <w:kern w:val="0"/>
                      <w:szCs w:val="21"/>
                    </w:rPr>
                  </w:pPr>
                </w:p>
              </w:tc>
              <w:tc>
                <w:tcPr>
                  <w:tcW w:w="438" w:type="pct"/>
                  <w:vMerge w:val="restart"/>
                  <w:tcBorders>
                    <w:tl2br w:val="nil"/>
                    <w:tr2bl w:val="nil"/>
                  </w:tcBorders>
                  <w:vAlign w:val="center"/>
                </w:tcPr>
                <w:p w14:paraId="04DD9478">
                  <w:pPr>
                    <w:widowControl/>
                    <w:adjustRightInd w:val="0"/>
                    <w:snapToGrid w:val="0"/>
                    <w:jc w:val="center"/>
                    <w:rPr>
                      <w:rFonts w:hint="eastAsia"/>
                      <w:kern w:val="0"/>
                      <w:szCs w:val="21"/>
                    </w:rPr>
                  </w:pPr>
                  <w:r>
                    <w:rPr>
                      <w:rFonts w:hint="eastAsia"/>
                      <w:kern w:val="0"/>
                      <w:szCs w:val="21"/>
                    </w:rPr>
                    <w:t>电气机械制造</w:t>
                  </w:r>
                </w:p>
              </w:tc>
              <w:tc>
                <w:tcPr>
                  <w:tcW w:w="457" w:type="pct"/>
                  <w:vMerge w:val="restart"/>
                  <w:tcBorders>
                    <w:tl2br w:val="nil"/>
                    <w:tr2bl w:val="nil"/>
                  </w:tcBorders>
                  <w:vAlign w:val="center"/>
                </w:tcPr>
                <w:p w14:paraId="389C1237">
                  <w:pPr>
                    <w:widowControl/>
                    <w:adjustRightInd w:val="0"/>
                    <w:snapToGrid w:val="0"/>
                    <w:jc w:val="center"/>
                    <w:rPr>
                      <w:rFonts w:hint="eastAsia"/>
                      <w:kern w:val="0"/>
                      <w:szCs w:val="21"/>
                    </w:rPr>
                  </w:pPr>
                  <w:r>
                    <w:rPr>
                      <w:rFonts w:hint="eastAsia"/>
                      <w:kern w:val="0"/>
                      <w:szCs w:val="21"/>
                    </w:rPr>
                    <w:t>38电气机械和器材制造业</w:t>
                  </w:r>
                </w:p>
              </w:tc>
              <w:tc>
                <w:tcPr>
                  <w:tcW w:w="977" w:type="pct"/>
                  <w:tcBorders>
                    <w:tl2br w:val="nil"/>
                    <w:tr2bl w:val="nil"/>
                  </w:tcBorders>
                  <w:vAlign w:val="center"/>
                </w:tcPr>
                <w:p w14:paraId="1115FBF3">
                  <w:pPr>
                    <w:widowControl/>
                    <w:adjustRightInd w:val="0"/>
                    <w:snapToGrid w:val="0"/>
                    <w:jc w:val="center"/>
                    <w:rPr>
                      <w:rFonts w:hint="eastAsia"/>
                      <w:kern w:val="0"/>
                      <w:szCs w:val="21"/>
                    </w:rPr>
                  </w:pPr>
                  <w:r>
                    <w:rPr>
                      <w:rFonts w:hint="eastAsia"/>
                      <w:kern w:val="0"/>
                      <w:szCs w:val="21"/>
                    </w:rPr>
                    <w:t>382输配电及控制设备制造</w:t>
                  </w:r>
                </w:p>
              </w:tc>
              <w:tc>
                <w:tcPr>
                  <w:tcW w:w="2694" w:type="pct"/>
                  <w:tcBorders>
                    <w:tl2br w:val="nil"/>
                    <w:tr2bl w:val="nil"/>
                  </w:tcBorders>
                  <w:vAlign w:val="center"/>
                </w:tcPr>
                <w:p w14:paraId="0676F28F">
                  <w:pPr>
                    <w:widowControl/>
                    <w:adjustRightInd w:val="0"/>
                    <w:snapToGrid w:val="0"/>
                    <w:jc w:val="center"/>
                    <w:rPr>
                      <w:rFonts w:hint="eastAsia"/>
                      <w:kern w:val="0"/>
                      <w:szCs w:val="21"/>
                    </w:rPr>
                  </w:pPr>
                  <w:r>
                    <w:rPr>
                      <w:rFonts w:hint="eastAsia"/>
                      <w:kern w:val="0"/>
                      <w:szCs w:val="21"/>
                    </w:rPr>
                    <w:t>3821变压器、整流器和电感器制造3822电容器及其配套设备制造3823配电开关控制设备制造3824电力电子元器件制造3825光伏设备及元器件制造3829其他输配电及控制设备制造</w:t>
                  </w:r>
                </w:p>
              </w:tc>
            </w:tr>
            <w:tr w14:paraId="4EB708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3" w:hRule="atLeast"/>
              </w:trPr>
              <w:tc>
                <w:tcPr>
                  <w:tcW w:w="431" w:type="pct"/>
                  <w:vMerge w:val="continue"/>
                  <w:tcBorders>
                    <w:tl2br w:val="nil"/>
                    <w:tr2bl w:val="nil"/>
                  </w:tcBorders>
                  <w:vAlign w:val="center"/>
                </w:tcPr>
                <w:p w14:paraId="65A96482">
                  <w:pPr>
                    <w:widowControl/>
                    <w:adjustRightInd w:val="0"/>
                    <w:snapToGrid w:val="0"/>
                    <w:jc w:val="center"/>
                    <w:rPr>
                      <w:rFonts w:hint="eastAsia"/>
                      <w:kern w:val="0"/>
                      <w:szCs w:val="21"/>
                    </w:rPr>
                  </w:pPr>
                </w:p>
              </w:tc>
              <w:tc>
                <w:tcPr>
                  <w:tcW w:w="438" w:type="pct"/>
                  <w:vMerge w:val="continue"/>
                  <w:tcBorders>
                    <w:tl2br w:val="nil"/>
                    <w:tr2bl w:val="nil"/>
                  </w:tcBorders>
                  <w:vAlign w:val="center"/>
                </w:tcPr>
                <w:p w14:paraId="6FED9C58">
                  <w:pPr>
                    <w:widowControl/>
                    <w:adjustRightInd w:val="0"/>
                    <w:snapToGrid w:val="0"/>
                    <w:jc w:val="center"/>
                    <w:rPr>
                      <w:rFonts w:hint="eastAsia"/>
                      <w:kern w:val="0"/>
                      <w:szCs w:val="21"/>
                    </w:rPr>
                  </w:pPr>
                </w:p>
              </w:tc>
              <w:tc>
                <w:tcPr>
                  <w:tcW w:w="457" w:type="pct"/>
                  <w:vMerge w:val="continue"/>
                  <w:tcBorders>
                    <w:tl2br w:val="nil"/>
                    <w:tr2bl w:val="nil"/>
                  </w:tcBorders>
                  <w:vAlign w:val="center"/>
                </w:tcPr>
                <w:p w14:paraId="26E4F562">
                  <w:pPr>
                    <w:widowControl/>
                    <w:adjustRightInd w:val="0"/>
                    <w:snapToGrid w:val="0"/>
                    <w:jc w:val="center"/>
                    <w:rPr>
                      <w:rFonts w:hint="eastAsia"/>
                      <w:kern w:val="0"/>
                      <w:szCs w:val="21"/>
                    </w:rPr>
                  </w:pPr>
                </w:p>
              </w:tc>
              <w:tc>
                <w:tcPr>
                  <w:tcW w:w="977" w:type="pct"/>
                  <w:tcBorders>
                    <w:tl2br w:val="nil"/>
                    <w:tr2bl w:val="nil"/>
                  </w:tcBorders>
                  <w:shd w:val="clear" w:color="auto" w:fill="auto"/>
                  <w:vAlign w:val="center"/>
                </w:tcPr>
                <w:p w14:paraId="73DB2A18">
                  <w:pPr>
                    <w:widowControl/>
                    <w:adjustRightInd w:val="0"/>
                    <w:snapToGrid w:val="0"/>
                    <w:jc w:val="center"/>
                    <w:rPr>
                      <w:rFonts w:hint="eastAsia" w:ascii="Times New Roman" w:hAnsi="Times New Roman" w:eastAsia="宋体" w:cs="Times New Roman"/>
                      <w:kern w:val="0"/>
                      <w:sz w:val="21"/>
                      <w:szCs w:val="21"/>
                      <w:lang w:val="en-US" w:eastAsia="zh-CN" w:bidi="ar-SA"/>
                    </w:rPr>
                  </w:pPr>
                  <w:r>
                    <w:rPr>
                      <w:rFonts w:hint="eastAsia"/>
                      <w:kern w:val="0"/>
                      <w:szCs w:val="21"/>
                    </w:rPr>
                    <w:t>383电线、电缆、光缆及电工器材制造</w:t>
                  </w:r>
                </w:p>
              </w:tc>
              <w:tc>
                <w:tcPr>
                  <w:tcW w:w="2694" w:type="pct"/>
                  <w:tcBorders>
                    <w:tl2br w:val="nil"/>
                    <w:tr2bl w:val="nil"/>
                  </w:tcBorders>
                  <w:shd w:val="clear" w:color="auto" w:fill="auto"/>
                  <w:vAlign w:val="center"/>
                </w:tcPr>
                <w:p w14:paraId="2FCDE29D">
                  <w:pPr>
                    <w:widowControl/>
                    <w:adjustRightInd w:val="0"/>
                    <w:snapToGrid w:val="0"/>
                    <w:jc w:val="center"/>
                    <w:rPr>
                      <w:rFonts w:hint="eastAsia" w:ascii="Times New Roman" w:hAnsi="Times New Roman" w:eastAsia="宋体" w:cs="Times New Roman"/>
                      <w:kern w:val="0"/>
                      <w:sz w:val="21"/>
                      <w:szCs w:val="21"/>
                      <w:lang w:val="en-US" w:eastAsia="zh-CN" w:bidi="ar-SA"/>
                    </w:rPr>
                  </w:pPr>
                  <w:r>
                    <w:rPr>
                      <w:rFonts w:hint="eastAsia"/>
                      <w:kern w:val="0"/>
                      <w:szCs w:val="21"/>
                    </w:rPr>
                    <w:t>3831电线、电缆制造3832光纤制造3833光缆制造3834 绝缘制品制造3839其他电工器材制造</w:t>
                  </w:r>
                </w:p>
              </w:tc>
            </w:tr>
            <w:tr w14:paraId="1352B8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3" w:hRule="atLeast"/>
              </w:trPr>
              <w:tc>
                <w:tcPr>
                  <w:tcW w:w="431" w:type="pct"/>
                  <w:vMerge w:val="continue"/>
                  <w:tcBorders>
                    <w:tl2br w:val="nil"/>
                    <w:tr2bl w:val="nil"/>
                  </w:tcBorders>
                  <w:vAlign w:val="center"/>
                </w:tcPr>
                <w:p w14:paraId="02E8D02A">
                  <w:pPr>
                    <w:widowControl/>
                    <w:adjustRightInd w:val="0"/>
                    <w:snapToGrid w:val="0"/>
                    <w:jc w:val="center"/>
                    <w:rPr>
                      <w:rFonts w:hint="eastAsia"/>
                      <w:kern w:val="0"/>
                      <w:szCs w:val="21"/>
                    </w:rPr>
                  </w:pPr>
                </w:p>
              </w:tc>
              <w:tc>
                <w:tcPr>
                  <w:tcW w:w="438" w:type="pct"/>
                  <w:vMerge w:val="continue"/>
                  <w:tcBorders>
                    <w:tl2br w:val="nil"/>
                    <w:tr2bl w:val="nil"/>
                  </w:tcBorders>
                  <w:vAlign w:val="center"/>
                </w:tcPr>
                <w:p w14:paraId="71BC70FC">
                  <w:pPr>
                    <w:widowControl/>
                    <w:adjustRightInd w:val="0"/>
                    <w:snapToGrid w:val="0"/>
                    <w:jc w:val="center"/>
                    <w:rPr>
                      <w:rFonts w:hint="eastAsia"/>
                      <w:kern w:val="0"/>
                      <w:szCs w:val="21"/>
                    </w:rPr>
                  </w:pPr>
                </w:p>
              </w:tc>
              <w:tc>
                <w:tcPr>
                  <w:tcW w:w="457" w:type="pct"/>
                  <w:vMerge w:val="continue"/>
                  <w:tcBorders>
                    <w:tl2br w:val="nil"/>
                    <w:tr2bl w:val="nil"/>
                  </w:tcBorders>
                  <w:vAlign w:val="center"/>
                </w:tcPr>
                <w:p w14:paraId="756AEDAC">
                  <w:pPr>
                    <w:widowControl/>
                    <w:adjustRightInd w:val="0"/>
                    <w:snapToGrid w:val="0"/>
                    <w:jc w:val="center"/>
                    <w:rPr>
                      <w:rFonts w:hint="eastAsia"/>
                      <w:kern w:val="0"/>
                      <w:szCs w:val="21"/>
                    </w:rPr>
                  </w:pPr>
                </w:p>
              </w:tc>
              <w:tc>
                <w:tcPr>
                  <w:tcW w:w="977" w:type="pct"/>
                  <w:tcBorders>
                    <w:tl2br w:val="nil"/>
                    <w:tr2bl w:val="nil"/>
                  </w:tcBorders>
                  <w:vAlign w:val="center"/>
                </w:tcPr>
                <w:p w14:paraId="3D6F3DD1">
                  <w:pPr>
                    <w:widowControl/>
                    <w:adjustRightInd w:val="0"/>
                    <w:snapToGrid w:val="0"/>
                    <w:jc w:val="center"/>
                    <w:rPr>
                      <w:rFonts w:hint="eastAsia"/>
                      <w:kern w:val="0"/>
                      <w:szCs w:val="21"/>
                    </w:rPr>
                  </w:pPr>
                  <w:r>
                    <w:rPr>
                      <w:rFonts w:hint="eastAsia"/>
                      <w:kern w:val="0"/>
                      <w:szCs w:val="21"/>
                    </w:rPr>
                    <w:t>384电池制造</w:t>
                  </w:r>
                </w:p>
              </w:tc>
              <w:tc>
                <w:tcPr>
                  <w:tcW w:w="2694" w:type="pct"/>
                  <w:tcBorders>
                    <w:tl2br w:val="nil"/>
                    <w:tr2bl w:val="nil"/>
                  </w:tcBorders>
                  <w:vAlign w:val="center"/>
                </w:tcPr>
                <w:p w14:paraId="0C07EFA9">
                  <w:pPr>
                    <w:widowControl/>
                    <w:adjustRightInd w:val="0"/>
                    <w:snapToGrid w:val="0"/>
                    <w:jc w:val="center"/>
                    <w:rPr>
                      <w:rFonts w:hint="eastAsia"/>
                      <w:kern w:val="0"/>
                      <w:szCs w:val="21"/>
                    </w:rPr>
                  </w:pPr>
                  <w:r>
                    <w:rPr>
                      <w:rFonts w:hint="eastAsia"/>
                      <w:kern w:val="0"/>
                      <w:szCs w:val="21"/>
                    </w:rPr>
                    <w:t>3841锂离子电池制造3842镍氢电池制造3844锌锰电池制造3849其他电池制造</w:t>
                  </w:r>
                </w:p>
              </w:tc>
            </w:tr>
            <w:tr w14:paraId="1736B9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3" w:hRule="atLeast"/>
              </w:trPr>
              <w:tc>
                <w:tcPr>
                  <w:tcW w:w="870" w:type="pct"/>
                  <w:gridSpan w:val="2"/>
                  <w:tcBorders>
                    <w:tl2br w:val="nil"/>
                    <w:tr2bl w:val="nil"/>
                  </w:tcBorders>
                  <w:vAlign w:val="center"/>
                </w:tcPr>
                <w:p w14:paraId="0A12502C">
                  <w:pPr>
                    <w:widowControl/>
                    <w:adjustRightInd w:val="0"/>
                    <w:snapToGrid w:val="0"/>
                    <w:jc w:val="center"/>
                    <w:rPr>
                      <w:rFonts w:hint="eastAsia"/>
                      <w:kern w:val="0"/>
                      <w:szCs w:val="21"/>
                    </w:rPr>
                  </w:pPr>
                  <w:r>
                    <w:rPr>
                      <w:rFonts w:hint="eastAsia"/>
                      <w:kern w:val="0"/>
                      <w:szCs w:val="21"/>
                      <w:lang w:eastAsia="zh-CN"/>
                    </w:rPr>
                    <w:t>限制类</w:t>
                  </w:r>
                </w:p>
              </w:tc>
              <w:tc>
                <w:tcPr>
                  <w:tcW w:w="6969" w:type="dxa"/>
                  <w:gridSpan w:val="3"/>
                  <w:tcBorders>
                    <w:tl2br w:val="nil"/>
                    <w:tr2bl w:val="nil"/>
                  </w:tcBorders>
                  <w:vAlign w:val="top"/>
                </w:tcPr>
                <w:p w14:paraId="220C2EF1">
                  <w:pPr>
                    <w:widowControl/>
                    <w:adjustRightInd w:val="0"/>
                    <w:snapToGrid w:val="0"/>
                    <w:jc w:val="left"/>
                    <w:rPr>
                      <w:rFonts w:hint="eastAsia"/>
                      <w:kern w:val="0"/>
                      <w:szCs w:val="21"/>
                    </w:rPr>
                  </w:pPr>
                  <w:r>
                    <w:rPr>
                      <w:rFonts w:hint="eastAsia"/>
                      <w:kern w:val="0"/>
                      <w:szCs w:val="21"/>
                    </w:rPr>
                    <w:t>①《淮北市危险化学品禁止、限制和控制性目录》附件2“淮北市限制和控制生产的危险化学品目录（试行）”所列危险化学品，主要原因是涉及高风险工艺，包括：光气化、氟化工艺、氯化工艺、过氧化工艺、重氮化工艺、硝化工艺、与高毒高残留化学品、有机硫、磷、氟、氯、溴、碘化物、含大部分易制爆化学品和高安全风险、高生态环境风险的化学品；</w:t>
                  </w:r>
                </w:p>
                <w:p w14:paraId="440BB364">
                  <w:pPr>
                    <w:widowControl/>
                    <w:adjustRightInd w:val="0"/>
                    <w:snapToGrid w:val="0"/>
                    <w:jc w:val="left"/>
                    <w:rPr>
                      <w:rFonts w:hint="eastAsia"/>
                      <w:kern w:val="0"/>
                      <w:szCs w:val="21"/>
                    </w:rPr>
                  </w:pPr>
                  <w:r>
                    <w:rPr>
                      <w:rFonts w:hint="eastAsia"/>
                      <w:kern w:val="0"/>
                      <w:szCs w:val="21"/>
                    </w:rPr>
                    <w:t>②限制现有与主导产业不符的且污染物排放量大的企业新增产能。</w:t>
                  </w:r>
                </w:p>
                <w:p w14:paraId="015860E8">
                  <w:pPr>
                    <w:widowControl/>
                    <w:adjustRightInd w:val="0"/>
                    <w:snapToGrid w:val="0"/>
                    <w:jc w:val="left"/>
                    <w:rPr>
                      <w:rFonts w:hint="eastAsia"/>
                      <w:kern w:val="0"/>
                      <w:szCs w:val="21"/>
                    </w:rPr>
                  </w:pPr>
                  <w:r>
                    <w:rPr>
                      <w:rFonts w:hint="eastAsia"/>
                      <w:kern w:val="0"/>
                      <w:szCs w:val="21"/>
                    </w:rPr>
                    <w:t>③严格限制在淮河流域新建印染、制革、化工、电镀、酿造等大中型项目或者其他污染严重的项目；建设该类项目的，应当事前征得省人民政府生态环境行政主管部门的意见，并按照规定办理相关手续；</w:t>
                  </w:r>
                </w:p>
                <w:p w14:paraId="6A925117">
                  <w:pPr>
                    <w:widowControl/>
                    <w:adjustRightInd w:val="0"/>
                    <w:snapToGrid w:val="0"/>
                    <w:jc w:val="left"/>
                    <w:rPr>
                      <w:rFonts w:hint="eastAsia"/>
                      <w:kern w:val="0"/>
                      <w:szCs w:val="21"/>
                    </w:rPr>
                  </w:pPr>
                  <w:r>
                    <w:rPr>
                      <w:rFonts w:hint="eastAsia"/>
                      <w:kern w:val="0"/>
                      <w:szCs w:val="21"/>
                    </w:rPr>
                    <w:t>④两高行业需满足《生态环境部关于加强高耗能、高排放建设项目生态环境防控的指导意见》、《安徽省节能减排及应对气候变化工作领导小组关于进一步加强新上“两高”项目管理的通知》等两高文件要求，且不得新增区域污染物排放总量，远期根据区域环境质量现状，确保区域环境质量有所改善，且经过充分的环境影响论证；</w:t>
                  </w:r>
                </w:p>
                <w:p w14:paraId="764FF89B">
                  <w:pPr>
                    <w:widowControl/>
                    <w:adjustRightInd w:val="0"/>
                    <w:snapToGrid w:val="0"/>
                    <w:jc w:val="left"/>
                    <w:rPr>
                      <w:rFonts w:hint="eastAsia"/>
                      <w:kern w:val="0"/>
                      <w:szCs w:val="21"/>
                    </w:rPr>
                  </w:pPr>
                  <w:r>
                    <w:rPr>
                      <w:rFonts w:hint="eastAsia"/>
                      <w:kern w:val="0"/>
                      <w:szCs w:val="21"/>
                    </w:rPr>
                    <w:t>⑤2018~2022年淮北市PM</w:t>
                  </w:r>
                  <w:r>
                    <w:rPr>
                      <w:rFonts w:hint="eastAsia"/>
                      <w:kern w:val="0"/>
                      <w:szCs w:val="21"/>
                      <w:vertAlign w:val="subscript"/>
                    </w:rPr>
                    <w:t>2.5</w:t>
                  </w:r>
                  <w:r>
                    <w:rPr>
                      <w:rFonts w:hint="eastAsia"/>
                      <w:kern w:val="0"/>
                      <w:szCs w:val="21"/>
                    </w:rPr>
                    <w:t>、O</w:t>
                  </w:r>
                  <w:r>
                    <w:rPr>
                      <w:rFonts w:hint="eastAsia"/>
                      <w:kern w:val="0"/>
                      <w:szCs w:val="21"/>
                      <w:vertAlign w:val="subscript"/>
                    </w:rPr>
                    <w:t>3</w:t>
                  </w:r>
                  <w:r>
                    <w:rPr>
                      <w:rFonts w:hint="eastAsia"/>
                      <w:kern w:val="0"/>
                      <w:szCs w:val="21"/>
                    </w:rPr>
                    <w:t>持续不达标，在环境质量持续改善前，限制高污染高排放项目引入。</w:t>
                  </w:r>
                </w:p>
                <w:p w14:paraId="2B8A6FC0">
                  <w:pPr>
                    <w:widowControl/>
                    <w:adjustRightInd w:val="0"/>
                    <w:snapToGrid w:val="0"/>
                    <w:jc w:val="left"/>
                    <w:rPr>
                      <w:rFonts w:hint="eastAsia"/>
                      <w:kern w:val="0"/>
                      <w:szCs w:val="21"/>
                    </w:rPr>
                  </w:pPr>
                  <w:r>
                    <w:rPr>
                      <w:rFonts w:hint="eastAsia"/>
                      <w:kern w:val="0"/>
                      <w:szCs w:val="21"/>
                    </w:rPr>
                    <w:t>⑥针对电池行业含氟废水进入开发区污水处理厂前需要达到《地表水环境质量标准》（GB3838-2002）中IV类要求。</w:t>
                  </w:r>
                </w:p>
              </w:tc>
            </w:tr>
            <w:tr w14:paraId="727898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870" w:type="pct"/>
                  <w:gridSpan w:val="2"/>
                  <w:tcBorders>
                    <w:tl2br w:val="nil"/>
                    <w:tr2bl w:val="nil"/>
                  </w:tcBorders>
                  <w:vAlign w:val="center"/>
                </w:tcPr>
                <w:p w14:paraId="2D155B73">
                  <w:pPr>
                    <w:widowControl/>
                    <w:adjustRightInd w:val="0"/>
                    <w:snapToGrid w:val="0"/>
                    <w:jc w:val="center"/>
                    <w:rPr>
                      <w:rFonts w:hint="eastAsia"/>
                      <w:kern w:val="0"/>
                      <w:szCs w:val="21"/>
                      <w:lang w:eastAsia="zh-CN"/>
                    </w:rPr>
                  </w:pPr>
                  <w:r>
                    <w:rPr>
                      <w:rFonts w:hint="eastAsia"/>
                      <w:kern w:val="0"/>
                      <w:szCs w:val="21"/>
                      <w:lang w:eastAsia="zh-CN"/>
                    </w:rPr>
                    <w:t>禁止类</w:t>
                  </w:r>
                </w:p>
              </w:tc>
              <w:tc>
                <w:tcPr>
                  <w:tcW w:w="6969" w:type="dxa"/>
                  <w:gridSpan w:val="3"/>
                  <w:tcBorders>
                    <w:tl2br w:val="nil"/>
                    <w:tr2bl w:val="nil"/>
                  </w:tcBorders>
                  <w:vAlign w:val="top"/>
                </w:tcPr>
                <w:p w14:paraId="50CB329D">
                  <w:pPr>
                    <w:widowControl/>
                    <w:adjustRightInd w:val="0"/>
                    <w:snapToGrid w:val="0"/>
                    <w:jc w:val="left"/>
                    <w:rPr>
                      <w:rFonts w:hint="eastAsia"/>
                      <w:kern w:val="0"/>
                      <w:szCs w:val="21"/>
                    </w:rPr>
                  </w:pPr>
                  <w:r>
                    <w:rPr>
                      <w:rFonts w:hint="eastAsia"/>
                      <w:kern w:val="0"/>
                      <w:szCs w:val="21"/>
                    </w:rPr>
                    <w:t>①禁止引入列入《产业结构调整指导目录（2024年本）》、《市场准入负面清单（2022年版）》、《长江经济带发展负面清单指南》（试行，2022年版）、《安徽省淮河流域水污染防治条例》等相关产业政策中禁止或淘汰类项目、产品、工艺和设备；</w:t>
                  </w:r>
                </w:p>
                <w:p w14:paraId="6F279FC6">
                  <w:pPr>
                    <w:widowControl/>
                    <w:adjustRightInd w:val="0"/>
                    <w:snapToGrid w:val="0"/>
                    <w:jc w:val="left"/>
                    <w:rPr>
                      <w:rFonts w:hint="eastAsia"/>
                      <w:kern w:val="0"/>
                      <w:szCs w:val="21"/>
                    </w:rPr>
                  </w:pPr>
                  <w:r>
                    <w:rPr>
                      <w:rFonts w:hint="eastAsia"/>
                      <w:kern w:val="0"/>
                      <w:szCs w:val="21"/>
                    </w:rPr>
                    <w:t>②禁止新建、扩建不符合法律法规和相关政策明令禁止的落后产能项目；</w:t>
                  </w:r>
                </w:p>
                <w:p w14:paraId="72BAC766">
                  <w:pPr>
                    <w:widowControl/>
                    <w:adjustRightInd w:val="0"/>
                    <w:snapToGrid w:val="0"/>
                    <w:jc w:val="left"/>
                    <w:rPr>
                      <w:rFonts w:hint="eastAsia"/>
                      <w:kern w:val="0"/>
                      <w:szCs w:val="21"/>
                    </w:rPr>
                  </w:pPr>
                  <w:r>
                    <w:rPr>
                      <w:rFonts w:hint="eastAsia"/>
                      <w:kern w:val="0"/>
                      <w:szCs w:val="21"/>
                    </w:rPr>
                    <w:t>③禁止新建、扩建不符合国家产能置换要求的严重过剩产能行业的项目；</w:t>
                  </w:r>
                </w:p>
                <w:p w14:paraId="5FE7920D">
                  <w:pPr>
                    <w:widowControl/>
                    <w:adjustRightInd w:val="0"/>
                    <w:snapToGrid w:val="0"/>
                    <w:jc w:val="left"/>
                    <w:rPr>
                      <w:rFonts w:hint="eastAsia"/>
                      <w:kern w:val="0"/>
                      <w:szCs w:val="21"/>
                    </w:rPr>
                  </w:pPr>
                  <w:r>
                    <w:rPr>
                      <w:rFonts w:hint="eastAsia"/>
                      <w:kern w:val="0"/>
                      <w:szCs w:val="21"/>
                    </w:rPr>
                    <w:t>④禁止新建、扩建不符合要求的高耗能高排放项目；</w:t>
                  </w:r>
                </w:p>
                <w:p w14:paraId="558FF4F2">
                  <w:pPr>
                    <w:widowControl/>
                    <w:adjustRightInd w:val="0"/>
                    <w:snapToGrid w:val="0"/>
                    <w:jc w:val="left"/>
                    <w:rPr>
                      <w:rFonts w:hint="eastAsia"/>
                      <w:kern w:val="0"/>
                      <w:szCs w:val="21"/>
                    </w:rPr>
                  </w:pPr>
                  <w:r>
                    <w:rPr>
                      <w:rFonts w:hint="eastAsia"/>
                      <w:kern w:val="0"/>
                      <w:szCs w:val="21"/>
                    </w:rPr>
                    <w:t>⑤禁止新增钢铁、焦化、电解铝、水泥和平板玻璃等产能；</w:t>
                  </w:r>
                </w:p>
                <w:p w14:paraId="5D8E0366">
                  <w:pPr>
                    <w:widowControl/>
                    <w:adjustRightInd w:val="0"/>
                    <w:snapToGrid w:val="0"/>
                    <w:jc w:val="left"/>
                    <w:rPr>
                      <w:rFonts w:hint="eastAsia"/>
                      <w:kern w:val="0"/>
                      <w:szCs w:val="21"/>
                    </w:rPr>
                  </w:pPr>
                  <w:r>
                    <w:rPr>
                      <w:rFonts w:hint="eastAsia"/>
                      <w:kern w:val="0"/>
                      <w:szCs w:val="21"/>
                    </w:rPr>
                    <w:t>⑥禁止新建《淮北市危险化学品禁止、限制和控制性目录》在附件1“淮北市禁止生产的危险化学品目录（试行）”所列危险化学品，主要包括了剧毒化学品、监控化学品以及国家明令淘汰的高毒高残留化学品。</w:t>
                  </w:r>
                </w:p>
                <w:p w14:paraId="0944D409">
                  <w:pPr>
                    <w:widowControl/>
                    <w:adjustRightInd w:val="0"/>
                    <w:snapToGrid w:val="0"/>
                    <w:jc w:val="left"/>
                    <w:rPr>
                      <w:rFonts w:hint="eastAsia"/>
                      <w:kern w:val="0"/>
                      <w:szCs w:val="21"/>
                    </w:rPr>
                  </w:pPr>
                  <w:r>
                    <w:rPr>
                      <w:rFonts w:hint="eastAsia"/>
                      <w:kern w:val="0"/>
                      <w:szCs w:val="21"/>
                    </w:rPr>
                    <w:t>⑦禁止在淮河流域新建化学制浆造纸企业和印染、制革、化工、电镀、酿造等污染严重的小型企业。</w:t>
                  </w:r>
                </w:p>
              </w:tc>
            </w:tr>
          </w:tbl>
          <w:p w14:paraId="64A8D096">
            <w:pPr>
              <w:spacing w:line="360" w:lineRule="auto"/>
              <w:ind w:firstLine="480" w:firstLineChars="200"/>
              <w:rPr>
                <w:sz w:val="24"/>
              </w:rPr>
            </w:pPr>
            <w:r>
              <w:rPr>
                <w:rFonts w:hint="eastAsia"/>
                <w:sz w:val="24"/>
              </w:rPr>
              <w:t>根据园区规划环境影响评价及相应审查意见要求，园区规划要求引入项目需符合国家和地方的产业政策，本项目</w:t>
            </w:r>
            <w:r>
              <w:rPr>
                <w:rFonts w:hint="eastAsia"/>
                <w:sz w:val="24"/>
                <w:lang w:eastAsia="zh-CN"/>
              </w:rPr>
              <w:t>行业类别为锅炉及辅助设备制造</w:t>
            </w:r>
            <w:r>
              <w:rPr>
                <w:rFonts w:hint="eastAsia"/>
                <w:sz w:val="24"/>
              </w:rPr>
              <w:t>，不在园区生态环境准入负面清单内，符合园区规划环评及其审查意见要求。</w:t>
            </w:r>
          </w:p>
          <w:p w14:paraId="07186FF7">
            <w:pPr>
              <w:spacing w:line="360" w:lineRule="auto"/>
              <w:ind w:firstLine="420" w:firstLineChars="175"/>
              <w:rPr>
                <w:sz w:val="24"/>
              </w:rPr>
            </w:pPr>
            <w:r>
              <w:rPr>
                <w:sz w:val="24"/>
              </w:rPr>
              <w:t>②</w:t>
            </w:r>
            <w:r>
              <w:rPr>
                <w:rFonts w:hint="eastAsia"/>
                <w:sz w:val="24"/>
              </w:rPr>
              <w:t>与《市场准入负面清单》对照分析</w:t>
            </w:r>
          </w:p>
          <w:p w14:paraId="000AF510">
            <w:pPr>
              <w:spacing w:line="360" w:lineRule="auto"/>
              <w:ind w:firstLine="420" w:firstLineChars="175"/>
              <w:rPr>
                <w:sz w:val="24"/>
              </w:rPr>
            </w:pPr>
            <w:r>
              <w:rPr>
                <w:rFonts w:hint="eastAsia"/>
                <w:sz w:val="24"/>
              </w:rPr>
              <w:t>根据《市场准入负面清单》（202</w:t>
            </w:r>
            <w:r>
              <w:rPr>
                <w:rFonts w:hint="eastAsia"/>
                <w:sz w:val="24"/>
                <w:lang w:val="en-US" w:eastAsia="zh-CN"/>
              </w:rPr>
              <w:t>5</w:t>
            </w:r>
            <w:r>
              <w:rPr>
                <w:rFonts w:hint="eastAsia"/>
                <w:sz w:val="24"/>
              </w:rPr>
              <w:t>年版），禁止准入类项目包括：“1、法律、法规、国务院决定等明确设立且与市场准入相关的禁止性规定”，“2、国家产业政策明令淘汰和限制的产品、技术、工艺、设备及行为”；“3、不符合主体功能区建设 要求的各类开发活动”；“4、禁止违规开展金融相关经营活动”；“5、禁止违规开展互联网相关经营活动”</w:t>
            </w:r>
            <w:r>
              <w:rPr>
                <w:rFonts w:hint="eastAsia"/>
                <w:sz w:val="24"/>
                <w:lang w:eastAsia="zh-CN"/>
              </w:rPr>
              <w:t>；“</w:t>
            </w:r>
            <w:r>
              <w:rPr>
                <w:rFonts w:hint="eastAsia"/>
                <w:sz w:val="24"/>
                <w:lang w:val="en-US" w:eastAsia="zh-CN"/>
              </w:rPr>
              <w:t>6、禁止违规开展新闻传媒相关业务</w:t>
            </w:r>
            <w:r>
              <w:rPr>
                <w:rFonts w:hint="eastAsia"/>
                <w:sz w:val="24"/>
                <w:lang w:eastAsia="zh-CN"/>
              </w:rPr>
              <w:t>”</w:t>
            </w:r>
            <w:r>
              <w:rPr>
                <w:rFonts w:hint="eastAsia"/>
                <w:sz w:val="24"/>
              </w:rPr>
              <w:t>。本项目不在</w:t>
            </w:r>
            <w:r>
              <w:rPr>
                <w:rFonts w:hint="eastAsia"/>
                <w:sz w:val="24"/>
                <w:lang w:eastAsia="zh-CN"/>
              </w:rPr>
              <w:t>《市场准入负面清单》（2025年版）</w:t>
            </w:r>
            <w:r>
              <w:rPr>
                <w:rFonts w:hint="eastAsia"/>
                <w:sz w:val="24"/>
              </w:rPr>
              <w:t>禁止准入类范围内。因此本项目符合</w:t>
            </w:r>
            <w:r>
              <w:rPr>
                <w:rFonts w:hint="eastAsia"/>
                <w:sz w:val="24"/>
                <w:lang w:eastAsia="zh-CN"/>
              </w:rPr>
              <w:t>《市场准入负面清单》（2025年版）</w:t>
            </w:r>
            <w:r>
              <w:rPr>
                <w:rFonts w:hint="eastAsia"/>
                <w:sz w:val="24"/>
              </w:rPr>
              <w:t>相关要求。</w:t>
            </w:r>
          </w:p>
          <w:p w14:paraId="532CD64B">
            <w:pPr>
              <w:spacing w:line="360" w:lineRule="auto"/>
              <w:ind w:firstLine="420" w:firstLineChars="175"/>
              <w:rPr>
                <w:sz w:val="24"/>
              </w:rPr>
            </w:pPr>
            <w:r>
              <w:rPr>
                <w:rFonts w:hint="eastAsia" w:ascii="宋体" w:hAnsi="宋体" w:eastAsia="宋体" w:cs="宋体"/>
                <w:sz w:val="24"/>
                <w:szCs w:val="24"/>
              </w:rPr>
              <w:t>综上所述，本项目建设能够满足“三线一单”及生态环境分区管控要求。</w:t>
            </w:r>
          </w:p>
          <w:p w14:paraId="1CDF6E8F">
            <w:pPr>
              <w:spacing w:line="360" w:lineRule="auto"/>
              <w:ind w:firstLine="482" w:firstLineChars="200"/>
              <w:rPr>
                <w:b/>
                <w:kern w:val="0"/>
                <w:sz w:val="24"/>
              </w:rPr>
            </w:pPr>
            <w:r>
              <w:rPr>
                <w:rFonts w:hint="eastAsia"/>
                <w:b/>
                <w:kern w:val="0"/>
                <w:sz w:val="24"/>
              </w:rPr>
              <w:t>（二）</w:t>
            </w:r>
            <w:r>
              <w:rPr>
                <w:b/>
                <w:kern w:val="0"/>
                <w:sz w:val="24"/>
              </w:rPr>
              <w:t>与相关</w:t>
            </w:r>
            <w:r>
              <w:rPr>
                <w:rFonts w:hint="eastAsia"/>
                <w:b/>
                <w:kern w:val="0"/>
                <w:sz w:val="24"/>
              </w:rPr>
              <w:t>法规、</w:t>
            </w:r>
            <w:r>
              <w:rPr>
                <w:b/>
                <w:kern w:val="0"/>
                <w:sz w:val="24"/>
              </w:rPr>
              <w:t>政策</w:t>
            </w:r>
            <w:r>
              <w:rPr>
                <w:rFonts w:hint="eastAsia"/>
                <w:b/>
                <w:kern w:val="0"/>
                <w:sz w:val="24"/>
              </w:rPr>
              <w:t>及生态环境保护规划的符合性分析</w:t>
            </w:r>
          </w:p>
          <w:p w14:paraId="4F7059CC">
            <w:pPr>
              <w:spacing w:line="360" w:lineRule="auto"/>
              <w:ind w:firstLine="482" w:firstLineChars="200"/>
              <w:rPr>
                <w:b/>
                <w:kern w:val="0"/>
                <w:sz w:val="24"/>
              </w:rPr>
            </w:pPr>
            <w:r>
              <w:rPr>
                <w:rFonts w:hint="eastAsia"/>
                <w:b/>
                <w:kern w:val="0"/>
                <w:sz w:val="24"/>
              </w:rPr>
              <w:t>1</w:t>
            </w:r>
            <w:r>
              <w:rPr>
                <w:b/>
                <w:kern w:val="0"/>
                <w:sz w:val="24"/>
              </w:rPr>
              <w:t>、产业政策</w:t>
            </w:r>
            <w:r>
              <w:rPr>
                <w:rFonts w:hint="eastAsia"/>
                <w:b/>
                <w:kern w:val="0"/>
                <w:sz w:val="24"/>
              </w:rPr>
              <w:t>符合性分析</w:t>
            </w:r>
          </w:p>
          <w:p w14:paraId="596F8987">
            <w:pPr>
              <w:spacing w:line="360" w:lineRule="auto"/>
              <w:ind w:firstLine="480" w:firstLineChars="200"/>
              <w:rPr>
                <w:sz w:val="24"/>
              </w:rPr>
            </w:pPr>
            <w:r>
              <w:rPr>
                <w:rFonts w:hint="eastAsia"/>
                <w:sz w:val="24"/>
              </w:rPr>
              <w:t>对照国家发改委颁布的</w:t>
            </w:r>
            <w:r>
              <w:rPr>
                <w:rFonts w:hint="eastAsia"/>
                <w:sz w:val="24"/>
                <w:lang w:eastAsia="zh-CN"/>
              </w:rPr>
              <w:t>《产业结构调整指导目录（2024年本）》</w:t>
            </w:r>
            <w:r>
              <w:rPr>
                <w:rFonts w:hint="eastAsia"/>
                <w:sz w:val="24"/>
              </w:rPr>
              <w:t>，本项目不属于其中限制类及淘汰类，为允许建设类。项目不在</w:t>
            </w:r>
            <w:r>
              <w:rPr>
                <w:rFonts w:hint="eastAsia"/>
                <w:sz w:val="24"/>
                <w:lang w:eastAsia="zh-CN"/>
              </w:rPr>
              <w:t>《市场准入负面清单》（2025年版）</w:t>
            </w:r>
            <w:r>
              <w:rPr>
                <w:rFonts w:hint="eastAsia"/>
                <w:sz w:val="24"/>
              </w:rPr>
              <w:t>禁止准入类范围内。且本项目已于202</w:t>
            </w:r>
            <w:r>
              <w:rPr>
                <w:rFonts w:hint="eastAsia"/>
                <w:sz w:val="24"/>
                <w:lang w:val="en-US" w:eastAsia="zh-CN"/>
              </w:rPr>
              <w:t>4</w:t>
            </w:r>
            <w:r>
              <w:rPr>
                <w:rFonts w:hint="eastAsia"/>
                <w:sz w:val="24"/>
              </w:rPr>
              <w:t>年</w:t>
            </w:r>
            <w:r>
              <w:rPr>
                <w:rFonts w:hint="eastAsia"/>
                <w:sz w:val="24"/>
                <w:lang w:val="en-US" w:eastAsia="zh-CN"/>
              </w:rPr>
              <w:t>6</w:t>
            </w:r>
            <w:r>
              <w:rPr>
                <w:rFonts w:hint="eastAsia"/>
                <w:sz w:val="24"/>
              </w:rPr>
              <w:t>月</w:t>
            </w:r>
            <w:r>
              <w:rPr>
                <w:rFonts w:hint="eastAsia"/>
                <w:sz w:val="24"/>
                <w:lang w:val="en-US" w:eastAsia="zh-CN"/>
              </w:rPr>
              <w:t>21</w:t>
            </w:r>
            <w:r>
              <w:rPr>
                <w:rFonts w:hint="eastAsia"/>
                <w:sz w:val="24"/>
              </w:rPr>
              <w:t>日取得了安徽淮北杜集经济开发区管理委员会关于项目的备案表。本项目符合国家和地方产业政策要求。</w:t>
            </w:r>
          </w:p>
          <w:p w14:paraId="69674EFE">
            <w:pPr>
              <w:adjustRightInd w:val="0"/>
              <w:snapToGrid w:val="0"/>
              <w:spacing w:line="440" w:lineRule="exact"/>
              <w:ind w:firstLine="482" w:firstLineChars="200"/>
              <w:rPr>
                <w:b/>
                <w:bCs/>
                <w:sz w:val="24"/>
              </w:rPr>
            </w:pPr>
            <w:r>
              <w:rPr>
                <w:rFonts w:hint="eastAsia"/>
                <w:b/>
                <w:bCs/>
                <w:sz w:val="24"/>
              </w:rPr>
              <w:t>2、与《淮北市生态环境保护“十四五”规划》（2022年1月，淮环〔2022〕1号）相符性分析</w:t>
            </w:r>
          </w:p>
          <w:p w14:paraId="559F4311">
            <w:pPr>
              <w:widowControl/>
              <w:numPr>
                <w:ilvl w:val="0"/>
                <w:numId w:val="2"/>
              </w:numPr>
              <w:jc w:val="center"/>
              <w:rPr>
                <w:b/>
                <w:kern w:val="0"/>
                <w:szCs w:val="21"/>
              </w:rPr>
            </w:pPr>
            <w:r>
              <w:rPr>
                <w:b/>
                <w:kern w:val="0"/>
                <w:szCs w:val="21"/>
              </w:rPr>
              <w:t xml:space="preserve">  </w:t>
            </w:r>
            <w:r>
              <w:rPr>
                <w:rFonts w:hint="eastAsia"/>
                <w:b/>
                <w:kern w:val="0"/>
                <w:szCs w:val="21"/>
              </w:rPr>
              <w:t>本项目</w:t>
            </w:r>
            <w:r>
              <w:rPr>
                <w:b/>
                <w:kern w:val="0"/>
                <w:szCs w:val="21"/>
              </w:rPr>
              <w:t>与</w:t>
            </w:r>
            <w:r>
              <w:rPr>
                <w:rFonts w:hint="eastAsia"/>
                <w:b/>
                <w:kern w:val="0"/>
                <w:szCs w:val="21"/>
              </w:rPr>
              <w:t>《淮北市生态环境保护“十四五”规划》</w:t>
            </w:r>
            <w:r>
              <w:rPr>
                <w:b/>
                <w:kern w:val="0"/>
                <w:szCs w:val="21"/>
              </w:rPr>
              <w:t>相符性分析</w:t>
            </w:r>
          </w:p>
          <w:tbl>
            <w:tblPr>
              <w:tblStyle w:val="2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5"/>
              <w:gridCol w:w="4628"/>
              <w:gridCol w:w="2727"/>
              <w:gridCol w:w="637"/>
            </w:tblGrid>
            <w:tr w14:paraId="2B90F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vAlign w:val="center"/>
                </w:tcPr>
                <w:p w14:paraId="3C26F7DD">
                  <w:pPr>
                    <w:widowControl/>
                    <w:adjustRightInd w:val="0"/>
                    <w:snapToGrid w:val="0"/>
                    <w:jc w:val="center"/>
                    <w:rPr>
                      <w:b/>
                      <w:bCs/>
                      <w:kern w:val="0"/>
                      <w:sz w:val="21"/>
                      <w:szCs w:val="21"/>
                    </w:rPr>
                  </w:pPr>
                  <w:r>
                    <w:rPr>
                      <w:rFonts w:hint="eastAsia"/>
                      <w:b/>
                      <w:bCs/>
                      <w:kern w:val="0"/>
                      <w:sz w:val="21"/>
                      <w:szCs w:val="21"/>
                    </w:rPr>
                    <w:t>序号</w:t>
                  </w:r>
                </w:p>
              </w:tc>
              <w:tc>
                <w:tcPr>
                  <w:tcW w:w="2739" w:type="pct"/>
                  <w:vAlign w:val="center"/>
                </w:tcPr>
                <w:p w14:paraId="5BE58712">
                  <w:pPr>
                    <w:widowControl/>
                    <w:adjustRightInd w:val="0"/>
                    <w:snapToGrid w:val="0"/>
                    <w:jc w:val="center"/>
                    <w:rPr>
                      <w:b/>
                      <w:bCs/>
                      <w:kern w:val="0"/>
                      <w:sz w:val="21"/>
                      <w:szCs w:val="21"/>
                    </w:rPr>
                  </w:pPr>
                  <w:r>
                    <w:rPr>
                      <w:rFonts w:hint="eastAsia"/>
                      <w:b/>
                      <w:bCs/>
                      <w:kern w:val="0"/>
                      <w:sz w:val="21"/>
                      <w:szCs w:val="21"/>
                    </w:rPr>
                    <w:t>规划要求</w:t>
                  </w:r>
                </w:p>
              </w:tc>
              <w:tc>
                <w:tcPr>
                  <w:tcW w:w="1614" w:type="pct"/>
                  <w:vAlign w:val="center"/>
                </w:tcPr>
                <w:p w14:paraId="4F98D72C">
                  <w:pPr>
                    <w:widowControl/>
                    <w:adjustRightInd w:val="0"/>
                    <w:snapToGrid w:val="0"/>
                    <w:jc w:val="center"/>
                    <w:rPr>
                      <w:b/>
                      <w:bCs/>
                      <w:kern w:val="0"/>
                      <w:sz w:val="21"/>
                      <w:szCs w:val="21"/>
                    </w:rPr>
                  </w:pPr>
                  <w:r>
                    <w:rPr>
                      <w:rFonts w:hint="eastAsia"/>
                      <w:b/>
                      <w:bCs/>
                      <w:kern w:val="0"/>
                      <w:sz w:val="21"/>
                      <w:szCs w:val="21"/>
                    </w:rPr>
                    <w:t>本项目情况</w:t>
                  </w:r>
                </w:p>
              </w:tc>
              <w:tc>
                <w:tcPr>
                  <w:tcW w:w="377" w:type="pct"/>
                  <w:vAlign w:val="center"/>
                </w:tcPr>
                <w:p w14:paraId="718B4D0F">
                  <w:pPr>
                    <w:widowControl/>
                    <w:adjustRightInd w:val="0"/>
                    <w:snapToGrid w:val="0"/>
                    <w:jc w:val="center"/>
                    <w:rPr>
                      <w:b/>
                      <w:bCs/>
                      <w:kern w:val="0"/>
                      <w:sz w:val="21"/>
                      <w:szCs w:val="21"/>
                    </w:rPr>
                  </w:pPr>
                  <w:r>
                    <w:rPr>
                      <w:rFonts w:hint="eastAsia"/>
                      <w:b/>
                      <w:bCs/>
                      <w:kern w:val="0"/>
                      <w:sz w:val="21"/>
                      <w:szCs w:val="21"/>
                    </w:rPr>
                    <w:t>是否符合</w:t>
                  </w:r>
                </w:p>
              </w:tc>
            </w:tr>
            <w:tr w14:paraId="4CC43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vAlign w:val="center"/>
                </w:tcPr>
                <w:p w14:paraId="5D4905B0">
                  <w:pPr>
                    <w:widowControl/>
                    <w:adjustRightInd w:val="0"/>
                    <w:snapToGrid w:val="0"/>
                    <w:jc w:val="center"/>
                    <w:rPr>
                      <w:kern w:val="0"/>
                      <w:sz w:val="21"/>
                      <w:szCs w:val="21"/>
                    </w:rPr>
                  </w:pPr>
                  <w:r>
                    <w:rPr>
                      <w:kern w:val="0"/>
                      <w:sz w:val="21"/>
                      <w:szCs w:val="21"/>
                    </w:rPr>
                    <w:t>1</w:t>
                  </w:r>
                </w:p>
              </w:tc>
              <w:tc>
                <w:tcPr>
                  <w:tcW w:w="2739" w:type="pct"/>
                  <w:vAlign w:val="center"/>
                </w:tcPr>
                <w:p w14:paraId="4F5BD1AF">
                  <w:pPr>
                    <w:widowControl/>
                    <w:adjustRightInd w:val="0"/>
                    <w:snapToGrid w:val="0"/>
                    <w:jc w:val="center"/>
                    <w:rPr>
                      <w:kern w:val="0"/>
                      <w:sz w:val="21"/>
                      <w:szCs w:val="21"/>
                    </w:rPr>
                  </w:pPr>
                  <w:r>
                    <w:rPr>
                      <w:rFonts w:hint="eastAsia"/>
                      <w:kern w:val="0"/>
                      <w:sz w:val="21"/>
                      <w:szCs w:val="21"/>
                    </w:rPr>
                    <w:t>协同推进，持续改善环境空气质量。以降低</w:t>
                  </w:r>
                  <w:r>
                    <w:rPr>
                      <w:kern w:val="0"/>
                      <w:sz w:val="21"/>
                      <w:szCs w:val="21"/>
                    </w:rPr>
                    <w:t>PM</w:t>
                  </w:r>
                  <w:r>
                    <w:rPr>
                      <w:kern w:val="0"/>
                      <w:sz w:val="21"/>
                      <w:szCs w:val="21"/>
                      <w:vertAlign w:val="subscript"/>
                    </w:rPr>
                    <w:t>2.5</w:t>
                  </w:r>
                  <w:r>
                    <w:rPr>
                      <w:rFonts w:hint="eastAsia"/>
                      <w:kern w:val="0"/>
                      <w:sz w:val="21"/>
                      <w:szCs w:val="21"/>
                    </w:rPr>
                    <w:t>污染为环境空气质量改善的核心目标，推动</w:t>
                  </w:r>
                  <w:r>
                    <w:rPr>
                      <w:kern w:val="0"/>
                      <w:sz w:val="21"/>
                      <w:szCs w:val="21"/>
                    </w:rPr>
                    <w:t>O</w:t>
                  </w:r>
                  <w:r>
                    <w:rPr>
                      <w:kern w:val="0"/>
                      <w:sz w:val="21"/>
                      <w:szCs w:val="21"/>
                      <w:vertAlign w:val="subscript"/>
                    </w:rPr>
                    <w:t>3</w:t>
                  </w:r>
                  <w:r>
                    <w:rPr>
                      <w:rFonts w:hint="eastAsia"/>
                      <w:kern w:val="0"/>
                      <w:sz w:val="21"/>
                      <w:szCs w:val="21"/>
                    </w:rPr>
                    <w:t>污染的协同控制，以质量改善目标引领大气污染防治布局，采取多种手段推动环境空气质量持续改善。</w:t>
                  </w:r>
                </w:p>
              </w:tc>
              <w:tc>
                <w:tcPr>
                  <w:tcW w:w="1614" w:type="pct"/>
                  <w:vAlign w:val="center"/>
                </w:tcPr>
                <w:p w14:paraId="5DFAC161">
                  <w:pPr>
                    <w:widowControl/>
                    <w:adjustRightInd w:val="0"/>
                    <w:snapToGrid w:val="0"/>
                    <w:jc w:val="center"/>
                    <w:rPr>
                      <w:kern w:val="0"/>
                      <w:sz w:val="21"/>
                      <w:szCs w:val="21"/>
                    </w:rPr>
                  </w:pPr>
                  <w:r>
                    <w:rPr>
                      <w:rFonts w:hint="eastAsia"/>
                      <w:kern w:val="0"/>
                      <w:sz w:val="21"/>
                      <w:szCs w:val="21"/>
                    </w:rPr>
                    <w:t>本项目废气污染物通过配套废气处理装置处理后能够实现达标排放，不会对区域大气环境产生明显影响</w:t>
                  </w:r>
                </w:p>
              </w:tc>
              <w:tc>
                <w:tcPr>
                  <w:tcW w:w="377" w:type="pct"/>
                  <w:vAlign w:val="center"/>
                </w:tcPr>
                <w:p w14:paraId="0BB7C8AE">
                  <w:pPr>
                    <w:widowControl/>
                    <w:adjustRightInd w:val="0"/>
                    <w:snapToGrid w:val="0"/>
                    <w:jc w:val="center"/>
                    <w:rPr>
                      <w:kern w:val="0"/>
                      <w:sz w:val="21"/>
                      <w:szCs w:val="21"/>
                    </w:rPr>
                  </w:pPr>
                  <w:r>
                    <w:rPr>
                      <w:rFonts w:hint="eastAsia"/>
                      <w:kern w:val="0"/>
                      <w:sz w:val="21"/>
                      <w:szCs w:val="21"/>
                    </w:rPr>
                    <w:t>相符</w:t>
                  </w:r>
                </w:p>
              </w:tc>
            </w:tr>
            <w:tr w14:paraId="1991C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vAlign w:val="center"/>
                </w:tcPr>
                <w:p w14:paraId="28E8A635">
                  <w:pPr>
                    <w:widowControl/>
                    <w:adjustRightInd w:val="0"/>
                    <w:snapToGrid w:val="0"/>
                    <w:jc w:val="center"/>
                    <w:rPr>
                      <w:kern w:val="0"/>
                      <w:sz w:val="21"/>
                      <w:szCs w:val="21"/>
                    </w:rPr>
                  </w:pPr>
                  <w:r>
                    <w:rPr>
                      <w:kern w:val="0"/>
                      <w:sz w:val="21"/>
                      <w:szCs w:val="21"/>
                    </w:rPr>
                    <w:t>2</w:t>
                  </w:r>
                </w:p>
              </w:tc>
              <w:tc>
                <w:tcPr>
                  <w:tcW w:w="2739" w:type="pct"/>
                  <w:vAlign w:val="center"/>
                </w:tcPr>
                <w:p w14:paraId="15923C2F">
                  <w:pPr>
                    <w:pStyle w:val="69"/>
                    <w:adjustRightInd/>
                    <w:snapToGrid/>
                    <w:spacing w:before="0" w:after="0" w:line="240" w:lineRule="auto"/>
                    <w:ind w:right="0" w:firstLine="0" w:firstLineChars="0"/>
                    <w:rPr>
                      <w:b w:val="0"/>
                      <w:sz w:val="21"/>
                      <w:szCs w:val="21"/>
                    </w:rPr>
                  </w:pPr>
                  <w:r>
                    <w:rPr>
                      <w:b w:val="0"/>
                      <w:sz w:val="21"/>
                      <w:szCs w:val="21"/>
                    </w:rPr>
                    <w:t>加强环境风险源管理。加强环境风险源分类管控，重点加强危险化学品、危险废物、含重金属、放射源等环境风险源监控。加强突出类别危险废物的安全处置，开展危险废物产生和经营单位规</w:t>
                  </w:r>
                </w:p>
                <w:p w14:paraId="10144432">
                  <w:pPr>
                    <w:pStyle w:val="69"/>
                    <w:adjustRightInd/>
                    <w:snapToGrid/>
                    <w:spacing w:before="0" w:after="0" w:line="240" w:lineRule="auto"/>
                    <w:ind w:right="0" w:firstLine="0" w:firstLineChars="0"/>
                    <w:rPr>
                      <w:sz w:val="21"/>
                      <w:szCs w:val="21"/>
                    </w:rPr>
                  </w:pPr>
                  <w:r>
                    <w:rPr>
                      <w:b w:val="0"/>
                      <w:sz w:val="21"/>
                      <w:szCs w:val="21"/>
                    </w:rPr>
                    <w:t>范化整治。强化涉重金属风险源管理。加大日常监管力度，防范有毒有害危险品企业违法排污，降低环境风险。</w:t>
                  </w:r>
                </w:p>
              </w:tc>
              <w:tc>
                <w:tcPr>
                  <w:tcW w:w="1614" w:type="pct"/>
                  <w:vAlign w:val="center"/>
                </w:tcPr>
                <w:p w14:paraId="6A3C8A6D">
                  <w:pPr>
                    <w:jc w:val="center"/>
                    <w:rPr>
                      <w:kern w:val="0"/>
                      <w:sz w:val="21"/>
                      <w:szCs w:val="21"/>
                    </w:rPr>
                  </w:pPr>
                  <w:r>
                    <w:rPr>
                      <w:sz w:val="21"/>
                      <w:szCs w:val="21"/>
                    </w:rPr>
                    <w:t>本项目设置符合要求的</w:t>
                  </w:r>
                  <w:r>
                    <w:rPr>
                      <w:rFonts w:hint="eastAsia"/>
                      <w:sz w:val="21"/>
                      <w:szCs w:val="21"/>
                      <w:lang w:eastAsia="zh-CN"/>
                    </w:rPr>
                    <w:t>危废间</w:t>
                  </w:r>
                  <w:r>
                    <w:rPr>
                      <w:sz w:val="21"/>
                      <w:szCs w:val="21"/>
                    </w:rPr>
                    <w:t>，加强建设单位与危废处置单位之间的管控，降低环境风险。</w:t>
                  </w:r>
                </w:p>
              </w:tc>
              <w:tc>
                <w:tcPr>
                  <w:tcW w:w="377" w:type="pct"/>
                  <w:vAlign w:val="center"/>
                </w:tcPr>
                <w:p w14:paraId="5C3ECB44">
                  <w:pPr>
                    <w:pStyle w:val="22"/>
                    <w:spacing w:after="0" w:line="240" w:lineRule="auto"/>
                    <w:jc w:val="center"/>
                    <w:rPr>
                      <w:kern w:val="0"/>
                      <w:sz w:val="21"/>
                      <w:szCs w:val="21"/>
                    </w:rPr>
                  </w:pPr>
                  <w:r>
                    <w:rPr>
                      <w:sz w:val="21"/>
                      <w:szCs w:val="21"/>
                    </w:rPr>
                    <w:t>符合</w:t>
                  </w:r>
                </w:p>
              </w:tc>
            </w:tr>
            <w:tr w14:paraId="7E7E9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vAlign w:val="center"/>
                </w:tcPr>
                <w:p w14:paraId="1C8A72F1">
                  <w:pPr>
                    <w:widowControl/>
                    <w:adjustRightInd w:val="0"/>
                    <w:snapToGrid w:val="0"/>
                    <w:jc w:val="center"/>
                    <w:rPr>
                      <w:kern w:val="0"/>
                      <w:sz w:val="21"/>
                      <w:szCs w:val="21"/>
                    </w:rPr>
                  </w:pPr>
                  <w:r>
                    <w:rPr>
                      <w:kern w:val="0"/>
                      <w:sz w:val="21"/>
                      <w:szCs w:val="21"/>
                    </w:rPr>
                    <w:t>3</w:t>
                  </w:r>
                </w:p>
              </w:tc>
              <w:tc>
                <w:tcPr>
                  <w:tcW w:w="2739" w:type="pct"/>
                  <w:vAlign w:val="center"/>
                </w:tcPr>
                <w:p w14:paraId="75E4FE89">
                  <w:pPr>
                    <w:widowControl/>
                    <w:adjustRightInd w:val="0"/>
                    <w:snapToGrid w:val="0"/>
                    <w:jc w:val="center"/>
                    <w:rPr>
                      <w:kern w:val="0"/>
                      <w:sz w:val="21"/>
                      <w:szCs w:val="21"/>
                    </w:rPr>
                  </w:pPr>
                  <w:r>
                    <w:rPr>
                      <w:rFonts w:hint="eastAsia"/>
                      <w:kern w:val="0"/>
                      <w:sz w:val="21"/>
                      <w:szCs w:val="21"/>
                    </w:rPr>
                    <w:t>强化面源污染治理。加强施工扬尘综合治理，严格落实“六个百分之百”扬尘防控长效机制。</w:t>
                  </w:r>
                </w:p>
              </w:tc>
              <w:tc>
                <w:tcPr>
                  <w:tcW w:w="1614" w:type="pct"/>
                  <w:vAlign w:val="center"/>
                </w:tcPr>
                <w:p w14:paraId="36747233">
                  <w:pPr>
                    <w:widowControl/>
                    <w:adjustRightInd w:val="0"/>
                    <w:snapToGrid w:val="0"/>
                    <w:jc w:val="center"/>
                    <w:rPr>
                      <w:kern w:val="0"/>
                      <w:sz w:val="21"/>
                      <w:szCs w:val="21"/>
                    </w:rPr>
                  </w:pPr>
                  <w:r>
                    <w:rPr>
                      <w:rFonts w:hint="eastAsia"/>
                      <w:kern w:val="0"/>
                      <w:sz w:val="21"/>
                      <w:szCs w:val="21"/>
                    </w:rPr>
                    <w:t>本项目施工期严格落实“六个百分之百”扬尘</w:t>
                  </w:r>
                </w:p>
              </w:tc>
              <w:tc>
                <w:tcPr>
                  <w:tcW w:w="377" w:type="pct"/>
                  <w:vAlign w:val="center"/>
                </w:tcPr>
                <w:p w14:paraId="058F73F4">
                  <w:pPr>
                    <w:widowControl/>
                    <w:adjustRightInd w:val="0"/>
                    <w:snapToGrid w:val="0"/>
                    <w:jc w:val="center"/>
                    <w:rPr>
                      <w:kern w:val="0"/>
                      <w:sz w:val="21"/>
                      <w:szCs w:val="21"/>
                    </w:rPr>
                  </w:pPr>
                  <w:r>
                    <w:rPr>
                      <w:rFonts w:hint="eastAsia"/>
                      <w:kern w:val="0"/>
                      <w:sz w:val="21"/>
                      <w:szCs w:val="21"/>
                    </w:rPr>
                    <w:t>相符</w:t>
                  </w:r>
                </w:p>
              </w:tc>
            </w:tr>
            <w:tr w14:paraId="56B26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vAlign w:val="center"/>
                </w:tcPr>
                <w:p w14:paraId="18F1F266">
                  <w:pPr>
                    <w:widowControl/>
                    <w:adjustRightInd w:val="0"/>
                    <w:snapToGrid w:val="0"/>
                    <w:jc w:val="center"/>
                    <w:rPr>
                      <w:kern w:val="0"/>
                      <w:sz w:val="21"/>
                      <w:szCs w:val="21"/>
                    </w:rPr>
                  </w:pPr>
                  <w:r>
                    <w:rPr>
                      <w:rFonts w:hint="eastAsia"/>
                      <w:kern w:val="0"/>
                      <w:sz w:val="21"/>
                      <w:szCs w:val="21"/>
                    </w:rPr>
                    <w:t>4</w:t>
                  </w:r>
                </w:p>
              </w:tc>
              <w:tc>
                <w:tcPr>
                  <w:tcW w:w="2739" w:type="pct"/>
                  <w:vAlign w:val="center"/>
                </w:tcPr>
                <w:p w14:paraId="4AD36A0F">
                  <w:pPr>
                    <w:widowControl/>
                    <w:adjustRightInd w:val="0"/>
                    <w:snapToGrid w:val="0"/>
                    <w:jc w:val="center"/>
                    <w:rPr>
                      <w:kern w:val="0"/>
                      <w:sz w:val="21"/>
                      <w:szCs w:val="21"/>
                    </w:rPr>
                  </w:pPr>
                  <w:r>
                    <w:rPr>
                      <w:kern w:val="0"/>
                      <w:sz w:val="21"/>
                      <w:szCs w:val="21"/>
                    </w:rPr>
                    <w:t>加强固定源污染综合治理。深入开展锅炉综合整治，全面淘汰35蒸吨/小时以下燃煤锅炉，持续开展燃气锅炉低氮改造和建成区生物质锅炉超低排放改造或淘汰。城市建成区原则上不再新建每小时65蒸吨以下的燃煤锅炉，65蒸吨/小时及以上燃煤锅炉完成超低排放改造，主要污染物排放达到超低排放标准要求，安装大气污染源自动监控设备，并与省、市生态环境部门联网。</w:t>
                  </w:r>
                </w:p>
              </w:tc>
              <w:tc>
                <w:tcPr>
                  <w:tcW w:w="1614" w:type="pct"/>
                  <w:vAlign w:val="center"/>
                </w:tcPr>
                <w:p w14:paraId="1EAAFB54">
                  <w:pPr>
                    <w:widowControl/>
                    <w:adjustRightInd w:val="0"/>
                    <w:snapToGrid w:val="0"/>
                    <w:jc w:val="center"/>
                    <w:rPr>
                      <w:kern w:val="0"/>
                      <w:sz w:val="21"/>
                      <w:szCs w:val="21"/>
                    </w:rPr>
                  </w:pPr>
                  <w:r>
                    <w:rPr>
                      <w:rFonts w:hint="eastAsia"/>
                      <w:kern w:val="0"/>
                      <w:sz w:val="21"/>
                      <w:szCs w:val="21"/>
                    </w:rPr>
                    <w:t>本项目不使用燃煤锅炉</w:t>
                  </w:r>
                </w:p>
              </w:tc>
              <w:tc>
                <w:tcPr>
                  <w:tcW w:w="377" w:type="pct"/>
                  <w:vAlign w:val="center"/>
                </w:tcPr>
                <w:p w14:paraId="42E2BA87">
                  <w:pPr>
                    <w:widowControl/>
                    <w:adjustRightInd w:val="0"/>
                    <w:snapToGrid w:val="0"/>
                    <w:jc w:val="center"/>
                    <w:rPr>
                      <w:kern w:val="0"/>
                      <w:sz w:val="21"/>
                      <w:szCs w:val="21"/>
                    </w:rPr>
                  </w:pPr>
                  <w:r>
                    <w:rPr>
                      <w:rFonts w:hint="eastAsia"/>
                      <w:kern w:val="0"/>
                      <w:sz w:val="21"/>
                      <w:szCs w:val="21"/>
                    </w:rPr>
                    <w:t>相符</w:t>
                  </w:r>
                </w:p>
              </w:tc>
            </w:tr>
          </w:tbl>
          <w:p w14:paraId="3F88AFFA">
            <w:pPr>
              <w:adjustRightInd w:val="0"/>
              <w:snapToGrid w:val="0"/>
              <w:spacing w:line="440" w:lineRule="exact"/>
              <w:ind w:firstLine="482" w:firstLineChars="200"/>
              <w:rPr>
                <w:b/>
                <w:bCs/>
                <w:sz w:val="24"/>
              </w:rPr>
            </w:pPr>
            <w:r>
              <w:rPr>
                <w:rFonts w:hint="eastAsia"/>
                <w:b/>
                <w:bCs/>
                <w:sz w:val="24"/>
              </w:rPr>
              <w:t>3、与《安徽省淮河流域水污染防治条例》符合性分析</w:t>
            </w:r>
          </w:p>
          <w:p w14:paraId="6B68B19A">
            <w:pPr>
              <w:widowControl/>
              <w:numPr>
                <w:ilvl w:val="0"/>
                <w:numId w:val="2"/>
              </w:numPr>
              <w:jc w:val="center"/>
              <w:rPr>
                <w:b/>
                <w:kern w:val="0"/>
                <w:szCs w:val="21"/>
              </w:rPr>
            </w:pPr>
            <w:r>
              <w:rPr>
                <w:b/>
                <w:kern w:val="0"/>
                <w:szCs w:val="21"/>
              </w:rPr>
              <w:t xml:space="preserve"> </w:t>
            </w:r>
            <w:r>
              <w:rPr>
                <w:rFonts w:hint="eastAsia"/>
                <w:b/>
                <w:kern w:val="0"/>
                <w:szCs w:val="21"/>
              </w:rPr>
              <w:t>本项目</w:t>
            </w:r>
            <w:r>
              <w:rPr>
                <w:b/>
                <w:kern w:val="0"/>
                <w:szCs w:val="21"/>
              </w:rPr>
              <w:t>与</w:t>
            </w:r>
            <w:r>
              <w:rPr>
                <w:rFonts w:hint="eastAsia"/>
                <w:b/>
                <w:kern w:val="0"/>
                <w:szCs w:val="21"/>
              </w:rPr>
              <w:t>《安徽省淮河流域水污染防治条例》符合性分析</w:t>
            </w:r>
          </w:p>
          <w:tbl>
            <w:tblPr>
              <w:tblStyle w:val="2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
              <w:gridCol w:w="3860"/>
              <w:gridCol w:w="3311"/>
              <w:gridCol w:w="818"/>
            </w:tblGrid>
            <w:tr w14:paraId="502A8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 w:type="pct"/>
                  <w:vAlign w:val="center"/>
                </w:tcPr>
                <w:p w14:paraId="1E72E200">
                  <w:pPr>
                    <w:widowControl/>
                    <w:adjustRightInd w:val="0"/>
                    <w:snapToGrid w:val="0"/>
                    <w:jc w:val="center"/>
                    <w:rPr>
                      <w:b/>
                      <w:bCs/>
                      <w:kern w:val="0"/>
                      <w:szCs w:val="21"/>
                    </w:rPr>
                  </w:pPr>
                  <w:r>
                    <w:rPr>
                      <w:rFonts w:hint="eastAsia"/>
                      <w:b/>
                      <w:bCs/>
                      <w:kern w:val="0"/>
                      <w:szCs w:val="21"/>
                    </w:rPr>
                    <w:t>序号</w:t>
                  </w:r>
                </w:p>
              </w:tc>
              <w:tc>
                <w:tcPr>
                  <w:tcW w:w="2284" w:type="pct"/>
                  <w:vAlign w:val="center"/>
                </w:tcPr>
                <w:p w14:paraId="7E3BAF1C">
                  <w:pPr>
                    <w:widowControl/>
                    <w:adjustRightInd w:val="0"/>
                    <w:snapToGrid w:val="0"/>
                    <w:jc w:val="center"/>
                    <w:rPr>
                      <w:b/>
                      <w:bCs/>
                      <w:kern w:val="0"/>
                      <w:szCs w:val="21"/>
                    </w:rPr>
                  </w:pPr>
                  <w:r>
                    <w:rPr>
                      <w:rFonts w:hint="eastAsia"/>
                      <w:b/>
                      <w:bCs/>
                      <w:kern w:val="0"/>
                      <w:szCs w:val="21"/>
                    </w:rPr>
                    <w:t>条例要求</w:t>
                  </w:r>
                </w:p>
              </w:tc>
              <w:tc>
                <w:tcPr>
                  <w:tcW w:w="1959" w:type="pct"/>
                  <w:vAlign w:val="center"/>
                </w:tcPr>
                <w:p w14:paraId="57D6742A">
                  <w:pPr>
                    <w:widowControl/>
                    <w:adjustRightInd w:val="0"/>
                    <w:snapToGrid w:val="0"/>
                    <w:jc w:val="center"/>
                    <w:rPr>
                      <w:b/>
                      <w:bCs/>
                      <w:kern w:val="0"/>
                      <w:szCs w:val="21"/>
                    </w:rPr>
                  </w:pPr>
                  <w:r>
                    <w:rPr>
                      <w:rFonts w:hint="eastAsia"/>
                      <w:b/>
                      <w:bCs/>
                      <w:kern w:val="0"/>
                      <w:szCs w:val="21"/>
                    </w:rPr>
                    <w:t>本项目情况</w:t>
                  </w:r>
                </w:p>
              </w:tc>
              <w:tc>
                <w:tcPr>
                  <w:tcW w:w="484" w:type="pct"/>
                  <w:vAlign w:val="center"/>
                </w:tcPr>
                <w:p w14:paraId="3C8AA62B">
                  <w:pPr>
                    <w:widowControl/>
                    <w:adjustRightInd w:val="0"/>
                    <w:snapToGrid w:val="0"/>
                    <w:jc w:val="center"/>
                    <w:rPr>
                      <w:b/>
                      <w:bCs/>
                      <w:kern w:val="0"/>
                      <w:szCs w:val="21"/>
                    </w:rPr>
                  </w:pPr>
                  <w:r>
                    <w:rPr>
                      <w:rFonts w:hint="eastAsia"/>
                      <w:b/>
                      <w:bCs/>
                      <w:kern w:val="0"/>
                      <w:szCs w:val="21"/>
                    </w:rPr>
                    <w:t>是否相符</w:t>
                  </w:r>
                </w:p>
              </w:tc>
            </w:tr>
            <w:tr w14:paraId="0E87D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 w:type="pct"/>
                  <w:vAlign w:val="center"/>
                </w:tcPr>
                <w:p w14:paraId="37841590">
                  <w:pPr>
                    <w:widowControl/>
                    <w:adjustRightInd w:val="0"/>
                    <w:snapToGrid w:val="0"/>
                    <w:jc w:val="center"/>
                    <w:rPr>
                      <w:kern w:val="0"/>
                      <w:szCs w:val="21"/>
                    </w:rPr>
                  </w:pPr>
                  <w:r>
                    <w:rPr>
                      <w:rFonts w:hint="eastAsia"/>
                      <w:kern w:val="0"/>
                      <w:szCs w:val="21"/>
                    </w:rPr>
                    <w:t>1</w:t>
                  </w:r>
                </w:p>
              </w:tc>
              <w:tc>
                <w:tcPr>
                  <w:tcW w:w="2284" w:type="pct"/>
                  <w:vAlign w:val="center"/>
                </w:tcPr>
                <w:p w14:paraId="1880A4A0">
                  <w:pPr>
                    <w:widowControl/>
                    <w:adjustRightInd w:val="0"/>
                    <w:snapToGrid w:val="0"/>
                    <w:rPr>
                      <w:kern w:val="0"/>
                      <w:szCs w:val="21"/>
                    </w:rPr>
                  </w:pPr>
                  <w:r>
                    <w:rPr>
                      <w:rFonts w:hint="eastAsia"/>
                      <w:kern w:val="0"/>
                      <w:szCs w:val="21"/>
                    </w:rPr>
                    <w:t>禁止在淮河流域新建化学制浆造纸企业和印染、制革、化工、电镀、酿造等污染严重的小型企业。严格限制在淮河流域新建印染、制革、化工、电镀、酿造等大中型项目或者其他污染严重的项目；建设该类项目的，应当事前征得省人民政府生态环境行政主管部门的同意，并按照规定办理有关手续。</w:t>
                  </w:r>
                </w:p>
              </w:tc>
              <w:tc>
                <w:tcPr>
                  <w:tcW w:w="1959" w:type="pct"/>
                  <w:vAlign w:val="center"/>
                </w:tcPr>
                <w:p w14:paraId="655F83B5">
                  <w:pPr>
                    <w:widowControl/>
                    <w:adjustRightInd w:val="0"/>
                    <w:snapToGrid w:val="0"/>
                    <w:rPr>
                      <w:kern w:val="0"/>
                      <w:szCs w:val="21"/>
                    </w:rPr>
                  </w:pPr>
                  <w:r>
                    <w:rPr>
                      <w:rFonts w:hint="eastAsia"/>
                      <w:kern w:val="0"/>
                      <w:szCs w:val="21"/>
                    </w:rPr>
                    <w:t>本项目不属于化学制浆造纸企业和印染、制革、化工、电镀、酿造等禁止类和限制类企业。</w:t>
                  </w:r>
                </w:p>
              </w:tc>
              <w:tc>
                <w:tcPr>
                  <w:tcW w:w="484" w:type="pct"/>
                  <w:vAlign w:val="center"/>
                </w:tcPr>
                <w:p w14:paraId="62984386">
                  <w:pPr>
                    <w:widowControl/>
                    <w:adjustRightInd w:val="0"/>
                    <w:snapToGrid w:val="0"/>
                    <w:jc w:val="center"/>
                    <w:rPr>
                      <w:kern w:val="0"/>
                      <w:szCs w:val="21"/>
                    </w:rPr>
                  </w:pPr>
                  <w:r>
                    <w:rPr>
                      <w:rFonts w:hint="eastAsia"/>
                      <w:kern w:val="0"/>
                      <w:szCs w:val="21"/>
                    </w:rPr>
                    <w:t>符合</w:t>
                  </w:r>
                </w:p>
              </w:tc>
            </w:tr>
            <w:tr w14:paraId="70CBA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 w:type="pct"/>
                  <w:vAlign w:val="center"/>
                </w:tcPr>
                <w:p w14:paraId="29EBC3A7">
                  <w:pPr>
                    <w:widowControl/>
                    <w:adjustRightInd w:val="0"/>
                    <w:snapToGrid w:val="0"/>
                    <w:jc w:val="center"/>
                    <w:rPr>
                      <w:kern w:val="0"/>
                      <w:szCs w:val="21"/>
                    </w:rPr>
                  </w:pPr>
                  <w:r>
                    <w:rPr>
                      <w:rFonts w:hint="eastAsia"/>
                      <w:kern w:val="0"/>
                      <w:szCs w:val="21"/>
                    </w:rPr>
                    <w:t>2</w:t>
                  </w:r>
                </w:p>
              </w:tc>
              <w:tc>
                <w:tcPr>
                  <w:tcW w:w="2284" w:type="pct"/>
                  <w:vAlign w:val="center"/>
                </w:tcPr>
                <w:p w14:paraId="04CFFC42">
                  <w:pPr>
                    <w:widowControl/>
                    <w:adjustRightInd w:val="0"/>
                    <w:snapToGrid w:val="0"/>
                    <w:rPr>
                      <w:kern w:val="0"/>
                      <w:szCs w:val="21"/>
                    </w:rPr>
                  </w:pPr>
                  <w:r>
                    <w:rPr>
                      <w:rFonts w:hint="eastAsia"/>
                      <w:kern w:val="0"/>
                      <w:szCs w:val="21"/>
                    </w:rPr>
                    <w:t>(一)新建项目的选址应符合城市总体规划，避开饮用水水源地和对环境有特殊要求的功能区；(二)采用资源利用率高、污染物排放量少的先进设备和先进工艺。</w:t>
                  </w:r>
                </w:p>
              </w:tc>
              <w:tc>
                <w:tcPr>
                  <w:tcW w:w="1959" w:type="pct"/>
                  <w:vAlign w:val="center"/>
                </w:tcPr>
                <w:p w14:paraId="448D2FD0">
                  <w:pPr>
                    <w:widowControl/>
                    <w:adjustRightInd w:val="0"/>
                    <w:snapToGrid w:val="0"/>
                    <w:rPr>
                      <w:kern w:val="0"/>
                      <w:szCs w:val="21"/>
                    </w:rPr>
                  </w:pPr>
                  <w:r>
                    <w:rPr>
                      <w:rFonts w:hint="eastAsia"/>
                      <w:kern w:val="0"/>
                      <w:szCs w:val="21"/>
                    </w:rPr>
                    <w:t>项目符合园区规划要求，本项目不涉及饮用水水源地和对环境有特殊要求的功能区，项目采用资源利用率高、污染物排放量少的先进设备和先进工艺，确保各类污染物稳定达标排放。</w:t>
                  </w:r>
                </w:p>
              </w:tc>
              <w:tc>
                <w:tcPr>
                  <w:tcW w:w="484" w:type="pct"/>
                  <w:vAlign w:val="center"/>
                </w:tcPr>
                <w:p w14:paraId="0BE14BD4">
                  <w:pPr>
                    <w:widowControl/>
                    <w:adjustRightInd w:val="0"/>
                    <w:snapToGrid w:val="0"/>
                    <w:jc w:val="center"/>
                    <w:rPr>
                      <w:kern w:val="0"/>
                      <w:szCs w:val="21"/>
                    </w:rPr>
                  </w:pPr>
                  <w:r>
                    <w:rPr>
                      <w:rFonts w:hint="eastAsia"/>
                      <w:kern w:val="0"/>
                      <w:szCs w:val="21"/>
                    </w:rPr>
                    <w:t>符合</w:t>
                  </w:r>
                </w:p>
              </w:tc>
            </w:tr>
            <w:tr w14:paraId="0F5D0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1" w:type="pct"/>
                  <w:vAlign w:val="center"/>
                </w:tcPr>
                <w:p w14:paraId="63BDC0FD">
                  <w:pPr>
                    <w:widowControl/>
                    <w:adjustRightInd w:val="0"/>
                    <w:snapToGrid w:val="0"/>
                    <w:jc w:val="center"/>
                    <w:rPr>
                      <w:kern w:val="0"/>
                      <w:szCs w:val="21"/>
                    </w:rPr>
                  </w:pPr>
                  <w:r>
                    <w:rPr>
                      <w:rFonts w:hint="eastAsia"/>
                      <w:kern w:val="0"/>
                      <w:szCs w:val="21"/>
                    </w:rPr>
                    <w:t>3</w:t>
                  </w:r>
                </w:p>
              </w:tc>
              <w:tc>
                <w:tcPr>
                  <w:tcW w:w="2284" w:type="pct"/>
                  <w:vAlign w:val="center"/>
                </w:tcPr>
                <w:p w14:paraId="70F52A79">
                  <w:pPr>
                    <w:widowControl/>
                    <w:adjustRightInd w:val="0"/>
                    <w:snapToGrid w:val="0"/>
                    <w:rPr>
                      <w:kern w:val="0"/>
                      <w:szCs w:val="21"/>
                    </w:rPr>
                  </w:pPr>
                  <w:r>
                    <w:rPr>
                      <w:rFonts w:hint="eastAsia"/>
                      <w:kern w:val="0"/>
                      <w:szCs w:val="21"/>
                    </w:rPr>
                    <w:t>直接或者间接向水体排放污染物的，应当按照规定取得排污许可证；城镇污水集中处理设施的运营单位，也应当取得排污许可证。</w:t>
                  </w:r>
                </w:p>
              </w:tc>
              <w:tc>
                <w:tcPr>
                  <w:tcW w:w="1959" w:type="pct"/>
                  <w:vAlign w:val="center"/>
                </w:tcPr>
                <w:p w14:paraId="7A7384B6">
                  <w:pPr>
                    <w:widowControl/>
                    <w:adjustRightInd w:val="0"/>
                    <w:snapToGrid w:val="0"/>
                    <w:rPr>
                      <w:kern w:val="0"/>
                      <w:szCs w:val="21"/>
                    </w:rPr>
                  </w:pPr>
                  <w:r>
                    <w:rPr>
                      <w:rFonts w:hint="eastAsia"/>
                      <w:kern w:val="0"/>
                      <w:szCs w:val="21"/>
                    </w:rPr>
                    <w:t>建设单位在项目建成投运前依法申领排污许可登记。</w:t>
                  </w:r>
                </w:p>
              </w:tc>
              <w:tc>
                <w:tcPr>
                  <w:tcW w:w="484" w:type="pct"/>
                  <w:vAlign w:val="center"/>
                </w:tcPr>
                <w:p w14:paraId="784A5950">
                  <w:pPr>
                    <w:widowControl/>
                    <w:adjustRightInd w:val="0"/>
                    <w:snapToGrid w:val="0"/>
                    <w:jc w:val="center"/>
                    <w:rPr>
                      <w:kern w:val="0"/>
                      <w:szCs w:val="21"/>
                    </w:rPr>
                  </w:pPr>
                  <w:r>
                    <w:rPr>
                      <w:rFonts w:hint="eastAsia"/>
                      <w:kern w:val="0"/>
                      <w:szCs w:val="21"/>
                    </w:rPr>
                    <w:t>符合</w:t>
                  </w:r>
                </w:p>
              </w:tc>
            </w:tr>
          </w:tbl>
          <w:p w14:paraId="2EF1B013">
            <w:pPr>
              <w:spacing w:line="360" w:lineRule="auto"/>
              <w:ind w:firstLine="482" w:firstLineChars="200"/>
              <w:rPr>
                <w:b/>
                <w:bCs/>
                <w:sz w:val="24"/>
              </w:rPr>
            </w:pPr>
            <w:r>
              <w:rPr>
                <w:rFonts w:hint="eastAsia"/>
                <w:b/>
                <w:bCs/>
                <w:sz w:val="24"/>
              </w:rPr>
              <w:t>4、与《淮北市水污染防治工作方案》（淮政[2015]65号）符合性分析</w:t>
            </w:r>
          </w:p>
          <w:p w14:paraId="2388C0C8">
            <w:pPr>
              <w:widowControl/>
              <w:numPr>
                <w:ilvl w:val="0"/>
                <w:numId w:val="2"/>
              </w:numPr>
              <w:jc w:val="center"/>
              <w:rPr>
                <w:b/>
                <w:kern w:val="0"/>
                <w:szCs w:val="21"/>
              </w:rPr>
            </w:pPr>
            <w:r>
              <w:rPr>
                <w:b/>
                <w:kern w:val="0"/>
                <w:szCs w:val="21"/>
              </w:rPr>
              <w:t xml:space="preserve">  本项目与</w:t>
            </w:r>
            <w:r>
              <w:rPr>
                <w:rFonts w:hint="eastAsia"/>
                <w:b/>
                <w:kern w:val="0"/>
                <w:szCs w:val="21"/>
              </w:rPr>
              <w:t>《淮北市水污染防治工作方案》</w:t>
            </w:r>
            <w:r>
              <w:rPr>
                <w:b/>
                <w:kern w:val="0"/>
                <w:szCs w:val="21"/>
              </w:rPr>
              <w:t>的符合性分析</w:t>
            </w:r>
          </w:p>
          <w:tbl>
            <w:tblPr>
              <w:tblStyle w:val="2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
              <w:gridCol w:w="3321"/>
              <w:gridCol w:w="3845"/>
              <w:gridCol w:w="824"/>
            </w:tblGrid>
            <w:tr w14:paraId="39456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 w:type="pct"/>
                  <w:vAlign w:val="center"/>
                </w:tcPr>
                <w:p w14:paraId="5582954F">
                  <w:pPr>
                    <w:jc w:val="center"/>
                    <w:rPr>
                      <w:b/>
                      <w:bCs/>
                      <w:szCs w:val="21"/>
                    </w:rPr>
                  </w:pPr>
                  <w:r>
                    <w:rPr>
                      <w:rFonts w:hint="eastAsia"/>
                      <w:b/>
                      <w:bCs/>
                      <w:szCs w:val="21"/>
                    </w:rPr>
                    <w:t>序号</w:t>
                  </w:r>
                </w:p>
              </w:tc>
              <w:tc>
                <w:tcPr>
                  <w:tcW w:w="1965" w:type="pct"/>
                  <w:vAlign w:val="center"/>
                </w:tcPr>
                <w:p w14:paraId="412BAB89">
                  <w:pPr>
                    <w:jc w:val="center"/>
                    <w:rPr>
                      <w:b/>
                      <w:bCs/>
                      <w:szCs w:val="21"/>
                    </w:rPr>
                  </w:pPr>
                  <w:r>
                    <w:rPr>
                      <w:rFonts w:hint="eastAsia"/>
                      <w:b/>
                      <w:bCs/>
                      <w:szCs w:val="21"/>
                    </w:rPr>
                    <w:t>方案要求</w:t>
                  </w:r>
                </w:p>
              </w:tc>
              <w:tc>
                <w:tcPr>
                  <w:tcW w:w="2275" w:type="pct"/>
                  <w:vAlign w:val="center"/>
                </w:tcPr>
                <w:p w14:paraId="7A35B195">
                  <w:pPr>
                    <w:jc w:val="center"/>
                    <w:rPr>
                      <w:b/>
                      <w:bCs/>
                      <w:szCs w:val="21"/>
                    </w:rPr>
                  </w:pPr>
                  <w:r>
                    <w:rPr>
                      <w:rFonts w:hint="eastAsia"/>
                      <w:b/>
                      <w:bCs/>
                      <w:szCs w:val="21"/>
                    </w:rPr>
                    <w:t>本项目情况</w:t>
                  </w:r>
                </w:p>
              </w:tc>
              <w:tc>
                <w:tcPr>
                  <w:tcW w:w="487" w:type="pct"/>
                  <w:vAlign w:val="center"/>
                </w:tcPr>
                <w:p w14:paraId="1B4E8E26">
                  <w:pPr>
                    <w:jc w:val="center"/>
                    <w:rPr>
                      <w:b/>
                      <w:bCs/>
                      <w:szCs w:val="21"/>
                    </w:rPr>
                  </w:pPr>
                  <w:r>
                    <w:rPr>
                      <w:rFonts w:hint="eastAsia"/>
                      <w:b/>
                      <w:bCs/>
                      <w:szCs w:val="21"/>
                    </w:rPr>
                    <w:t>是否相符</w:t>
                  </w:r>
                </w:p>
              </w:tc>
            </w:tr>
            <w:tr w14:paraId="0E37F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 w:type="pct"/>
                  <w:vAlign w:val="center"/>
                </w:tcPr>
                <w:p w14:paraId="653D63B8">
                  <w:pPr>
                    <w:jc w:val="center"/>
                    <w:rPr>
                      <w:szCs w:val="21"/>
                    </w:rPr>
                  </w:pPr>
                  <w:r>
                    <w:rPr>
                      <w:rFonts w:hint="eastAsia"/>
                      <w:szCs w:val="21"/>
                    </w:rPr>
                    <w:t>1</w:t>
                  </w:r>
                </w:p>
              </w:tc>
              <w:tc>
                <w:tcPr>
                  <w:tcW w:w="1965" w:type="pct"/>
                  <w:vAlign w:val="center"/>
                </w:tcPr>
                <w:p w14:paraId="1252F9F9">
                  <w:pPr>
                    <w:jc w:val="left"/>
                    <w:rPr>
                      <w:szCs w:val="21"/>
                    </w:rPr>
                  </w:pPr>
                  <w:r>
                    <w:rPr>
                      <w:rFonts w:hint="eastAsia"/>
                      <w:szCs w:val="21"/>
                    </w:rPr>
                    <w:t>狠抓工业污染防治。10.严防“十小”企业死灰复燃；11.专项整治十大重点行业；12.集中治理工业聚集区水污染</w:t>
                  </w:r>
                </w:p>
              </w:tc>
              <w:tc>
                <w:tcPr>
                  <w:tcW w:w="2275" w:type="pct"/>
                  <w:vAlign w:val="center"/>
                </w:tcPr>
                <w:p w14:paraId="65E663D9">
                  <w:pPr>
                    <w:jc w:val="left"/>
                    <w:rPr>
                      <w:szCs w:val="21"/>
                    </w:rPr>
                  </w:pPr>
                  <w:r>
                    <w:rPr>
                      <w:rFonts w:hint="eastAsia"/>
                      <w:szCs w:val="21"/>
                    </w:rPr>
                    <w:t>项目</w:t>
                  </w:r>
                  <w:r>
                    <w:rPr>
                      <w:rFonts w:hint="eastAsia"/>
                      <w:lang w:eastAsia="zh-CN"/>
                    </w:rPr>
                    <w:t>生活污水经化粪池预处理，食堂餐饮废水经隔油池预处理，预处理后废水</w:t>
                  </w:r>
                  <w:r>
                    <w:rPr>
                      <w:rFonts w:hint="eastAsia"/>
                    </w:rPr>
                    <w:t>一同汇入厂区总排口后经市政污水管网进入</w:t>
                  </w:r>
                  <w:r>
                    <w:rPr>
                      <w:rFonts w:hint="eastAsia"/>
                      <w:bCs/>
                      <w:szCs w:val="21"/>
                    </w:rPr>
                    <w:t>淮北市龙湖工业园污水处理厂</w:t>
                  </w:r>
                  <w:r>
                    <w:rPr>
                      <w:rFonts w:hint="eastAsia"/>
                      <w:szCs w:val="21"/>
                    </w:rPr>
                    <w:t>，</w:t>
                  </w:r>
                  <w:r>
                    <w:rPr>
                      <w:szCs w:val="21"/>
                      <w:lang w:bidi="ar"/>
                    </w:rPr>
                    <w:t>处理达标后排入</w:t>
                  </w:r>
                  <w:r>
                    <w:rPr>
                      <w:rFonts w:hint="eastAsia"/>
                      <w:szCs w:val="21"/>
                      <w:lang w:bidi="ar"/>
                    </w:rPr>
                    <w:t>龙河</w:t>
                  </w:r>
                </w:p>
              </w:tc>
              <w:tc>
                <w:tcPr>
                  <w:tcW w:w="487" w:type="pct"/>
                  <w:vAlign w:val="center"/>
                </w:tcPr>
                <w:p w14:paraId="5B443BB1">
                  <w:pPr>
                    <w:jc w:val="center"/>
                    <w:rPr>
                      <w:szCs w:val="21"/>
                    </w:rPr>
                  </w:pPr>
                  <w:r>
                    <w:rPr>
                      <w:rFonts w:hint="eastAsia"/>
                      <w:szCs w:val="21"/>
                    </w:rPr>
                    <w:t>符合</w:t>
                  </w:r>
                </w:p>
              </w:tc>
            </w:tr>
          </w:tbl>
          <w:p w14:paraId="4B27CF7A">
            <w:pPr>
              <w:autoSpaceDE w:val="0"/>
              <w:autoSpaceDN w:val="0"/>
              <w:spacing w:line="360" w:lineRule="auto"/>
              <w:ind w:firstLine="482" w:firstLineChars="200"/>
              <w:rPr>
                <w:rFonts w:ascii="Times New Roman" w:hAnsi="Times New Roman" w:eastAsia="宋体" w:cs="Times New Roman"/>
                <w:sz w:val="24"/>
              </w:rPr>
            </w:pPr>
            <w:r>
              <w:rPr>
                <w:rFonts w:hint="eastAsia"/>
                <w:b/>
                <w:bCs/>
                <w:sz w:val="24"/>
              </w:rPr>
              <w:t>5、</w:t>
            </w:r>
            <w:r>
              <w:rPr>
                <w:rFonts w:ascii="Times New Roman" w:hAnsi="Times New Roman" w:eastAsia="宋体" w:cs="Times New Roman"/>
                <w:b/>
                <w:bCs/>
                <w:sz w:val="24"/>
              </w:rPr>
              <w:t>项目与</w:t>
            </w:r>
            <w:r>
              <w:rPr>
                <w:rFonts w:hint="eastAsia" w:ascii="Times New Roman" w:hAnsi="Times New Roman" w:eastAsia="宋体" w:cs="Times New Roman"/>
                <w:b/>
                <w:bCs/>
                <w:sz w:val="24"/>
              </w:rPr>
              <w:t>《安徽省人民政府关于印发安徽省空气质量持续改善行动方案的通知》</w:t>
            </w:r>
            <w:r>
              <w:rPr>
                <w:rFonts w:ascii="Times New Roman" w:hAnsi="Times New Roman" w:eastAsia="宋体" w:cs="Times New Roman"/>
                <w:b/>
                <w:bCs/>
                <w:sz w:val="24"/>
              </w:rPr>
              <w:t>符合性分析</w:t>
            </w:r>
          </w:p>
          <w:p w14:paraId="1999F5FB">
            <w:pPr>
              <w:widowControl/>
              <w:numPr>
                <w:ilvl w:val="0"/>
                <w:numId w:val="2"/>
              </w:numPr>
              <w:jc w:val="center"/>
              <w:rPr>
                <w:rFonts w:ascii="Times New Roman" w:hAnsi="Times New Roman" w:eastAsia="宋体" w:cs="Times New Roman"/>
                <w:sz w:val="21"/>
                <w:szCs w:val="21"/>
              </w:rPr>
            </w:pPr>
            <w:r>
              <w:rPr>
                <w:rFonts w:hint="eastAsia" w:ascii="Times New Roman" w:hAnsi="Times New Roman" w:eastAsia="宋体" w:cs="Times New Roman"/>
                <w:b/>
                <w:bCs/>
                <w:sz w:val="21"/>
                <w:szCs w:val="21"/>
              </w:rPr>
              <w:t>项目与《安徽省人民政府关于印发安徽省空气质量持续改善行动方案的通知》符合性分析一览表</w:t>
            </w:r>
          </w:p>
          <w:tbl>
            <w:tblPr>
              <w:tblStyle w:val="2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22"/>
              <w:gridCol w:w="2483"/>
              <w:gridCol w:w="843"/>
            </w:tblGrid>
            <w:tr w14:paraId="3ED2F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1" w:type="pct"/>
                  <w:vAlign w:val="center"/>
                </w:tcPr>
                <w:p w14:paraId="7FAF5354">
                  <w:pPr>
                    <w:autoSpaceDE w:val="0"/>
                    <w:autoSpaceDN w:val="0"/>
                    <w:spacing w:line="240" w:lineRule="auto"/>
                    <w:jc w:val="center"/>
                    <w:rPr>
                      <w:rFonts w:ascii="Times New Roman" w:hAnsi="Times New Roman" w:eastAsia="宋体" w:cs="Times New Roman"/>
                      <w:sz w:val="21"/>
                      <w:szCs w:val="21"/>
                    </w:rPr>
                  </w:pPr>
                  <w:r>
                    <w:rPr>
                      <w:rFonts w:ascii="Times New Roman" w:hAnsi="Times New Roman" w:eastAsia="宋体" w:cs="Times New Roman"/>
                      <w:b/>
                      <w:bCs/>
                      <w:sz w:val="21"/>
                      <w:szCs w:val="21"/>
                    </w:rPr>
                    <w:t>《</w:t>
                  </w:r>
                  <w:r>
                    <w:rPr>
                      <w:rFonts w:hint="eastAsia" w:ascii="Times New Roman" w:hAnsi="Times New Roman" w:eastAsia="宋体" w:cs="Times New Roman"/>
                      <w:b/>
                      <w:bCs/>
                      <w:sz w:val="21"/>
                      <w:szCs w:val="21"/>
                    </w:rPr>
                    <w:t>安徽省空气质量持续改善行动方案的通知</w:t>
                  </w:r>
                  <w:r>
                    <w:rPr>
                      <w:rFonts w:ascii="Times New Roman" w:hAnsi="Times New Roman" w:eastAsia="宋体" w:cs="Times New Roman"/>
                      <w:b/>
                      <w:bCs/>
                      <w:sz w:val="21"/>
                      <w:szCs w:val="21"/>
                    </w:rPr>
                    <w:t>》</w:t>
                  </w:r>
                  <w:r>
                    <w:rPr>
                      <w:rFonts w:hint="eastAsia" w:ascii="Times New Roman" w:hAnsi="Times New Roman" w:eastAsia="宋体" w:cs="Times New Roman"/>
                      <w:b/>
                      <w:bCs/>
                      <w:sz w:val="21"/>
                      <w:szCs w:val="21"/>
                    </w:rPr>
                    <w:t>相关要求</w:t>
                  </w:r>
                </w:p>
              </w:tc>
              <w:tc>
                <w:tcPr>
                  <w:tcW w:w="1469" w:type="pct"/>
                  <w:vAlign w:val="center"/>
                </w:tcPr>
                <w:p w14:paraId="1D417E9C">
                  <w:pPr>
                    <w:autoSpaceDE w:val="0"/>
                    <w:autoSpaceDN w:val="0"/>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b/>
                      <w:bCs/>
                      <w:sz w:val="21"/>
                      <w:szCs w:val="21"/>
                    </w:rPr>
                    <w:t>本项目情况</w:t>
                  </w:r>
                </w:p>
              </w:tc>
              <w:tc>
                <w:tcPr>
                  <w:tcW w:w="499" w:type="pct"/>
                  <w:vAlign w:val="center"/>
                </w:tcPr>
                <w:p w14:paraId="4AF0D868">
                  <w:pPr>
                    <w:autoSpaceDE w:val="0"/>
                    <w:autoSpaceDN w:val="0"/>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b/>
                      <w:bCs/>
                      <w:sz w:val="21"/>
                      <w:szCs w:val="21"/>
                    </w:rPr>
                    <w:t>是否相符</w:t>
                  </w:r>
                </w:p>
              </w:tc>
            </w:tr>
            <w:tr w14:paraId="1BB0F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8" w:hRule="atLeast"/>
              </w:trPr>
              <w:tc>
                <w:tcPr>
                  <w:tcW w:w="3031" w:type="pct"/>
                  <w:vAlign w:val="center"/>
                </w:tcPr>
                <w:p w14:paraId="7A199915">
                  <w:pPr>
                    <w:autoSpaceDE w:val="0"/>
                    <w:autoSpaceDN w:val="0"/>
                    <w:spacing w:line="240" w:lineRule="auto"/>
                    <w:jc w:val="left"/>
                    <w:rPr>
                      <w:rFonts w:ascii="Times New Roman" w:hAnsi="Times New Roman" w:eastAsia="宋体" w:cs="Times New Roman"/>
                      <w:sz w:val="21"/>
                      <w:szCs w:val="21"/>
                    </w:rPr>
                  </w:pPr>
                  <w:r>
                    <w:rPr>
                      <w:rFonts w:hint="eastAsia" w:ascii="Times New Roman" w:hAnsi="Times New Roman" w:eastAsia="宋体" w:cs="Times New Roman"/>
                      <w:sz w:val="21"/>
                      <w:szCs w:val="21"/>
                    </w:rPr>
                    <w:t>二、优化调整产业结构布局</w:t>
                  </w:r>
                </w:p>
                <w:p w14:paraId="1D79604D">
                  <w:pPr>
                    <w:autoSpaceDE w:val="0"/>
                    <w:autoSpaceDN w:val="0"/>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三）坚决遏制高耗能、高排放、低水平项目盲目上马。新改扩建项目严格落实国家产业规划、产业政策、生态环境分区管控方案、规划环评、项目环评、节能审查、产能置换、重点污染物总量控制、污染物排放区域削减、碳排放达峰目标等相关要求，原则上采用清洁运输方式。实施“高污染、高耗能”项目部门联审，源头管控低水平项目上马。制定实施安徽省加强生态环境分区管控方案。严格落实产能置换要求，不以任何名义、任何方式核准、备案产能严重过剩行业新增产能项目，被置换产能及其配套设施关停后，新建项目方可投产。</w:t>
                  </w:r>
                </w:p>
                <w:p w14:paraId="79A3ED79">
                  <w:pPr>
                    <w:autoSpaceDE w:val="0"/>
                    <w:autoSpaceDN w:val="0"/>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四）有序推动落后产能淘汰。严格执行《产业结构调整指导目录》。综合运用能耗、环保、质量、安全、技术等要求，依法依规推动落后产能退出，逐步退出限制类涉气行业工艺和装备。有序推动生产设施老旧、工艺水平落后、环境管理水平低下的独立焦化、烧结、球团、热轧企业和落后煤炭洗选企业退出市场。逐步淘汰步进式烧结机和球团竖炉以及半封闭式硅锰合金、镍铁、高碳铬铁、高碳锰铁电炉。严禁违规新增钢铁、水泥（熟料）、焦化、电解铝、平板玻璃（不含光伏压延玻璃）产能。鼓励钢铁行业龙头企业实施兼并重组，到2025年，短流程炼钢产量占比达15%。</w:t>
                  </w:r>
                </w:p>
              </w:tc>
              <w:tc>
                <w:tcPr>
                  <w:tcW w:w="1469" w:type="pct"/>
                  <w:vAlign w:val="center"/>
                </w:tcPr>
                <w:p w14:paraId="65EF1A10">
                  <w:pPr>
                    <w:autoSpaceDE w:val="0"/>
                    <w:autoSpaceDN w:val="0"/>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拟建项目属于</w:t>
                  </w:r>
                  <w:r>
                    <w:rPr>
                      <w:rFonts w:hint="eastAsia"/>
                      <w:bCs/>
                      <w:szCs w:val="21"/>
                      <w:lang w:eastAsia="zh-CN"/>
                    </w:rPr>
                    <w:t>锅炉及辅助设备制造</w:t>
                  </w:r>
                  <w:r>
                    <w:rPr>
                      <w:rFonts w:hint="eastAsia" w:ascii="Times New Roman" w:hAnsi="Times New Roman" w:eastAsia="宋体" w:cs="Times New Roman"/>
                      <w:sz w:val="21"/>
                      <w:szCs w:val="21"/>
                    </w:rPr>
                    <w:t>项目，不属于高耗能、高排放、低水平项目；主要原材料为</w:t>
                  </w:r>
                  <w:r>
                    <w:rPr>
                      <w:rFonts w:hint="eastAsia" w:ascii="Times New Roman" w:hAnsi="Times New Roman" w:eastAsia="宋体" w:cs="Times New Roman"/>
                      <w:sz w:val="21"/>
                      <w:szCs w:val="21"/>
                      <w:lang w:eastAsia="zh-CN"/>
                    </w:rPr>
                    <w:t>钢材</w:t>
                  </w:r>
                  <w:r>
                    <w:rPr>
                      <w:rFonts w:hint="eastAsia" w:ascii="Times New Roman" w:hAnsi="Times New Roman" w:eastAsia="宋体" w:cs="Times New Roman"/>
                      <w:sz w:val="21"/>
                      <w:szCs w:val="21"/>
                    </w:rPr>
                    <w:t>，不属于新增钢铁、水泥（熟料）、焦化、电解铝、平板玻璃（不含光伏压延玻璃）产能的项目；</w:t>
                  </w:r>
                  <w:r>
                    <w:rPr>
                      <w:rFonts w:hint="eastAsia" w:ascii="Times New Roman" w:hAnsi="Times New Roman" w:eastAsia="宋体" w:cs="Times New Roman"/>
                      <w:sz w:val="21"/>
                      <w:szCs w:val="21"/>
                      <w:lang w:eastAsia="zh-CN"/>
                    </w:rPr>
                    <w:t>本项目产品主要应用于火力发电厂的物料输送过程，</w:t>
                  </w:r>
                  <w:r>
                    <w:rPr>
                      <w:rFonts w:hint="eastAsia" w:ascii="Times New Roman" w:hAnsi="Times New Roman" w:eastAsia="宋体" w:cs="Times New Roman"/>
                      <w:sz w:val="21"/>
                      <w:szCs w:val="21"/>
                    </w:rPr>
                    <w:t>根据《产业结构调整指导目录》（2024年本），本项目不属于其中限制类及淘汰类，为允许建设类，且项目的主要生产设备和产品均不属于目录中限制类和淘汰类项目。</w:t>
                  </w:r>
                </w:p>
              </w:tc>
              <w:tc>
                <w:tcPr>
                  <w:tcW w:w="499" w:type="pct"/>
                  <w:vAlign w:val="center"/>
                </w:tcPr>
                <w:p w14:paraId="7EB0FF76">
                  <w:pPr>
                    <w:autoSpaceDE w:val="0"/>
                    <w:autoSpaceDN w:val="0"/>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相符</w:t>
                  </w:r>
                </w:p>
              </w:tc>
            </w:tr>
            <w:tr w14:paraId="2AEFB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1" w:type="pct"/>
                  <w:vAlign w:val="center"/>
                </w:tcPr>
                <w:p w14:paraId="1B9444E7">
                  <w:pPr>
                    <w:autoSpaceDE w:val="0"/>
                    <w:autoSpaceDN w:val="0"/>
                    <w:spacing w:line="240" w:lineRule="auto"/>
                    <w:jc w:val="left"/>
                    <w:rPr>
                      <w:rFonts w:ascii="Times New Roman" w:hAnsi="Times New Roman" w:eastAsia="宋体" w:cs="Times New Roman"/>
                      <w:sz w:val="21"/>
                      <w:szCs w:val="21"/>
                    </w:rPr>
                  </w:pPr>
                  <w:r>
                    <w:rPr>
                      <w:rFonts w:hint="eastAsia" w:ascii="Times New Roman" w:hAnsi="Times New Roman" w:eastAsia="宋体" w:cs="Times New Roman"/>
                      <w:sz w:val="21"/>
                      <w:szCs w:val="21"/>
                    </w:rPr>
                    <w:t>三、加快能源结构绿色低碳转型</w:t>
                  </w:r>
                </w:p>
                <w:p w14:paraId="02896E4C">
                  <w:pPr>
                    <w:autoSpaceDE w:val="0"/>
                    <w:autoSpaceDN w:val="0"/>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十）推动工业炉窑清洁能源替代。有序推进工业领域电能替代，提高电气化水平，推动大用户直供气，降低供气成本。重点区域不再新增燃料类煤气发生炉，新改扩建加热炉、热处理炉、干燥炉、熔化炉原则上采用清洁低碳能源。燃料类煤气发生炉实施清洁能源替代，或因地制宜采取园区（集群）集中供气、分散使用方式。逐步淘汰固定床间歇式煤气发生炉，鼓励现有煤气发生炉“小改大”。安全稳妥推进使用高污染燃料的工业炉窑改用工业余热、电能、天然气等，推动石油焦、重油等高污染燃料逐步替代。</w:t>
                  </w:r>
                </w:p>
              </w:tc>
              <w:tc>
                <w:tcPr>
                  <w:tcW w:w="1469" w:type="pct"/>
                  <w:vAlign w:val="center"/>
                </w:tcPr>
                <w:p w14:paraId="7AC51B66">
                  <w:pPr>
                    <w:autoSpaceDE w:val="0"/>
                    <w:autoSpaceDN w:val="0"/>
                    <w:spacing w:line="240" w:lineRule="auto"/>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本项目不涉及工业炉窑</w:t>
                  </w:r>
                </w:p>
              </w:tc>
              <w:tc>
                <w:tcPr>
                  <w:tcW w:w="499" w:type="pct"/>
                  <w:vAlign w:val="center"/>
                </w:tcPr>
                <w:p w14:paraId="447AD4AC">
                  <w:pPr>
                    <w:autoSpaceDE w:val="0"/>
                    <w:autoSpaceDN w:val="0"/>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相符</w:t>
                  </w:r>
                </w:p>
              </w:tc>
            </w:tr>
          </w:tbl>
          <w:p w14:paraId="65D405BC">
            <w:pPr>
              <w:autoSpaceDE w:val="0"/>
              <w:autoSpaceDN w:val="0"/>
              <w:spacing w:line="360" w:lineRule="auto"/>
              <w:ind w:firstLine="482" w:firstLineChars="200"/>
              <w:rPr>
                <w:rFonts w:ascii="Times New Roman" w:hAnsi="Times New Roman" w:eastAsia="宋体" w:cs="Times New Roman"/>
                <w:sz w:val="24"/>
              </w:rPr>
            </w:pPr>
            <w:r>
              <w:rPr>
                <w:rFonts w:hint="eastAsia"/>
                <w:b/>
                <w:bCs/>
                <w:sz w:val="24"/>
              </w:rPr>
              <w:t>6、</w:t>
            </w:r>
            <w:r>
              <w:rPr>
                <w:rFonts w:ascii="Times New Roman" w:hAnsi="Times New Roman" w:eastAsia="宋体" w:cs="Times New Roman"/>
                <w:b/>
                <w:bCs/>
                <w:sz w:val="24"/>
              </w:rPr>
              <w:t>与《安徽省大气办关于深入开展挥发性有机物污染治理工作的通知》（皖大气办[2021]4号）</w:t>
            </w:r>
            <w:r>
              <w:rPr>
                <w:rFonts w:hint="eastAsia" w:ascii="Times New Roman" w:hAnsi="Times New Roman" w:eastAsia="宋体" w:cs="Times New Roman"/>
                <w:b/>
                <w:bCs/>
                <w:sz w:val="24"/>
              </w:rPr>
              <w:t>符合</w:t>
            </w:r>
            <w:r>
              <w:rPr>
                <w:rFonts w:ascii="Times New Roman" w:hAnsi="Times New Roman" w:eastAsia="宋体" w:cs="Times New Roman"/>
                <w:b/>
                <w:bCs/>
                <w:sz w:val="24"/>
              </w:rPr>
              <w:t>性分析</w:t>
            </w:r>
          </w:p>
          <w:p w14:paraId="5BF13A63">
            <w:pPr>
              <w:widowControl/>
              <w:numPr>
                <w:ilvl w:val="0"/>
                <w:numId w:val="2"/>
              </w:numPr>
              <w:jc w:val="center"/>
              <w:rPr>
                <w:rFonts w:ascii="Times New Roman" w:hAnsi="Times New Roman" w:eastAsia="宋体" w:cs="Times New Roman"/>
                <w:sz w:val="21"/>
                <w:szCs w:val="21"/>
              </w:rPr>
            </w:pPr>
            <w:r>
              <w:rPr>
                <w:rFonts w:hint="eastAsia" w:ascii="Times New Roman" w:hAnsi="Times New Roman" w:eastAsia="宋体" w:cs="Times New Roman"/>
                <w:b/>
                <w:bCs/>
                <w:sz w:val="21"/>
                <w:szCs w:val="21"/>
              </w:rPr>
              <w:t>项目与</w:t>
            </w:r>
            <w:r>
              <w:rPr>
                <w:rFonts w:ascii="Times New Roman" w:hAnsi="Times New Roman" w:eastAsia="宋体" w:cs="Times New Roman"/>
                <w:b/>
                <w:bCs/>
                <w:sz w:val="21"/>
                <w:szCs w:val="21"/>
              </w:rPr>
              <w:t>《安徽省大气办关于深入开展挥发性有机物污染治理工作的通知》</w:t>
            </w:r>
            <w:r>
              <w:rPr>
                <w:rFonts w:hint="eastAsia" w:ascii="Times New Roman" w:hAnsi="Times New Roman" w:eastAsia="宋体" w:cs="Times New Roman"/>
                <w:b/>
                <w:bCs/>
                <w:sz w:val="21"/>
                <w:szCs w:val="21"/>
              </w:rPr>
              <w:t>符合</w:t>
            </w:r>
            <w:r>
              <w:rPr>
                <w:rFonts w:ascii="Times New Roman" w:hAnsi="Times New Roman" w:eastAsia="宋体" w:cs="Times New Roman"/>
                <w:b/>
                <w:bCs/>
                <w:sz w:val="21"/>
                <w:szCs w:val="21"/>
              </w:rPr>
              <w:t>性分析</w:t>
            </w:r>
            <w:r>
              <w:rPr>
                <w:rFonts w:hint="eastAsia" w:ascii="Times New Roman" w:hAnsi="Times New Roman" w:eastAsia="宋体" w:cs="Times New Roman"/>
                <w:b/>
                <w:bCs/>
                <w:sz w:val="21"/>
                <w:szCs w:val="21"/>
              </w:rPr>
              <w:t>一览表</w:t>
            </w:r>
          </w:p>
          <w:tbl>
            <w:tblPr>
              <w:tblStyle w:val="2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04"/>
              <w:gridCol w:w="4206"/>
              <w:gridCol w:w="837"/>
            </w:tblGrid>
            <w:tr w14:paraId="456A5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4" w:type="pct"/>
                  <w:vAlign w:val="center"/>
                </w:tcPr>
                <w:p w14:paraId="592090D5">
                  <w:pPr>
                    <w:autoSpaceDE w:val="0"/>
                    <w:autoSpaceDN w:val="0"/>
                    <w:spacing w:line="240" w:lineRule="auto"/>
                    <w:jc w:val="center"/>
                    <w:rPr>
                      <w:rFonts w:ascii="Times New Roman" w:hAnsi="Times New Roman" w:eastAsia="宋体" w:cs="Times New Roman"/>
                      <w:sz w:val="21"/>
                      <w:szCs w:val="21"/>
                    </w:rPr>
                  </w:pPr>
                  <w:r>
                    <w:rPr>
                      <w:rFonts w:ascii="Times New Roman" w:hAnsi="Times New Roman" w:eastAsia="宋体" w:cs="Times New Roman"/>
                      <w:b/>
                      <w:bCs/>
                      <w:sz w:val="21"/>
                      <w:szCs w:val="21"/>
                    </w:rPr>
                    <w:t>《安徽省大气办关于深入开展挥发性有机物污染治理工作的通知》</w:t>
                  </w:r>
                  <w:r>
                    <w:rPr>
                      <w:rFonts w:hint="eastAsia" w:ascii="Times New Roman" w:hAnsi="Times New Roman" w:eastAsia="宋体" w:cs="Times New Roman"/>
                      <w:b/>
                      <w:bCs/>
                      <w:sz w:val="21"/>
                      <w:szCs w:val="21"/>
                    </w:rPr>
                    <w:t>相关要求</w:t>
                  </w:r>
                </w:p>
              </w:tc>
              <w:tc>
                <w:tcPr>
                  <w:tcW w:w="2489" w:type="pct"/>
                  <w:vAlign w:val="center"/>
                </w:tcPr>
                <w:p w14:paraId="2BA124A5">
                  <w:pPr>
                    <w:autoSpaceDE w:val="0"/>
                    <w:autoSpaceDN w:val="0"/>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b/>
                      <w:bCs/>
                      <w:sz w:val="21"/>
                      <w:szCs w:val="21"/>
                    </w:rPr>
                    <w:t>本项目情况</w:t>
                  </w:r>
                </w:p>
              </w:tc>
              <w:tc>
                <w:tcPr>
                  <w:tcW w:w="495" w:type="pct"/>
                  <w:vAlign w:val="center"/>
                </w:tcPr>
                <w:p w14:paraId="0C33D21E">
                  <w:pPr>
                    <w:autoSpaceDE w:val="0"/>
                    <w:autoSpaceDN w:val="0"/>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b/>
                      <w:bCs/>
                      <w:sz w:val="21"/>
                      <w:szCs w:val="21"/>
                    </w:rPr>
                    <w:t>是否相符</w:t>
                  </w:r>
                </w:p>
              </w:tc>
            </w:tr>
            <w:tr w14:paraId="03480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4" w:type="pct"/>
                  <w:vAlign w:val="center"/>
                </w:tcPr>
                <w:p w14:paraId="76C3F8B1">
                  <w:pPr>
                    <w:autoSpaceDE w:val="0"/>
                    <w:autoSpaceDN w:val="0"/>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kern w:val="0"/>
                      <w:sz w:val="21"/>
                      <w:szCs w:val="21"/>
                    </w:rPr>
                    <w:t>7月1日前各地指导企业建立管理台账，记录VOCs原辅材料的产品名称、VOCs含量和使用量等</w:t>
                  </w:r>
                </w:p>
              </w:tc>
              <w:tc>
                <w:tcPr>
                  <w:tcW w:w="2489" w:type="pct"/>
                  <w:vAlign w:val="center"/>
                </w:tcPr>
                <w:p w14:paraId="21DA53C7">
                  <w:pPr>
                    <w:autoSpaceDE w:val="0"/>
                    <w:autoSpaceDN w:val="0"/>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kern w:val="0"/>
                      <w:sz w:val="21"/>
                      <w:szCs w:val="21"/>
                    </w:rPr>
                    <w:t>本项目将严格按照通知要求建立健全管理台账</w:t>
                  </w:r>
                </w:p>
              </w:tc>
              <w:tc>
                <w:tcPr>
                  <w:tcW w:w="495" w:type="pct"/>
                  <w:vAlign w:val="center"/>
                </w:tcPr>
                <w:p w14:paraId="0E79454A">
                  <w:pPr>
                    <w:autoSpaceDE w:val="0"/>
                    <w:autoSpaceDN w:val="0"/>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相符</w:t>
                  </w:r>
                </w:p>
              </w:tc>
            </w:tr>
            <w:tr w14:paraId="6300E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4" w:type="pct"/>
                  <w:vAlign w:val="center"/>
                </w:tcPr>
                <w:p w14:paraId="282A96E3">
                  <w:pPr>
                    <w:autoSpaceDE w:val="0"/>
                    <w:autoSpaceDN w:val="0"/>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kern w:val="0"/>
                      <w:sz w:val="21"/>
                      <w:szCs w:val="21"/>
                    </w:rPr>
                    <w:t>不断规范涉VOCs工业企业的排污许可登记管理，落实企业VOCs源头削减、过程控制和末端治理工作，推进企业自行监测、台账落实和定期报告的具体规定落地</w:t>
                  </w:r>
                </w:p>
              </w:tc>
              <w:tc>
                <w:tcPr>
                  <w:tcW w:w="2489" w:type="pct"/>
                  <w:vAlign w:val="center"/>
                </w:tcPr>
                <w:p w14:paraId="15E4160C">
                  <w:pPr>
                    <w:autoSpaceDE w:val="0"/>
                    <w:autoSpaceDN w:val="0"/>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kern w:val="0"/>
                      <w:sz w:val="21"/>
                      <w:szCs w:val="21"/>
                    </w:rPr>
                    <w:t>本项目排污许可实行</w:t>
                  </w:r>
                  <w:r>
                    <w:rPr>
                      <w:rFonts w:hint="eastAsia" w:ascii="Times New Roman" w:hAnsi="Times New Roman" w:eastAsia="宋体" w:cs="Times New Roman"/>
                      <w:kern w:val="0"/>
                      <w:sz w:val="21"/>
                      <w:szCs w:val="21"/>
                      <w:lang w:eastAsia="zh-CN"/>
                    </w:rPr>
                    <w:t>登记</w:t>
                  </w:r>
                  <w:r>
                    <w:rPr>
                      <w:rFonts w:hint="eastAsia" w:ascii="Times New Roman" w:hAnsi="Times New Roman" w:eastAsia="宋体" w:cs="Times New Roman"/>
                      <w:kern w:val="0"/>
                      <w:sz w:val="21"/>
                      <w:szCs w:val="21"/>
                    </w:rPr>
                    <w:t>管理；喷漆废气经喷漆房密闭收集引至一套“过滤棉+两级活性炭”装置处理后经</w:t>
                  </w:r>
                  <w:r>
                    <w:rPr>
                      <w:rFonts w:hint="eastAsia" w:cs="Times New Roman"/>
                      <w:kern w:val="0"/>
                      <w:sz w:val="21"/>
                      <w:szCs w:val="21"/>
                      <w:lang w:eastAsia="zh-CN"/>
                    </w:rPr>
                    <w:t>15m高</w:t>
                  </w:r>
                  <w:r>
                    <w:rPr>
                      <w:rFonts w:hint="eastAsia" w:ascii="Times New Roman" w:hAnsi="Times New Roman" w:eastAsia="宋体" w:cs="Times New Roman"/>
                      <w:kern w:val="0"/>
                      <w:sz w:val="21"/>
                      <w:szCs w:val="21"/>
                    </w:rPr>
                    <w:t>排气筒（DA001）排放；项目制定自行监测计划及管理台账</w:t>
                  </w:r>
                </w:p>
              </w:tc>
              <w:tc>
                <w:tcPr>
                  <w:tcW w:w="495" w:type="pct"/>
                  <w:vAlign w:val="center"/>
                </w:tcPr>
                <w:p w14:paraId="29DF836C">
                  <w:pPr>
                    <w:autoSpaceDE w:val="0"/>
                    <w:autoSpaceDN w:val="0"/>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相符</w:t>
                  </w:r>
                </w:p>
              </w:tc>
            </w:tr>
          </w:tbl>
          <w:p w14:paraId="467AB1D1">
            <w:pPr>
              <w:autoSpaceDE w:val="0"/>
              <w:autoSpaceDN w:val="0"/>
              <w:spacing w:line="360" w:lineRule="auto"/>
              <w:ind w:firstLine="482" w:firstLineChars="200"/>
              <w:rPr>
                <w:rFonts w:ascii="Times New Roman" w:hAnsi="Times New Roman" w:eastAsia="宋体" w:cs="Times New Roman"/>
                <w:sz w:val="24"/>
              </w:rPr>
            </w:pPr>
            <w:r>
              <w:rPr>
                <w:rFonts w:hint="eastAsia"/>
                <w:b/>
                <w:bCs/>
                <w:sz w:val="24"/>
                <w:szCs w:val="24"/>
                <w:lang w:val="en-US" w:eastAsia="zh-CN"/>
              </w:rPr>
              <w:t>7、</w:t>
            </w:r>
            <w:r>
              <w:rPr>
                <w:rFonts w:ascii="Times New Roman" w:hAnsi="Times New Roman" w:eastAsia="宋体" w:cs="Times New Roman"/>
                <w:b/>
                <w:bCs/>
                <w:sz w:val="24"/>
                <w:szCs w:val="24"/>
              </w:rPr>
              <w:t>与</w:t>
            </w:r>
            <w:r>
              <w:rPr>
                <w:rFonts w:hint="eastAsia" w:ascii="Times New Roman" w:hAnsi="Times New Roman" w:eastAsia="宋体" w:cs="Times New Roman"/>
                <w:b/>
                <w:bCs/>
                <w:sz w:val="24"/>
                <w:szCs w:val="24"/>
              </w:rPr>
              <w:t>《重点行业挥发性有机物综合治理方案》</w:t>
            </w:r>
            <w:r>
              <w:rPr>
                <w:rFonts w:ascii="Times New Roman" w:hAnsi="Times New Roman" w:eastAsia="宋体" w:cs="Times New Roman"/>
                <w:b/>
                <w:bCs/>
                <w:sz w:val="24"/>
                <w:szCs w:val="24"/>
              </w:rPr>
              <w:t>符合性分析</w:t>
            </w:r>
          </w:p>
          <w:p w14:paraId="4D7992D8">
            <w:pPr>
              <w:widowControl/>
              <w:numPr>
                <w:ilvl w:val="0"/>
                <w:numId w:val="2"/>
              </w:numPr>
              <w:jc w:val="center"/>
              <w:rPr>
                <w:rFonts w:ascii="Times New Roman" w:hAnsi="Times New Roman" w:eastAsia="宋体" w:cs="Times New Roman"/>
                <w:sz w:val="21"/>
                <w:szCs w:val="21"/>
              </w:rPr>
            </w:pPr>
            <w:r>
              <w:rPr>
                <w:rFonts w:hint="eastAsia" w:ascii="Times New Roman" w:hAnsi="Times New Roman" w:eastAsia="宋体" w:cs="Times New Roman"/>
                <w:b/>
                <w:bCs/>
                <w:sz w:val="21"/>
                <w:szCs w:val="21"/>
              </w:rPr>
              <w:t>项目与《重点行业挥发性有机物综合治理方案》</w:t>
            </w:r>
            <w:r>
              <w:rPr>
                <w:rFonts w:ascii="Times New Roman" w:hAnsi="Times New Roman" w:eastAsia="宋体" w:cs="Times New Roman"/>
                <w:b/>
                <w:bCs/>
                <w:sz w:val="21"/>
                <w:szCs w:val="21"/>
              </w:rPr>
              <w:t>符合性分析</w:t>
            </w:r>
            <w:r>
              <w:rPr>
                <w:rFonts w:hint="eastAsia" w:ascii="Times New Roman" w:hAnsi="Times New Roman" w:eastAsia="宋体" w:cs="Times New Roman"/>
                <w:b/>
                <w:bCs/>
                <w:sz w:val="21"/>
                <w:szCs w:val="21"/>
              </w:rPr>
              <w:t>一览表</w:t>
            </w:r>
          </w:p>
          <w:tbl>
            <w:tblPr>
              <w:tblStyle w:val="2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0"/>
              <w:gridCol w:w="4195"/>
              <w:gridCol w:w="3091"/>
              <w:gridCol w:w="691"/>
            </w:tblGrid>
            <w:tr w14:paraId="69BD5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 w:type="pct"/>
                  <w:vAlign w:val="center"/>
                </w:tcPr>
                <w:p w14:paraId="2A118D38">
                  <w:pPr>
                    <w:autoSpaceDE w:val="0"/>
                    <w:autoSpaceDN w:val="0"/>
                    <w:spacing w:line="240" w:lineRule="auto"/>
                    <w:jc w:val="center"/>
                    <w:rPr>
                      <w:rFonts w:ascii="Times New Roman" w:hAnsi="Times New Roman" w:eastAsia="宋体" w:cs="Times New Roman"/>
                      <w:b/>
                      <w:bCs/>
                      <w:sz w:val="21"/>
                      <w:szCs w:val="21"/>
                    </w:rPr>
                  </w:pPr>
                  <w:r>
                    <w:rPr>
                      <w:rFonts w:hint="eastAsia" w:ascii="Times New Roman" w:hAnsi="Times New Roman" w:eastAsia="宋体" w:cs="Times New Roman"/>
                      <w:b/>
                      <w:bCs/>
                      <w:sz w:val="21"/>
                      <w:szCs w:val="21"/>
                    </w:rPr>
                    <w:t>序号</w:t>
                  </w:r>
                </w:p>
              </w:tc>
              <w:tc>
                <w:tcPr>
                  <w:tcW w:w="2482" w:type="pct"/>
                  <w:vAlign w:val="center"/>
                </w:tcPr>
                <w:p w14:paraId="73F36DCE">
                  <w:pPr>
                    <w:autoSpaceDE w:val="0"/>
                    <w:autoSpaceDN w:val="0"/>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b/>
                      <w:bCs/>
                      <w:sz w:val="21"/>
                      <w:szCs w:val="21"/>
                    </w:rPr>
                    <w:t>《重点行业挥发性有机物综合治理方案》相关要求</w:t>
                  </w:r>
                </w:p>
              </w:tc>
              <w:tc>
                <w:tcPr>
                  <w:tcW w:w="1829" w:type="pct"/>
                  <w:vAlign w:val="center"/>
                </w:tcPr>
                <w:p w14:paraId="7C49A532">
                  <w:pPr>
                    <w:autoSpaceDE w:val="0"/>
                    <w:autoSpaceDN w:val="0"/>
                    <w:spacing w:line="240" w:lineRule="auto"/>
                    <w:jc w:val="center"/>
                    <w:rPr>
                      <w:rFonts w:ascii="Times New Roman" w:hAnsi="Times New Roman" w:eastAsia="宋体" w:cs="Times New Roman"/>
                      <w:b/>
                      <w:bCs/>
                      <w:sz w:val="21"/>
                      <w:szCs w:val="21"/>
                    </w:rPr>
                  </w:pPr>
                  <w:r>
                    <w:rPr>
                      <w:rFonts w:hint="eastAsia" w:ascii="Times New Roman" w:hAnsi="Times New Roman" w:eastAsia="宋体" w:cs="Times New Roman"/>
                      <w:b/>
                      <w:bCs/>
                      <w:sz w:val="21"/>
                      <w:szCs w:val="21"/>
                    </w:rPr>
                    <w:t>本项目情况</w:t>
                  </w:r>
                </w:p>
              </w:tc>
              <w:tc>
                <w:tcPr>
                  <w:tcW w:w="409" w:type="pct"/>
                  <w:vAlign w:val="center"/>
                </w:tcPr>
                <w:p w14:paraId="2428D2C7">
                  <w:pPr>
                    <w:autoSpaceDE w:val="0"/>
                    <w:autoSpaceDN w:val="0"/>
                    <w:spacing w:line="240" w:lineRule="auto"/>
                    <w:jc w:val="center"/>
                    <w:rPr>
                      <w:rFonts w:ascii="Times New Roman" w:hAnsi="Times New Roman" w:eastAsia="宋体" w:cs="Times New Roman"/>
                      <w:b/>
                      <w:bCs/>
                      <w:sz w:val="21"/>
                      <w:szCs w:val="21"/>
                    </w:rPr>
                  </w:pPr>
                  <w:r>
                    <w:rPr>
                      <w:rFonts w:hint="eastAsia" w:ascii="Times New Roman" w:hAnsi="Times New Roman" w:eastAsia="宋体" w:cs="Times New Roman"/>
                      <w:b/>
                      <w:bCs/>
                      <w:sz w:val="21"/>
                      <w:szCs w:val="21"/>
                    </w:rPr>
                    <w:t>是否相符</w:t>
                  </w:r>
                </w:p>
              </w:tc>
            </w:tr>
            <w:tr w14:paraId="006AF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 w:type="pct"/>
                  <w:vAlign w:val="center"/>
                </w:tcPr>
                <w:p w14:paraId="1EAAE182">
                  <w:pPr>
                    <w:snapToGrid w:val="0"/>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w:t>
                  </w:r>
                </w:p>
              </w:tc>
              <w:tc>
                <w:tcPr>
                  <w:tcW w:w="2482" w:type="pct"/>
                  <w:vAlign w:val="center"/>
                </w:tcPr>
                <w:p w14:paraId="5B3CB8C7">
                  <w:pPr>
                    <w:snapToGrid w:val="0"/>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大力推进源头替代。通过使用水性、粉末、高固体分、无溶剂、辐射固化等低VOCs含量的涂料，从源头减少VOCs产生。</w:t>
                  </w:r>
                </w:p>
              </w:tc>
              <w:tc>
                <w:tcPr>
                  <w:tcW w:w="1829" w:type="pct"/>
                  <w:vAlign w:val="center"/>
                </w:tcPr>
                <w:p w14:paraId="1E4F5EED">
                  <w:pPr>
                    <w:pBdr>
                      <w:top w:val="none" w:color="auto" w:sz="0" w:space="1"/>
                      <w:left w:val="none" w:color="auto" w:sz="0" w:space="4"/>
                      <w:bottom w:val="none" w:color="auto" w:sz="0" w:space="1"/>
                      <w:right w:val="none" w:color="auto" w:sz="0" w:space="4"/>
                    </w:pBdr>
                    <w:adjustRightInd w:val="0"/>
                    <w:snapToGrid w:val="0"/>
                    <w:spacing w:line="240" w:lineRule="auto"/>
                    <w:contextualSpacing/>
                    <w:jc w:val="center"/>
                    <w:rPr>
                      <w:rFonts w:ascii="Times New Roman" w:hAnsi="Times New Roman" w:eastAsia="宋体" w:cs="Times New Roman"/>
                      <w:sz w:val="21"/>
                      <w:szCs w:val="21"/>
                    </w:rPr>
                  </w:pPr>
                  <w:r>
                    <w:rPr>
                      <w:rFonts w:ascii="Times New Roman" w:hAnsi="Times New Roman" w:eastAsia="宋体" w:cs="Times New Roman"/>
                      <w:sz w:val="21"/>
                      <w:szCs w:val="21"/>
                    </w:rPr>
                    <w:t>本项目属于</w:t>
                  </w:r>
                  <w:r>
                    <w:rPr>
                      <w:rFonts w:hint="eastAsia"/>
                      <w:bCs/>
                      <w:szCs w:val="21"/>
                      <w:lang w:eastAsia="zh-CN"/>
                    </w:rPr>
                    <w:t>锅炉及辅助设备制造</w:t>
                  </w:r>
                  <w:r>
                    <w:rPr>
                      <w:rFonts w:ascii="Times New Roman" w:hAnsi="Times New Roman" w:eastAsia="宋体" w:cs="Times New Roman"/>
                      <w:sz w:val="21"/>
                      <w:szCs w:val="21"/>
                    </w:rPr>
                    <w:t>，</w:t>
                  </w:r>
                  <w:r>
                    <w:rPr>
                      <w:rFonts w:hint="eastAsia" w:ascii="Times New Roman" w:hAnsi="Times New Roman" w:eastAsia="宋体" w:cs="Times New Roman"/>
                      <w:sz w:val="21"/>
                      <w:szCs w:val="21"/>
                    </w:rPr>
                    <w:t>涉及V</w:t>
                  </w:r>
                  <w:r>
                    <w:rPr>
                      <w:rFonts w:ascii="Times New Roman" w:hAnsi="Times New Roman" w:eastAsia="宋体" w:cs="Times New Roman"/>
                      <w:sz w:val="21"/>
                      <w:szCs w:val="21"/>
                    </w:rPr>
                    <w:t>OCs产生环节为</w:t>
                  </w:r>
                  <w:r>
                    <w:rPr>
                      <w:rFonts w:hint="eastAsia" w:ascii="Times New Roman" w:hAnsi="Times New Roman" w:eastAsia="宋体" w:cs="Times New Roman"/>
                      <w:sz w:val="21"/>
                      <w:szCs w:val="21"/>
                      <w:lang w:eastAsia="zh-CN"/>
                    </w:rPr>
                    <w:t>喷漆工艺，</w:t>
                  </w:r>
                  <w:r>
                    <w:rPr>
                      <w:rFonts w:hint="eastAsia" w:ascii="Times New Roman" w:hAnsi="Times New Roman" w:eastAsia="宋体" w:cs="Times New Roman"/>
                      <w:sz w:val="21"/>
                      <w:szCs w:val="21"/>
                    </w:rPr>
                    <w:t>项目</w:t>
                  </w:r>
                  <w:r>
                    <w:rPr>
                      <w:rFonts w:hint="eastAsia" w:ascii="Times New Roman" w:hAnsi="Times New Roman" w:eastAsia="宋体" w:cs="Times New Roman"/>
                      <w:sz w:val="21"/>
                      <w:szCs w:val="21"/>
                      <w:lang w:eastAsia="zh-CN"/>
                    </w:rPr>
                    <w:t>使用低</w:t>
                  </w:r>
                  <w:r>
                    <w:rPr>
                      <w:rFonts w:ascii="Times New Roman" w:hAnsi="Times New Roman" w:eastAsia="宋体" w:cs="Times New Roman"/>
                      <w:sz w:val="21"/>
                      <w:szCs w:val="21"/>
                    </w:rPr>
                    <w:t>VOCs含量的</w:t>
                  </w:r>
                  <w:r>
                    <w:rPr>
                      <w:rFonts w:hint="eastAsia" w:ascii="Times New Roman" w:hAnsi="Times New Roman" w:eastAsia="宋体" w:cs="Times New Roman"/>
                      <w:sz w:val="21"/>
                      <w:szCs w:val="21"/>
                      <w:lang w:eastAsia="zh-CN"/>
                    </w:rPr>
                    <w:t>水性漆和醇酸漆，年用量较小</w:t>
                  </w:r>
                  <w:r>
                    <w:rPr>
                      <w:rFonts w:ascii="Times New Roman" w:hAnsi="Times New Roman" w:eastAsia="宋体" w:cs="Times New Roman"/>
                      <w:sz w:val="21"/>
                      <w:szCs w:val="21"/>
                    </w:rPr>
                    <w:t>VOCs产生</w:t>
                  </w:r>
                  <w:r>
                    <w:rPr>
                      <w:rFonts w:hint="eastAsia" w:ascii="Times New Roman" w:hAnsi="Times New Roman" w:eastAsia="宋体" w:cs="Times New Roman"/>
                      <w:sz w:val="21"/>
                      <w:szCs w:val="21"/>
                      <w:lang w:eastAsia="zh-CN"/>
                    </w:rPr>
                    <w:t>量较小</w:t>
                  </w:r>
                  <w:r>
                    <w:rPr>
                      <w:rFonts w:ascii="Times New Roman" w:hAnsi="Times New Roman" w:eastAsia="宋体" w:cs="Times New Roman"/>
                      <w:sz w:val="21"/>
                      <w:szCs w:val="21"/>
                    </w:rPr>
                    <w:t>。</w:t>
                  </w:r>
                </w:p>
              </w:tc>
              <w:tc>
                <w:tcPr>
                  <w:tcW w:w="409" w:type="pct"/>
                  <w:vAlign w:val="center"/>
                </w:tcPr>
                <w:p w14:paraId="42DAFF69">
                  <w:pPr>
                    <w:autoSpaceDE w:val="0"/>
                    <w:autoSpaceDN w:val="0"/>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相符</w:t>
                  </w:r>
                </w:p>
              </w:tc>
            </w:tr>
            <w:tr w14:paraId="3D2F8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 w:type="pct"/>
                  <w:vAlign w:val="center"/>
                </w:tcPr>
                <w:p w14:paraId="238069E1">
                  <w:pPr>
                    <w:snapToGrid w:val="0"/>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w:t>
                  </w:r>
                </w:p>
              </w:tc>
              <w:tc>
                <w:tcPr>
                  <w:tcW w:w="2482" w:type="pct"/>
                  <w:vAlign w:val="center"/>
                </w:tcPr>
                <w:p w14:paraId="66841569">
                  <w:pPr>
                    <w:snapToGrid w:val="0"/>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全面加强无组织排放控制。通过采取设备与场所密闭、工艺改进、废气有效收集等措施，削减VOCs无组织排放。</w:t>
                  </w:r>
                </w:p>
              </w:tc>
              <w:tc>
                <w:tcPr>
                  <w:tcW w:w="1829" w:type="pct"/>
                  <w:vAlign w:val="center"/>
                </w:tcPr>
                <w:p w14:paraId="27A071C0">
                  <w:pPr>
                    <w:pBdr>
                      <w:top w:val="none" w:color="auto" w:sz="0" w:space="1"/>
                      <w:left w:val="none" w:color="auto" w:sz="0" w:space="4"/>
                      <w:bottom w:val="none" w:color="auto" w:sz="0" w:space="1"/>
                      <w:right w:val="none" w:color="auto" w:sz="0" w:space="4"/>
                    </w:pBdr>
                    <w:adjustRightInd w:val="0"/>
                    <w:snapToGrid w:val="0"/>
                    <w:spacing w:line="240" w:lineRule="auto"/>
                    <w:contextualSpacing/>
                    <w:jc w:val="center"/>
                    <w:rPr>
                      <w:rFonts w:ascii="Times New Roman" w:hAnsi="Times New Roman" w:eastAsia="宋体" w:cs="Times New Roman"/>
                      <w:sz w:val="21"/>
                      <w:szCs w:val="21"/>
                    </w:rPr>
                  </w:pPr>
                  <w:r>
                    <w:rPr>
                      <w:rFonts w:ascii="Times New Roman" w:hAnsi="Times New Roman" w:eastAsia="宋体" w:cs="Times New Roman"/>
                      <w:bCs/>
                      <w:sz w:val="21"/>
                      <w:szCs w:val="21"/>
                    </w:rPr>
                    <w:t>项目产生的</w:t>
                  </w:r>
                  <w:r>
                    <w:rPr>
                      <w:rFonts w:hint="eastAsia" w:ascii="Times New Roman" w:hAnsi="Times New Roman" w:eastAsia="宋体" w:cs="Times New Roman"/>
                      <w:kern w:val="0"/>
                      <w:sz w:val="21"/>
                      <w:szCs w:val="21"/>
                    </w:rPr>
                    <w:t>喷漆废气经喷漆房密闭收集</w:t>
                  </w:r>
                  <w:r>
                    <w:rPr>
                      <w:rFonts w:ascii="Times New Roman" w:hAnsi="Times New Roman" w:eastAsia="宋体" w:cs="Times New Roman"/>
                      <w:bCs/>
                      <w:sz w:val="21"/>
                      <w:szCs w:val="21"/>
                    </w:rPr>
                    <w:t>。</w:t>
                  </w:r>
                </w:p>
              </w:tc>
              <w:tc>
                <w:tcPr>
                  <w:tcW w:w="409" w:type="pct"/>
                  <w:vAlign w:val="center"/>
                </w:tcPr>
                <w:p w14:paraId="0580AE7D">
                  <w:pPr>
                    <w:autoSpaceDE w:val="0"/>
                    <w:autoSpaceDN w:val="0"/>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相符</w:t>
                  </w:r>
                </w:p>
              </w:tc>
            </w:tr>
            <w:tr w14:paraId="1223C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 w:type="pct"/>
                  <w:vAlign w:val="center"/>
                </w:tcPr>
                <w:p w14:paraId="29F1751C">
                  <w:pPr>
                    <w:snapToGrid w:val="0"/>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w:t>
                  </w:r>
                </w:p>
              </w:tc>
              <w:tc>
                <w:tcPr>
                  <w:tcW w:w="2482" w:type="pct"/>
                  <w:vAlign w:val="center"/>
                </w:tcPr>
                <w:p w14:paraId="2FB95C8D">
                  <w:pPr>
                    <w:snapToGrid w:val="0"/>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工业涂装行业重点推进使用紧凑式涂装工艺，推广采用辊涂、静电喷涂、高压无气喷涂、空气辅助无气喷涂、热喷涂等涂装技术，鼓励企业采用自动化、智能化喷涂设备替代人工喷涂，减少使用空气喷涂技术。</w:t>
                  </w:r>
                </w:p>
              </w:tc>
              <w:tc>
                <w:tcPr>
                  <w:tcW w:w="1829" w:type="pct"/>
                  <w:vAlign w:val="center"/>
                </w:tcPr>
                <w:p w14:paraId="18FEB553">
                  <w:pPr>
                    <w:pBdr>
                      <w:top w:val="none" w:color="auto" w:sz="0" w:space="1"/>
                      <w:left w:val="none" w:color="auto" w:sz="0" w:space="4"/>
                      <w:bottom w:val="none" w:color="auto" w:sz="0" w:space="1"/>
                      <w:right w:val="none" w:color="auto" w:sz="0" w:space="4"/>
                    </w:pBdr>
                    <w:adjustRightInd w:val="0"/>
                    <w:snapToGrid w:val="0"/>
                    <w:spacing w:line="240" w:lineRule="auto"/>
                    <w:contextualSpacing/>
                    <w:jc w:val="center"/>
                    <w:rPr>
                      <w:rFonts w:ascii="Times New Roman" w:hAnsi="Times New Roman" w:eastAsia="宋体" w:cs="Times New Roman"/>
                      <w:bCs/>
                      <w:sz w:val="21"/>
                      <w:szCs w:val="21"/>
                    </w:rPr>
                  </w:pPr>
                  <w:r>
                    <w:rPr>
                      <w:rFonts w:ascii="Times New Roman" w:hAnsi="Times New Roman" w:eastAsia="宋体" w:cs="Times New Roman"/>
                      <w:bCs/>
                      <w:sz w:val="21"/>
                      <w:szCs w:val="21"/>
                    </w:rPr>
                    <w:t>项目</w:t>
                  </w:r>
                  <w:r>
                    <w:rPr>
                      <w:rFonts w:hint="eastAsia" w:ascii="Times New Roman" w:hAnsi="Times New Roman" w:eastAsia="宋体" w:cs="Times New Roman"/>
                      <w:bCs/>
                      <w:sz w:val="21"/>
                      <w:szCs w:val="21"/>
                      <w:lang w:eastAsia="zh-CN"/>
                    </w:rPr>
                    <w:t>喷漆</w:t>
                  </w:r>
                  <w:r>
                    <w:rPr>
                      <w:rFonts w:ascii="Times New Roman" w:hAnsi="Times New Roman" w:eastAsia="宋体" w:cs="Times New Roman"/>
                      <w:bCs/>
                      <w:sz w:val="21"/>
                      <w:szCs w:val="21"/>
                    </w:rPr>
                    <w:t>工艺</w:t>
                  </w:r>
                  <w:r>
                    <w:rPr>
                      <w:rFonts w:hint="eastAsia" w:ascii="Times New Roman" w:hAnsi="Times New Roman" w:eastAsia="宋体" w:cs="Times New Roman"/>
                      <w:bCs/>
                      <w:sz w:val="21"/>
                      <w:szCs w:val="21"/>
                      <w:lang w:eastAsia="zh-CN"/>
                    </w:rPr>
                    <w:t>使用</w:t>
                  </w:r>
                  <w:r>
                    <w:rPr>
                      <w:rFonts w:ascii="Times New Roman" w:hAnsi="Times New Roman" w:eastAsia="宋体" w:cs="Times New Roman"/>
                      <w:sz w:val="21"/>
                      <w:szCs w:val="21"/>
                    </w:rPr>
                    <w:t>智能化喷涂设备</w:t>
                  </w:r>
                  <w:r>
                    <w:rPr>
                      <w:rFonts w:hint="eastAsia" w:ascii="Times New Roman" w:hAnsi="Times New Roman" w:eastAsia="宋体" w:cs="Times New Roman"/>
                      <w:sz w:val="21"/>
                      <w:szCs w:val="21"/>
                      <w:lang w:eastAsia="zh-CN"/>
                    </w:rPr>
                    <w:t>辅助人工进行喷涂</w:t>
                  </w:r>
                  <w:r>
                    <w:rPr>
                      <w:rFonts w:ascii="Times New Roman" w:hAnsi="Times New Roman" w:eastAsia="宋体" w:cs="Times New Roman"/>
                      <w:bCs/>
                      <w:sz w:val="21"/>
                      <w:szCs w:val="21"/>
                    </w:rPr>
                    <w:t>。</w:t>
                  </w:r>
                </w:p>
              </w:tc>
              <w:tc>
                <w:tcPr>
                  <w:tcW w:w="409" w:type="pct"/>
                  <w:vAlign w:val="center"/>
                </w:tcPr>
                <w:p w14:paraId="3AAEA6D7">
                  <w:pPr>
                    <w:autoSpaceDE w:val="0"/>
                    <w:autoSpaceDN w:val="0"/>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相符</w:t>
                  </w:r>
                </w:p>
              </w:tc>
            </w:tr>
            <w:tr w14:paraId="2DB9D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 w:type="pct"/>
                  <w:vAlign w:val="center"/>
                </w:tcPr>
                <w:p w14:paraId="0CD1F3BA">
                  <w:pPr>
                    <w:snapToGrid w:val="0"/>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w:t>
                  </w:r>
                </w:p>
              </w:tc>
              <w:tc>
                <w:tcPr>
                  <w:tcW w:w="2482" w:type="pct"/>
                  <w:vAlign w:val="center"/>
                </w:tcPr>
                <w:p w14:paraId="15211C79">
                  <w:pPr>
                    <w:snapToGrid w:val="0"/>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提高废气收集率。遵循</w:t>
                  </w:r>
                  <w:r>
                    <w:rPr>
                      <w:rFonts w:ascii="宋体" w:hAnsi="宋体" w:eastAsia="宋体" w:cs="Times New Roman"/>
                      <w:sz w:val="21"/>
                      <w:szCs w:val="21"/>
                    </w:rPr>
                    <w:t>“</w:t>
                  </w:r>
                  <w:r>
                    <w:rPr>
                      <w:rFonts w:ascii="Times New Roman" w:hAnsi="Times New Roman" w:eastAsia="宋体" w:cs="Times New Roman"/>
                      <w:sz w:val="21"/>
                      <w:szCs w:val="21"/>
                    </w:rPr>
                    <w:t>应收尽收、分质收集</w:t>
                  </w:r>
                  <w:r>
                    <w:rPr>
                      <w:rFonts w:ascii="宋体" w:hAnsi="宋体" w:eastAsia="宋体" w:cs="Times New Roman"/>
                      <w:sz w:val="21"/>
                      <w:szCs w:val="21"/>
                    </w:rPr>
                    <w:t>”</w:t>
                  </w:r>
                  <w:r>
                    <w:rPr>
                      <w:rFonts w:ascii="Times New Roman" w:hAnsi="Times New Roman" w:eastAsia="宋体" w:cs="Times New Roman"/>
                      <w:sz w:val="21"/>
                      <w:szCs w:val="21"/>
                    </w:rPr>
                    <w:t>的原则，科学设计废气收集系统，将无组织排放转变为有组织排放进行控制。采用全密闭集气罩或密闭空间的，除行业有特殊要求外，应保持微负压状态，并根据相关规范合理设置通风量。</w:t>
                  </w:r>
                </w:p>
              </w:tc>
              <w:tc>
                <w:tcPr>
                  <w:tcW w:w="1829" w:type="pct"/>
                  <w:vAlign w:val="center"/>
                </w:tcPr>
                <w:p w14:paraId="6B8BD4A8">
                  <w:pPr>
                    <w:pBdr>
                      <w:top w:val="none" w:color="auto" w:sz="0" w:space="1"/>
                      <w:left w:val="none" w:color="auto" w:sz="0" w:space="4"/>
                      <w:bottom w:val="none" w:color="auto" w:sz="0" w:space="1"/>
                      <w:right w:val="none" w:color="auto" w:sz="0" w:space="4"/>
                    </w:pBdr>
                    <w:adjustRightInd w:val="0"/>
                    <w:snapToGrid w:val="0"/>
                    <w:spacing w:line="240" w:lineRule="auto"/>
                    <w:contextualSpacing/>
                    <w:jc w:val="center"/>
                    <w:rPr>
                      <w:rFonts w:ascii="Times New Roman" w:hAnsi="Times New Roman" w:eastAsia="宋体" w:cs="Times New Roman"/>
                      <w:sz w:val="21"/>
                      <w:szCs w:val="21"/>
                    </w:rPr>
                  </w:pPr>
                  <w:r>
                    <w:rPr>
                      <w:rFonts w:ascii="Times New Roman" w:hAnsi="Times New Roman" w:eastAsia="宋体" w:cs="Times New Roman"/>
                      <w:bCs/>
                      <w:sz w:val="21"/>
                      <w:szCs w:val="21"/>
                    </w:rPr>
                    <w:t>项目产生的</w:t>
                  </w:r>
                  <w:r>
                    <w:rPr>
                      <w:rFonts w:hint="eastAsia" w:ascii="Times New Roman" w:hAnsi="Times New Roman" w:eastAsia="宋体" w:cs="Times New Roman"/>
                      <w:kern w:val="0"/>
                      <w:sz w:val="21"/>
                      <w:szCs w:val="21"/>
                    </w:rPr>
                    <w:t>喷漆废气经喷漆房密闭收集</w:t>
                  </w:r>
                  <w:r>
                    <w:rPr>
                      <w:rFonts w:ascii="Times New Roman" w:hAnsi="Times New Roman" w:eastAsia="宋体" w:cs="Times New Roman"/>
                      <w:bCs/>
                      <w:sz w:val="21"/>
                      <w:szCs w:val="21"/>
                    </w:rPr>
                    <w:t>。</w:t>
                  </w:r>
                </w:p>
              </w:tc>
              <w:tc>
                <w:tcPr>
                  <w:tcW w:w="409" w:type="pct"/>
                  <w:vAlign w:val="center"/>
                </w:tcPr>
                <w:p w14:paraId="51148D5E">
                  <w:pPr>
                    <w:autoSpaceDE w:val="0"/>
                    <w:autoSpaceDN w:val="0"/>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相符</w:t>
                  </w:r>
                </w:p>
              </w:tc>
            </w:tr>
            <w:tr w14:paraId="3CBF5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 w:type="pct"/>
                  <w:vAlign w:val="center"/>
                </w:tcPr>
                <w:p w14:paraId="4D95214E">
                  <w:pPr>
                    <w:snapToGrid w:val="0"/>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5</w:t>
                  </w:r>
                </w:p>
              </w:tc>
              <w:tc>
                <w:tcPr>
                  <w:tcW w:w="2482" w:type="pct"/>
                  <w:vAlign w:val="center"/>
                </w:tcPr>
                <w:p w14:paraId="57ADA6B6">
                  <w:pPr>
                    <w:snapToGrid w:val="0"/>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推进建设适宜高效的治污设施。……鼓励企业采用多种技术的组合工艺，提高VOCs治理效率。低浓度、大风量废气，宜采用沸石转轮吸附、活性炭吸附、减风增浓等浓缩技术，提高VOCs浓度后净化处理；高浓度废气，优先进行溶剂回收，难以回收的，宜采用高温焚烧、催化燃烧等技术。油气（溶剂）回收宜采用冷凝+吸附、吸附+吸收、膜分离+吸附等技术。低温等离子、光催化、光氧化技术主要适用于恶臭异味等治理；生物法主要适用于低浓度VOCs废气治理和恶臭异味治理。非水溶性的VOCs废气禁止采用水或水溶液喷淋吸收处理。</w:t>
                  </w:r>
                </w:p>
              </w:tc>
              <w:tc>
                <w:tcPr>
                  <w:tcW w:w="1829" w:type="pct"/>
                  <w:vAlign w:val="center"/>
                </w:tcPr>
                <w:p w14:paraId="4BB4DBDA">
                  <w:pPr>
                    <w:pBdr>
                      <w:top w:val="none" w:color="auto" w:sz="0" w:space="1"/>
                      <w:left w:val="none" w:color="auto" w:sz="0" w:space="4"/>
                      <w:bottom w:val="none" w:color="auto" w:sz="0" w:space="1"/>
                      <w:right w:val="none" w:color="auto" w:sz="0" w:space="4"/>
                    </w:pBdr>
                    <w:adjustRightInd w:val="0"/>
                    <w:snapToGrid w:val="0"/>
                    <w:spacing w:line="240" w:lineRule="auto"/>
                    <w:contextualSpacing/>
                    <w:jc w:val="center"/>
                    <w:rPr>
                      <w:rFonts w:ascii="Times New Roman" w:hAnsi="Times New Roman" w:eastAsia="宋体" w:cs="Times New Roman"/>
                      <w:sz w:val="21"/>
                      <w:szCs w:val="21"/>
                    </w:rPr>
                  </w:pPr>
                  <w:r>
                    <w:rPr>
                      <w:rFonts w:hint="eastAsia" w:ascii="Times New Roman" w:hAnsi="Times New Roman" w:eastAsia="宋体" w:cs="Times New Roman"/>
                      <w:kern w:val="0"/>
                      <w:sz w:val="21"/>
                      <w:szCs w:val="21"/>
                    </w:rPr>
                    <w:t>喷漆废气经喷漆房密闭收集引至一套“过滤棉+两级活性炭”装置处理</w:t>
                  </w:r>
                  <w:r>
                    <w:rPr>
                      <w:rFonts w:ascii="Times New Roman" w:hAnsi="Times New Roman" w:eastAsia="宋体" w:cs="Times New Roman"/>
                      <w:sz w:val="21"/>
                      <w:szCs w:val="21"/>
                    </w:rPr>
                    <w:t>。</w:t>
                  </w:r>
                </w:p>
              </w:tc>
              <w:tc>
                <w:tcPr>
                  <w:tcW w:w="409" w:type="pct"/>
                  <w:vAlign w:val="center"/>
                </w:tcPr>
                <w:p w14:paraId="2EE81E51">
                  <w:pPr>
                    <w:autoSpaceDE w:val="0"/>
                    <w:autoSpaceDN w:val="0"/>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相符</w:t>
                  </w:r>
                </w:p>
              </w:tc>
            </w:tr>
            <w:tr w14:paraId="6CACC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 w:type="pct"/>
                  <w:vAlign w:val="center"/>
                </w:tcPr>
                <w:p w14:paraId="40B7AAA6">
                  <w:pPr>
                    <w:snapToGrid w:val="0"/>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6</w:t>
                  </w:r>
                </w:p>
              </w:tc>
              <w:tc>
                <w:tcPr>
                  <w:tcW w:w="2482" w:type="pct"/>
                  <w:vAlign w:val="center"/>
                </w:tcPr>
                <w:p w14:paraId="03683E3E">
                  <w:pPr>
                    <w:snapToGrid w:val="0"/>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实行重点排放源排放浓度与去除效率双重控制。车间或生产设施收集排放的废气，VOCs初始排放速率大于等于3千克/小时、重点区域大于等于2千克/小时的，应加大控制力度，除确保排放浓度稳定达标外，还应实行去除效率控制，去除效率不低于80%；</w:t>
                  </w:r>
                </w:p>
              </w:tc>
              <w:tc>
                <w:tcPr>
                  <w:tcW w:w="1829" w:type="pct"/>
                  <w:vAlign w:val="center"/>
                </w:tcPr>
                <w:p w14:paraId="2204B51C">
                  <w:pPr>
                    <w:pBdr>
                      <w:top w:val="none" w:color="auto" w:sz="0" w:space="1"/>
                      <w:left w:val="none" w:color="auto" w:sz="0" w:space="4"/>
                      <w:bottom w:val="none" w:color="auto" w:sz="0" w:space="1"/>
                      <w:right w:val="none" w:color="auto" w:sz="0" w:space="4"/>
                    </w:pBdr>
                    <w:adjustRightInd w:val="0"/>
                    <w:snapToGrid w:val="0"/>
                    <w:spacing w:line="240" w:lineRule="auto"/>
                    <w:contextualSpacing/>
                    <w:jc w:val="center"/>
                    <w:rPr>
                      <w:rFonts w:ascii="Times New Roman" w:hAnsi="Times New Roman" w:eastAsia="宋体" w:cs="Times New Roman"/>
                      <w:sz w:val="21"/>
                      <w:szCs w:val="21"/>
                    </w:rPr>
                  </w:pPr>
                  <w:r>
                    <w:rPr>
                      <w:rFonts w:hint="eastAsia" w:ascii="Times New Roman" w:hAnsi="Times New Roman" w:eastAsia="宋体" w:cs="Times New Roman"/>
                      <w:kern w:val="0"/>
                      <w:sz w:val="21"/>
                      <w:szCs w:val="21"/>
                    </w:rPr>
                    <w:t>喷漆废气经喷漆房密闭收集引至一套“过滤棉+两级活性炭”装置处理</w:t>
                  </w:r>
                  <w:r>
                    <w:rPr>
                      <w:rFonts w:ascii="Times New Roman" w:hAnsi="Times New Roman" w:eastAsia="宋体" w:cs="Times New Roman"/>
                      <w:sz w:val="21"/>
                      <w:szCs w:val="21"/>
                    </w:rPr>
                    <w:t>，有机废气去除效率可达90%，排放浓度和排放速率</w:t>
                  </w:r>
                  <w:r>
                    <w:rPr>
                      <w:rFonts w:hint="eastAsia" w:ascii="Times New Roman" w:hAnsi="Times New Roman" w:eastAsia="宋体" w:cs="Times New Roman"/>
                      <w:sz w:val="21"/>
                      <w:szCs w:val="21"/>
                    </w:rPr>
                    <w:t>可满足排放标准。</w:t>
                  </w:r>
                </w:p>
              </w:tc>
              <w:tc>
                <w:tcPr>
                  <w:tcW w:w="409" w:type="pct"/>
                  <w:vAlign w:val="center"/>
                </w:tcPr>
                <w:p w14:paraId="7C527931">
                  <w:pPr>
                    <w:autoSpaceDE w:val="0"/>
                    <w:autoSpaceDN w:val="0"/>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相符</w:t>
                  </w:r>
                </w:p>
              </w:tc>
            </w:tr>
            <w:tr w14:paraId="724B5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 w:type="pct"/>
                  <w:vAlign w:val="center"/>
                </w:tcPr>
                <w:p w14:paraId="1CB79318">
                  <w:pPr>
                    <w:snapToGrid w:val="0"/>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7</w:t>
                  </w:r>
                </w:p>
              </w:tc>
              <w:tc>
                <w:tcPr>
                  <w:tcW w:w="2482" w:type="pct"/>
                  <w:vAlign w:val="center"/>
                </w:tcPr>
                <w:p w14:paraId="1C98A8BD">
                  <w:pPr>
                    <w:snapToGrid w:val="0"/>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有效控制无组织排放。涂料、稀释剂、清洗剂等原辅材料应密闭存储，调配、使用、回收等过程应采用密闭设备或在密闭空间内操作，采用密闭管道或密闭容器等输送。除大型工件外，禁止敞开式喷涂、晾（风）干作业。除工艺限制外，原则上实行集中调配。调配、喷涂和干燥等VOCs排放工序应配备有效的废气收集系统。</w:t>
                  </w:r>
                </w:p>
              </w:tc>
              <w:tc>
                <w:tcPr>
                  <w:tcW w:w="1829" w:type="pct"/>
                  <w:vAlign w:val="center"/>
                </w:tcPr>
                <w:p w14:paraId="6BA09866">
                  <w:pPr>
                    <w:pBdr>
                      <w:top w:val="none" w:color="auto" w:sz="0" w:space="1"/>
                      <w:left w:val="none" w:color="auto" w:sz="0" w:space="4"/>
                      <w:bottom w:val="none" w:color="auto" w:sz="0" w:space="1"/>
                      <w:right w:val="none" w:color="auto" w:sz="0" w:space="4"/>
                    </w:pBdr>
                    <w:adjustRightInd w:val="0"/>
                    <w:snapToGrid w:val="0"/>
                    <w:spacing w:line="240" w:lineRule="auto"/>
                    <w:contextualSpacing/>
                    <w:jc w:val="center"/>
                    <w:rPr>
                      <w:rFonts w:ascii="Times New Roman" w:hAnsi="Times New Roman" w:eastAsia="宋体" w:cs="Times New Roman"/>
                      <w:sz w:val="21"/>
                      <w:szCs w:val="21"/>
                    </w:rPr>
                  </w:pPr>
                  <w:r>
                    <w:rPr>
                      <w:rFonts w:hint="eastAsia" w:ascii="Times New Roman" w:hAnsi="Times New Roman" w:eastAsia="宋体" w:cs="Times New Roman"/>
                      <w:bCs/>
                      <w:sz w:val="21"/>
                      <w:szCs w:val="21"/>
                    </w:rPr>
                    <w:t>本</w:t>
                  </w:r>
                  <w:r>
                    <w:rPr>
                      <w:rFonts w:ascii="Times New Roman" w:hAnsi="Times New Roman" w:eastAsia="宋体" w:cs="Times New Roman"/>
                      <w:sz w:val="21"/>
                      <w:szCs w:val="21"/>
                    </w:rPr>
                    <w:t>项目</w:t>
                  </w:r>
                  <w:r>
                    <w:rPr>
                      <w:rFonts w:hint="eastAsia" w:ascii="Times New Roman" w:hAnsi="Times New Roman" w:eastAsia="宋体" w:cs="Times New Roman"/>
                      <w:sz w:val="21"/>
                      <w:szCs w:val="21"/>
                      <w:lang w:eastAsia="zh-CN"/>
                    </w:rPr>
                    <w:t>水性漆、油漆</w:t>
                  </w:r>
                  <w:r>
                    <w:rPr>
                      <w:rFonts w:ascii="Times New Roman" w:hAnsi="Times New Roman" w:eastAsia="宋体" w:cs="Times New Roman"/>
                      <w:sz w:val="21"/>
                      <w:szCs w:val="21"/>
                    </w:rPr>
                    <w:t>密闭储存，</w:t>
                  </w:r>
                  <w:r>
                    <w:rPr>
                      <w:rFonts w:hint="eastAsia" w:ascii="Times New Roman" w:hAnsi="Times New Roman" w:eastAsia="宋体" w:cs="Times New Roman"/>
                      <w:kern w:val="0"/>
                      <w:sz w:val="21"/>
                      <w:szCs w:val="21"/>
                    </w:rPr>
                    <w:t>喷漆废气经喷漆房密闭收集</w:t>
                  </w:r>
                  <w:r>
                    <w:rPr>
                      <w:rFonts w:ascii="Times New Roman" w:hAnsi="Times New Roman" w:eastAsia="宋体" w:cs="Times New Roman"/>
                      <w:sz w:val="21"/>
                      <w:szCs w:val="21"/>
                    </w:rPr>
                    <w:t>，废气收集效率高。</w:t>
                  </w:r>
                </w:p>
              </w:tc>
              <w:tc>
                <w:tcPr>
                  <w:tcW w:w="409" w:type="pct"/>
                  <w:vAlign w:val="center"/>
                </w:tcPr>
                <w:p w14:paraId="44532871">
                  <w:pPr>
                    <w:autoSpaceDE w:val="0"/>
                    <w:autoSpaceDN w:val="0"/>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相符</w:t>
                  </w:r>
                </w:p>
              </w:tc>
            </w:tr>
          </w:tbl>
          <w:p w14:paraId="59FB86CB">
            <w:pPr>
              <w:keepNext w:val="0"/>
              <w:keepLines w:val="0"/>
              <w:pageBreakBefore w:val="0"/>
              <w:widowControl/>
              <w:kinsoku/>
              <w:wordWrap/>
              <w:overflowPunct/>
              <w:topLinePunct w:val="0"/>
              <w:autoSpaceDE/>
              <w:autoSpaceDN/>
              <w:bidi w:val="0"/>
              <w:adjustRightInd/>
              <w:snapToGrid/>
              <w:spacing w:before="0" w:after="0" w:line="360" w:lineRule="auto"/>
              <w:ind w:right="0" w:firstLine="482" w:firstLineChars="200"/>
              <w:jc w:val="both"/>
              <w:textAlignment w:val="auto"/>
              <w:rPr>
                <w:rFonts w:ascii="Times New Roman" w:hAnsi="Times New Roman" w:eastAsia="宋体" w:cs="Times New Roman"/>
                <w:b/>
                <w:kern w:val="0"/>
                <w:sz w:val="24"/>
                <w:szCs w:val="24"/>
                <w:lang w:val="en-US" w:eastAsia="zh-CN" w:bidi="ar-SA"/>
              </w:rPr>
            </w:pPr>
            <w:r>
              <w:rPr>
                <w:rFonts w:hint="eastAsia" w:ascii="Times New Roman" w:hAnsi="Times New Roman" w:eastAsia="宋体" w:cs="Times New Roman"/>
                <w:b/>
                <w:kern w:val="0"/>
                <w:sz w:val="24"/>
                <w:szCs w:val="24"/>
                <w:lang w:val="en-US" w:eastAsia="zh-CN" w:bidi="ar-SA"/>
              </w:rPr>
              <w:t>8、与</w:t>
            </w:r>
            <w:r>
              <w:rPr>
                <w:rFonts w:ascii="Times New Roman" w:hAnsi="Times New Roman" w:eastAsia="宋体" w:cs="Times New Roman"/>
                <w:b/>
                <w:kern w:val="0"/>
                <w:sz w:val="24"/>
                <w:szCs w:val="24"/>
                <w:lang w:val="en-US" w:eastAsia="zh-CN" w:bidi="ar-SA"/>
              </w:rPr>
              <w:t>《低挥发性有机化合物含量涂料产品技术要求》</w:t>
            </w:r>
            <w:r>
              <w:rPr>
                <w:rFonts w:hint="eastAsia" w:ascii="Times New Roman" w:hAnsi="Times New Roman" w:eastAsia="宋体" w:cs="Times New Roman"/>
                <w:b/>
                <w:kern w:val="0"/>
                <w:sz w:val="24"/>
                <w:szCs w:val="24"/>
                <w:lang w:val="en-US" w:eastAsia="zh-CN" w:bidi="ar-SA"/>
              </w:rPr>
              <w:t>（G</w:t>
            </w:r>
            <w:r>
              <w:rPr>
                <w:rFonts w:ascii="Times New Roman" w:hAnsi="Times New Roman" w:eastAsia="宋体" w:cs="Times New Roman"/>
                <w:b/>
                <w:kern w:val="0"/>
                <w:sz w:val="24"/>
                <w:szCs w:val="24"/>
                <w:lang w:val="en-US" w:eastAsia="zh-CN" w:bidi="ar-SA"/>
              </w:rPr>
              <w:t>B/T 38597-2020</w:t>
            </w:r>
            <w:r>
              <w:rPr>
                <w:rFonts w:hint="eastAsia" w:ascii="Times New Roman" w:hAnsi="Times New Roman" w:eastAsia="宋体" w:cs="Times New Roman"/>
                <w:b/>
                <w:kern w:val="0"/>
                <w:sz w:val="24"/>
                <w:szCs w:val="24"/>
                <w:lang w:val="en-US" w:eastAsia="zh-CN" w:bidi="ar-SA"/>
              </w:rPr>
              <w:t>）相符性分析</w:t>
            </w:r>
          </w:p>
          <w:p w14:paraId="44F5719D">
            <w:pPr>
              <w:widowControl/>
              <w:numPr>
                <w:ilvl w:val="0"/>
                <w:numId w:val="2"/>
              </w:numPr>
              <w:jc w:val="center"/>
              <w:rPr>
                <w:rFonts w:ascii="Times New Roman" w:hAnsi="Times New Roman" w:eastAsia="宋体" w:cs="Times New Roman"/>
                <w:b/>
                <w:kern w:val="0"/>
                <w:sz w:val="21"/>
                <w:szCs w:val="21"/>
                <w:lang w:val="en-US" w:eastAsia="zh-CN" w:bidi="ar-SA"/>
              </w:rPr>
            </w:pPr>
            <w:r>
              <w:rPr>
                <w:rFonts w:hint="eastAsia" w:ascii="Times New Roman" w:hAnsi="Times New Roman" w:eastAsia="宋体" w:cs="Times New Roman"/>
                <w:b/>
                <w:kern w:val="0"/>
                <w:sz w:val="21"/>
                <w:szCs w:val="21"/>
                <w:lang w:val="en-US" w:eastAsia="zh-CN" w:bidi="ar-SA"/>
              </w:rPr>
              <w:t>本</w:t>
            </w:r>
            <w:r>
              <w:rPr>
                <w:rFonts w:hint="eastAsia" w:ascii="Times New Roman" w:hAnsi="Times New Roman" w:eastAsia="宋体" w:cs="Times New Roman"/>
                <w:b/>
                <w:bCs/>
                <w:sz w:val="21"/>
                <w:szCs w:val="21"/>
                <w:lang w:val="en-US" w:eastAsia="zh-CN"/>
              </w:rPr>
              <w:t>项目</w:t>
            </w:r>
            <w:r>
              <w:rPr>
                <w:rFonts w:hint="eastAsia" w:ascii="Times New Roman" w:hAnsi="Times New Roman" w:eastAsia="宋体" w:cs="Times New Roman"/>
                <w:b/>
                <w:kern w:val="0"/>
                <w:sz w:val="21"/>
                <w:szCs w:val="21"/>
                <w:lang w:val="en-US" w:eastAsia="zh-CN" w:bidi="ar-SA"/>
              </w:rPr>
              <w:t>与《低挥发性有机化合物含量涂料产品技术要求》符合性分析</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8"/>
              <w:gridCol w:w="884"/>
              <w:gridCol w:w="851"/>
              <w:gridCol w:w="555"/>
              <w:gridCol w:w="959"/>
              <w:gridCol w:w="760"/>
              <w:gridCol w:w="2016"/>
              <w:gridCol w:w="1501"/>
            </w:tblGrid>
            <w:tr w14:paraId="637BF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 w:type="dxa"/>
                  <w:shd w:val="clear" w:color="auto" w:fill="auto"/>
                  <w:noWrap w:val="0"/>
                  <w:vAlign w:val="center"/>
                </w:tcPr>
                <w:p w14:paraId="4016FE31">
                  <w:pPr>
                    <w:pStyle w:val="2"/>
                    <w:spacing w:before="0" w:after="0" w:line="240" w:lineRule="auto"/>
                    <w:ind w:firstLine="0" w:firstLineChars="0"/>
                    <w:jc w:val="center"/>
                    <w:rPr>
                      <w:rFonts w:ascii="Times New Roman" w:hAnsi="Times New Roman"/>
                      <w:b/>
                      <w:bCs/>
                      <w:sz w:val="21"/>
                      <w:szCs w:val="21"/>
                    </w:rPr>
                  </w:pPr>
                  <w:r>
                    <w:rPr>
                      <w:rFonts w:ascii="Times New Roman" w:hAnsi="Times New Roman"/>
                      <w:b/>
                      <w:bCs/>
                      <w:sz w:val="21"/>
                      <w:szCs w:val="21"/>
                    </w:rPr>
                    <w:t>产品类别</w:t>
                  </w:r>
                </w:p>
              </w:tc>
              <w:tc>
                <w:tcPr>
                  <w:tcW w:w="1735" w:type="dxa"/>
                  <w:gridSpan w:val="2"/>
                  <w:shd w:val="clear" w:color="auto" w:fill="auto"/>
                  <w:noWrap w:val="0"/>
                  <w:vAlign w:val="center"/>
                </w:tcPr>
                <w:p w14:paraId="74582960">
                  <w:pPr>
                    <w:pStyle w:val="2"/>
                    <w:spacing w:before="0" w:after="0" w:line="240" w:lineRule="auto"/>
                    <w:ind w:firstLine="0" w:firstLineChars="0"/>
                    <w:jc w:val="center"/>
                    <w:rPr>
                      <w:rFonts w:ascii="Times New Roman" w:hAnsi="Times New Roman"/>
                      <w:b/>
                      <w:bCs/>
                      <w:sz w:val="21"/>
                      <w:szCs w:val="21"/>
                    </w:rPr>
                  </w:pPr>
                  <w:r>
                    <w:rPr>
                      <w:rFonts w:ascii="Times New Roman" w:hAnsi="Times New Roman"/>
                      <w:b/>
                      <w:bCs/>
                      <w:sz w:val="21"/>
                      <w:szCs w:val="21"/>
                    </w:rPr>
                    <w:t>主要产品类型</w:t>
                  </w:r>
                </w:p>
              </w:tc>
              <w:tc>
                <w:tcPr>
                  <w:tcW w:w="2274" w:type="dxa"/>
                  <w:gridSpan w:val="3"/>
                  <w:shd w:val="clear" w:color="auto" w:fill="auto"/>
                  <w:noWrap w:val="0"/>
                  <w:vAlign w:val="center"/>
                </w:tcPr>
                <w:p w14:paraId="4A8526A2">
                  <w:pPr>
                    <w:pStyle w:val="2"/>
                    <w:spacing w:before="0" w:after="0" w:line="240" w:lineRule="auto"/>
                    <w:ind w:firstLine="0" w:firstLineChars="0"/>
                    <w:jc w:val="center"/>
                    <w:rPr>
                      <w:rFonts w:ascii="Times New Roman" w:hAnsi="Times New Roman"/>
                      <w:b/>
                      <w:bCs/>
                      <w:sz w:val="21"/>
                      <w:szCs w:val="21"/>
                    </w:rPr>
                  </w:pPr>
                  <w:r>
                    <w:rPr>
                      <w:rFonts w:ascii="Times New Roman" w:hAnsi="Times New Roman"/>
                      <w:b/>
                      <w:bCs/>
                      <w:sz w:val="21"/>
                      <w:szCs w:val="21"/>
                    </w:rPr>
                    <w:t>标准要求（g/L）</w:t>
                  </w:r>
                </w:p>
              </w:tc>
              <w:tc>
                <w:tcPr>
                  <w:tcW w:w="2016" w:type="dxa"/>
                  <w:shd w:val="clear" w:color="auto" w:fill="auto"/>
                  <w:noWrap w:val="0"/>
                  <w:vAlign w:val="center"/>
                </w:tcPr>
                <w:p w14:paraId="76F9DF6B">
                  <w:pPr>
                    <w:pStyle w:val="2"/>
                    <w:spacing w:before="0" w:after="0" w:line="240" w:lineRule="auto"/>
                    <w:ind w:firstLine="0" w:firstLineChars="0"/>
                    <w:jc w:val="center"/>
                    <w:rPr>
                      <w:rFonts w:ascii="Times New Roman" w:hAnsi="Times New Roman"/>
                      <w:b/>
                      <w:bCs/>
                      <w:sz w:val="21"/>
                      <w:szCs w:val="21"/>
                    </w:rPr>
                  </w:pPr>
                  <w:r>
                    <w:rPr>
                      <w:rFonts w:ascii="Times New Roman" w:hAnsi="Times New Roman"/>
                      <w:b/>
                      <w:bCs/>
                      <w:sz w:val="21"/>
                      <w:szCs w:val="21"/>
                    </w:rPr>
                    <w:t>本项目使用情况（g/L）</w:t>
                  </w:r>
                </w:p>
              </w:tc>
              <w:tc>
                <w:tcPr>
                  <w:tcW w:w="1501" w:type="dxa"/>
                  <w:shd w:val="clear" w:color="auto" w:fill="auto"/>
                  <w:noWrap w:val="0"/>
                  <w:vAlign w:val="center"/>
                </w:tcPr>
                <w:p w14:paraId="4BA44221">
                  <w:pPr>
                    <w:pStyle w:val="2"/>
                    <w:spacing w:before="0" w:after="0" w:line="240" w:lineRule="auto"/>
                    <w:ind w:firstLine="0" w:firstLineChars="0"/>
                    <w:jc w:val="center"/>
                    <w:rPr>
                      <w:rFonts w:ascii="Times New Roman" w:hAnsi="Times New Roman"/>
                      <w:b/>
                      <w:bCs/>
                      <w:sz w:val="21"/>
                      <w:szCs w:val="21"/>
                    </w:rPr>
                  </w:pPr>
                  <w:r>
                    <w:rPr>
                      <w:rFonts w:ascii="Times New Roman" w:hAnsi="Times New Roman"/>
                      <w:b/>
                      <w:bCs/>
                      <w:sz w:val="21"/>
                      <w:szCs w:val="21"/>
                    </w:rPr>
                    <w:t>是否符合限值要求</w:t>
                  </w:r>
                </w:p>
              </w:tc>
            </w:tr>
            <w:tr w14:paraId="6100E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 w:type="dxa"/>
                  <w:vMerge w:val="restart"/>
                  <w:shd w:val="clear" w:color="auto" w:fill="auto"/>
                  <w:noWrap w:val="0"/>
                  <w:vAlign w:val="center"/>
                </w:tcPr>
                <w:p w14:paraId="7CF31B7F">
                  <w:pPr>
                    <w:pStyle w:val="2"/>
                    <w:spacing w:before="0" w:after="0" w:line="240" w:lineRule="auto"/>
                    <w:ind w:firstLine="0" w:firstLineChars="0"/>
                    <w:jc w:val="center"/>
                    <w:rPr>
                      <w:rFonts w:ascii="Times New Roman" w:hAnsi="Times New Roman"/>
                      <w:sz w:val="21"/>
                      <w:szCs w:val="21"/>
                    </w:rPr>
                  </w:pPr>
                  <w:r>
                    <w:rPr>
                      <w:rFonts w:ascii="Times New Roman" w:hAnsi="Times New Roman"/>
                      <w:sz w:val="21"/>
                      <w:szCs w:val="21"/>
                    </w:rPr>
                    <w:t>工业防护涂料</w:t>
                  </w:r>
                </w:p>
              </w:tc>
              <w:tc>
                <w:tcPr>
                  <w:tcW w:w="884" w:type="dxa"/>
                  <w:vMerge w:val="restart"/>
                  <w:shd w:val="clear" w:color="auto" w:fill="auto"/>
                  <w:noWrap w:val="0"/>
                  <w:vAlign w:val="center"/>
                </w:tcPr>
                <w:p w14:paraId="3C1A0874">
                  <w:pPr>
                    <w:pStyle w:val="2"/>
                    <w:spacing w:before="0" w:after="0" w:line="240" w:lineRule="auto"/>
                    <w:ind w:firstLine="0" w:firstLineChars="0"/>
                    <w:jc w:val="center"/>
                    <w:rPr>
                      <w:rFonts w:ascii="Times New Roman" w:hAnsi="Times New Roman"/>
                      <w:sz w:val="21"/>
                      <w:szCs w:val="21"/>
                    </w:rPr>
                  </w:pPr>
                  <w:r>
                    <w:rPr>
                      <w:rFonts w:ascii="Times New Roman" w:hAnsi="Times New Roman"/>
                      <w:sz w:val="21"/>
                      <w:szCs w:val="21"/>
                    </w:rPr>
                    <w:t>机械设备涂料</w:t>
                  </w:r>
                </w:p>
              </w:tc>
              <w:tc>
                <w:tcPr>
                  <w:tcW w:w="851" w:type="dxa"/>
                  <w:vMerge w:val="restart"/>
                  <w:shd w:val="clear" w:color="auto" w:fill="auto"/>
                  <w:noWrap w:val="0"/>
                  <w:vAlign w:val="center"/>
                </w:tcPr>
                <w:p w14:paraId="7B5C6412">
                  <w:pPr>
                    <w:pStyle w:val="2"/>
                    <w:spacing w:before="0" w:after="0" w:line="240" w:lineRule="auto"/>
                    <w:ind w:firstLine="0" w:firstLineChars="0"/>
                    <w:jc w:val="center"/>
                    <w:rPr>
                      <w:rFonts w:ascii="Times New Roman" w:hAnsi="Times New Roman"/>
                      <w:sz w:val="21"/>
                      <w:szCs w:val="21"/>
                    </w:rPr>
                  </w:pPr>
                  <w:r>
                    <w:rPr>
                      <w:rFonts w:ascii="Times New Roman" w:hAnsi="Times New Roman"/>
                      <w:sz w:val="21"/>
                      <w:szCs w:val="21"/>
                    </w:rPr>
                    <w:t>溶剂型涂料</w:t>
                  </w:r>
                </w:p>
              </w:tc>
              <w:tc>
                <w:tcPr>
                  <w:tcW w:w="1514" w:type="dxa"/>
                  <w:gridSpan w:val="2"/>
                  <w:shd w:val="clear" w:color="auto" w:fill="auto"/>
                  <w:noWrap w:val="0"/>
                  <w:vAlign w:val="center"/>
                </w:tcPr>
                <w:p w14:paraId="5181F4C4">
                  <w:pPr>
                    <w:pStyle w:val="2"/>
                    <w:spacing w:before="0" w:after="0" w:line="240" w:lineRule="auto"/>
                    <w:ind w:firstLine="0" w:firstLineChars="0"/>
                    <w:jc w:val="center"/>
                    <w:rPr>
                      <w:rFonts w:ascii="Times New Roman" w:hAnsi="Times New Roman"/>
                      <w:sz w:val="21"/>
                      <w:szCs w:val="21"/>
                    </w:rPr>
                  </w:pPr>
                  <w:r>
                    <w:rPr>
                      <w:rFonts w:ascii="Times New Roman" w:hAnsi="Times New Roman"/>
                      <w:sz w:val="21"/>
                      <w:szCs w:val="21"/>
                    </w:rPr>
                    <w:t>底漆</w:t>
                  </w:r>
                </w:p>
              </w:tc>
              <w:tc>
                <w:tcPr>
                  <w:tcW w:w="760" w:type="dxa"/>
                  <w:shd w:val="clear" w:color="auto" w:fill="auto"/>
                  <w:noWrap w:val="0"/>
                  <w:vAlign w:val="center"/>
                </w:tcPr>
                <w:p w14:paraId="23FA6931">
                  <w:pPr>
                    <w:pStyle w:val="2"/>
                    <w:spacing w:before="0" w:after="0" w:line="240" w:lineRule="auto"/>
                    <w:ind w:firstLine="0" w:firstLineChars="0"/>
                    <w:jc w:val="center"/>
                    <w:rPr>
                      <w:rFonts w:ascii="Times New Roman" w:hAnsi="Times New Roman"/>
                      <w:sz w:val="21"/>
                      <w:szCs w:val="21"/>
                    </w:rPr>
                  </w:pPr>
                  <w:r>
                    <w:rPr>
                      <w:rFonts w:ascii="Times New Roman" w:hAnsi="Times New Roman"/>
                      <w:sz w:val="21"/>
                      <w:szCs w:val="21"/>
                    </w:rPr>
                    <w:t>≤420</w:t>
                  </w:r>
                </w:p>
              </w:tc>
              <w:tc>
                <w:tcPr>
                  <w:tcW w:w="2016" w:type="dxa"/>
                  <w:shd w:val="clear" w:color="auto" w:fill="auto"/>
                  <w:noWrap w:val="0"/>
                  <w:vAlign w:val="center"/>
                </w:tcPr>
                <w:p w14:paraId="0B7556DD">
                  <w:pPr>
                    <w:pStyle w:val="2"/>
                    <w:spacing w:before="0" w:after="0" w:line="240" w:lineRule="auto"/>
                    <w:ind w:firstLine="0" w:firstLineChars="0"/>
                    <w:jc w:val="center"/>
                    <w:rPr>
                      <w:rFonts w:hint="default" w:ascii="Times New Roman" w:hAnsi="Times New Roman" w:eastAsia="宋体"/>
                      <w:sz w:val="21"/>
                      <w:szCs w:val="21"/>
                      <w:lang w:val="en-US" w:eastAsia="zh-CN"/>
                    </w:rPr>
                  </w:pPr>
                  <w:r>
                    <w:rPr>
                      <w:rFonts w:ascii="Times New Roman" w:hAnsi="Times New Roman"/>
                      <w:sz w:val="21"/>
                      <w:szCs w:val="21"/>
                    </w:rPr>
                    <w:t>底漆</w:t>
                  </w:r>
                  <w:r>
                    <w:rPr>
                      <w:rFonts w:hint="eastAsia" w:ascii="Times New Roman" w:hAnsi="Times New Roman"/>
                      <w:sz w:val="21"/>
                      <w:szCs w:val="21"/>
                      <w:lang w:val="en-US" w:eastAsia="zh-CN"/>
                    </w:rPr>
                    <w:t>3</w:t>
                  </w:r>
                  <w:r>
                    <w:rPr>
                      <w:rFonts w:hint="eastAsia"/>
                      <w:sz w:val="21"/>
                      <w:szCs w:val="21"/>
                      <w:lang w:val="en-US" w:eastAsia="zh-CN"/>
                    </w:rPr>
                    <w:t>93.12</w:t>
                  </w:r>
                </w:p>
              </w:tc>
              <w:tc>
                <w:tcPr>
                  <w:tcW w:w="1501" w:type="dxa"/>
                  <w:shd w:val="clear" w:color="auto" w:fill="auto"/>
                  <w:noWrap w:val="0"/>
                  <w:vAlign w:val="center"/>
                </w:tcPr>
                <w:p w14:paraId="283AECE8">
                  <w:pPr>
                    <w:pStyle w:val="2"/>
                    <w:spacing w:before="0" w:after="0" w:line="240" w:lineRule="auto"/>
                    <w:ind w:firstLine="0" w:firstLineChars="0"/>
                    <w:jc w:val="center"/>
                    <w:rPr>
                      <w:rFonts w:ascii="Times New Roman" w:hAnsi="Times New Roman"/>
                      <w:sz w:val="21"/>
                      <w:szCs w:val="21"/>
                    </w:rPr>
                  </w:pPr>
                  <w:r>
                    <w:rPr>
                      <w:rFonts w:ascii="Times New Roman" w:hAnsi="Times New Roman"/>
                      <w:sz w:val="21"/>
                      <w:szCs w:val="21"/>
                    </w:rPr>
                    <w:t>符合</w:t>
                  </w:r>
                </w:p>
              </w:tc>
            </w:tr>
            <w:tr w14:paraId="6FB54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848" w:type="dxa"/>
                  <w:vMerge w:val="continue"/>
                  <w:shd w:val="clear" w:color="auto" w:fill="auto"/>
                  <w:noWrap w:val="0"/>
                  <w:vAlign w:val="center"/>
                </w:tcPr>
                <w:p w14:paraId="0846244B">
                  <w:pPr>
                    <w:pStyle w:val="2"/>
                    <w:spacing w:before="0" w:after="0" w:line="240" w:lineRule="auto"/>
                    <w:ind w:firstLine="0" w:firstLineChars="0"/>
                    <w:jc w:val="center"/>
                    <w:rPr>
                      <w:rFonts w:ascii="Times New Roman" w:hAnsi="Times New Roman"/>
                      <w:sz w:val="21"/>
                      <w:szCs w:val="21"/>
                    </w:rPr>
                  </w:pPr>
                </w:p>
              </w:tc>
              <w:tc>
                <w:tcPr>
                  <w:tcW w:w="884" w:type="dxa"/>
                  <w:vMerge w:val="continue"/>
                  <w:shd w:val="clear" w:color="auto" w:fill="auto"/>
                  <w:noWrap w:val="0"/>
                  <w:vAlign w:val="center"/>
                </w:tcPr>
                <w:p w14:paraId="450A8A51">
                  <w:pPr>
                    <w:pStyle w:val="2"/>
                    <w:spacing w:before="0" w:after="0" w:line="240" w:lineRule="auto"/>
                    <w:ind w:firstLine="0" w:firstLineChars="0"/>
                    <w:jc w:val="center"/>
                    <w:rPr>
                      <w:rFonts w:ascii="Times New Roman" w:hAnsi="Times New Roman"/>
                      <w:sz w:val="21"/>
                      <w:szCs w:val="21"/>
                    </w:rPr>
                  </w:pPr>
                </w:p>
              </w:tc>
              <w:tc>
                <w:tcPr>
                  <w:tcW w:w="851" w:type="dxa"/>
                  <w:vMerge w:val="continue"/>
                  <w:shd w:val="clear" w:color="auto" w:fill="auto"/>
                  <w:noWrap w:val="0"/>
                  <w:vAlign w:val="center"/>
                </w:tcPr>
                <w:p w14:paraId="408C7C28">
                  <w:pPr>
                    <w:pStyle w:val="2"/>
                    <w:spacing w:before="0" w:after="0" w:line="240" w:lineRule="auto"/>
                    <w:ind w:firstLine="0" w:firstLineChars="0"/>
                    <w:jc w:val="center"/>
                    <w:rPr>
                      <w:rFonts w:ascii="Times New Roman" w:hAnsi="Times New Roman"/>
                      <w:sz w:val="21"/>
                      <w:szCs w:val="21"/>
                    </w:rPr>
                  </w:pPr>
                </w:p>
              </w:tc>
              <w:tc>
                <w:tcPr>
                  <w:tcW w:w="555" w:type="dxa"/>
                  <w:vMerge w:val="restart"/>
                  <w:shd w:val="clear" w:color="auto" w:fill="auto"/>
                  <w:noWrap w:val="0"/>
                  <w:vAlign w:val="center"/>
                </w:tcPr>
                <w:p w14:paraId="243A9BA4">
                  <w:pPr>
                    <w:pStyle w:val="2"/>
                    <w:spacing w:before="0" w:after="0" w:line="240" w:lineRule="auto"/>
                    <w:ind w:firstLine="0" w:firstLineChars="0"/>
                    <w:jc w:val="center"/>
                    <w:rPr>
                      <w:rFonts w:ascii="Times New Roman" w:hAnsi="Times New Roman"/>
                      <w:sz w:val="21"/>
                      <w:szCs w:val="21"/>
                    </w:rPr>
                  </w:pPr>
                  <w:r>
                    <w:rPr>
                      <w:rFonts w:ascii="Times New Roman" w:hAnsi="Times New Roman"/>
                      <w:sz w:val="21"/>
                      <w:szCs w:val="21"/>
                    </w:rPr>
                    <w:t>面漆</w:t>
                  </w:r>
                </w:p>
              </w:tc>
              <w:tc>
                <w:tcPr>
                  <w:tcW w:w="959" w:type="dxa"/>
                  <w:shd w:val="clear" w:color="auto" w:fill="auto"/>
                  <w:noWrap w:val="0"/>
                  <w:vAlign w:val="center"/>
                </w:tcPr>
                <w:p w14:paraId="74B537C8">
                  <w:pPr>
                    <w:pStyle w:val="2"/>
                    <w:spacing w:before="0" w:after="0" w:line="240" w:lineRule="auto"/>
                    <w:ind w:firstLine="0" w:firstLineChars="0"/>
                    <w:jc w:val="center"/>
                    <w:rPr>
                      <w:rFonts w:ascii="Times New Roman" w:hAnsi="Times New Roman"/>
                      <w:sz w:val="21"/>
                      <w:szCs w:val="21"/>
                    </w:rPr>
                  </w:pPr>
                  <w:r>
                    <w:rPr>
                      <w:rFonts w:ascii="Times New Roman" w:hAnsi="Times New Roman"/>
                      <w:sz w:val="21"/>
                      <w:szCs w:val="21"/>
                    </w:rPr>
                    <w:t>单组分</w:t>
                  </w:r>
                </w:p>
              </w:tc>
              <w:tc>
                <w:tcPr>
                  <w:tcW w:w="760" w:type="dxa"/>
                  <w:shd w:val="clear" w:color="auto" w:fill="auto"/>
                  <w:noWrap w:val="0"/>
                  <w:vAlign w:val="center"/>
                </w:tcPr>
                <w:p w14:paraId="4D9C71DB">
                  <w:pPr>
                    <w:pStyle w:val="2"/>
                    <w:spacing w:before="0" w:after="0" w:line="240" w:lineRule="auto"/>
                    <w:ind w:firstLine="0" w:firstLineChars="0"/>
                    <w:jc w:val="center"/>
                    <w:rPr>
                      <w:rFonts w:ascii="Times New Roman" w:hAnsi="Times New Roman"/>
                      <w:sz w:val="21"/>
                      <w:szCs w:val="21"/>
                    </w:rPr>
                  </w:pPr>
                  <w:r>
                    <w:rPr>
                      <w:rFonts w:ascii="Times New Roman" w:hAnsi="Times New Roman"/>
                      <w:sz w:val="21"/>
                      <w:szCs w:val="21"/>
                    </w:rPr>
                    <w:t>≤580</w:t>
                  </w:r>
                </w:p>
              </w:tc>
              <w:tc>
                <w:tcPr>
                  <w:tcW w:w="2016" w:type="dxa"/>
                  <w:shd w:val="clear" w:color="auto" w:fill="auto"/>
                  <w:noWrap w:val="0"/>
                  <w:vAlign w:val="center"/>
                </w:tcPr>
                <w:p w14:paraId="01C127FF">
                  <w:pPr>
                    <w:pStyle w:val="2"/>
                    <w:spacing w:before="0" w:after="0" w:line="240" w:lineRule="auto"/>
                    <w:ind w:firstLine="0" w:firstLineChars="0"/>
                    <w:jc w:val="center"/>
                    <w:rPr>
                      <w:rFonts w:ascii="Times New Roman" w:hAnsi="Times New Roman"/>
                      <w:sz w:val="21"/>
                      <w:szCs w:val="21"/>
                    </w:rPr>
                  </w:pPr>
                  <w:r>
                    <w:rPr>
                      <w:rFonts w:ascii="Times New Roman" w:hAnsi="Times New Roman"/>
                      <w:sz w:val="21"/>
                      <w:szCs w:val="21"/>
                    </w:rPr>
                    <w:t>/</w:t>
                  </w:r>
                </w:p>
              </w:tc>
              <w:tc>
                <w:tcPr>
                  <w:tcW w:w="1501" w:type="dxa"/>
                  <w:shd w:val="clear" w:color="auto" w:fill="auto"/>
                  <w:noWrap w:val="0"/>
                  <w:vAlign w:val="center"/>
                </w:tcPr>
                <w:p w14:paraId="0F89BC7B">
                  <w:pPr>
                    <w:pStyle w:val="2"/>
                    <w:spacing w:before="0" w:after="0" w:line="240" w:lineRule="auto"/>
                    <w:ind w:firstLine="0" w:firstLineChars="0"/>
                    <w:jc w:val="center"/>
                    <w:rPr>
                      <w:rFonts w:ascii="Times New Roman" w:hAnsi="Times New Roman"/>
                      <w:sz w:val="21"/>
                      <w:szCs w:val="21"/>
                    </w:rPr>
                  </w:pPr>
                  <w:r>
                    <w:rPr>
                      <w:rFonts w:ascii="Times New Roman" w:hAnsi="Times New Roman"/>
                      <w:sz w:val="21"/>
                      <w:szCs w:val="21"/>
                    </w:rPr>
                    <w:t>/</w:t>
                  </w:r>
                </w:p>
              </w:tc>
            </w:tr>
            <w:tr w14:paraId="4C872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 w:type="dxa"/>
                  <w:vMerge w:val="continue"/>
                  <w:shd w:val="clear" w:color="auto" w:fill="auto"/>
                  <w:noWrap w:val="0"/>
                  <w:vAlign w:val="center"/>
                </w:tcPr>
                <w:p w14:paraId="3425DA45">
                  <w:pPr>
                    <w:pStyle w:val="2"/>
                    <w:spacing w:before="0" w:after="0" w:line="240" w:lineRule="auto"/>
                    <w:ind w:firstLine="0" w:firstLineChars="0"/>
                    <w:jc w:val="center"/>
                    <w:rPr>
                      <w:rFonts w:ascii="Times New Roman" w:hAnsi="Times New Roman"/>
                      <w:sz w:val="21"/>
                      <w:szCs w:val="21"/>
                    </w:rPr>
                  </w:pPr>
                </w:p>
              </w:tc>
              <w:tc>
                <w:tcPr>
                  <w:tcW w:w="884" w:type="dxa"/>
                  <w:vMerge w:val="continue"/>
                  <w:shd w:val="clear" w:color="auto" w:fill="auto"/>
                  <w:noWrap w:val="0"/>
                  <w:vAlign w:val="center"/>
                </w:tcPr>
                <w:p w14:paraId="0FD6BE60">
                  <w:pPr>
                    <w:pStyle w:val="2"/>
                    <w:spacing w:before="0" w:after="0" w:line="240" w:lineRule="auto"/>
                    <w:ind w:firstLine="0" w:firstLineChars="0"/>
                    <w:jc w:val="center"/>
                    <w:rPr>
                      <w:rFonts w:ascii="Times New Roman" w:hAnsi="Times New Roman"/>
                      <w:sz w:val="21"/>
                      <w:szCs w:val="21"/>
                    </w:rPr>
                  </w:pPr>
                </w:p>
              </w:tc>
              <w:tc>
                <w:tcPr>
                  <w:tcW w:w="851" w:type="dxa"/>
                  <w:vMerge w:val="continue"/>
                  <w:shd w:val="clear" w:color="auto" w:fill="auto"/>
                  <w:noWrap w:val="0"/>
                  <w:vAlign w:val="center"/>
                </w:tcPr>
                <w:p w14:paraId="2349FEFF">
                  <w:pPr>
                    <w:pStyle w:val="2"/>
                    <w:spacing w:before="0" w:after="0" w:line="240" w:lineRule="auto"/>
                    <w:ind w:firstLine="0" w:firstLineChars="0"/>
                    <w:jc w:val="center"/>
                    <w:rPr>
                      <w:rFonts w:ascii="Times New Roman" w:hAnsi="Times New Roman"/>
                      <w:sz w:val="21"/>
                      <w:szCs w:val="21"/>
                    </w:rPr>
                  </w:pPr>
                </w:p>
              </w:tc>
              <w:tc>
                <w:tcPr>
                  <w:tcW w:w="555" w:type="dxa"/>
                  <w:vMerge w:val="continue"/>
                  <w:shd w:val="clear" w:color="auto" w:fill="auto"/>
                  <w:noWrap w:val="0"/>
                  <w:vAlign w:val="center"/>
                </w:tcPr>
                <w:p w14:paraId="4DE351D9">
                  <w:pPr>
                    <w:pStyle w:val="2"/>
                    <w:spacing w:before="0" w:after="0" w:line="240" w:lineRule="auto"/>
                    <w:ind w:firstLine="0" w:firstLineChars="0"/>
                    <w:jc w:val="center"/>
                    <w:rPr>
                      <w:rFonts w:ascii="Times New Roman" w:hAnsi="Times New Roman"/>
                      <w:sz w:val="21"/>
                      <w:szCs w:val="21"/>
                    </w:rPr>
                  </w:pPr>
                </w:p>
              </w:tc>
              <w:tc>
                <w:tcPr>
                  <w:tcW w:w="959" w:type="dxa"/>
                  <w:shd w:val="clear" w:color="auto" w:fill="auto"/>
                  <w:noWrap w:val="0"/>
                  <w:vAlign w:val="center"/>
                </w:tcPr>
                <w:p w14:paraId="6C464508">
                  <w:pPr>
                    <w:pStyle w:val="2"/>
                    <w:spacing w:before="0" w:after="0" w:line="240" w:lineRule="auto"/>
                    <w:ind w:firstLine="0" w:firstLineChars="0"/>
                    <w:jc w:val="center"/>
                    <w:rPr>
                      <w:rFonts w:ascii="Times New Roman" w:hAnsi="Times New Roman"/>
                      <w:sz w:val="21"/>
                      <w:szCs w:val="21"/>
                    </w:rPr>
                  </w:pPr>
                  <w:r>
                    <w:rPr>
                      <w:rFonts w:ascii="Times New Roman" w:hAnsi="Times New Roman"/>
                      <w:sz w:val="21"/>
                      <w:szCs w:val="21"/>
                    </w:rPr>
                    <w:t>双组份</w:t>
                  </w:r>
                </w:p>
              </w:tc>
              <w:tc>
                <w:tcPr>
                  <w:tcW w:w="760" w:type="dxa"/>
                  <w:shd w:val="clear" w:color="auto" w:fill="auto"/>
                  <w:noWrap w:val="0"/>
                  <w:vAlign w:val="center"/>
                </w:tcPr>
                <w:p w14:paraId="4409CEB2">
                  <w:pPr>
                    <w:pStyle w:val="2"/>
                    <w:spacing w:before="0" w:after="0" w:line="240" w:lineRule="auto"/>
                    <w:ind w:firstLine="0" w:firstLineChars="0"/>
                    <w:jc w:val="center"/>
                    <w:rPr>
                      <w:rFonts w:ascii="Times New Roman" w:hAnsi="Times New Roman"/>
                      <w:sz w:val="21"/>
                      <w:szCs w:val="21"/>
                    </w:rPr>
                  </w:pPr>
                  <w:r>
                    <w:rPr>
                      <w:rFonts w:ascii="Times New Roman" w:hAnsi="Times New Roman"/>
                      <w:sz w:val="21"/>
                      <w:szCs w:val="21"/>
                    </w:rPr>
                    <w:t>≤420</w:t>
                  </w:r>
                </w:p>
              </w:tc>
              <w:tc>
                <w:tcPr>
                  <w:tcW w:w="2016" w:type="dxa"/>
                  <w:shd w:val="clear" w:color="auto" w:fill="auto"/>
                  <w:noWrap w:val="0"/>
                  <w:vAlign w:val="center"/>
                </w:tcPr>
                <w:p w14:paraId="2015A65E">
                  <w:pPr>
                    <w:pStyle w:val="2"/>
                    <w:spacing w:before="0" w:after="0" w:line="240" w:lineRule="auto"/>
                    <w:ind w:firstLine="0" w:firstLineChars="0"/>
                    <w:jc w:val="center"/>
                    <w:rPr>
                      <w:rFonts w:hint="eastAsia" w:ascii="Times New Roman" w:hAnsi="Times New Roman" w:eastAsia="宋体"/>
                      <w:sz w:val="21"/>
                      <w:szCs w:val="21"/>
                      <w:lang w:val="en-US" w:eastAsia="zh-CN"/>
                    </w:rPr>
                  </w:pPr>
                  <w:r>
                    <w:rPr>
                      <w:rFonts w:hint="eastAsia" w:ascii="Times New Roman" w:hAnsi="Times New Roman"/>
                      <w:sz w:val="21"/>
                      <w:szCs w:val="21"/>
                      <w:lang w:val="en-US" w:eastAsia="zh-CN"/>
                    </w:rPr>
                    <w:t>/</w:t>
                  </w:r>
                </w:p>
              </w:tc>
              <w:tc>
                <w:tcPr>
                  <w:tcW w:w="1501" w:type="dxa"/>
                  <w:shd w:val="clear" w:color="auto" w:fill="auto"/>
                  <w:noWrap w:val="0"/>
                  <w:vAlign w:val="center"/>
                </w:tcPr>
                <w:p w14:paraId="56BD3B4F">
                  <w:pPr>
                    <w:pStyle w:val="2"/>
                    <w:spacing w:before="0" w:after="0" w:line="240" w:lineRule="auto"/>
                    <w:ind w:firstLine="0" w:firstLineChars="0"/>
                    <w:jc w:val="center"/>
                    <w:rPr>
                      <w:rFonts w:hint="eastAsia" w:ascii="Times New Roman" w:hAnsi="Times New Roman" w:eastAsia="宋体"/>
                      <w:sz w:val="21"/>
                      <w:szCs w:val="21"/>
                      <w:lang w:val="en-US" w:eastAsia="zh-CN"/>
                    </w:rPr>
                  </w:pPr>
                  <w:r>
                    <w:rPr>
                      <w:rFonts w:hint="eastAsia" w:ascii="Times New Roman" w:hAnsi="Times New Roman"/>
                      <w:sz w:val="21"/>
                      <w:szCs w:val="21"/>
                      <w:lang w:val="en-US" w:eastAsia="zh-CN"/>
                    </w:rPr>
                    <w:t>/</w:t>
                  </w:r>
                </w:p>
              </w:tc>
            </w:tr>
            <w:tr w14:paraId="0E8C4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 w:type="dxa"/>
                  <w:shd w:val="clear" w:color="auto" w:fill="auto"/>
                  <w:noWrap w:val="0"/>
                  <w:vAlign w:val="center"/>
                </w:tcPr>
                <w:p w14:paraId="0E063534">
                  <w:pPr>
                    <w:pStyle w:val="2"/>
                    <w:spacing w:before="0" w:after="0" w:line="240" w:lineRule="auto"/>
                    <w:ind w:right="113" w:rightChars="0" w:firstLine="0" w:firstLineChars="0"/>
                    <w:jc w:val="center"/>
                    <w:rPr>
                      <w:rFonts w:ascii="Times New Roman" w:hAnsi="Times New Roman" w:eastAsia="宋体" w:cs="Times New Roman"/>
                      <w:kern w:val="0"/>
                      <w:sz w:val="21"/>
                      <w:szCs w:val="21"/>
                      <w:lang w:val="en-US" w:eastAsia="zh-CN" w:bidi="ar-SA"/>
                    </w:rPr>
                  </w:pPr>
                  <w:r>
                    <w:rPr>
                      <w:rFonts w:ascii="Times New Roman" w:hAnsi="Times New Roman"/>
                      <w:sz w:val="21"/>
                      <w:szCs w:val="21"/>
                    </w:rPr>
                    <w:t>工业防护涂料</w:t>
                  </w:r>
                </w:p>
              </w:tc>
              <w:tc>
                <w:tcPr>
                  <w:tcW w:w="884" w:type="dxa"/>
                  <w:shd w:val="clear" w:color="auto" w:fill="auto"/>
                  <w:noWrap w:val="0"/>
                  <w:vAlign w:val="center"/>
                </w:tcPr>
                <w:p w14:paraId="38BE2EC3">
                  <w:pPr>
                    <w:pStyle w:val="2"/>
                    <w:spacing w:before="0" w:after="0" w:line="240" w:lineRule="auto"/>
                    <w:ind w:right="113" w:rightChars="0" w:firstLine="0" w:firstLineChars="0"/>
                    <w:jc w:val="center"/>
                    <w:rPr>
                      <w:rFonts w:ascii="Times New Roman" w:hAnsi="Times New Roman" w:eastAsia="宋体" w:cs="Times New Roman"/>
                      <w:kern w:val="0"/>
                      <w:sz w:val="21"/>
                      <w:szCs w:val="21"/>
                      <w:lang w:val="en-US" w:eastAsia="zh-CN" w:bidi="ar-SA"/>
                    </w:rPr>
                  </w:pPr>
                  <w:r>
                    <w:rPr>
                      <w:rFonts w:ascii="Times New Roman" w:hAnsi="Times New Roman"/>
                      <w:sz w:val="21"/>
                      <w:szCs w:val="21"/>
                    </w:rPr>
                    <w:t>机械设备涂料</w:t>
                  </w:r>
                </w:p>
              </w:tc>
              <w:tc>
                <w:tcPr>
                  <w:tcW w:w="851" w:type="dxa"/>
                  <w:shd w:val="clear" w:color="auto" w:fill="auto"/>
                  <w:noWrap w:val="0"/>
                  <w:vAlign w:val="center"/>
                </w:tcPr>
                <w:p w14:paraId="0D74C1EA">
                  <w:pPr>
                    <w:pStyle w:val="2"/>
                    <w:spacing w:before="0" w:after="0" w:line="240" w:lineRule="auto"/>
                    <w:ind w:right="113" w:rightChars="0" w:firstLine="0" w:firstLineChars="0"/>
                    <w:jc w:val="center"/>
                    <w:rPr>
                      <w:rFonts w:ascii="Times New Roman" w:hAnsi="Times New Roman" w:eastAsia="宋体" w:cs="Times New Roman"/>
                      <w:kern w:val="0"/>
                      <w:sz w:val="21"/>
                      <w:szCs w:val="21"/>
                      <w:lang w:val="en-US" w:eastAsia="zh-CN" w:bidi="ar-SA"/>
                    </w:rPr>
                  </w:pPr>
                  <w:r>
                    <w:rPr>
                      <w:rFonts w:hint="eastAsia"/>
                      <w:sz w:val="21"/>
                      <w:szCs w:val="21"/>
                      <w:lang w:eastAsia="zh-CN"/>
                    </w:rPr>
                    <w:t>水性</w:t>
                  </w:r>
                  <w:r>
                    <w:rPr>
                      <w:rFonts w:ascii="Times New Roman" w:hAnsi="Times New Roman"/>
                      <w:sz w:val="21"/>
                      <w:szCs w:val="21"/>
                    </w:rPr>
                    <w:t>涂料</w:t>
                  </w:r>
                </w:p>
              </w:tc>
              <w:tc>
                <w:tcPr>
                  <w:tcW w:w="1514" w:type="dxa"/>
                  <w:gridSpan w:val="2"/>
                  <w:shd w:val="clear" w:color="auto" w:fill="auto"/>
                  <w:noWrap w:val="0"/>
                  <w:vAlign w:val="center"/>
                </w:tcPr>
                <w:p w14:paraId="0911AAC2">
                  <w:pPr>
                    <w:pStyle w:val="2"/>
                    <w:spacing w:before="0" w:after="0" w:line="240" w:lineRule="auto"/>
                    <w:ind w:firstLine="0" w:firstLineChars="0"/>
                    <w:jc w:val="center"/>
                    <w:rPr>
                      <w:rFonts w:hint="eastAsia" w:ascii="Times New Roman" w:hAnsi="Times New Roman" w:eastAsia="宋体"/>
                      <w:sz w:val="21"/>
                      <w:szCs w:val="21"/>
                      <w:lang w:eastAsia="zh-CN"/>
                    </w:rPr>
                  </w:pPr>
                  <w:r>
                    <w:rPr>
                      <w:rFonts w:hint="eastAsia"/>
                      <w:sz w:val="21"/>
                      <w:szCs w:val="21"/>
                      <w:lang w:eastAsia="zh-CN"/>
                    </w:rPr>
                    <w:t>底漆</w:t>
                  </w:r>
                </w:p>
              </w:tc>
              <w:tc>
                <w:tcPr>
                  <w:tcW w:w="760" w:type="dxa"/>
                  <w:shd w:val="clear" w:color="auto" w:fill="auto"/>
                  <w:noWrap w:val="0"/>
                  <w:vAlign w:val="center"/>
                </w:tcPr>
                <w:p w14:paraId="05AF33BF">
                  <w:pPr>
                    <w:pStyle w:val="2"/>
                    <w:spacing w:before="0" w:after="0" w:line="240" w:lineRule="auto"/>
                    <w:ind w:firstLine="0" w:firstLineChars="0"/>
                    <w:jc w:val="center"/>
                    <w:rPr>
                      <w:rFonts w:ascii="Times New Roman" w:hAnsi="Times New Roman"/>
                      <w:sz w:val="21"/>
                      <w:szCs w:val="21"/>
                    </w:rPr>
                  </w:pPr>
                  <w:r>
                    <w:rPr>
                      <w:rFonts w:ascii="Times New Roman" w:hAnsi="Times New Roman"/>
                      <w:sz w:val="21"/>
                      <w:szCs w:val="21"/>
                    </w:rPr>
                    <w:t>≤</w:t>
                  </w:r>
                  <w:r>
                    <w:rPr>
                      <w:rFonts w:hint="eastAsia"/>
                      <w:sz w:val="21"/>
                      <w:szCs w:val="21"/>
                      <w:lang w:val="en-US" w:eastAsia="zh-CN"/>
                    </w:rPr>
                    <w:t>25</w:t>
                  </w:r>
                  <w:r>
                    <w:rPr>
                      <w:rFonts w:ascii="Times New Roman" w:hAnsi="Times New Roman"/>
                      <w:sz w:val="21"/>
                      <w:szCs w:val="21"/>
                    </w:rPr>
                    <w:t>0</w:t>
                  </w:r>
                </w:p>
              </w:tc>
              <w:tc>
                <w:tcPr>
                  <w:tcW w:w="2016" w:type="dxa"/>
                  <w:shd w:val="clear" w:color="auto" w:fill="auto"/>
                  <w:noWrap w:val="0"/>
                  <w:vAlign w:val="center"/>
                </w:tcPr>
                <w:p w14:paraId="04653EE3">
                  <w:pPr>
                    <w:pStyle w:val="2"/>
                    <w:spacing w:before="0" w:after="0" w:line="240" w:lineRule="auto"/>
                    <w:ind w:firstLine="0" w:firstLineChars="0"/>
                    <w:jc w:val="center"/>
                    <w:rPr>
                      <w:rFonts w:hint="default" w:ascii="Times New Roman" w:hAnsi="Times New Roman"/>
                      <w:sz w:val="21"/>
                      <w:szCs w:val="21"/>
                      <w:lang w:val="en-US" w:eastAsia="zh-CN"/>
                    </w:rPr>
                  </w:pPr>
                  <w:r>
                    <w:rPr>
                      <w:rFonts w:hint="eastAsia"/>
                      <w:sz w:val="21"/>
                      <w:szCs w:val="21"/>
                      <w:lang w:val="en-US" w:eastAsia="zh-CN"/>
                    </w:rPr>
                    <w:t>底漆98</w:t>
                  </w:r>
                </w:p>
              </w:tc>
              <w:tc>
                <w:tcPr>
                  <w:tcW w:w="1501" w:type="dxa"/>
                  <w:shd w:val="clear" w:color="auto" w:fill="auto"/>
                  <w:noWrap w:val="0"/>
                  <w:vAlign w:val="center"/>
                </w:tcPr>
                <w:p w14:paraId="07BC5A71">
                  <w:pPr>
                    <w:pStyle w:val="2"/>
                    <w:spacing w:before="0" w:after="0" w:line="240" w:lineRule="auto"/>
                    <w:ind w:firstLine="0" w:firstLineChars="0"/>
                    <w:jc w:val="center"/>
                    <w:rPr>
                      <w:rFonts w:hint="eastAsia" w:ascii="Times New Roman" w:hAnsi="Times New Roman"/>
                      <w:sz w:val="21"/>
                      <w:szCs w:val="21"/>
                      <w:lang w:val="en-US" w:eastAsia="zh-CN"/>
                    </w:rPr>
                  </w:pPr>
                  <w:r>
                    <w:rPr>
                      <w:rFonts w:ascii="Times New Roman" w:hAnsi="Times New Roman"/>
                      <w:sz w:val="21"/>
                      <w:szCs w:val="21"/>
                    </w:rPr>
                    <w:t>符合</w:t>
                  </w:r>
                </w:p>
              </w:tc>
            </w:tr>
          </w:tbl>
          <w:p w14:paraId="45544EBB">
            <w:pPr>
              <w:keepNext w:val="0"/>
              <w:keepLines w:val="0"/>
              <w:pageBreakBefore w:val="0"/>
              <w:widowControl w:val="0"/>
              <w:kinsoku/>
              <w:wordWrap/>
              <w:overflowPunct/>
              <w:topLinePunct w:val="0"/>
              <w:autoSpaceDE/>
              <w:autoSpaceDN/>
              <w:bidi w:val="0"/>
              <w:adjustRightInd/>
              <w:snapToGrid/>
              <w:ind w:firstLine="480" w:firstLineChars="200"/>
              <w:textAlignment w:val="auto"/>
            </w:pPr>
            <w:r>
              <w:rPr>
                <w:rFonts w:hint="eastAsia" w:ascii="Times New Roman" w:hAnsi="Times New Roman" w:eastAsia="宋体" w:cs="Times New Roman"/>
                <w:kern w:val="0"/>
                <w:sz w:val="24"/>
                <w:szCs w:val="24"/>
                <w:lang w:val="en-US" w:eastAsia="zh-CN" w:bidi="ar-SA"/>
              </w:rPr>
              <w:t>因此，拟建项目的建设符合《低挥发性有机化合物含量涂料产品技术要求》的相关要求。</w:t>
            </w:r>
          </w:p>
          <w:p w14:paraId="6F77C592">
            <w:pPr>
              <w:keepNext w:val="0"/>
              <w:keepLines w:val="0"/>
              <w:pageBreakBefore w:val="0"/>
              <w:widowControl/>
              <w:kinsoku/>
              <w:wordWrap/>
              <w:overflowPunct/>
              <w:topLinePunct w:val="0"/>
              <w:autoSpaceDE/>
              <w:autoSpaceDN/>
              <w:bidi w:val="0"/>
              <w:adjustRightInd/>
              <w:snapToGrid/>
              <w:spacing w:before="0" w:after="0" w:line="360" w:lineRule="auto"/>
              <w:ind w:right="0" w:firstLine="482" w:firstLineChars="200"/>
              <w:jc w:val="both"/>
              <w:textAlignment w:val="auto"/>
              <w:rPr>
                <w:rFonts w:ascii="Times New Roman" w:hAnsi="Times New Roman" w:eastAsia="宋体" w:cs="Times New Roman"/>
                <w:b/>
                <w:kern w:val="0"/>
                <w:sz w:val="24"/>
                <w:szCs w:val="24"/>
                <w:lang w:val="en-US" w:eastAsia="zh-CN" w:bidi="ar-SA"/>
              </w:rPr>
            </w:pPr>
            <w:r>
              <w:rPr>
                <w:rFonts w:hint="eastAsia" w:cs="Times New Roman"/>
                <w:b/>
                <w:kern w:val="0"/>
                <w:sz w:val="24"/>
                <w:szCs w:val="24"/>
                <w:lang w:val="en-US" w:eastAsia="zh-CN" w:bidi="ar-SA"/>
              </w:rPr>
              <w:t>9</w:t>
            </w:r>
            <w:r>
              <w:rPr>
                <w:rFonts w:hint="eastAsia" w:ascii="Times New Roman" w:hAnsi="Times New Roman" w:eastAsia="宋体" w:cs="Times New Roman"/>
                <w:b/>
                <w:kern w:val="0"/>
                <w:sz w:val="24"/>
                <w:szCs w:val="24"/>
                <w:lang w:val="en-US" w:eastAsia="zh-CN" w:bidi="ar-SA"/>
              </w:rPr>
              <w:t>、与《关于印发&lt;安徽省低挥发性有机物含量原辅材料替代工作方案的通知&gt;》（皖环发〔2024〕1号）相符性分析</w:t>
            </w:r>
          </w:p>
          <w:p w14:paraId="0A6CBB42">
            <w:pPr>
              <w:widowControl/>
              <w:numPr>
                <w:ilvl w:val="0"/>
                <w:numId w:val="2"/>
              </w:numPr>
              <w:ind w:left="420" w:hanging="420"/>
              <w:jc w:val="center"/>
              <w:rPr>
                <w:rFonts w:ascii="Times New Roman" w:hAnsi="Times New Roman" w:eastAsia="宋体" w:cs="Times New Roman"/>
                <w:b/>
                <w:kern w:val="0"/>
                <w:sz w:val="21"/>
                <w:szCs w:val="21"/>
                <w:lang w:val="en-US" w:eastAsia="zh-CN" w:bidi="ar-SA"/>
              </w:rPr>
            </w:pPr>
            <w:r>
              <w:rPr>
                <w:rFonts w:hint="eastAsia" w:ascii="Times New Roman" w:hAnsi="Times New Roman" w:eastAsia="宋体" w:cs="Times New Roman"/>
                <w:b/>
                <w:kern w:val="0"/>
                <w:sz w:val="21"/>
                <w:szCs w:val="21"/>
                <w:lang w:val="en-US" w:eastAsia="zh-CN" w:bidi="ar-SA"/>
              </w:rPr>
              <w:t>本</w:t>
            </w:r>
            <w:r>
              <w:rPr>
                <w:rFonts w:hint="eastAsia" w:ascii="Times New Roman" w:hAnsi="Times New Roman" w:eastAsia="宋体" w:cs="Times New Roman"/>
                <w:b/>
                <w:bCs/>
                <w:sz w:val="21"/>
                <w:szCs w:val="21"/>
                <w:lang w:val="en-US" w:eastAsia="zh-CN"/>
              </w:rPr>
              <w:t>项目</w:t>
            </w:r>
            <w:r>
              <w:rPr>
                <w:rFonts w:hint="eastAsia" w:ascii="Times New Roman" w:hAnsi="Times New Roman" w:eastAsia="宋体" w:cs="Times New Roman"/>
                <w:b/>
                <w:kern w:val="0"/>
                <w:sz w:val="21"/>
                <w:szCs w:val="21"/>
                <w:lang w:val="en-US" w:eastAsia="zh-CN" w:bidi="ar-SA"/>
              </w:rPr>
              <w:t>与《安徽省低挥发性有机物含量原辅材料替代工作方案的通知》符合性分析</w:t>
            </w:r>
          </w:p>
          <w:tbl>
            <w:tblPr>
              <w:tblStyle w:val="2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8"/>
              <w:gridCol w:w="4750"/>
              <w:gridCol w:w="2538"/>
              <w:gridCol w:w="691"/>
            </w:tblGrid>
            <w:tr w14:paraId="4492E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vAlign w:val="center"/>
                </w:tcPr>
                <w:p w14:paraId="3E2788EC">
                  <w:pPr>
                    <w:autoSpaceDE w:val="0"/>
                    <w:autoSpaceDN w:val="0"/>
                    <w:spacing w:line="240" w:lineRule="auto"/>
                    <w:jc w:val="center"/>
                    <w:rPr>
                      <w:rFonts w:ascii="Times New Roman" w:hAnsi="Times New Roman" w:eastAsia="宋体" w:cs="Times New Roman"/>
                      <w:b/>
                      <w:bCs/>
                      <w:sz w:val="21"/>
                      <w:szCs w:val="21"/>
                    </w:rPr>
                  </w:pPr>
                  <w:r>
                    <w:rPr>
                      <w:rFonts w:hint="eastAsia" w:ascii="Times New Roman" w:hAnsi="Times New Roman" w:eastAsia="宋体" w:cs="Times New Roman"/>
                      <w:b/>
                      <w:bCs/>
                      <w:sz w:val="21"/>
                      <w:szCs w:val="21"/>
                    </w:rPr>
                    <w:t>序号</w:t>
                  </w:r>
                </w:p>
              </w:tc>
              <w:tc>
                <w:tcPr>
                  <w:tcW w:w="2811" w:type="pct"/>
                  <w:vAlign w:val="center"/>
                </w:tcPr>
                <w:p w14:paraId="22210DAE">
                  <w:pPr>
                    <w:autoSpaceDE w:val="0"/>
                    <w:autoSpaceDN w:val="0"/>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b/>
                      <w:bCs/>
                      <w:sz w:val="21"/>
                      <w:szCs w:val="21"/>
                    </w:rPr>
                    <w:t>《重点行业挥发性有机物综合治理方案》相关要求</w:t>
                  </w:r>
                </w:p>
              </w:tc>
              <w:tc>
                <w:tcPr>
                  <w:tcW w:w="1502" w:type="pct"/>
                  <w:vAlign w:val="center"/>
                </w:tcPr>
                <w:p w14:paraId="5F48A00D">
                  <w:pPr>
                    <w:autoSpaceDE w:val="0"/>
                    <w:autoSpaceDN w:val="0"/>
                    <w:spacing w:line="240" w:lineRule="auto"/>
                    <w:jc w:val="center"/>
                    <w:rPr>
                      <w:rFonts w:ascii="Times New Roman" w:hAnsi="Times New Roman" w:eastAsia="宋体" w:cs="Times New Roman"/>
                      <w:b/>
                      <w:bCs/>
                      <w:sz w:val="21"/>
                      <w:szCs w:val="21"/>
                    </w:rPr>
                  </w:pPr>
                  <w:r>
                    <w:rPr>
                      <w:rFonts w:hint="eastAsia" w:ascii="Times New Roman" w:hAnsi="Times New Roman" w:eastAsia="宋体" w:cs="Times New Roman"/>
                      <w:b/>
                      <w:bCs/>
                      <w:sz w:val="21"/>
                      <w:szCs w:val="21"/>
                    </w:rPr>
                    <w:t>本项目情况</w:t>
                  </w:r>
                </w:p>
              </w:tc>
              <w:tc>
                <w:tcPr>
                  <w:tcW w:w="409" w:type="pct"/>
                  <w:vAlign w:val="center"/>
                </w:tcPr>
                <w:p w14:paraId="10DA1523">
                  <w:pPr>
                    <w:autoSpaceDE w:val="0"/>
                    <w:autoSpaceDN w:val="0"/>
                    <w:spacing w:line="240" w:lineRule="auto"/>
                    <w:jc w:val="center"/>
                    <w:rPr>
                      <w:rFonts w:ascii="Times New Roman" w:hAnsi="Times New Roman" w:eastAsia="宋体" w:cs="Times New Roman"/>
                      <w:b/>
                      <w:bCs/>
                      <w:sz w:val="21"/>
                      <w:szCs w:val="21"/>
                    </w:rPr>
                  </w:pPr>
                  <w:r>
                    <w:rPr>
                      <w:rFonts w:hint="eastAsia" w:ascii="Times New Roman" w:hAnsi="Times New Roman" w:eastAsia="宋体" w:cs="Times New Roman"/>
                      <w:b/>
                      <w:bCs/>
                      <w:sz w:val="21"/>
                      <w:szCs w:val="21"/>
                    </w:rPr>
                    <w:t>是否相符</w:t>
                  </w:r>
                </w:p>
              </w:tc>
            </w:tr>
            <w:tr w14:paraId="1E233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vAlign w:val="center"/>
                </w:tcPr>
                <w:p w14:paraId="7F598D56">
                  <w:pPr>
                    <w:snapToGrid w:val="0"/>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w:t>
                  </w:r>
                </w:p>
              </w:tc>
              <w:tc>
                <w:tcPr>
                  <w:tcW w:w="2811" w:type="pct"/>
                  <w:vAlign w:val="center"/>
                </w:tcPr>
                <w:p w14:paraId="01571F97">
                  <w:pPr>
                    <w:snapToGrid w:val="0"/>
                    <w:spacing w:line="240" w:lineRule="auto"/>
                    <w:jc w:val="center"/>
                    <w:rPr>
                      <w:rFonts w:ascii="Times New Roman" w:hAnsi="Times New Roman" w:eastAsia="宋体" w:cs="Times New Roman"/>
                      <w:sz w:val="21"/>
                      <w:szCs w:val="21"/>
                    </w:rPr>
                  </w:pPr>
                  <w:r>
                    <w:rPr>
                      <w:rFonts w:hint="eastAsia" w:ascii="宋体" w:hAnsi="宋体" w:eastAsia="宋体" w:cs="宋体"/>
                      <w:b/>
                      <w:bCs/>
                      <w:sz w:val="21"/>
                      <w:szCs w:val="21"/>
                    </w:rPr>
                    <w:t>(一)加强替代管理</w:t>
                  </w:r>
                  <w:r>
                    <w:rPr>
                      <w:rFonts w:hint="eastAsia" w:ascii="Times New Roman" w:hAnsi="Times New Roman" w:eastAsia="宋体" w:cs="Times New Roman"/>
                      <w:sz w:val="21"/>
                      <w:szCs w:val="21"/>
                    </w:rPr>
                    <w:t>。工业涂装、包装印刷、竹木加工、家具制造、汽车修理与维护、鞋和皮革制品制造等重点行业企业，要按照《低挥发性有机物含量原辅材料源头替代技术指引(试行)》(附件3)要求，开展低VOCs原辅材料和生产方式替代，优化管控台账及档案管理，持续提升环境管理水平。各地要根据《关于深入开展挥发性有机物污染治理工作的通知》(皖大气办〔2021〕4号)要求，在认真梳理2021至2023年度VOCs源头削减治理项目清单基础上，对涉VOCs重点行业和使用溶剂型涂料、油墨、胶粘剂、清洗剂以及涉及有机化工生产的产业集群进行再排查，将含VOCs原辅材料使用企业全面纳入源头替代企业排查台账</w:t>
                  </w:r>
                  <w:r>
                    <w:rPr>
                      <w:rFonts w:hint="eastAsia" w:ascii="宋体" w:hAnsi="宋体" w:eastAsia="宋体" w:cs="宋体"/>
                      <w:sz w:val="21"/>
                      <w:szCs w:val="21"/>
                    </w:rPr>
                    <w:t>(</w:t>
                  </w:r>
                  <w:r>
                    <w:rPr>
                      <w:rFonts w:hint="eastAsia" w:ascii="Times New Roman" w:hAnsi="Times New Roman" w:eastAsia="宋体" w:cs="Times New Roman"/>
                      <w:sz w:val="21"/>
                      <w:szCs w:val="21"/>
                    </w:rPr>
                    <w:t>附件2</w:t>
                  </w:r>
                  <w:r>
                    <w:rPr>
                      <w:rFonts w:hint="eastAsia" w:ascii="宋体" w:hAnsi="宋体" w:eastAsia="宋体" w:cs="宋体"/>
                      <w:sz w:val="21"/>
                      <w:szCs w:val="21"/>
                    </w:rPr>
                    <w:t>),</w:t>
                  </w:r>
                  <w:r>
                    <w:rPr>
                      <w:rFonts w:hint="eastAsia" w:ascii="Times New Roman" w:hAnsi="Times New Roman" w:eastAsia="宋体" w:cs="Times New Roman"/>
                      <w:sz w:val="21"/>
                      <w:szCs w:val="21"/>
                    </w:rPr>
                    <w:t>对具备替代条件的，加强调度指导；对无法替代的，要开展论证核实，严格把关并逐一说明。</w:t>
                  </w:r>
                </w:p>
              </w:tc>
              <w:tc>
                <w:tcPr>
                  <w:tcW w:w="1502" w:type="pct"/>
                  <w:vAlign w:val="center"/>
                </w:tcPr>
                <w:p w14:paraId="24CF60AE">
                  <w:pPr>
                    <w:pBdr>
                      <w:top w:val="none" w:color="auto" w:sz="0" w:space="1"/>
                      <w:left w:val="none" w:color="auto" w:sz="0" w:space="4"/>
                      <w:bottom w:val="none" w:color="auto" w:sz="0" w:space="1"/>
                      <w:right w:val="none" w:color="auto" w:sz="0" w:space="4"/>
                    </w:pBdr>
                    <w:adjustRightInd w:val="0"/>
                    <w:snapToGrid w:val="0"/>
                    <w:spacing w:line="240" w:lineRule="auto"/>
                    <w:contextualSpacing/>
                    <w:jc w:val="center"/>
                    <w:rPr>
                      <w:rFonts w:hint="eastAsia" w:ascii="Times New Roman" w:hAnsi="Times New Roman" w:eastAsia="宋体" w:cs="Times New Roman"/>
                      <w:sz w:val="21"/>
                      <w:szCs w:val="21"/>
                      <w:lang w:eastAsia="zh-CN"/>
                    </w:rPr>
                  </w:pPr>
                  <w:r>
                    <w:rPr>
                      <w:rFonts w:hint="eastAsia" w:cs="Times New Roman"/>
                      <w:sz w:val="21"/>
                      <w:szCs w:val="21"/>
                      <w:lang w:eastAsia="zh-CN"/>
                    </w:rPr>
                    <w:t>本项目产品零件需要进行喷漆达到防腐防锈的目的，由于部分零部件使用水性漆达不到防腐防锈要求，故使用少量油性漆进行喷涂。</w:t>
                  </w:r>
                </w:p>
              </w:tc>
              <w:tc>
                <w:tcPr>
                  <w:tcW w:w="409" w:type="pct"/>
                  <w:vAlign w:val="center"/>
                </w:tcPr>
                <w:p w14:paraId="4B81685F">
                  <w:pPr>
                    <w:autoSpaceDE w:val="0"/>
                    <w:autoSpaceDN w:val="0"/>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相符</w:t>
                  </w:r>
                </w:p>
              </w:tc>
            </w:tr>
            <w:tr w14:paraId="38810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vAlign w:val="center"/>
                </w:tcPr>
                <w:p w14:paraId="397EBE88">
                  <w:pPr>
                    <w:snapToGrid w:val="0"/>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w:t>
                  </w:r>
                </w:p>
              </w:tc>
              <w:tc>
                <w:tcPr>
                  <w:tcW w:w="2811" w:type="pct"/>
                  <w:vAlign w:val="center"/>
                </w:tcPr>
                <w:p w14:paraId="69DD1EE1">
                  <w:pPr>
                    <w:snapToGrid w:val="0"/>
                    <w:spacing w:line="240" w:lineRule="auto"/>
                    <w:jc w:val="center"/>
                    <w:rPr>
                      <w:rFonts w:ascii="Times New Roman" w:hAnsi="Times New Roman" w:eastAsia="宋体" w:cs="Times New Roman"/>
                      <w:sz w:val="21"/>
                      <w:szCs w:val="21"/>
                    </w:rPr>
                  </w:pPr>
                  <w:r>
                    <w:rPr>
                      <w:rFonts w:hint="eastAsia" w:ascii="宋体" w:hAnsi="宋体" w:eastAsia="宋体" w:cs="宋体"/>
                      <w:b/>
                      <w:bCs/>
                      <w:sz w:val="21"/>
                      <w:szCs w:val="21"/>
                    </w:rPr>
                    <w:t>(二)严格项目准入</w:t>
                  </w:r>
                  <w:r>
                    <w:rPr>
                      <w:rFonts w:hint="eastAsia" w:ascii="Times New Roman" w:hAnsi="Times New Roman" w:eastAsia="宋体" w:cs="Times New Roman"/>
                      <w:sz w:val="21"/>
                      <w:szCs w:val="21"/>
                    </w:rPr>
                    <w:t>。根据《低挥发性有机化合物含量涂料产品技术要求》(GB/T38597-2020)要求，进一步完善VOCs排放管控地方标准建设，细化相关行业涂料种类及各项污染物指标限值，编制实施固定源挥发性有机物综合排放标准和制鞋、汽修、木材等行业大气污染物排放标准。禁止建设生产和使用高VOCs含量的溶剂型涂料、油墨、胶黏剂等项目，全省工业涂装、包装印刷等重点行业和涂料、油墨等生产企业的新(改、扩)建项目需满足低(无)VOCs含量限值要求。省内市场上流通的水性涂料等低VOCs含量涂料产品，执行《低挥发性有机化合物含量涂料产品技术要求》,应在包装标志或产品说明上标明符合标准的分类、产品类别及产品类型(或施涂方式)。</w:t>
                  </w:r>
                </w:p>
              </w:tc>
              <w:tc>
                <w:tcPr>
                  <w:tcW w:w="1502" w:type="pct"/>
                  <w:vAlign w:val="center"/>
                </w:tcPr>
                <w:p w14:paraId="4593063D">
                  <w:pPr>
                    <w:pBdr>
                      <w:top w:val="none" w:color="auto" w:sz="0" w:space="1"/>
                      <w:left w:val="none" w:color="auto" w:sz="0" w:space="4"/>
                      <w:bottom w:val="none" w:color="auto" w:sz="0" w:space="1"/>
                      <w:right w:val="none" w:color="auto" w:sz="0" w:space="4"/>
                    </w:pBdr>
                    <w:adjustRightInd w:val="0"/>
                    <w:snapToGrid w:val="0"/>
                    <w:spacing w:line="240" w:lineRule="auto"/>
                    <w:contextualSpacing/>
                    <w:jc w:val="center"/>
                    <w:rPr>
                      <w:rFonts w:ascii="Times New Roman" w:hAnsi="Times New Roman" w:eastAsia="宋体" w:cs="Times New Roman"/>
                      <w:sz w:val="21"/>
                      <w:szCs w:val="21"/>
                    </w:rPr>
                  </w:pPr>
                  <w:r>
                    <w:rPr>
                      <w:rFonts w:ascii="Times New Roman" w:hAnsi="Times New Roman" w:eastAsia="宋体" w:cs="Times New Roman"/>
                      <w:sz w:val="21"/>
                      <w:szCs w:val="21"/>
                    </w:rPr>
                    <w:t>本项目</w:t>
                  </w:r>
                  <w:r>
                    <w:rPr>
                      <w:rFonts w:hint="eastAsia" w:ascii="Times New Roman" w:hAnsi="Times New Roman" w:eastAsia="宋体" w:cs="Times New Roman"/>
                      <w:sz w:val="21"/>
                      <w:szCs w:val="21"/>
                    </w:rPr>
                    <w:t>涉及V</w:t>
                  </w:r>
                  <w:r>
                    <w:rPr>
                      <w:rFonts w:ascii="Times New Roman" w:hAnsi="Times New Roman" w:eastAsia="宋体" w:cs="Times New Roman"/>
                      <w:sz w:val="21"/>
                      <w:szCs w:val="21"/>
                    </w:rPr>
                    <w:t>OCs产生环节为</w:t>
                  </w:r>
                  <w:r>
                    <w:rPr>
                      <w:rFonts w:hint="eastAsia" w:ascii="Times New Roman" w:hAnsi="Times New Roman" w:eastAsia="宋体" w:cs="Times New Roman"/>
                      <w:sz w:val="21"/>
                      <w:szCs w:val="21"/>
                      <w:lang w:eastAsia="zh-CN"/>
                    </w:rPr>
                    <w:t>喷漆工艺，</w:t>
                  </w:r>
                  <w:r>
                    <w:rPr>
                      <w:rFonts w:hint="eastAsia" w:cs="Times New Roman"/>
                      <w:sz w:val="21"/>
                      <w:szCs w:val="21"/>
                      <w:lang w:eastAsia="zh-CN"/>
                    </w:rPr>
                    <w:t>根据《低挥发性有机化合物含量涂料产品技术要求》的相符性分析可知</w:t>
                  </w:r>
                  <w:r>
                    <w:rPr>
                      <w:rFonts w:hint="eastAsia" w:ascii="Times New Roman" w:hAnsi="Times New Roman" w:eastAsia="宋体" w:cs="Times New Roman"/>
                      <w:sz w:val="21"/>
                      <w:szCs w:val="21"/>
                    </w:rPr>
                    <w:t>项目</w:t>
                  </w:r>
                  <w:r>
                    <w:rPr>
                      <w:rFonts w:hint="eastAsia" w:ascii="Times New Roman" w:hAnsi="Times New Roman" w:eastAsia="宋体" w:cs="Times New Roman"/>
                      <w:sz w:val="21"/>
                      <w:szCs w:val="21"/>
                      <w:lang w:eastAsia="zh-CN"/>
                    </w:rPr>
                    <w:t>使用低</w:t>
                  </w:r>
                  <w:r>
                    <w:rPr>
                      <w:rFonts w:ascii="Times New Roman" w:hAnsi="Times New Roman" w:eastAsia="宋体" w:cs="Times New Roman"/>
                      <w:sz w:val="21"/>
                      <w:szCs w:val="21"/>
                    </w:rPr>
                    <w:t>VOCs含量的</w:t>
                  </w:r>
                  <w:r>
                    <w:rPr>
                      <w:rFonts w:hint="eastAsia" w:ascii="Times New Roman" w:hAnsi="Times New Roman" w:eastAsia="宋体" w:cs="Times New Roman"/>
                      <w:sz w:val="21"/>
                      <w:szCs w:val="21"/>
                      <w:lang w:eastAsia="zh-CN"/>
                    </w:rPr>
                    <w:t>水性漆和醇酸漆，</w:t>
                  </w:r>
                  <w:r>
                    <w:rPr>
                      <w:rFonts w:hint="eastAsia" w:cs="Times New Roman"/>
                      <w:sz w:val="21"/>
                      <w:szCs w:val="21"/>
                      <w:lang w:eastAsia="zh-CN"/>
                    </w:rPr>
                    <w:t>且</w:t>
                  </w:r>
                  <w:r>
                    <w:rPr>
                      <w:rFonts w:hint="eastAsia" w:ascii="Times New Roman" w:hAnsi="Times New Roman" w:eastAsia="宋体" w:cs="Times New Roman"/>
                      <w:sz w:val="21"/>
                      <w:szCs w:val="21"/>
                      <w:lang w:eastAsia="zh-CN"/>
                    </w:rPr>
                    <w:t>年用量较小</w:t>
                  </w:r>
                  <w:r>
                    <w:rPr>
                      <w:rFonts w:ascii="Times New Roman" w:hAnsi="Times New Roman" w:eastAsia="宋体" w:cs="Times New Roman"/>
                      <w:sz w:val="21"/>
                      <w:szCs w:val="21"/>
                    </w:rPr>
                    <w:t>VOCs产生</w:t>
                  </w:r>
                  <w:r>
                    <w:rPr>
                      <w:rFonts w:hint="eastAsia" w:ascii="Times New Roman" w:hAnsi="Times New Roman" w:eastAsia="宋体" w:cs="Times New Roman"/>
                      <w:sz w:val="21"/>
                      <w:szCs w:val="21"/>
                      <w:lang w:eastAsia="zh-CN"/>
                    </w:rPr>
                    <w:t>量较小</w:t>
                  </w:r>
                  <w:r>
                    <w:rPr>
                      <w:rFonts w:ascii="Times New Roman" w:hAnsi="Times New Roman" w:eastAsia="宋体" w:cs="Times New Roman"/>
                      <w:sz w:val="21"/>
                      <w:szCs w:val="21"/>
                    </w:rPr>
                    <w:t>。</w:t>
                  </w:r>
                </w:p>
              </w:tc>
              <w:tc>
                <w:tcPr>
                  <w:tcW w:w="409" w:type="pct"/>
                  <w:vAlign w:val="center"/>
                </w:tcPr>
                <w:p w14:paraId="5A844A5A">
                  <w:pPr>
                    <w:autoSpaceDE w:val="0"/>
                    <w:autoSpaceDN w:val="0"/>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相符</w:t>
                  </w:r>
                </w:p>
              </w:tc>
            </w:tr>
            <w:tr w14:paraId="2911B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 w:type="pct"/>
                  <w:vAlign w:val="center"/>
                </w:tcPr>
                <w:p w14:paraId="3CE8D59C">
                  <w:pPr>
                    <w:snapToGrid w:val="0"/>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w:t>
                  </w:r>
                </w:p>
              </w:tc>
              <w:tc>
                <w:tcPr>
                  <w:tcW w:w="2811" w:type="pct"/>
                  <w:vAlign w:val="center"/>
                </w:tcPr>
                <w:p w14:paraId="33021162">
                  <w:pPr>
                    <w:snapToGrid w:val="0"/>
                    <w:spacing w:line="240" w:lineRule="auto"/>
                    <w:jc w:val="center"/>
                    <w:rPr>
                      <w:rFonts w:ascii="Times New Roman" w:hAnsi="Times New Roman" w:eastAsia="宋体" w:cs="Times New Roman"/>
                      <w:sz w:val="21"/>
                      <w:szCs w:val="21"/>
                    </w:rPr>
                  </w:pPr>
                  <w:r>
                    <w:rPr>
                      <w:rFonts w:hint="eastAsia" w:ascii="宋体" w:hAnsi="宋体" w:eastAsia="宋体" w:cs="宋体"/>
                      <w:b/>
                      <w:bCs/>
                      <w:sz w:val="21"/>
                      <w:szCs w:val="21"/>
                    </w:rPr>
                    <w:t>(三)强化示范带动</w:t>
                  </w:r>
                  <w:r>
                    <w:rPr>
                      <w:rFonts w:hint="eastAsia" w:ascii="Times New Roman" w:hAnsi="Times New Roman" w:eastAsia="宋体" w:cs="Times New Roman"/>
                      <w:sz w:val="21"/>
                      <w:szCs w:val="21"/>
                    </w:rPr>
                    <w:t>。结合产业特点，实施工业涂装、包装印刷重点行业低VOCs含量原辅材料源头替代企业豁免末端治理设施试点，完善建立含VOCs物料生产端和使用端清洁原辅材料替代正面清单。各地要将全部生产水性、粉末、无溶剂、辐射固化涂料以及水性和能量固化油墨、水基和半水基清洗剂、水基型和本体型胶粘剂的生产企业，以及已经完全实施低VOCs含量清洁原料替代，排放浓度稳定达标且排放速率、排放绩效等满足相关规定的企业，纳入正面清单管理，在重污染天气应对、环境执法检查、政府绿色采购、绿色工厂及清洁生产评价、绿色产品认证、企业信贷融资等方面，给予政策倾斜。以工业涂装和包装印刷为行业试点，实施低VOCs原辅材料替代企业豁免挥发性有机物末端治理鼓励政策(附件4),规范引导企业积极开展源头替代工作。要充分发挥行业协会作用，邀请行业协会、专业检测机构等技术专家参与审核抽查工作，经各市审核确定的符合豁免条件的企业，相应生产工序可不要求建设末端治理设施或VOCs无组织排放收集处理设施。</w:t>
                  </w:r>
                </w:p>
              </w:tc>
              <w:tc>
                <w:tcPr>
                  <w:tcW w:w="1502" w:type="pct"/>
                  <w:vAlign w:val="center"/>
                </w:tcPr>
                <w:p w14:paraId="04214ADD">
                  <w:pPr>
                    <w:pBdr>
                      <w:top w:val="none" w:color="auto" w:sz="0" w:space="1"/>
                      <w:left w:val="none" w:color="auto" w:sz="0" w:space="4"/>
                      <w:bottom w:val="none" w:color="auto" w:sz="0" w:space="1"/>
                      <w:right w:val="none" w:color="auto" w:sz="0" w:space="4"/>
                    </w:pBdr>
                    <w:adjustRightInd w:val="0"/>
                    <w:snapToGrid w:val="0"/>
                    <w:spacing w:line="240" w:lineRule="auto"/>
                    <w:contextualSpacing/>
                    <w:jc w:val="center"/>
                    <w:rPr>
                      <w:rFonts w:ascii="Times New Roman" w:hAnsi="Times New Roman" w:eastAsia="宋体" w:cs="Times New Roman"/>
                      <w:bCs/>
                      <w:sz w:val="21"/>
                      <w:szCs w:val="21"/>
                    </w:rPr>
                  </w:pPr>
                  <w:r>
                    <w:rPr>
                      <w:rFonts w:hint="eastAsia" w:ascii="Times New Roman" w:hAnsi="Times New Roman" w:eastAsia="宋体" w:cs="Times New Roman"/>
                      <w:sz w:val="21"/>
                      <w:szCs w:val="21"/>
                    </w:rPr>
                    <w:t>项目</w:t>
                  </w:r>
                  <w:r>
                    <w:rPr>
                      <w:rFonts w:hint="eastAsia" w:ascii="Times New Roman" w:hAnsi="Times New Roman" w:eastAsia="宋体" w:cs="Times New Roman"/>
                      <w:sz w:val="21"/>
                      <w:szCs w:val="21"/>
                      <w:lang w:eastAsia="zh-CN"/>
                    </w:rPr>
                    <w:t>使用低</w:t>
                  </w:r>
                  <w:r>
                    <w:rPr>
                      <w:rFonts w:ascii="Times New Roman" w:hAnsi="Times New Roman" w:eastAsia="宋体" w:cs="Times New Roman"/>
                      <w:sz w:val="21"/>
                      <w:szCs w:val="21"/>
                    </w:rPr>
                    <w:t>VOCs含量的</w:t>
                  </w:r>
                  <w:r>
                    <w:rPr>
                      <w:rFonts w:hint="eastAsia" w:ascii="Times New Roman" w:hAnsi="Times New Roman" w:eastAsia="宋体" w:cs="Times New Roman"/>
                      <w:sz w:val="21"/>
                      <w:szCs w:val="21"/>
                      <w:lang w:eastAsia="zh-CN"/>
                    </w:rPr>
                    <w:t>水性漆和醇酸漆，</w:t>
                  </w:r>
                  <w:r>
                    <w:rPr>
                      <w:rFonts w:hint="eastAsia" w:cs="Times New Roman"/>
                      <w:sz w:val="21"/>
                      <w:szCs w:val="21"/>
                      <w:lang w:eastAsia="zh-CN"/>
                    </w:rPr>
                    <w:t>且</w:t>
                  </w:r>
                  <w:r>
                    <w:rPr>
                      <w:rFonts w:hint="eastAsia" w:ascii="Times New Roman" w:hAnsi="Times New Roman" w:eastAsia="宋体" w:cs="Times New Roman"/>
                      <w:sz w:val="21"/>
                      <w:szCs w:val="21"/>
                      <w:lang w:eastAsia="zh-CN"/>
                    </w:rPr>
                    <w:t>年用量较小</w:t>
                  </w:r>
                  <w:r>
                    <w:rPr>
                      <w:rFonts w:ascii="Times New Roman" w:hAnsi="Times New Roman" w:eastAsia="宋体" w:cs="Times New Roman"/>
                      <w:sz w:val="21"/>
                      <w:szCs w:val="21"/>
                    </w:rPr>
                    <w:t>VOCs产生</w:t>
                  </w:r>
                  <w:r>
                    <w:rPr>
                      <w:rFonts w:hint="eastAsia" w:ascii="Times New Roman" w:hAnsi="Times New Roman" w:eastAsia="宋体" w:cs="Times New Roman"/>
                      <w:sz w:val="21"/>
                      <w:szCs w:val="21"/>
                      <w:lang w:eastAsia="zh-CN"/>
                    </w:rPr>
                    <w:t>量较小</w:t>
                  </w:r>
                  <w:r>
                    <w:rPr>
                      <w:rFonts w:hint="eastAsia" w:cs="Times New Roman"/>
                      <w:sz w:val="21"/>
                      <w:szCs w:val="21"/>
                      <w:lang w:eastAsia="zh-CN"/>
                    </w:rPr>
                    <w:t>；项目</w:t>
                  </w:r>
                  <w:r>
                    <w:rPr>
                      <w:rFonts w:hint="eastAsia"/>
                      <w:szCs w:val="21"/>
                      <w:lang w:eastAsia="zh-CN"/>
                    </w:rPr>
                    <w:t>喷漆废气经</w:t>
                  </w:r>
                  <w:r>
                    <w:rPr>
                      <w:rFonts w:hint="eastAsia"/>
                      <w:szCs w:val="21"/>
                    </w:rPr>
                    <w:t>喷漆房密闭收集引至一套“过滤棉+两级活性炭”装置处理后经</w:t>
                  </w:r>
                  <w:r>
                    <w:rPr>
                      <w:rFonts w:hint="eastAsia"/>
                      <w:szCs w:val="21"/>
                      <w:lang w:eastAsia="zh-CN"/>
                    </w:rPr>
                    <w:t>15m高</w:t>
                  </w:r>
                  <w:r>
                    <w:rPr>
                      <w:rFonts w:hint="eastAsia"/>
                      <w:szCs w:val="21"/>
                    </w:rPr>
                    <w:t>排气筒（DA00</w:t>
                  </w:r>
                  <w:r>
                    <w:rPr>
                      <w:rFonts w:hint="eastAsia"/>
                      <w:szCs w:val="21"/>
                      <w:lang w:val="en-US" w:eastAsia="zh-CN"/>
                    </w:rPr>
                    <w:t>1</w:t>
                  </w:r>
                  <w:r>
                    <w:rPr>
                      <w:rFonts w:hint="eastAsia"/>
                      <w:szCs w:val="21"/>
                    </w:rPr>
                    <w:t>）排放</w:t>
                  </w:r>
                  <w:r>
                    <w:rPr>
                      <w:rFonts w:ascii="Times New Roman" w:hAnsi="Times New Roman" w:eastAsia="宋体" w:cs="Times New Roman"/>
                      <w:bCs/>
                      <w:sz w:val="21"/>
                      <w:szCs w:val="21"/>
                    </w:rPr>
                    <w:t>。</w:t>
                  </w:r>
                </w:p>
              </w:tc>
              <w:tc>
                <w:tcPr>
                  <w:tcW w:w="409" w:type="pct"/>
                  <w:vAlign w:val="center"/>
                </w:tcPr>
                <w:p w14:paraId="0C0FBCD2">
                  <w:pPr>
                    <w:autoSpaceDE w:val="0"/>
                    <w:autoSpaceDN w:val="0"/>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相符</w:t>
                  </w:r>
                </w:p>
              </w:tc>
            </w:tr>
          </w:tbl>
          <w:p w14:paraId="55609620"/>
        </w:tc>
      </w:tr>
    </w:tbl>
    <w:p w14:paraId="0830B905">
      <w:pPr>
        <w:spacing w:line="360" w:lineRule="auto"/>
        <w:outlineLvl w:val="0"/>
        <w:rPr>
          <w:rFonts w:eastAsia="黑体"/>
          <w:sz w:val="30"/>
        </w:rPr>
        <w:sectPr>
          <w:footerReference r:id="rId6" w:type="default"/>
          <w:pgSz w:w="11906" w:h="16838"/>
          <w:pgMar w:top="1418" w:right="1418" w:bottom="1418" w:left="1418" w:header="851" w:footer="1077" w:gutter="0"/>
          <w:pgBorders>
            <w:top w:val="none" w:sz="0" w:space="0"/>
            <w:left w:val="none" w:sz="0" w:space="0"/>
            <w:bottom w:val="none" w:sz="0" w:space="0"/>
            <w:right w:val="none" w:sz="0" w:space="0"/>
          </w:pgBorders>
          <w:pgNumType w:start="1"/>
          <w:cols w:space="720" w:num="1"/>
          <w:docGrid w:linePitch="312" w:charSpace="0"/>
        </w:sectPr>
      </w:pPr>
    </w:p>
    <w:p w14:paraId="7D2E4666">
      <w:pPr>
        <w:pStyle w:val="23"/>
        <w:numPr>
          <w:ilvl w:val="0"/>
          <w:numId w:val="3"/>
        </w:numPr>
        <w:jc w:val="center"/>
        <w:outlineLvl w:val="0"/>
        <w:rPr>
          <w:rFonts w:ascii="黑体" w:hAnsi="黑体" w:eastAsia="黑体"/>
          <w:snapToGrid w:val="0"/>
          <w:sz w:val="30"/>
          <w:szCs w:val="30"/>
        </w:rPr>
      </w:pPr>
      <w:r>
        <w:rPr>
          <w:rFonts w:hint="eastAsia" w:ascii="黑体" w:hAnsi="黑体" w:eastAsia="黑体"/>
          <w:snapToGrid w:val="0"/>
          <w:sz w:val="30"/>
          <w:szCs w:val="30"/>
        </w:rPr>
        <w:t>建设项目工程分析</w:t>
      </w:r>
    </w:p>
    <w:tbl>
      <w:tblPr>
        <w:tblStyle w:val="26"/>
        <w:tblW w:w="928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3"/>
        <w:gridCol w:w="215"/>
        <w:gridCol w:w="8444"/>
        <w:gridCol w:w="204"/>
      </w:tblGrid>
      <w:tr w14:paraId="2C64B2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239" w:type="dxa"/>
          <w:jc w:val="center"/>
        </w:trPr>
        <w:tc>
          <w:tcPr>
            <w:tcW w:w="652" w:type="dxa"/>
            <w:gridSpan w:val="2"/>
            <w:vAlign w:val="center"/>
          </w:tcPr>
          <w:p w14:paraId="179D595B">
            <w:pPr>
              <w:adjustRightInd w:val="0"/>
              <w:snapToGrid w:val="0"/>
              <w:jc w:val="center"/>
              <w:rPr>
                <w:rFonts w:cs="宋体"/>
                <w:b/>
                <w:szCs w:val="21"/>
              </w:rPr>
            </w:pPr>
            <w:r>
              <w:rPr>
                <w:rFonts w:hint="eastAsia" w:ascii="宋体" w:hAnsi="宋体" w:cs="宋体"/>
                <w:b/>
                <w:szCs w:val="21"/>
              </w:rPr>
              <w:t>建设</w:t>
            </w:r>
            <w:r>
              <w:rPr>
                <w:rFonts w:hint="eastAsia" w:cs="宋体"/>
                <w:b/>
                <w:szCs w:val="21"/>
              </w:rPr>
              <w:t>内容</w:t>
            </w:r>
          </w:p>
        </w:tc>
        <w:tc>
          <w:tcPr>
            <w:tcW w:w="8395" w:type="dxa"/>
          </w:tcPr>
          <w:p w14:paraId="200C9933">
            <w:pPr>
              <w:spacing w:line="360" w:lineRule="auto"/>
              <w:ind w:firstLine="482" w:firstLineChars="200"/>
              <w:rPr>
                <w:b/>
                <w:bCs/>
                <w:sz w:val="24"/>
              </w:rPr>
            </w:pPr>
            <w:r>
              <w:rPr>
                <w:rFonts w:hint="eastAsia"/>
                <w:b/>
                <w:bCs/>
                <w:sz w:val="24"/>
              </w:rPr>
              <w:t>（一）</w:t>
            </w:r>
            <w:r>
              <w:rPr>
                <w:b/>
                <w:bCs/>
                <w:sz w:val="24"/>
              </w:rPr>
              <w:t>项目建设内容及</w:t>
            </w:r>
            <w:r>
              <w:rPr>
                <w:rFonts w:hint="eastAsia"/>
                <w:b/>
                <w:bCs/>
                <w:sz w:val="24"/>
              </w:rPr>
              <w:t>生产规模</w:t>
            </w:r>
          </w:p>
          <w:p w14:paraId="4F045828">
            <w:pPr>
              <w:spacing w:line="360" w:lineRule="auto"/>
              <w:ind w:firstLine="480" w:firstLineChars="200"/>
              <w:contextualSpacing/>
            </w:pPr>
            <w:r>
              <w:rPr>
                <w:rFonts w:hint="eastAsia"/>
                <w:sz w:val="24"/>
                <w:lang w:eastAsia="zh-CN"/>
              </w:rPr>
              <w:t>安徽燃迅电力科技有限公司</w:t>
            </w:r>
            <w:r>
              <w:rPr>
                <w:rFonts w:hint="eastAsia"/>
                <w:sz w:val="24"/>
              </w:rPr>
              <w:t>位于安徽省</w:t>
            </w:r>
            <w:r>
              <w:rPr>
                <w:rFonts w:hint="eastAsia"/>
                <w:sz w:val="24"/>
                <w:lang w:eastAsia="zh-CN"/>
              </w:rPr>
              <w:t>淮北市杜集经济开发区</w:t>
            </w:r>
            <w:r>
              <w:rPr>
                <w:rFonts w:hint="eastAsia"/>
                <w:sz w:val="24"/>
              </w:rPr>
              <w:t>，是一家从事</w:t>
            </w:r>
            <w:r>
              <w:rPr>
                <w:rFonts w:hint="eastAsia"/>
                <w:sz w:val="24"/>
                <w:lang w:eastAsia="zh-CN"/>
              </w:rPr>
              <w:t>电力科技开发、技术咨询、</w:t>
            </w:r>
            <w:r>
              <w:rPr>
                <w:rFonts w:hint="eastAsia"/>
                <w:sz w:val="24"/>
              </w:rPr>
              <w:t>通用设备制造的企业，主要经营范围为技术开发、技术咨询；光伏设备及元器件制造；风力发电技术服务；储能技术服务；机械电气设备制造；电力电子元器件制造；通用设备制造</w:t>
            </w:r>
            <w:r>
              <w:rPr>
                <w:rFonts w:hint="eastAsia"/>
                <w:sz w:val="24"/>
                <w:lang w:eastAsia="zh-CN"/>
              </w:rPr>
              <w:t>等</w:t>
            </w:r>
            <w:r>
              <w:rPr>
                <w:rFonts w:hint="eastAsia"/>
                <w:sz w:val="24"/>
              </w:rPr>
              <w:t>。</w:t>
            </w:r>
          </w:p>
          <w:p w14:paraId="5BCAFCC5">
            <w:pPr>
              <w:spacing w:line="360" w:lineRule="auto"/>
              <w:ind w:firstLine="480" w:firstLineChars="200"/>
              <w:contextualSpacing/>
            </w:pPr>
            <w:r>
              <w:rPr>
                <w:rFonts w:hint="eastAsia"/>
                <w:sz w:val="24"/>
              </w:rPr>
              <w:t>根据市场需求，</w:t>
            </w:r>
            <w:r>
              <w:rPr>
                <w:rFonts w:hint="eastAsia"/>
                <w:sz w:val="24"/>
                <w:lang w:eastAsia="zh-CN"/>
              </w:rPr>
              <w:t>安徽燃迅电力科技有限公司</w:t>
            </w:r>
            <w:r>
              <w:rPr>
                <w:rFonts w:hint="eastAsia"/>
                <w:sz w:val="24"/>
              </w:rPr>
              <w:t>拟投资</w:t>
            </w:r>
            <w:r>
              <w:rPr>
                <w:rFonts w:hint="eastAsia"/>
                <w:sz w:val="24"/>
                <w:lang w:val="en-US" w:eastAsia="zh-CN"/>
              </w:rPr>
              <w:t>32</w:t>
            </w:r>
            <w:r>
              <w:rPr>
                <w:rFonts w:hint="eastAsia"/>
                <w:sz w:val="24"/>
              </w:rPr>
              <w:t>000万元，在安徽省</w:t>
            </w:r>
            <w:r>
              <w:rPr>
                <w:rFonts w:hint="eastAsia"/>
                <w:sz w:val="24"/>
                <w:lang w:eastAsia="zh-CN"/>
              </w:rPr>
              <w:t>淮北杜集经济开发区238省道西、山河大道南</w:t>
            </w:r>
            <w:r>
              <w:rPr>
                <w:rFonts w:hint="eastAsia"/>
                <w:sz w:val="24"/>
              </w:rPr>
              <w:t>建设火电厂智能燃烧稳燃设备建设项目。项目规划占地面积86亩，主要建设内容包括</w:t>
            </w:r>
            <w:r>
              <w:rPr>
                <w:rFonts w:hint="eastAsia"/>
                <w:sz w:val="24"/>
                <w:lang w:eastAsia="zh-CN"/>
              </w:rPr>
              <w:t>新建</w:t>
            </w:r>
            <w:r>
              <w:rPr>
                <w:rFonts w:hint="eastAsia"/>
                <w:sz w:val="24"/>
                <w:lang w:val="en-US" w:eastAsia="zh-CN"/>
              </w:rPr>
              <w:t>2</w:t>
            </w:r>
            <w:r>
              <w:rPr>
                <w:rFonts w:hint="eastAsia"/>
                <w:sz w:val="24"/>
                <w:lang w:eastAsia="zh-CN"/>
              </w:rPr>
              <w:t>栋</w:t>
            </w:r>
            <w:r>
              <w:rPr>
                <w:rFonts w:hint="eastAsia"/>
                <w:sz w:val="24"/>
              </w:rPr>
              <w:t>生产厂房</w:t>
            </w:r>
            <w:r>
              <w:rPr>
                <w:rFonts w:hint="eastAsia"/>
                <w:sz w:val="24"/>
                <w:lang w:eastAsia="zh-CN"/>
              </w:rPr>
              <w:t>，</w:t>
            </w:r>
            <w:r>
              <w:rPr>
                <w:rFonts w:hint="eastAsia" w:ascii="Times New Roman" w:hAnsi="Times New Roman" w:cs="Times New Roman"/>
                <w:sz w:val="24"/>
                <w:szCs w:val="24"/>
                <w:lang w:eastAsia="zh-CN"/>
              </w:rPr>
              <w:t>购置等离子切割机、激光切割机、液压板料折弯机、液压闸式剪板机、卷板机、焊接机、数控车床、钻床、铣床、焊接机等生产设备，</w:t>
            </w:r>
            <w:r>
              <w:rPr>
                <w:rFonts w:hint="default" w:ascii="Times New Roman" w:hAnsi="Times New Roman" w:cs="Times New Roman"/>
                <w:sz w:val="24"/>
                <w:szCs w:val="24"/>
              </w:rPr>
              <w:t>配套建设辅助工程、公用工程、</w:t>
            </w:r>
            <w:r>
              <w:rPr>
                <w:rFonts w:hint="eastAsia" w:ascii="Times New Roman" w:hAnsi="Times New Roman" w:cs="Times New Roman"/>
                <w:sz w:val="24"/>
                <w:szCs w:val="24"/>
                <w:lang w:eastAsia="zh-CN"/>
              </w:rPr>
              <w:t>储运工程、</w:t>
            </w:r>
            <w:r>
              <w:rPr>
                <w:rFonts w:hint="default" w:ascii="Times New Roman" w:hAnsi="Times New Roman" w:cs="Times New Roman"/>
                <w:sz w:val="24"/>
                <w:szCs w:val="24"/>
              </w:rPr>
              <w:t>环保工程等设施</w:t>
            </w:r>
            <w:r>
              <w:rPr>
                <w:rFonts w:hint="eastAsia" w:ascii="Times New Roman" w:hAnsi="Times New Roman" w:cs="Times New Roman"/>
                <w:sz w:val="24"/>
                <w:szCs w:val="24"/>
                <w:lang w:eastAsia="zh-CN"/>
              </w:rPr>
              <w:t>，项目建成后预计可形成年产100套虾米曲线防堵清堵一体化煤斗设备、50套仓外仓多路分仓设备、1000套仓壁振打气锤和</w:t>
            </w:r>
            <w:r>
              <w:rPr>
                <w:rFonts w:hint="eastAsia" w:ascii="Times New Roman" w:hAnsi="Times New Roman" w:cs="Times New Roman"/>
                <w:sz w:val="24"/>
                <w:szCs w:val="24"/>
                <w:lang w:val="en-US" w:eastAsia="zh-CN"/>
              </w:rPr>
              <w:t>20套落煤管的生产能力</w:t>
            </w:r>
            <w:r>
              <w:rPr>
                <w:rFonts w:hint="eastAsia"/>
                <w:sz w:val="24"/>
              </w:rPr>
              <w:t>。</w:t>
            </w:r>
          </w:p>
          <w:p w14:paraId="01367FAE">
            <w:pPr>
              <w:adjustRightInd w:val="0"/>
              <w:snapToGrid w:val="0"/>
              <w:spacing w:line="360" w:lineRule="auto"/>
              <w:ind w:firstLine="723" w:firstLineChars="300"/>
              <w:outlineLvl w:val="1"/>
              <w:rPr>
                <w:b/>
                <w:bCs/>
                <w:sz w:val="24"/>
              </w:rPr>
            </w:pPr>
            <w:r>
              <w:rPr>
                <w:b/>
                <w:bCs/>
                <w:sz w:val="24"/>
              </w:rPr>
              <w:t>1、项目概况</w:t>
            </w:r>
          </w:p>
          <w:p w14:paraId="6C09D29C">
            <w:pPr>
              <w:adjustRightInd w:val="0"/>
              <w:snapToGrid w:val="0"/>
              <w:spacing w:line="360" w:lineRule="auto"/>
              <w:ind w:firstLine="482" w:firstLineChars="200"/>
              <w:rPr>
                <w:sz w:val="24"/>
                <w:lang w:val="zh-CN"/>
              </w:rPr>
            </w:pPr>
            <w:r>
              <w:rPr>
                <w:b/>
                <w:bCs/>
                <w:sz w:val="24"/>
              </w:rPr>
              <w:t>（1）项目名称：</w:t>
            </w:r>
            <w:r>
              <w:rPr>
                <w:rFonts w:hint="eastAsia"/>
                <w:sz w:val="24"/>
                <w:lang w:eastAsia="zh-CN"/>
              </w:rPr>
              <w:t>火电厂智能燃烧稳燃设备建设项目</w:t>
            </w:r>
            <w:r>
              <w:rPr>
                <w:sz w:val="24"/>
              </w:rPr>
              <w:t>；</w:t>
            </w:r>
          </w:p>
          <w:p w14:paraId="018CFB86">
            <w:pPr>
              <w:adjustRightInd w:val="0"/>
              <w:snapToGrid w:val="0"/>
              <w:spacing w:line="360" w:lineRule="auto"/>
              <w:ind w:firstLine="482" w:firstLineChars="200"/>
              <w:rPr>
                <w:sz w:val="24"/>
                <w:lang w:val="zh-CN"/>
              </w:rPr>
            </w:pPr>
            <w:r>
              <w:rPr>
                <w:b/>
                <w:bCs/>
                <w:sz w:val="24"/>
              </w:rPr>
              <w:t>（2）建设单位：</w:t>
            </w:r>
            <w:r>
              <w:rPr>
                <w:rFonts w:hint="eastAsia"/>
                <w:sz w:val="24"/>
                <w:lang w:eastAsia="zh-CN"/>
              </w:rPr>
              <w:t>安徽燃迅电力科技有限公司</w:t>
            </w:r>
            <w:r>
              <w:rPr>
                <w:sz w:val="24"/>
              </w:rPr>
              <w:t>；</w:t>
            </w:r>
          </w:p>
          <w:p w14:paraId="3A13F5E3">
            <w:pPr>
              <w:adjustRightInd w:val="0"/>
              <w:snapToGrid w:val="0"/>
              <w:spacing w:line="360" w:lineRule="auto"/>
              <w:ind w:firstLine="482" w:firstLineChars="200"/>
              <w:rPr>
                <w:sz w:val="24"/>
              </w:rPr>
            </w:pPr>
            <w:r>
              <w:rPr>
                <w:b/>
                <w:bCs/>
                <w:sz w:val="24"/>
              </w:rPr>
              <w:t>（3）建设地点：</w:t>
            </w:r>
            <w:r>
              <w:rPr>
                <w:rFonts w:hint="eastAsia"/>
                <w:sz w:val="24"/>
              </w:rPr>
              <w:t>安徽省</w:t>
            </w:r>
            <w:r>
              <w:rPr>
                <w:rFonts w:hint="eastAsia"/>
                <w:sz w:val="24"/>
                <w:lang w:eastAsia="zh-CN"/>
              </w:rPr>
              <w:t>淮北杜集经济开发区238省道西、山河大道南</w:t>
            </w:r>
            <w:r>
              <w:rPr>
                <w:sz w:val="24"/>
              </w:rPr>
              <w:t>（详见附图1 项目地理位置图）；</w:t>
            </w:r>
          </w:p>
          <w:p w14:paraId="5C53EE41">
            <w:pPr>
              <w:adjustRightInd w:val="0"/>
              <w:snapToGrid w:val="0"/>
              <w:spacing w:line="360" w:lineRule="auto"/>
              <w:ind w:firstLine="482" w:firstLineChars="200"/>
              <w:rPr>
                <w:sz w:val="24"/>
              </w:rPr>
            </w:pPr>
            <w:r>
              <w:rPr>
                <w:b/>
                <w:bCs/>
                <w:sz w:val="24"/>
              </w:rPr>
              <w:t>（4）建设性质：</w:t>
            </w:r>
            <w:r>
              <w:rPr>
                <w:rFonts w:hint="eastAsia"/>
                <w:sz w:val="24"/>
              </w:rPr>
              <w:t>新</w:t>
            </w:r>
            <w:r>
              <w:rPr>
                <w:sz w:val="24"/>
              </w:rPr>
              <w:t>建；</w:t>
            </w:r>
          </w:p>
          <w:p w14:paraId="4A71F74C">
            <w:pPr>
              <w:adjustRightInd w:val="0"/>
              <w:snapToGrid w:val="0"/>
              <w:spacing w:line="360" w:lineRule="auto"/>
              <w:ind w:firstLine="482" w:firstLineChars="200"/>
              <w:rPr>
                <w:b/>
                <w:bCs/>
                <w:sz w:val="24"/>
              </w:rPr>
            </w:pPr>
            <w:r>
              <w:rPr>
                <w:b/>
                <w:bCs/>
                <w:sz w:val="24"/>
              </w:rPr>
              <w:t>（5）项目环评管理类别判定</w:t>
            </w:r>
            <w:bookmarkStart w:id="3" w:name="_Hlk87977787"/>
          </w:p>
          <w:p w14:paraId="511454BD">
            <w:pPr>
              <w:adjustRightInd w:val="0"/>
              <w:snapToGrid w:val="0"/>
              <w:spacing w:line="360" w:lineRule="auto"/>
              <w:ind w:firstLine="480" w:firstLineChars="200"/>
              <w:rPr>
                <w:sz w:val="24"/>
              </w:rPr>
            </w:pPr>
            <w:r>
              <w:rPr>
                <w:rFonts w:hint="eastAsia"/>
                <w:sz w:val="24"/>
              </w:rPr>
              <w:t>根据</w:t>
            </w:r>
            <w:r>
              <w:rPr>
                <w:sz w:val="24"/>
              </w:rPr>
              <w:t>《国民经济行业分类》（2017年版）</w:t>
            </w:r>
            <w:r>
              <w:rPr>
                <w:rFonts w:hint="eastAsia"/>
                <w:sz w:val="24"/>
              </w:rPr>
              <w:t>，本项目</w:t>
            </w:r>
            <w:r>
              <w:rPr>
                <w:rFonts w:hint="eastAsia"/>
                <w:sz w:val="24"/>
                <w:lang w:eastAsia="zh-CN"/>
              </w:rPr>
              <w:t>属于其中的</w:t>
            </w:r>
            <w:r>
              <w:rPr>
                <w:rFonts w:hint="eastAsia"/>
                <w:sz w:val="24"/>
              </w:rPr>
              <w:t>C3411锅炉及辅助设备制造；</w:t>
            </w:r>
            <w:r>
              <w:rPr>
                <w:sz w:val="24"/>
              </w:rPr>
              <w:t>根据《建设项目环境影响评价分类管理名录（2021年版）》，项目属于名录中</w:t>
            </w:r>
            <w:r>
              <w:rPr>
                <w:rFonts w:hint="eastAsia"/>
                <w:sz w:val="24"/>
              </w:rPr>
              <w:t>“三十一、通用设备制造业34- 锅炉及原动设备制造341中</w:t>
            </w:r>
            <w:r>
              <w:rPr>
                <w:rFonts w:hint="eastAsia"/>
                <w:sz w:val="24"/>
                <w:lang w:eastAsia="zh-CN"/>
              </w:rPr>
              <w:t>‘</w:t>
            </w:r>
            <w:r>
              <w:rPr>
                <w:rFonts w:hint="eastAsia"/>
                <w:sz w:val="24"/>
              </w:rPr>
              <w:t>其他（仅分割、焊接、组装的除外；年用非溶剂型低VOCs含量涂料10吨以下的除外）</w:t>
            </w:r>
            <w:r>
              <w:rPr>
                <w:rFonts w:hint="eastAsia"/>
                <w:sz w:val="24"/>
                <w:lang w:eastAsia="zh-CN"/>
              </w:rPr>
              <w:t>’</w:t>
            </w:r>
            <w:r>
              <w:rPr>
                <w:rFonts w:hint="eastAsia"/>
                <w:sz w:val="24"/>
              </w:rPr>
              <w:t>”</w:t>
            </w:r>
            <w:r>
              <w:rPr>
                <w:sz w:val="24"/>
              </w:rPr>
              <w:t>，应编制环境影响报告表。</w:t>
            </w:r>
          </w:p>
          <w:bookmarkEnd w:id="3"/>
          <w:p w14:paraId="21AC6E7A">
            <w:pPr>
              <w:adjustRightInd w:val="0"/>
              <w:snapToGrid w:val="0"/>
              <w:spacing w:line="360" w:lineRule="auto"/>
              <w:ind w:firstLine="482" w:firstLineChars="200"/>
            </w:pPr>
            <w:r>
              <w:rPr>
                <w:rFonts w:hint="eastAsia"/>
                <w:b/>
                <w:bCs/>
                <w:sz w:val="24"/>
              </w:rPr>
              <w:t>（6）</w:t>
            </w:r>
            <w:r>
              <w:rPr>
                <w:b/>
                <w:bCs/>
                <w:sz w:val="24"/>
              </w:rPr>
              <w:t>项目排污许可管理类别判定</w:t>
            </w:r>
          </w:p>
          <w:p w14:paraId="74C42EA0">
            <w:pPr>
              <w:adjustRightInd w:val="0"/>
              <w:snapToGrid w:val="0"/>
              <w:spacing w:line="360" w:lineRule="auto"/>
              <w:ind w:firstLine="480" w:firstLineChars="200"/>
              <w:rPr>
                <w:sz w:val="24"/>
              </w:rPr>
            </w:pPr>
            <w:r>
              <w:rPr>
                <w:rFonts w:hint="eastAsia"/>
                <w:sz w:val="24"/>
              </w:rPr>
              <w:t>根据</w:t>
            </w:r>
            <w:r>
              <w:rPr>
                <w:sz w:val="24"/>
              </w:rPr>
              <w:t>《国民经济行业分类》（2017年版）</w:t>
            </w:r>
            <w:r>
              <w:rPr>
                <w:rFonts w:hint="eastAsia"/>
                <w:sz w:val="24"/>
              </w:rPr>
              <w:t>，本项目</w:t>
            </w:r>
            <w:r>
              <w:rPr>
                <w:rFonts w:hint="eastAsia"/>
                <w:sz w:val="24"/>
                <w:lang w:eastAsia="zh-CN"/>
              </w:rPr>
              <w:t>属于其中的</w:t>
            </w:r>
            <w:r>
              <w:rPr>
                <w:rFonts w:hint="eastAsia"/>
                <w:sz w:val="24"/>
              </w:rPr>
              <w:t>C3411锅炉及辅助设备制造；</w:t>
            </w:r>
            <w:r>
              <w:rPr>
                <w:sz w:val="24"/>
              </w:rPr>
              <w:t>根据《固定污染源排污许可分类管理名录（2019年版）》</w:t>
            </w:r>
            <w:r>
              <w:rPr>
                <w:rFonts w:hint="eastAsia"/>
                <w:sz w:val="24"/>
              </w:rPr>
              <w:t>可知</w:t>
            </w:r>
            <w:r>
              <w:rPr>
                <w:sz w:val="24"/>
              </w:rPr>
              <w:t>，项目属于名录中</w:t>
            </w:r>
            <w:r>
              <w:rPr>
                <w:rFonts w:hint="eastAsia"/>
                <w:sz w:val="24"/>
              </w:rPr>
              <w:t>“二十九、通用设备制造业 34-83、锅炉及原动设备制造 341”中“其他”，</w:t>
            </w:r>
            <w:r>
              <w:rPr>
                <w:sz w:val="24"/>
              </w:rPr>
              <w:t>故排污许可管理类别为</w:t>
            </w:r>
            <w:r>
              <w:rPr>
                <w:rFonts w:hint="eastAsia"/>
                <w:sz w:val="24"/>
              </w:rPr>
              <w:t>“登记</w:t>
            </w:r>
            <w:r>
              <w:rPr>
                <w:sz w:val="24"/>
              </w:rPr>
              <w:t>管理</w:t>
            </w:r>
            <w:r>
              <w:rPr>
                <w:rFonts w:hint="eastAsia"/>
                <w:sz w:val="24"/>
              </w:rPr>
              <w:t>”，因此，企业应当填报排污许可登记表</w:t>
            </w:r>
            <w:r>
              <w:rPr>
                <w:sz w:val="24"/>
              </w:rPr>
              <w:t>。</w:t>
            </w:r>
          </w:p>
          <w:p w14:paraId="5997704A">
            <w:pPr>
              <w:spacing w:line="360" w:lineRule="auto"/>
              <w:ind w:firstLine="482" w:firstLineChars="200"/>
              <w:contextualSpacing/>
              <w:rPr>
                <w:b/>
                <w:bCs/>
                <w:sz w:val="24"/>
              </w:rPr>
            </w:pPr>
            <w:r>
              <w:rPr>
                <w:rFonts w:hint="eastAsia"/>
                <w:b/>
                <w:bCs/>
                <w:sz w:val="24"/>
              </w:rPr>
              <w:t>（二）项目建设内容及生产规模</w:t>
            </w:r>
          </w:p>
          <w:p w14:paraId="1B522089">
            <w:pPr>
              <w:spacing w:line="360" w:lineRule="auto"/>
              <w:ind w:firstLine="480" w:firstLineChars="200"/>
              <w:contextualSpacing/>
              <w:rPr>
                <w:sz w:val="24"/>
              </w:rPr>
            </w:pPr>
            <w:r>
              <w:rPr>
                <w:sz w:val="24"/>
              </w:rPr>
              <w:t>本项目</w:t>
            </w:r>
            <w:r>
              <w:rPr>
                <w:rFonts w:hint="eastAsia"/>
                <w:sz w:val="24"/>
              </w:rPr>
              <w:t>主要</w:t>
            </w:r>
            <w:r>
              <w:rPr>
                <w:sz w:val="24"/>
              </w:rPr>
              <w:t>工程内容及规模</w:t>
            </w:r>
            <w:r>
              <w:rPr>
                <w:rFonts w:hint="eastAsia"/>
                <w:sz w:val="24"/>
              </w:rPr>
              <w:t>见下表</w:t>
            </w:r>
            <w:r>
              <w:rPr>
                <w:sz w:val="24"/>
              </w:rPr>
              <w:t>。</w:t>
            </w:r>
          </w:p>
          <w:p w14:paraId="460FBCF0">
            <w:pPr>
              <w:widowControl/>
              <w:numPr>
                <w:ilvl w:val="0"/>
                <w:numId w:val="2"/>
              </w:numPr>
              <w:jc w:val="center"/>
              <w:rPr>
                <w:b/>
                <w:kern w:val="0"/>
                <w:szCs w:val="21"/>
              </w:rPr>
            </w:pPr>
            <w:r>
              <w:rPr>
                <w:b/>
                <w:kern w:val="0"/>
                <w:szCs w:val="21"/>
              </w:rPr>
              <w:t xml:space="preserve"> </w:t>
            </w:r>
            <w:r>
              <w:rPr>
                <w:rFonts w:hint="eastAsia"/>
                <w:b/>
                <w:kern w:val="0"/>
                <w:szCs w:val="21"/>
              </w:rPr>
              <w:t xml:space="preserve"> </w:t>
            </w:r>
            <w:r>
              <w:rPr>
                <w:b/>
                <w:kern w:val="0"/>
                <w:szCs w:val="21"/>
              </w:rPr>
              <w:t>建设项目主要工程内容及规模一览表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4"/>
              <w:gridCol w:w="828"/>
              <w:gridCol w:w="5096"/>
              <w:gridCol w:w="1837"/>
            </w:tblGrid>
            <w:tr w14:paraId="2391A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6" w:type="pct"/>
                  <w:vAlign w:val="center"/>
                </w:tcPr>
                <w:p w14:paraId="74C77832">
                  <w:pPr>
                    <w:jc w:val="center"/>
                    <w:rPr>
                      <w:b/>
                      <w:color w:val="auto"/>
                      <w:sz w:val="21"/>
                      <w:szCs w:val="21"/>
                    </w:rPr>
                  </w:pPr>
                  <w:r>
                    <w:rPr>
                      <w:b/>
                      <w:color w:val="auto"/>
                      <w:sz w:val="21"/>
                      <w:szCs w:val="21"/>
                    </w:rPr>
                    <w:t>工程类别</w:t>
                  </w:r>
                </w:p>
              </w:tc>
              <w:tc>
                <w:tcPr>
                  <w:tcW w:w="504" w:type="pct"/>
                  <w:vAlign w:val="center"/>
                </w:tcPr>
                <w:p w14:paraId="4968B606">
                  <w:pPr>
                    <w:jc w:val="center"/>
                    <w:rPr>
                      <w:b/>
                      <w:color w:val="auto"/>
                      <w:sz w:val="21"/>
                      <w:szCs w:val="21"/>
                    </w:rPr>
                  </w:pPr>
                  <w:r>
                    <w:rPr>
                      <w:b/>
                      <w:color w:val="auto"/>
                      <w:sz w:val="21"/>
                      <w:szCs w:val="21"/>
                    </w:rPr>
                    <w:t>单项工程名称</w:t>
                  </w:r>
                </w:p>
              </w:tc>
              <w:tc>
                <w:tcPr>
                  <w:tcW w:w="4219" w:type="pct"/>
                  <w:gridSpan w:val="2"/>
                  <w:vAlign w:val="center"/>
                </w:tcPr>
                <w:p w14:paraId="6FB69018">
                  <w:pPr>
                    <w:jc w:val="center"/>
                    <w:rPr>
                      <w:b/>
                      <w:color w:val="auto"/>
                      <w:sz w:val="21"/>
                      <w:szCs w:val="21"/>
                    </w:rPr>
                  </w:pPr>
                  <w:r>
                    <w:rPr>
                      <w:b/>
                      <w:color w:val="auto"/>
                      <w:sz w:val="21"/>
                      <w:szCs w:val="21"/>
                    </w:rPr>
                    <w:t>本项目工程内容及规模</w:t>
                  </w:r>
                </w:p>
              </w:tc>
            </w:tr>
            <w:tr w14:paraId="4625F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6" w:type="pct"/>
                  <w:vMerge w:val="restart"/>
                  <w:vAlign w:val="center"/>
                </w:tcPr>
                <w:p w14:paraId="1C802CDB">
                  <w:pPr>
                    <w:jc w:val="center"/>
                    <w:rPr>
                      <w:color w:val="auto"/>
                      <w:sz w:val="21"/>
                      <w:szCs w:val="21"/>
                    </w:rPr>
                  </w:pPr>
                  <w:r>
                    <w:rPr>
                      <w:color w:val="auto"/>
                      <w:sz w:val="21"/>
                      <w:szCs w:val="21"/>
                    </w:rPr>
                    <w:t>主体工程</w:t>
                  </w:r>
                </w:p>
              </w:tc>
              <w:tc>
                <w:tcPr>
                  <w:tcW w:w="504" w:type="pct"/>
                  <w:vAlign w:val="center"/>
                </w:tcPr>
                <w:p w14:paraId="457C3F74">
                  <w:pPr>
                    <w:jc w:val="center"/>
                    <w:rPr>
                      <w:color w:val="auto"/>
                      <w:sz w:val="21"/>
                      <w:szCs w:val="21"/>
                    </w:rPr>
                  </w:pPr>
                  <w:r>
                    <w:rPr>
                      <w:rFonts w:hint="eastAsia"/>
                      <w:color w:val="auto"/>
                      <w:sz w:val="21"/>
                      <w:szCs w:val="21"/>
                      <w:lang w:val="en-US" w:eastAsia="zh-CN"/>
                    </w:rPr>
                    <w:t>1</w:t>
                  </w:r>
                  <w:r>
                    <w:rPr>
                      <w:rFonts w:hint="eastAsia"/>
                      <w:color w:val="auto"/>
                      <w:sz w:val="21"/>
                      <w:szCs w:val="21"/>
                    </w:rPr>
                    <w:t>#厂房</w:t>
                  </w:r>
                </w:p>
              </w:tc>
              <w:tc>
                <w:tcPr>
                  <w:tcW w:w="3101" w:type="pct"/>
                  <w:vAlign w:val="center"/>
                </w:tcPr>
                <w:p w14:paraId="59D82774">
                  <w:pPr>
                    <w:jc w:val="center"/>
                    <w:rPr>
                      <w:color w:val="auto"/>
                      <w:sz w:val="21"/>
                      <w:szCs w:val="21"/>
                    </w:rPr>
                  </w:pPr>
                  <w:r>
                    <w:rPr>
                      <w:rFonts w:hint="eastAsia"/>
                      <w:color w:val="auto"/>
                      <w:sz w:val="21"/>
                      <w:szCs w:val="21"/>
                    </w:rPr>
                    <w:t>位于厂区</w:t>
                  </w:r>
                  <w:r>
                    <w:rPr>
                      <w:rFonts w:hint="eastAsia"/>
                      <w:color w:val="auto"/>
                      <w:sz w:val="21"/>
                      <w:szCs w:val="21"/>
                      <w:lang w:eastAsia="zh-CN"/>
                    </w:rPr>
                    <w:t>西侧</w:t>
                  </w:r>
                  <w:r>
                    <w:rPr>
                      <w:rFonts w:hint="eastAsia"/>
                      <w:color w:val="auto"/>
                      <w:sz w:val="21"/>
                      <w:szCs w:val="21"/>
                    </w:rPr>
                    <w:t>，1栋</w:t>
                  </w:r>
                  <w:r>
                    <w:rPr>
                      <w:rFonts w:hint="eastAsia"/>
                      <w:color w:val="auto"/>
                      <w:sz w:val="21"/>
                      <w:szCs w:val="21"/>
                      <w:lang w:val="en-US" w:eastAsia="zh-CN"/>
                    </w:rPr>
                    <w:t>1</w:t>
                  </w:r>
                  <w:r>
                    <w:rPr>
                      <w:rFonts w:hint="eastAsia"/>
                      <w:color w:val="auto"/>
                      <w:sz w:val="21"/>
                      <w:szCs w:val="21"/>
                    </w:rPr>
                    <w:t>F，高度1</w:t>
                  </w:r>
                  <w:r>
                    <w:rPr>
                      <w:rFonts w:hint="eastAsia"/>
                      <w:color w:val="auto"/>
                      <w:sz w:val="21"/>
                      <w:szCs w:val="21"/>
                      <w:lang w:val="en-US" w:eastAsia="zh-CN"/>
                    </w:rPr>
                    <w:t>9.15</w:t>
                  </w:r>
                  <w:r>
                    <w:rPr>
                      <w:rFonts w:hint="eastAsia"/>
                      <w:color w:val="auto"/>
                      <w:sz w:val="21"/>
                      <w:szCs w:val="21"/>
                    </w:rPr>
                    <w:t>m，占地面积为</w:t>
                  </w:r>
                  <w:r>
                    <w:rPr>
                      <w:rFonts w:hint="eastAsia"/>
                      <w:color w:val="auto"/>
                      <w:sz w:val="21"/>
                      <w:szCs w:val="21"/>
                      <w:lang w:val="en-US" w:eastAsia="zh-CN"/>
                    </w:rPr>
                    <w:t>18014.16</w:t>
                  </w:r>
                  <w:r>
                    <w:rPr>
                      <w:color w:val="auto"/>
                      <w:sz w:val="21"/>
                      <w:szCs w:val="21"/>
                    </w:rPr>
                    <w:t>m</w:t>
                  </w:r>
                  <w:r>
                    <w:rPr>
                      <w:color w:val="auto"/>
                      <w:sz w:val="21"/>
                      <w:szCs w:val="21"/>
                      <w:vertAlign w:val="superscript"/>
                    </w:rPr>
                    <w:t>2</w:t>
                  </w:r>
                  <w:r>
                    <w:rPr>
                      <w:color w:val="auto"/>
                      <w:sz w:val="21"/>
                      <w:szCs w:val="21"/>
                    </w:rPr>
                    <w:t>，</w:t>
                  </w:r>
                  <w:r>
                    <w:rPr>
                      <w:rFonts w:hint="default" w:ascii="Times New Roman" w:hAnsi="Times New Roman" w:cs="Times New Roman"/>
                      <w:sz w:val="21"/>
                      <w:szCs w:val="21"/>
                    </w:rPr>
                    <w:t>设置机下料区、机加工区、焊接区、装配区、电气柜组装区等</w:t>
                  </w:r>
                  <w:r>
                    <w:rPr>
                      <w:rFonts w:hint="eastAsia" w:cs="Times New Roman"/>
                      <w:sz w:val="21"/>
                      <w:szCs w:val="21"/>
                      <w:lang w:eastAsia="zh-CN"/>
                    </w:rPr>
                    <w:t>，</w:t>
                  </w:r>
                  <w:r>
                    <w:rPr>
                      <w:rFonts w:hint="eastAsia"/>
                      <w:color w:val="auto"/>
                      <w:sz w:val="21"/>
                      <w:szCs w:val="21"/>
                    </w:rPr>
                    <w:t>主要</w:t>
                  </w:r>
                  <w:r>
                    <w:rPr>
                      <w:rFonts w:hint="eastAsia"/>
                      <w:color w:val="auto"/>
                      <w:sz w:val="21"/>
                      <w:szCs w:val="21"/>
                      <w:lang w:eastAsia="zh-CN"/>
                    </w:rPr>
                    <w:t>布置</w:t>
                  </w:r>
                  <w:r>
                    <w:rPr>
                      <w:rFonts w:hint="eastAsia"/>
                      <w:color w:val="auto"/>
                      <w:sz w:val="21"/>
                      <w:szCs w:val="21"/>
                    </w:rPr>
                    <w:t>等离子切割机、激光切割机、液压板料折弯机、液压闸式剪板机、卷板机、焊接机、数控车床、钻床、铣床、焊接机等设备</w:t>
                  </w:r>
                </w:p>
              </w:tc>
              <w:tc>
                <w:tcPr>
                  <w:tcW w:w="1118" w:type="pct"/>
                  <w:vMerge w:val="restart"/>
                  <w:vAlign w:val="center"/>
                </w:tcPr>
                <w:p w14:paraId="2BC56CD8">
                  <w:pPr>
                    <w:jc w:val="center"/>
                    <w:rPr>
                      <w:rFonts w:hint="eastAsia"/>
                      <w:color w:val="auto"/>
                      <w:sz w:val="21"/>
                      <w:szCs w:val="21"/>
                    </w:rPr>
                  </w:pPr>
                  <w:r>
                    <w:rPr>
                      <w:rFonts w:hint="eastAsia"/>
                      <w:color w:val="auto"/>
                      <w:sz w:val="21"/>
                      <w:szCs w:val="21"/>
                      <w:lang w:eastAsia="zh-CN"/>
                    </w:rPr>
                    <w:t>形成年产100套虾米曲线防堵清堵一体化煤斗设备、50套仓外仓多路分仓设备、1000套仓壁振打气锤和20套落煤管的生产能力</w:t>
                  </w:r>
                </w:p>
              </w:tc>
            </w:tr>
            <w:tr w14:paraId="06713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6" w:type="pct"/>
                  <w:vMerge w:val="continue"/>
                  <w:vAlign w:val="center"/>
                </w:tcPr>
                <w:p w14:paraId="005C3BC0">
                  <w:pPr>
                    <w:jc w:val="center"/>
                    <w:rPr>
                      <w:color w:val="auto"/>
                      <w:sz w:val="21"/>
                      <w:szCs w:val="21"/>
                    </w:rPr>
                  </w:pPr>
                </w:p>
              </w:tc>
              <w:tc>
                <w:tcPr>
                  <w:tcW w:w="504" w:type="pct"/>
                  <w:vAlign w:val="center"/>
                </w:tcPr>
                <w:p w14:paraId="4FB1A905">
                  <w:pPr>
                    <w:jc w:val="center"/>
                    <w:rPr>
                      <w:rFonts w:hint="eastAsia"/>
                      <w:color w:val="auto"/>
                      <w:sz w:val="21"/>
                      <w:szCs w:val="21"/>
                      <w:lang w:val="en-US" w:eastAsia="zh-CN"/>
                    </w:rPr>
                  </w:pPr>
                  <w:r>
                    <w:rPr>
                      <w:rFonts w:hint="eastAsia"/>
                      <w:color w:val="auto"/>
                      <w:sz w:val="21"/>
                      <w:szCs w:val="21"/>
                      <w:lang w:val="en-US" w:eastAsia="zh-CN"/>
                    </w:rPr>
                    <w:t>2#厂房</w:t>
                  </w:r>
                </w:p>
              </w:tc>
              <w:tc>
                <w:tcPr>
                  <w:tcW w:w="3101" w:type="pct"/>
                  <w:vAlign w:val="center"/>
                </w:tcPr>
                <w:p w14:paraId="25078B13">
                  <w:pPr>
                    <w:jc w:val="center"/>
                    <w:rPr>
                      <w:rFonts w:hint="eastAsia" w:eastAsia="宋体"/>
                      <w:color w:val="auto"/>
                      <w:sz w:val="21"/>
                      <w:szCs w:val="21"/>
                      <w:lang w:val="en-US" w:eastAsia="zh-CN"/>
                    </w:rPr>
                  </w:pPr>
                  <w:r>
                    <w:rPr>
                      <w:rFonts w:hint="eastAsia"/>
                      <w:color w:val="auto"/>
                      <w:sz w:val="21"/>
                      <w:szCs w:val="21"/>
                      <w:lang w:eastAsia="zh-CN"/>
                    </w:rPr>
                    <w:t>位于厂区东侧，</w:t>
                  </w:r>
                  <w:r>
                    <w:rPr>
                      <w:rFonts w:hint="eastAsia"/>
                      <w:color w:val="auto"/>
                      <w:sz w:val="21"/>
                      <w:szCs w:val="21"/>
                      <w:lang w:val="en-US" w:eastAsia="zh-CN"/>
                    </w:rPr>
                    <w:t>1栋3F，高度19.65m，占地面积为6382</w:t>
                  </w:r>
                  <w:r>
                    <w:rPr>
                      <w:color w:val="auto"/>
                      <w:sz w:val="21"/>
                      <w:szCs w:val="21"/>
                    </w:rPr>
                    <w:t>m</w:t>
                  </w:r>
                  <w:r>
                    <w:rPr>
                      <w:color w:val="auto"/>
                      <w:sz w:val="21"/>
                      <w:szCs w:val="21"/>
                      <w:vertAlign w:val="superscript"/>
                    </w:rPr>
                    <w:t>2</w:t>
                  </w:r>
                  <w:r>
                    <w:rPr>
                      <w:color w:val="auto"/>
                      <w:sz w:val="21"/>
                      <w:szCs w:val="21"/>
                    </w:rPr>
                    <w:t>，</w:t>
                  </w:r>
                  <w:r>
                    <w:rPr>
                      <w:rFonts w:hint="eastAsia"/>
                      <w:color w:val="auto"/>
                      <w:sz w:val="21"/>
                      <w:szCs w:val="21"/>
                      <w:lang w:val="en-US" w:eastAsia="zh-CN"/>
                    </w:rPr>
                    <w:t>1层</w:t>
                  </w:r>
                  <w:r>
                    <w:rPr>
                      <w:rFonts w:hint="eastAsia"/>
                      <w:color w:val="auto"/>
                      <w:sz w:val="21"/>
                      <w:szCs w:val="21"/>
                      <w:lang w:eastAsia="zh-CN"/>
                    </w:rPr>
                    <w:t>布置食堂，仓库，</w:t>
                  </w:r>
                  <w:r>
                    <w:rPr>
                      <w:rFonts w:hint="eastAsia"/>
                      <w:color w:val="auto"/>
                      <w:sz w:val="21"/>
                      <w:szCs w:val="21"/>
                      <w:lang w:val="en-US" w:eastAsia="zh-CN"/>
                    </w:rPr>
                    <w:t>2层布置办公区、零部件装配区、预留区，3层布置</w:t>
                  </w:r>
                  <w:r>
                    <w:rPr>
                      <w:rFonts w:hint="eastAsia"/>
                      <w:color w:val="auto"/>
                      <w:sz w:val="21"/>
                      <w:szCs w:val="21"/>
                      <w:lang w:eastAsia="zh-CN"/>
                    </w:rPr>
                    <w:t>倒班宿舍区、预留区域</w:t>
                  </w:r>
                </w:p>
              </w:tc>
              <w:tc>
                <w:tcPr>
                  <w:tcW w:w="1118" w:type="pct"/>
                  <w:vMerge w:val="continue"/>
                  <w:vAlign w:val="center"/>
                </w:tcPr>
                <w:p w14:paraId="06D5CEAE">
                  <w:pPr>
                    <w:jc w:val="center"/>
                    <w:rPr>
                      <w:rFonts w:hint="eastAsia"/>
                      <w:color w:val="auto"/>
                      <w:sz w:val="21"/>
                      <w:szCs w:val="21"/>
                      <w:lang w:eastAsia="zh-CN"/>
                    </w:rPr>
                  </w:pPr>
                </w:p>
              </w:tc>
            </w:tr>
            <w:tr w14:paraId="0FDBE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6" w:type="pct"/>
                  <w:vMerge w:val="continue"/>
                  <w:vAlign w:val="center"/>
                </w:tcPr>
                <w:p w14:paraId="00CBAE74">
                  <w:pPr>
                    <w:jc w:val="center"/>
                    <w:rPr>
                      <w:color w:val="auto"/>
                      <w:sz w:val="21"/>
                      <w:szCs w:val="21"/>
                    </w:rPr>
                  </w:pPr>
                </w:p>
              </w:tc>
              <w:tc>
                <w:tcPr>
                  <w:tcW w:w="504" w:type="pct"/>
                  <w:vAlign w:val="center"/>
                </w:tcPr>
                <w:p w14:paraId="34271C71">
                  <w:pPr>
                    <w:jc w:val="center"/>
                    <w:rPr>
                      <w:rFonts w:hint="eastAsia"/>
                      <w:color w:val="auto"/>
                      <w:sz w:val="21"/>
                      <w:szCs w:val="21"/>
                      <w:lang w:val="en-US" w:eastAsia="zh-CN"/>
                    </w:rPr>
                  </w:pPr>
                  <w:r>
                    <w:rPr>
                      <w:rFonts w:hint="eastAsia"/>
                      <w:color w:val="auto"/>
                      <w:sz w:val="21"/>
                      <w:szCs w:val="21"/>
                      <w:lang w:val="en-US" w:eastAsia="zh-CN"/>
                    </w:rPr>
                    <w:t>喷漆房</w:t>
                  </w:r>
                </w:p>
              </w:tc>
              <w:tc>
                <w:tcPr>
                  <w:tcW w:w="3101" w:type="pct"/>
                  <w:vAlign w:val="center"/>
                </w:tcPr>
                <w:p w14:paraId="362F999D">
                  <w:pPr>
                    <w:jc w:val="center"/>
                    <w:rPr>
                      <w:rFonts w:hint="eastAsia"/>
                      <w:color w:val="auto"/>
                      <w:sz w:val="21"/>
                      <w:szCs w:val="21"/>
                      <w:lang w:eastAsia="zh-CN"/>
                    </w:rPr>
                  </w:pPr>
                  <w:r>
                    <w:rPr>
                      <w:rFonts w:hint="eastAsia"/>
                      <w:color w:val="auto"/>
                      <w:sz w:val="21"/>
                      <w:szCs w:val="21"/>
                      <w:lang w:eastAsia="zh-CN"/>
                    </w:rPr>
                    <w:t>位于</w:t>
                  </w:r>
                  <w:r>
                    <w:rPr>
                      <w:rFonts w:hint="eastAsia"/>
                      <w:color w:val="auto"/>
                      <w:sz w:val="21"/>
                      <w:szCs w:val="21"/>
                      <w:lang w:val="en-US" w:eastAsia="zh-CN"/>
                    </w:rPr>
                    <w:t>厂区西北侧（1#厂房西侧），喷漆房外部体积为16m×20m×6m，主要用于部分零部件喷漆</w:t>
                  </w:r>
                </w:p>
              </w:tc>
              <w:tc>
                <w:tcPr>
                  <w:tcW w:w="1118" w:type="pct"/>
                  <w:vMerge w:val="continue"/>
                  <w:vAlign w:val="center"/>
                </w:tcPr>
                <w:p w14:paraId="7B8D28F7">
                  <w:pPr>
                    <w:jc w:val="center"/>
                    <w:rPr>
                      <w:rFonts w:hint="eastAsia"/>
                      <w:color w:val="auto"/>
                      <w:sz w:val="21"/>
                      <w:szCs w:val="21"/>
                      <w:lang w:eastAsia="zh-CN"/>
                    </w:rPr>
                  </w:pPr>
                </w:p>
              </w:tc>
            </w:tr>
            <w:tr w14:paraId="60471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6" w:type="pct"/>
                  <w:vMerge w:val="restart"/>
                  <w:vAlign w:val="center"/>
                </w:tcPr>
                <w:p w14:paraId="1336D1B1">
                  <w:pPr>
                    <w:jc w:val="center"/>
                    <w:rPr>
                      <w:color w:val="auto"/>
                      <w:sz w:val="21"/>
                      <w:szCs w:val="21"/>
                    </w:rPr>
                  </w:pPr>
                  <w:r>
                    <w:rPr>
                      <w:color w:val="auto"/>
                      <w:sz w:val="21"/>
                      <w:szCs w:val="21"/>
                    </w:rPr>
                    <w:t>辅助工程</w:t>
                  </w:r>
                </w:p>
              </w:tc>
              <w:tc>
                <w:tcPr>
                  <w:tcW w:w="504" w:type="pct"/>
                  <w:vAlign w:val="center"/>
                </w:tcPr>
                <w:p w14:paraId="11A6DE97">
                  <w:pPr>
                    <w:jc w:val="center"/>
                    <w:rPr>
                      <w:rFonts w:hint="default" w:eastAsia="宋体"/>
                      <w:color w:val="auto"/>
                      <w:sz w:val="21"/>
                      <w:szCs w:val="21"/>
                      <w:lang w:val="en-US" w:eastAsia="zh-CN"/>
                    </w:rPr>
                  </w:pPr>
                  <w:r>
                    <w:rPr>
                      <w:rFonts w:hint="eastAsia"/>
                      <w:color w:val="auto"/>
                      <w:sz w:val="21"/>
                      <w:szCs w:val="21"/>
                      <w:lang w:val="en-US" w:eastAsia="zh-CN"/>
                    </w:rPr>
                    <w:t>办公室</w:t>
                  </w:r>
                </w:p>
              </w:tc>
              <w:tc>
                <w:tcPr>
                  <w:tcW w:w="4219" w:type="pct"/>
                  <w:gridSpan w:val="2"/>
                  <w:vAlign w:val="center"/>
                </w:tcPr>
                <w:p w14:paraId="44FCEBFA">
                  <w:pPr>
                    <w:jc w:val="center"/>
                    <w:rPr>
                      <w:rFonts w:hint="default" w:eastAsia="宋体"/>
                      <w:color w:val="auto"/>
                      <w:sz w:val="21"/>
                      <w:szCs w:val="21"/>
                      <w:lang w:val="en-US" w:eastAsia="zh-CN"/>
                    </w:rPr>
                  </w:pPr>
                  <w:r>
                    <w:rPr>
                      <w:rFonts w:hint="eastAsia"/>
                      <w:color w:val="auto"/>
                      <w:sz w:val="21"/>
                      <w:szCs w:val="21"/>
                    </w:rPr>
                    <w:t>位于</w:t>
                  </w:r>
                  <w:r>
                    <w:rPr>
                      <w:rFonts w:hint="eastAsia"/>
                      <w:color w:val="auto"/>
                      <w:sz w:val="21"/>
                      <w:szCs w:val="21"/>
                      <w:lang w:val="en-US" w:eastAsia="zh-CN"/>
                    </w:rPr>
                    <w:t>2#厂房2层东侧，建筑面积约200m</w:t>
                  </w:r>
                  <w:r>
                    <w:rPr>
                      <w:rFonts w:hint="eastAsia"/>
                      <w:color w:val="auto"/>
                      <w:sz w:val="21"/>
                      <w:szCs w:val="21"/>
                      <w:vertAlign w:val="superscript"/>
                      <w:lang w:val="en-US" w:eastAsia="zh-CN"/>
                    </w:rPr>
                    <w:t>2</w:t>
                  </w:r>
                  <w:r>
                    <w:rPr>
                      <w:rFonts w:hint="eastAsia"/>
                      <w:color w:val="auto"/>
                      <w:sz w:val="21"/>
                      <w:szCs w:val="21"/>
                      <w:lang w:val="en-US" w:eastAsia="zh-CN"/>
                    </w:rPr>
                    <w:t>，主要用于员工办公</w:t>
                  </w:r>
                </w:p>
              </w:tc>
            </w:tr>
            <w:tr w14:paraId="201DC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6" w:type="pct"/>
                  <w:vMerge w:val="continue"/>
                  <w:vAlign w:val="center"/>
                </w:tcPr>
                <w:p w14:paraId="2884F10B">
                  <w:pPr>
                    <w:jc w:val="center"/>
                    <w:rPr>
                      <w:color w:val="auto"/>
                      <w:sz w:val="21"/>
                      <w:szCs w:val="21"/>
                    </w:rPr>
                  </w:pPr>
                </w:p>
              </w:tc>
              <w:tc>
                <w:tcPr>
                  <w:tcW w:w="504" w:type="pct"/>
                  <w:vAlign w:val="center"/>
                </w:tcPr>
                <w:p w14:paraId="37F09F29">
                  <w:pPr>
                    <w:jc w:val="center"/>
                    <w:rPr>
                      <w:rFonts w:hint="eastAsia" w:eastAsia="宋体"/>
                      <w:color w:val="auto"/>
                      <w:sz w:val="21"/>
                      <w:szCs w:val="21"/>
                      <w:lang w:eastAsia="zh-CN"/>
                    </w:rPr>
                  </w:pPr>
                  <w:r>
                    <w:rPr>
                      <w:rFonts w:hint="eastAsia"/>
                      <w:color w:val="auto"/>
                      <w:sz w:val="21"/>
                      <w:szCs w:val="21"/>
                      <w:lang w:eastAsia="zh-CN"/>
                    </w:rPr>
                    <w:t>食堂</w:t>
                  </w:r>
                </w:p>
              </w:tc>
              <w:tc>
                <w:tcPr>
                  <w:tcW w:w="4219" w:type="pct"/>
                  <w:gridSpan w:val="2"/>
                  <w:vAlign w:val="center"/>
                </w:tcPr>
                <w:p w14:paraId="172A7648">
                  <w:pPr>
                    <w:jc w:val="center"/>
                    <w:rPr>
                      <w:rFonts w:hint="default" w:eastAsia="宋体"/>
                      <w:color w:val="auto"/>
                      <w:sz w:val="21"/>
                      <w:szCs w:val="21"/>
                      <w:lang w:val="en-US" w:eastAsia="zh-CN"/>
                    </w:rPr>
                  </w:pPr>
                  <w:r>
                    <w:rPr>
                      <w:rFonts w:hint="eastAsia"/>
                      <w:color w:val="auto"/>
                      <w:sz w:val="21"/>
                      <w:szCs w:val="21"/>
                    </w:rPr>
                    <w:t>位于</w:t>
                  </w:r>
                  <w:r>
                    <w:rPr>
                      <w:rFonts w:hint="eastAsia"/>
                      <w:color w:val="auto"/>
                      <w:sz w:val="21"/>
                      <w:szCs w:val="21"/>
                      <w:lang w:val="en-US" w:eastAsia="zh-CN"/>
                    </w:rPr>
                    <w:t>2#厂房1层东侧，建筑面积约240m</w:t>
                  </w:r>
                  <w:r>
                    <w:rPr>
                      <w:rFonts w:hint="eastAsia"/>
                      <w:color w:val="auto"/>
                      <w:sz w:val="21"/>
                      <w:szCs w:val="21"/>
                      <w:vertAlign w:val="superscript"/>
                      <w:lang w:val="en-US" w:eastAsia="zh-CN"/>
                    </w:rPr>
                    <w:t>2</w:t>
                  </w:r>
                  <w:r>
                    <w:rPr>
                      <w:rFonts w:hint="eastAsia"/>
                      <w:color w:val="auto"/>
                      <w:sz w:val="21"/>
                      <w:szCs w:val="21"/>
                      <w:lang w:val="en-US" w:eastAsia="zh-CN"/>
                    </w:rPr>
                    <w:t>，用于员工中午就餐</w:t>
                  </w:r>
                </w:p>
              </w:tc>
            </w:tr>
            <w:tr w14:paraId="40674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6" w:type="pct"/>
                  <w:vMerge w:val="continue"/>
                  <w:vAlign w:val="center"/>
                </w:tcPr>
                <w:p w14:paraId="2AF1DF9D">
                  <w:pPr>
                    <w:jc w:val="center"/>
                    <w:rPr>
                      <w:color w:val="auto"/>
                      <w:sz w:val="21"/>
                      <w:szCs w:val="21"/>
                    </w:rPr>
                  </w:pPr>
                </w:p>
              </w:tc>
              <w:tc>
                <w:tcPr>
                  <w:tcW w:w="504" w:type="pct"/>
                  <w:vAlign w:val="center"/>
                </w:tcPr>
                <w:p w14:paraId="43C51FA0">
                  <w:pPr>
                    <w:jc w:val="center"/>
                    <w:rPr>
                      <w:rFonts w:hint="eastAsia" w:eastAsia="宋体"/>
                      <w:color w:val="auto"/>
                      <w:sz w:val="21"/>
                      <w:szCs w:val="21"/>
                      <w:lang w:eastAsia="zh-CN"/>
                    </w:rPr>
                  </w:pPr>
                  <w:r>
                    <w:rPr>
                      <w:rFonts w:hint="eastAsia"/>
                      <w:color w:val="auto"/>
                      <w:sz w:val="21"/>
                      <w:szCs w:val="21"/>
                      <w:lang w:eastAsia="zh-CN"/>
                    </w:rPr>
                    <w:t>倒班宿舍</w:t>
                  </w:r>
                </w:p>
              </w:tc>
              <w:tc>
                <w:tcPr>
                  <w:tcW w:w="4219" w:type="pct"/>
                  <w:gridSpan w:val="2"/>
                  <w:vAlign w:val="center"/>
                </w:tcPr>
                <w:p w14:paraId="668DD388">
                  <w:pPr>
                    <w:jc w:val="center"/>
                    <w:rPr>
                      <w:color w:val="auto"/>
                      <w:kern w:val="0"/>
                      <w:sz w:val="21"/>
                      <w:szCs w:val="21"/>
                    </w:rPr>
                  </w:pPr>
                  <w:r>
                    <w:rPr>
                      <w:rFonts w:hint="eastAsia"/>
                      <w:color w:val="auto"/>
                      <w:sz w:val="21"/>
                      <w:szCs w:val="21"/>
                    </w:rPr>
                    <w:t>位于</w:t>
                  </w:r>
                  <w:r>
                    <w:rPr>
                      <w:rFonts w:hint="eastAsia"/>
                      <w:color w:val="auto"/>
                      <w:sz w:val="21"/>
                      <w:szCs w:val="21"/>
                      <w:lang w:val="en-US" w:eastAsia="zh-CN"/>
                    </w:rPr>
                    <w:t>2#厂房3层东侧，建筑面积约300m</w:t>
                  </w:r>
                  <w:r>
                    <w:rPr>
                      <w:rFonts w:hint="eastAsia"/>
                      <w:color w:val="auto"/>
                      <w:sz w:val="21"/>
                      <w:szCs w:val="21"/>
                      <w:vertAlign w:val="superscript"/>
                      <w:lang w:val="en-US" w:eastAsia="zh-CN"/>
                    </w:rPr>
                    <w:t>2</w:t>
                  </w:r>
                  <w:r>
                    <w:rPr>
                      <w:rFonts w:hint="eastAsia"/>
                      <w:color w:val="auto"/>
                      <w:sz w:val="21"/>
                      <w:szCs w:val="21"/>
                      <w:lang w:val="en-US" w:eastAsia="zh-CN"/>
                    </w:rPr>
                    <w:t>，用于员工倒班休息</w:t>
                  </w:r>
                </w:p>
              </w:tc>
            </w:tr>
            <w:tr w14:paraId="4AD23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6" w:type="pct"/>
                  <w:vMerge w:val="restart"/>
                  <w:vAlign w:val="center"/>
                </w:tcPr>
                <w:p w14:paraId="75E0B04E">
                  <w:pPr>
                    <w:jc w:val="center"/>
                    <w:rPr>
                      <w:color w:val="auto"/>
                      <w:sz w:val="21"/>
                      <w:szCs w:val="21"/>
                    </w:rPr>
                  </w:pPr>
                  <w:r>
                    <w:rPr>
                      <w:color w:val="auto"/>
                      <w:sz w:val="21"/>
                      <w:szCs w:val="21"/>
                    </w:rPr>
                    <w:t>储运工程</w:t>
                  </w:r>
                </w:p>
              </w:tc>
              <w:tc>
                <w:tcPr>
                  <w:tcW w:w="504" w:type="pct"/>
                  <w:vAlign w:val="center"/>
                </w:tcPr>
                <w:p w14:paraId="027D3DA7">
                  <w:pPr>
                    <w:jc w:val="center"/>
                    <w:rPr>
                      <w:bCs/>
                      <w:color w:val="auto"/>
                      <w:sz w:val="21"/>
                      <w:szCs w:val="21"/>
                    </w:rPr>
                  </w:pPr>
                  <w:r>
                    <w:rPr>
                      <w:rFonts w:hint="eastAsia"/>
                      <w:bCs/>
                      <w:color w:val="auto"/>
                      <w:sz w:val="21"/>
                      <w:szCs w:val="21"/>
                    </w:rPr>
                    <w:t>成品暂存区</w:t>
                  </w:r>
                </w:p>
              </w:tc>
              <w:tc>
                <w:tcPr>
                  <w:tcW w:w="4219" w:type="pct"/>
                  <w:gridSpan w:val="2"/>
                  <w:vAlign w:val="center"/>
                </w:tcPr>
                <w:p w14:paraId="3D99AF46">
                  <w:pPr>
                    <w:jc w:val="center"/>
                    <w:rPr>
                      <w:color w:val="auto"/>
                      <w:sz w:val="21"/>
                      <w:szCs w:val="21"/>
                    </w:rPr>
                  </w:pPr>
                  <w:r>
                    <w:rPr>
                      <w:rFonts w:hint="eastAsia"/>
                      <w:color w:val="auto"/>
                      <w:kern w:val="0"/>
                      <w:sz w:val="21"/>
                      <w:szCs w:val="21"/>
                    </w:rPr>
                    <w:t>位于</w:t>
                  </w:r>
                  <w:r>
                    <w:rPr>
                      <w:rFonts w:hint="eastAsia"/>
                      <w:color w:val="auto"/>
                      <w:sz w:val="21"/>
                      <w:szCs w:val="21"/>
                      <w:lang w:val="en-US" w:eastAsia="zh-CN"/>
                    </w:rPr>
                    <w:t>2#厂房1层南</w:t>
                  </w:r>
                  <w:r>
                    <w:rPr>
                      <w:rFonts w:hint="eastAsia"/>
                      <w:color w:val="auto"/>
                      <w:kern w:val="0"/>
                      <w:sz w:val="21"/>
                      <w:szCs w:val="21"/>
                    </w:rPr>
                    <w:t>侧</w:t>
                  </w:r>
                  <w:r>
                    <w:rPr>
                      <w:rFonts w:hint="eastAsia"/>
                      <w:color w:val="auto"/>
                      <w:kern w:val="0"/>
                      <w:sz w:val="21"/>
                      <w:szCs w:val="21"/>
                      <w:lang w:eastAsia="zh-CN"/>
                    </w:rPr>
                    <w:t>仓库内</w:t>
                  </w:r>
                  <w:r>
                    <w:rPr>
                      <w:color w:val="auto"/>
                      <w:sz w:val="21"/>
                      <w:szCs w:val="21"/>
                    </w:rPr>
                    <w:t>，</w:t>
                  </w:r>
                  <w:r>
                    <w:rPr>
                      <w:rFonts w:hint="eastAsia"/>
                      <w:color w:val="auto"/>
                      <w:sz w:val="21"/>
                      <w:szCs w:val="21"/>
                    </w:rPr>
                    <w:t>主要用于</w:t>
                  </w:r>
                  <w:r>
                    <w:rPr>
                      <w:rFonts w:hint="eastAsia"/>
                      <w:color w:val="auto"/>
                      <w:sz w:val="21"/>
                      <w:szCs w:val="21"/>
                      <w:lang w:eastAsia="zh-CN"/>
                    </w:rPr>
                    <w:t>本项目</w:t>
                  </w:r>
                  <w:r>
                    <w:rPr>
                      <w:rFonts w:hint="eastAsia"/>
                      <w:color w:val="auto"/>
                      <w:sz w:val="21"/>
                      <w:szCs w:val="21"/>
                    </w:rPr>
                    <w:t>成品暂存</w:t>
                  </w:r>
                </w:p>
              </w:tc>
            </w:tr>
            <w:tr w14:paraId="20E98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6" w:type="pct"/>
                  <w:vMerge w:val="continue"/>
                  <w:vAlign w:val="center"/>
                </w:tcPr>
                <w:p w14:paraId="3C988CE0">
                  <w:pPr>
                    <w:jc w:val="center"/>
                    <w:rPr>
                      <w:color w:val="auto"/>
                      <w:sz w:val="21"/>
                      <w:szCs w:val="21"/>
                    </w:rPr>
                  </w:pPr>
                </w:p>
              </w:tc>
              <w:tc>
                <w:tcPr>
                  <w:tcW w:w="504" w:type="pct"/>
                  <w:vAlign w:val="center"/>
                </w:tcPr>
                <w:p w14:paraId="747172BE">
                  <w:pPr>
                    <w:jc w:val="center"/>
                    <w:rPr>
                      <w:bCs/>
                      <w:color w:val="auto"/>
                      <w:sz w:val="21"/>
                      <w:szCs w:val="21"/>
                    </w:rPr>
                  </w:pPr>
                  <w:r>
                    <w:rPr>
                      <w:rFonts w:hint="eastAsia"/>
                      <w:bCs/>
                      <w:color w:val="auto"/>
                      <w:sz w:val="21"/>
                      <w:szCs w:val="21"/>
                      <w:lang w:eastAsia="zh-CN"/>
                    </w:rPr>
                    <w:t>辅料暂存间</w:t>
                  </w:r>
                </w:p>
              </w:tc>
              <w:tc>
                <w:tcPr>
                  <w:tcW w:w="4219" w:type="pct"/>
                  <w:gridSpan w:val="2"/>
                  <w:vAlign w:val="center"/>
                </w:tcPr>
                <w:p w14:paraId="63356CB7">
                  <w:pPr>
                    <w:jc w:val="center"/>
                    <w:rPr>
                      <w:color w:val="auto"/>
                      <w:kern w:val="0"/>
                      <w:sz w:val="21"/>
                      <w:szCs w:val="21"/>
                    </w:rPr>
                  </w:pPr>
                  <w:r>
                    <w:rPr>
                      <w:rFonts w:hint="eastAsia"/>
                      <w:color w:val="auto"/>
                      <w:kern w:val="0"/>
                      <w:sz w:val="21"/>
                      <w:szCs w:val="21"/>
                    </w:rPr>
                    <w:t>位于</w:t>
                  </w:r>
                  <w:r>
                    <w:rPr>
                      <w:rFonts w:hint="eastAsia"/>
                      <w:color w:val="auto"/>
                      <w:kern w:val="0"/>
                      <w:sz w:val="21"/>
                      <w:szCs w:val="21"/>
                      <w:lang w:val="en-US" w:eastAsia="zh-CN"/>
                    </w:rPr>
                    <w:t>1</w:t>
                  </w:r>
                  <w:r>
                    <w:rPr>
                      <w:rFonts w:hint="eastAsia"/>
                      <w:color w:val="auto"/>
                      <w:kern w:val="0"/>
                      <w:sz w:val="21"/>
                      <w:szCs w:val="21"/>
                    </w:rPr>
                    <w:t>#厂房东侧，主要用于</w:t>
                  </w:r>
                  <w:r>
                    <w:rPr>
                      <w:rFonts w:hint="eastAsia"/>
                      <w:color w:val="auto"/>
                      <w:kern w:val="0"/>
                      <w:sz w:val="21"/>
                      <w:szCs w:val="21"/>
                      <w:lang w:eastAsia="zh-CN"/>
                    </w:rPr>
                    <w:t>水性漆</w:t>
                  </w:r>
                  <w:r>
                    <w:rPr>
                      <w:rFonts w:hint="eastAsia"/>
                      <w:color w:val="auto"/>
                      <w:kern w:val="0"/>
                      <w:sz w:val="21"/>
                      <w:szCs w:val="21"/>
                    </w:rPr>
                    <w:t>、</w:t>
                  </w:r>
                  <w:r>
                    <w:rPr>
                      <w:rFonts w:hint="eastAsia"/>
                      <w:color w:val="auto"/>
                      <w:kern w:val="0"/>
                      <w:sz w:val="21"/>
                      <w:szCs w:val="21"/>
                      <w:lang w:eastAsia="zh-CN"/>
                    </w:rPr>
                    <w:t>油漆</w:t>
                  </w:r>
                  <w:r>
                    <w:rPr>
                      <w:rFonts w:hint="eastAsia"/>
                      <w:color w:val="auto"/>
                      <w:kern w:val="0"/>
                      <w:sz w:val="21"/>
                      <w:szCs w:val="21"/>
                    </w:rPr>
                    <w:t>、润滑油等的暂存</w:t>
                  </w:r>
                </w:p>
              </w:tc>
            </w:tr>
            <w:tr w14:paraId="672BC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6" w:type="pct"/>
                  <w:vMerge w:val="continue"/>
                  <w:vAlign w:val="center"/>
                </w:tcPr>
                <w:p w14:paraId="3A05BCD8">
                  <w:pPr>
                    <w:jc w:val="center"/>
                    <w:rPr>
                      <w:color w:val="auto"/>
                      <w:sz w:val="21"/>
                      <w:szCs w:val="21"/>
                    </w:rPr>
                  </w:pPr>
                </w:p>
              </w:tc>
              <w:tc>
                <w:tcPr>
                  <w:tcW w:w="504" w:type="pct"/>
                  <w:vAlign w:val="center"/>
                </w:tcPr>
                <w:p w14:paraId="5BB9C9ED">
                  <w:pPr>
                    <w:widowControl/>
                    <w:jc w:val="center"/>
                    <w:rPr>
                      <w:rFonts w:hint="eastAsia" w:eastAsia="宋体"/>
                      <w:bCs/>
                      <w:color w:val="auto"/>
                      <w:sz w:val="21"/>
                      <w:szCs w:val="21"/>
                      <w:lang w:eastAsia="zh-CN"/>
                    </w:rPr>
                  </w:pPr>
                  <w:r>
                    <w:rPr>
                      <w:rFonts w:hint="eastAsia"/>
                      <w:bCs/>
                      <w:color w:val="auto"/>
                      <w:sz w:val="21"/>
                      <w:szCs w:val="21"/>
                    </w:rPr>
                    <w:t>原材料</w:t>
                  </w:r>
                  <w:r>
                    <w:rPr>
                      <w:rFonts w:hint="eastAsia"/>
                      <w:bCs/>
                      <w:color w:val="auto"/>
                      <w:sz w:val="21"/>
                      <w:szCs w:val="21"/>
                      <w:lang w:eastAsia="zh-CN"/>
                    </w:rPr>
                    <w:t>暂存区</w:t>
                  </w:r>
                </w:p>
              </w:tc>
              <w:tc>
                <w:tcPr>
                  <w:tcW w:w="4219" w:type="pct"/>
                  <w:gridSpan w:val="2"/>
                  <w:vAlign w:val="center"/>
                </w:tcPr>
                <w:p w14:paraId="4157E805">
                  <w:pPr>
                    <w:jc w:val="center"/>
                    <w:rPr>
                      <w:color w:val="auto"/>
                      <w:kern w:val="0"/>
                      <w:sz w:val="21"/>
                      <w:szCs w:val="21"/>
                    </w:rPr>
                  </w:pPr>
                  <w:r>
                    <w:rPr>
                      <w:rFonts w:hint="eastAsia"/>
                      <w:color w:val="auto"/>
                      <w:sz w:val="21"/>
                      <w:szCs w:val="21"/>
                    </w:rPr>
                    <w:t>位于1#厂房</w:t>
                  </w:r>
                  <w:r>
                    <w:rPr>
                      <w:rFonts w:hint="eastAsia"/>
                      <w:color w:val="auto"/>
                      <w:sz w:val="21"/>
                      <w:szCs w:val="21"/>
                      <w:lang w:eastAsia="zh-CN"/>
                    </w:rPr>
                    <w:t>北</w:t>
                  </w:r>
                  <w:r>
                    <w:rPr>
                      <w:rFonts w:hint="eastAsia"/>
                      <w:color w:val="auto"/>
                      <w:sz w:val="21"/>
                      <w:szCs w:val="21"/>
                    </w:rPr>
                    <w:t>侧，主要用于钢材的存放</w:t>
                  </w:r>
                </w:p>
              </w:tc>
            </w:tr>
            <w:tr w14:paraId="2085C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6" w:type="pct"/>
                  <w:vMerge w:val="restart"/>
                  <w:vAlign w:val="center"/>
                </w:tcPr>
                <w:p w14:paraId="4A527EB6">
                  <w:pPr>
                    <w:jc w:val="center"/>
                    <w:rPr>
                      <w:color w:val="auto"/>
                      <w:sz w:val="21"/>
                      <w:szCs w:val="21"/>
                    </w:rPr>
                  </w:pPr>
                  <w:r>
                    <w:rPr>
                      <w:color w:val="auto"/>
                      <w:sz w:val="21"/>
                      <w:szCs w:val="21"/>
                    </w:rPr>
                    <w:t>公用工程</w:t>
                  </w:r>
                </w:p>
              </w:tc>
              <w:tc>
                <w:tcPr>
                  <w:tcW w:w="504" w:type="pct"/>
                  <w:vAlign w:val="center"/>
                </w:tcPr>
                <w:p w14:paraId="61A2F2A2">
                  <w:pPr>
                    <w:widowControl/>
                    <w:jc w:val="center"/>
                    <w:rPr>
                      <w:bCs/>
                      <w:color w:val="auto"/>
                      <w:sz w:val="21"/>
                      <w:szCs w:val="21"/>
                    </w:rPr>
                  </w:pPr>
                  <w:r>
                    <w:rPr>
                      <w:bCs/>
                      <w:color w:val="auto"/>
                      <w:sz w:val="21"/>
                      <w:szCs w:val="21"/>
                    </w:rPr>
                    <w:t>供电</w:t>
                  </w:r>
                </w:p>
              </w:tc>
              <w:tc>
                <w:tcPr>
                  <w:tcW w:w="4219" w:type="pct"/>
                  <w:gridSpan w:val="2"/>
                  <w:vAlign w:val="center"/>
                </w:tcPr>
                <w:p w14:paraId="06EC5E9B">
                  <w:pPr>
                    <w:jc w:val="center"/>
                    <w:rPr>
                      <w:bCs/>
                      <w:color w:val="auto"/>
                      <w:sz w:val="21"/>
                      <w:szCs w:val="21"/>
                    </w:rPr>
                  </w:pPr>
                  <w:r>
                    <w:rPr>
                      <w:rFonts w:hint="eastAsia"/>
                      <w:bCs/>
                      <w:color w:val="auto"/>
                      <w:sz w:val="21"/>
                      <w:szCs w:val="21"/>
                    </w:rPr>
                    <w:t>由淮北市杜集区市政</w:t>
                  </w:r>
                  <w:r>
                    <w:rPr>
                      <w:rFonts w:hint="eastAsia"/>
                      <w:color w:val="auto"/>
                      <w:sz w:val="21"/>
                      <w:szCs w:val="21"/>
                    </w:rPr>
                    <w:t>电网提供，年用电量为3000万KW</w:t>
                  </w:r>
                  <w:r>
                    <w:rPr>
                      <w:color w:val="auto"/>
                      <w:sz w:val="21"/>
                      <w:szCs w:val="21"/>
                    </w:rPr>
                    <w:t>·</w:t>
                  </w:r>
                  <w:r>
                    <w:rPr>
                      <w:rFonts w:hint="eastAsia"/>
                      <w:color w:val="auto"/>
                      <w:sz w:val="21"/>
                      <w:szCs w:val="21"/>
                    </w:rPr>
                    <w:t>h</w:t>
                  </w:r>
                </w:p>
              </w:tc>
            </w:tr>
            <w:tr w14:paraId="12FA3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6" w:type="pct"/>
                  <w:vMerge w:val="continue"/>
                  <w:vAlign w:val="center"/>
                </w:tcPr>
                <w:p w14:paraId="7D98916B">
                  <w:pPr>
                    <w:jc w:val="center"/>
                    <w:rPr>
                      <w:color w:val="auto"/>
                      <w:sz w:val="21"/>
                      <w:szCs w:val="21"/>
                    </w:rPr>
                  </w:pPr>
                </w:p>
              </w:tc>
              <w:tc>
                <w:tcPr>
                  <w:tcW w:w="504" w:type="pct"/>
                  <w:vAlign w:val="center"/>
                </w:tcPr>
                <w:p w14:paraId="6B802803">
                  <w:pPr>
                    <w:jc w:val="center"/>
                    <w:rPr>
                      <w:color w:val="auto"/>
                      <w:sz w:val="21"/>
                      <w:szCs w:val="21"/>
                    </w:rPr>
                  </w:pPr>
                  <w:r>
                    <w:rPr>
                      <w:color w:val="auto"/>
                      <w:sz w:val="21"/>
                      <w:szCs w:val="21"/>
                    </w:rPr>
                    <w:t>供水</w:t>
                  </w:r>
                </w:p>
              </w:tc>
              <w:tc>
                <w:tcPr>
                  <w:tcW w:w="4219" w:type="pct"/>
                  <w:gridSpan w:val="2"/>
                  <w:vAlign w:val="center"/>
                </w:tcPr>
                <w:p w14:paraId="5AFDF66F">
                  <w:pPr>
                    <w:jc w:val="center"/>
                    <w:rPr>
                      <w:color w:val="auto"/>
                      <w:sz w:val="21"/>
                      <w:szCs w:val="21"/>
                    </w:rPr>
                  </w:pPr>
                  <w:r>
                    <w:rPr>
                      <w:rFonts w:hint="eastAsia"/>
                      <w:color w:val="auto"/>
                      <w:sz w:val="21"/>
                      <w:szCs w:val="21"/>
                    </w:rPr>
                    <w:t>由</w:t>
                  </w:r>
                  <w:r>
                    <w:rPr>
                      <w:color w:val="auto"/>
                      <w:sz w:val="21"/>
                      <w:szCs w:val="21"/>
                    </w:rPr>
                    <w:t>淮北市</w:t>
                  </w:r>
                  <w:r>
                    <w:rPr>
                      <w:rFonts w:hint="eastAsia"/>
                      <w:color w:val="auto"/>
                      <w:sz w:val="21"/>
                      <w:szCs w:val="21"/>
                    </w:rPr>
                    <w:t>杜集</w:t>
                  </w:r>
                  <w:r>
                    <w:rPr>
                      <w:color w:val="auto"/>
                      <w:sz w:val="21"/>
                      <w:szCs w:val="21"/>
                    </w:rPr>
                    <w:t>区</w:t>
                  </w:r>
                  <w:r>
                    <w:rPr>
                      <w:rFonts w:hint="eastAsia"/>
                      <w:color w:val="auto"/>
                      <w:sz w:val="21"/>
                      <w:szCs w:val="21"/>
                    </w:rPr>
                    <w:t>市政供水管网供给，用水量为32065.44t/a</w:t>
                  </w:r>
                </w:p>
              </w:tc>
            </w:tr>
            <w:tr w14:paraId="29EDD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6" w:type="pct"/>
                  <w:vMerge w:val="continue"/>
                  <w:vAlign w:val="center"/>
                </w:tcPr>
                <w:p w14:paraId="3AF36D3E">
                  <w:pPr>
                    <w:jc w:val="center"/>
                    <w:rPr>
                      <w:color w:val="auto"/>
                      <w:sz w:val="21"/>
                      <w:szCs w:val="21"/>
                    </w:rPr>
                  </w:pPr>
                </w:p>
              </w:tc>
              <w:tc>
                <w:tcPr>
                  <w:tcW w:w="504" w:type="pct"/>
                  <w:vAlign w:val="center"/>
                </w:tcPr>
                <w:p w14:paraId="7C045DF0">
                  <w:pPr>
                    <w:jc w:val="center"/>
                    <w:rPr>
                      <w:color w:val="auto"/>
                      <w:kern w:val="0"/>
                      <w:sz w:val="21"/>
                      <w:szCs w:val="21"/>
                    </w:rPr>
                  </w:pPr>
                  <w:r>
                    <w:rPr>
                      <w:color w:val="auto"/>
                      <w:kern w:val="0"/>
                      <w:sz w:val="21"/>
                      <w:szCs w:val="21"/>
                    </w:rPr>
                    <w:t>排水</w:t>
                  </w:r>
                </w:p>
              </w:tc>
              <w:tc>
                <w:tcPr>
                  <w:tcW w:w="4219" w:type="pct"/>
                  <w:gridSpan w:val="2"/>
                  <w:vAlign w:val="center"/>
                </w:tcPr>
                <w:p w14:paraId="00157D45">
                  <w:pPr>
                    <w:jc w:val="center"/>
                    <w:rPr>
                      <w:bCs/>
                      <w:color w:val="auto"/>
                      <w:sz w:val="21"/>
                      <w:szCs w:val="21"/>
                    </w:rPr>
                  </w:pPr>
                  <w:r>
                    <w:rPr>
                      <w:rFonts w:hint="eastAsia"/>
                      <w:bCs/>
                      <w:color w:val="auto"/>
                      <w:sz w:val="21"/>
                      <w:szCs w:val="21"/>
                    </w:rPr>
                    <w:t>项目</w:t>
                  </w:r>
                  <w:r>
                    <w:rPr>
                      <w:bCs/>
                      <w:color w:val="auto"/>
                      <w:sz w:val="21"/>
                      <w:szCs w:val="21"/>
                    </w:rPr>
                    <w:t>采取雨、污分流制，雨水排入市政雨水管网，</w:t>
                  </w:r>
                  <w:r>
                    <w:rPr>
                      <w:rFonts w:hint="eastAsia"/>
                      <w:bCs/>
                      <w:color w:val="auto"/>
                      <w:sz w:val="21"/>
                      <w:szCs w:val="21"/>
                    </w:rPr>
                    <w:t>废水经预处理后排入淮北市龙湖工业园污水处理厂</w:t>
                  </w:r>
                  <w:r>
                    <w:rPr>
                      <w:rFonts w:hint="eastAsia"/>
                      <w:color w:val="auto"/>
                      <w:sz w:val="21"/>
                      <w:szCs w:val="21"/>
                    </w:rPr>
                    <w:t>，</w:t>
                  </w:r>
                  <w:r>
                    <w:rPr>
                      <w:color w:val="auto"/>
                      <w:sz w:val="21"/>
                      <w:szCs w:val="21"/>
                      <w:lang w:bidi="ar"/>
                    </w:rPr>
                    <w:t>处理达标后排入</w:t>
                  </w:r>
                  <w:r>
                    <w:rPr>
                      <w:rFonts w:hint="eastAsia"/>
                      <w:color w:val="auto"/>
                      <w:sz w:val="21"/>
                      <w:szCs w:val="21"/>
                      <w:lang w:bidi="ar"/>
                    </w:rPr>
                    <w:t>龙河</w:t>
                  </w:r>
                </w:p>
              </w:tc>
            </w:tr>
            <w:tr w14:paraId="02789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6" w:type="pct"/>
                  <w:vMerge w:val="restart"/>
                  <w:vAlign w:val="center"/>
                </w:tcPr>
                <w:p w14:paraId="6E6DCE0F">
                  <w:pPr>
                    <w:jc w:val="center"/>
                    <w:rPr>
                      <w:color w:val="auto"/>
                      <w:sz w:val="21"/>
                      <w:szCs w:val="21"/>
                    </w:rPr>
                  </w:pPr>
                  <w:r>
                    <w:rPr>
                      <w:color w:val="auto"/>
                      <w:sz w:val="21"/>
                      <w:szCs w:val="21"/>
                    </w:rPr>
                    <w:t>环保工程</w:t>
                  </w:r>
                </w:p>
              </w:tc>
              <w:tc>
                <w:tcPr>
                  <w:tcW w:w="504" w:type="pct"/>
                  <w:vAlign w:val="center"/>
                </w:tcPr>
                <w:p w14:paraId="7913FFB4">
                  <w:pPr>
                    <w:jc w:val="center"/>
                    <w:rPr>
                      <w:color w:val="auto"/>
                      <w:sz w:val="21"/>
                      <w:szCs w:val="21"/>
                    </w:rPr>
                  </w:pPr>
                  <w:r>
                    <w:rPr>
                      <w:color w:val="auto"/>
                      <w:sz w:val="21"/>
                      <w:szCs w:val="21"/>
                    </w:rPr>
                    <w:t>废水处理</w:t>
                  </w:r>
                </w:p>
              </w:tc>
              <w:tc>
                <w:tcPr>
                  <w:tcW w:w="4219" w:type="pct"/>
                  <w:gridSpan w:val="2"/>
                  <w:vAlign w:val="center"/>
                </w:tcPr>
                <w:p w14:paraId="374268C5">
                  <w:pPr>
                    <w:rPr>
                      <w:color w:val="auto"/>
                      <w:sz w:val="21"/>
                      <w:szCs w:val="21"/>
                    </w:rPr>
                  </w:pPr>
                  <w:r>
                    <w:rPr>
                      <w:rFonts w:hint="eastAsia"/>
                      <w:color w:val="auto"/>
                      <w:sz w:val="21"/>
                      <w:szCs w:val="21"/>
                      <w:lang w:eastAsia="zh-CN"/>
                    </w:rPr>
                    <w:t>生活污水经化粪池预处理，食堂餐饮废水经隔油池预处理，预处理后</w:t>
                  </w:r>
                  <w:r>
                    <w:rPr>
                      <w:rFonts w:hint="eastAsia"/>
                      <w:color w:val="auto"/>
                      <w:sz w:val="21"/>
                      <w:szCs w:val="21"/>
                    </w:rPr>
                    <w:t>一同汇入厂区总排口后经市政污水管网进入</w:t>
                  </w:r>
                  <w:r>
                    <w:rPr>
                      <w:rFonts w:hint="eastAsia"/>
                      <w:bCs/>
                      <w:color w:val="auto"/>
                      <w:sz w:val="21"/>
                      <w:szCs w:val="21"/>
                    </w:rPr>
                    <w:t>淮北市龙湖工业园污水处理厂</w:t>
                  </w:r>
                  <w:r>
                    <w:rPr>
                      <w:rFonts w:hint="eastAsia"/>
                      <w:color w:val="auto"/>
                      <w:sz w:val="21"/>
                      <w:szCs w:val="21"/>
                    </w:rPr>
                    <w:t>，</w:t>
                  </w:r>
                  <w:r>
                    <w:rPr>
                      <w:color w:val="auto"/>
                      <w:sz w:val="21"/>
                      <w:szCs w:val="21"/>
                      <w:lang w:bidi="ar"/>
                    </w:rPr>
                    <w:t>处理达标后排入</w:t>
                  </w:r>
                  <w:r>
                    <w:rPr>
                      <w:rFonts w:hint="eastAsia"/>
                      <w:color w:val="auto"/>
                      <w:sz w:val="21"/>
                      <w:szCs w:val="21"/>
                      <w:lang w:bidi="ar"/>
                    </w:rPr>
                    <w:t>龙河</w:t>
                  </w:r>
                </w:p>
              </w:tc>
            </w:tr>
            <w:tr w14:paraId="5C172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6" w:type="pct"/>
                  <w:vMerge w:val="continue"/>
                  <w:vAlign w:val="center"/>
                </w:tcPr>
                <w:p w14:paraId="69CD83AE">
                  <w:pPr>
                    <w:jc w:val="center"/>
                    <w:rPr>
                      <w:color w:val="auto"/>
                      <w:sz w:val="21"/>
                      <w:szCs w:val="21"/>
                    </w:rPr>
                  </w:pPr>
                </w:p>
              </w:tc>
              <w:tc>
                <w:tcPr>
                  <w:tcW w:w="504" w:type="pct"/>
                  <w:vAlign w:val="center"/>
                </w:tcPr>
                <w:p w14:paraId="2C461B7A">
                  <w:pPr>
                    <w:jc w:val="center"/>
                    <w:rPr>
                      <w:color w:val="auto"/>
                      <w:sz w:val="21"/>
                      <w:szCs w:val="21"/>
                    </w:rPr>
                  </w:pPr>
                  <w:r>
                    <w:rPr>
                      <w:color w:val="auto"/>
                      <w:sz w:val="21"/>
                      <w:szCs w:val="21"/>
                    </w:rPr>
                    <w:t>废气处理</w:t>
                  </w:r>
                </w:p>
              </w:tc>
              <w:tc>
                <w:tcPr>
                  <w:tcW w:w="4219" w:type="pct"/>
                  <w:gridSpan w:val="2"/>
                  <w:vAlign w:val="center"/>
                </w:tcPr>
                <w:p w14:paraId="171E17F9">
                  <w:pPr>
                    <w:rPr>
                      <w:rFonts w:hint="eastAsia" w:eastAsia="宋体"/>
                      <w:color w:val="auto"/>
                      <w:sz w:val="21"/>
                      <w:szCs w:val="21"/>
                      <w:lang w:eastAsia="zh-CN"/>
                    </w:rPr>
                  </w:pPr>
                  <w:r>
                    <w:rPr>
                      <w:rFonts w:hint="eastAsia"/>
                      <w:szCs w:val="21"/>
                      <w:lang w:eastAsia="zh-CN"/>
                    </w:rPr>
                    <w:t>喷漆废气经</w:t>
                  </w:r>
                  <w:r>
                    <w:rPr>
                      <w:rFonts w:hint="eastAsia"/>
                      <w:szCs w:val="21"/>
                    </w:rPr>
                    <w:t>喷漆房密闭收集引至一套“过滤棉+两级活性炭”装置处理后经</w:t>
                  </w:r>
                  <w:r>
                    <w:rPr>
                      <w:rFonts w:hint="eastAsia"/>
                      <w:szCs w:val="21"/>
                      <w:lang w:eastAsia="zh-CN"/>
                    </w:rPr>
                    <w:t>15m高</w:t>
                  </w:r>
                  <w:r>
                    <w:rPr>
                      <w:rFonts w:hint="eastAsia"/>
                      <w:szCs w:val="21"/>
                    </w:rPr>
                    <w:t>排气筒（DA00</w:t>
                  </w:r>
                  <w:r>
                    <w:rPr>
                      <w:rFonts w:hint="eastAsia"/>
                      <w:szCs w:val="21"/>
                      <w:lang w:val="en-US" w:eastAsia="zh-CN"/>
                    </w:rPr>
                    <w:t>1</w:t>
                  </w:r>
                  <w:r>
                    <w:rPr>
                      <w:rFonts w:hint="eastAsia"/>
                      <w:szCs w:val="21"/>
                    </w:rPr>
                    <w:t>）排放</w:t>
                  </w:r>
                  <w:r>
                    <w:rPr>
                      <w:rFonts w:hint="eastAsia"/>
                      <w:color w:val="auto"/>
                      <w:sz w:val="21"/>
                      <w:szCs w:val="21"/>
                      <w:lang w:eastAsia="zh-CN"/>
                    </w:rPr>
                    <w:t>；</w:t>
                  </w:r>
                  <w:r>
                    <w:rPr>
                      <w:rFonts w:hint="eastAsia"/>
                      <w:color w:val="auto"/>
                      <w:sz w:val="21"/>
                      <w:szCs w:val="21"/>
                      <w:lang w:val="en-US" w:eastAsia="zh-CN"/>
                    </w:rPr>
                    <w:t>焊接工位固定，</w:t>
                  </w:r>
                  <w:r>
                    <w:rPr>
                      <w:rFonts w:hint="default" w:ascii="Times New Roman" w:hAnsi="Times New Roman" w:eastAsia="宋体" w:cs="Times New Roman"/>
                      <w:bCs w:val="0"/>
                      <w:sz w:val="21"/>
                      <w:szCs w:val="21"/>
                    </w:rPr>
                    <w:t>焊接烟尘经</w:t>
                  </w:r>
                  <w:r>
                    <w:rPr>
                      <w:rFonts w:hint="eastAsia" w:cs="Times New Roman"/>
                      <w:bCs w:val="0"/>
                      <w:sz w:val="21"/>
                      <w:szCs w:val="21"/>
                      <w:lang w:val="en-US" w:eastAsia="zh-CN"/>
                    </w:rPr>
                    <w:t>集气罩收集后通过布袋除尘器</w:t>
                  </w:r>
                  <w:r>
                    <w:rPr>
                      <w:rFonts w:hint="default" w:ascii="Times New Roman" w:hAnsi="Times New Roman" w:eastAsia="宋体" w:cs="Times New Roman"/>
                      <w:bCs w:val="0"/>
                      <w:sz w:val="21"/>
                      <w:szCs w:val="21"/>
                    </w:rPr>
                    <w:t>处理后车间内</w:t>
                  </w:r>
                  <w:r>
                    <w:rPr>
                      <w:rFonts w:hint="eastAsia" w:cs="Times New Roman"/>
                      <w:bCs w:val="0"/>
                      <w:sz w:val="21"/>
                      <w:szCs w:val="21"/>
                      <w:lang w:val="en-US" w:eastAsia="zh-CN"/>
                    </w:rPr>
                    <w:t>无组织</w:t>
                  </w:r>
                  <w:r>
                    <w:rPr>
                      <w:rFonts w:hint="default" w:ascii="Times New Roman" w:hAnsi="Times New Roman" w:eastAsia="宋体" w:cs="Times New Roman"/>
                      <w:bCs w:val="0"/>
                      <w:sz w:val="21"/>
                      <w:szCs w:val="21"/>
                    </w:rPr>
                    <w:t>排放；切割粉尘：经切割机自带集气罩收集后经设备</w:t>
                  </w:r>
                  <w:r>
                    <w:rPr>
                      <w:rFonts w:hint="eastAsia" w:cs="Times New Roman"/>
                      <w:bCs w:val="0"/>
                      <w:sz w:val="21"/>
                      <w:szCs w:val="21"/>
                      <w:lang w:eastAsia="zh-CN"/>
                    </w:rPr>
                    <w:t>自带布袋除尘器</w:t>
                  </w:r>
                  <w:r>
                    <w:rPr>
                      <w:rFonts w:hint="default" w:ascii="Times New Roman" w:hAnsi="Times New Roman" w:eastAsia="宋体" w:cs="Times New Roman"/>
                      <w:bCs w:val="0"/>
                      <w:sz w:val="21"/>
                      <w:szCs w:val="21"/>
                    </w:rPr>
                    <w:t>处理，处理后车间内无组织排放。</w:t>
                  </w:r>
                </w:p>
                <w:p w14:paraId="79DA34D2">
                  <w:pPr>
                    <w:rPr>
                      <w:color w:val="auto"/>
                      <w:sz w:val="21"/>
                      <w:szCs w:val="21"/>
                    </w:rPr>
                  </w:pPr>
                  <w:r>
                    <w:rPr>
                      <w:rFonts w:hint="eastAsia"/>
                      <w:color w:val="auto"/>
                      <w:sz w:val="21"/>
                      <w:szCs w:val="21"/>
                    </w:rPr>
                    <w:t>食堂油烟：经油烟净化器处理后排放</w:t>
                  </w:r>
                </w:p>
              </w:tc>
            </w:tr>
            <w:tr w14:paraId="0F7B0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6" w:type="pct"/>
                  <w:vMerge w:val="continue"/>
                  <w:vAlign w:val="center"/>
                </w:tcPr>
                <w:p w14:paraId="32763DC4">
                  <w:pPr>
                    <w:jc w:val="center"/>
                    <w:rPr>
                      <w:color w:val="auto"/>
                      <w:sz w:val="21"/>
                      <w:szCs w:val="21"/>
                    </w:rPr>
                  </w:pPr>
                </w:p>
              </w:tc>
              <w:tc>
                <w:tcPr>
                  <w:tcW w:w="504" w:type="pct"/>
                  <w:vAlign w:val="center"/>
                </w:tcPr>
                <w:p w14:paraId="15A9AB1B">
                  <w:pPr>
                    <w:jc w:val="center"/>
                    <w:rPr>
                      <w:color w:val="auto"/>
                      <w:kern w:val="0"/>
                      <w:sz w:val="21"/>
                      <w:szCs w:val="21"/>
                    </w:rPr>
                  </w:pPr>
                  <w:r>
                    <w:rPr>
                      <w:color w:val="auto"/>
                      <w:kern w:val="0"/>
                      <w:sz w:val="21"/>
                      <w:szCs w:val="21"/>
                    </w:rPr>
                    <w:t>噪声治理措施</w:t>
                  </w:r>
                </w:p>
              </w:tc>
              <w:tc>
                <w:tcPr>
                  <w:tcW w:w="4219" w:type="pct"/>
                  <w:gridSpan w:val="2"/>
                  <w:vAlign w:val="center"/>
                </w:tcPr>
                <w:p w14:paraId="480C1DDE">
                  <w:pPr>
                    <w:adjustRightInd w:val="0"/>
                    <w:snapToGrid w:val="0"/>
                    <w:jc w:val="left"/>
                    <w:rPr>
                      <w:color w:val="auto"/>
                      <w:kern w:val="0"/>
                      <w:sz w:val="21"/>
                      <w:szCs w:val="21"/>
                    </w:rPr>
                  </w:pPr>
                  <w:r>
                    <w:rPr>
                      <w:color w:val="auto"/>
                      <w:kern w:val="0"/>
                      <w:sz w:val="21"/>
                      <w:szCs w:val="21"/>
                    </w:rPr>
                    <w:t>针对主要噪声源采取相应的减振及隔声等措施</w:t>
                  </w:r>
                </w:p>
              </w:tc>
            </w:tr>
            <w:tr w14:paraId="6311A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6" w:type="pct"/>
                  <w:vMerge w:val="continue"/>
                  <w:vAlign w:val="center"/>
                </w:tcPr>
                <w:p w14:paraId="77D8E23A">
                  <w:pPr>
                    <w:jc w:val="center"/>
                    <w:rPr>
                      <w:color w:val="auto"/>
                      <w:sz w:val="21"/>
                      <w:szCs w:val="21"/>
                    </w:rPr>
                  </w:pPr>
                </w:p>
              </w:tc>
              <w:tc>
                <w:tcPr>
                  <w:tcW w:w="504" w:type="pct"/>
                  <w:vAlign w:val="center"/>
                </w:tcPr>
                <w:p w14:paraId="61514DC1">
                  <w:pPr>
                    <w:jc w:val="center"/>
                    <w:rPr>
                      <w:color w:val="auto"/>
                      <w:kern w:val="0"/>
                      <w:sz w:val="21"/>
                      <w:szCs w:val="21"/>
                    </w:rPr>
                  </w:pPr>
                  <w:r>
                    <w:rPr>
                      <w:color w:val="auto"/>
                      <w:kern w:val="0"/>
                      <w:sz w:val="21"/>
                      <w:szCs w:val="21"/>
                    </w:rPr>
                    <w:t>固废治理措施</w:t>
                  </w:r>
                </w:p>
              </w:tc>
              <w:tc>
                <w:tcPr>
                  <w:tcW w:w="4219" w:type="pct"/>
                  <w:gridSpan w:val="2"/>
                  <w:vAlign w:val="center"/>
                </w:tcPr>
                <w:p w14:paraId="4D2AC3C4">
                  <w:pPr>
                    <w:pStyle w:val="83"/>
                    <w:widowControl/>
                    <w:snapToGrid/>
                    <w:jc w:val="both"/>
                    <w:rPr>
                      <w:color w:val="auto"/>
                      <w:sz w:val="21"/>
                      <w:szCs w:val="21"/>
                    </w:rPr>
                  </w:pPr>
                  <w:r>
                    <w:rPr>
                      <w:rFonts w:hint="eastAsia"/>
                      <w:color w:val="auto"/>
                      <w:sz w:val="21"/>
                      <w:szCs w:val="21"/>
                    </w:rPr>
                    <w:t>本</w:t>
                  </w:r>
                  <w:r>
                    <w:rPr>
                      <w:color w:val="auto"/>
                      <w:sz w:val="21"/>
                      <w:szCs w:val="21"/>
                    </w:rPr>
                    <w:t>项目</w:t>
                  </w:r>
                  <w:r>
                    <w:rPr>
                      <w:rFonts w:hint="eastAsia"/>
                      <w:color w:val="auto"/>
                      <w:sz w:val="21"/>
                      <w:szCs w:val="21"/>
                    </w:rPr>
                    <w:t>新建一般固废间位于厂区1#厂房西北侧，</w:t>
                  </w:r>
                  <w:r>
                    <w:rPr>
                      <w:color w:val="auto"/>
                      <w:sz w:val="21"/>
                      <w:szCs w:val="21"/>
                    </w:rPr>
                    <w:t>建筑面积为</w:t>
                  </w:r>
                  <w:r>
                    <w:rPr>
                      <w:rFonts w:hint="eastAsia"/>
                      <w:color w:val="auto"/>
                      <w:sz w:val="21"/>
                      <w:szCs w:val="21"/>
                      <w:lang w:val="en-US" w:eastAsia="zh-CN"/>
                    </w:rPr>
                    <w:t>8</w:t>
                  </w:r>
                  <w:r>
                    <w:rPr>
                      <w:rFonts w:hint="eastAsia"/>
                      <w:color w:val="auto"/>
                      <w:sz w:val="21"/>
                      <w:szCs w:val="21"/>
                    </w:rPr>
                    <w:t>0</w:t>
                  </w:r>
                  <w:r>
                    <w:rPr>
                      <w:color w:val="auto"/>
                      <w:sz w:val="21"/>
                      <w:szCs w:val="21"/>
                    </w:rPr>
                    <w:t>m</w:t>
                  </w:r>
                  <w:r>
                    <w:rPr>
                      <w:color w:val="auto"/>
                      <w:sz w:val="21"/>
                      <w:szCs w:val="21"/>
                      <w:vertAlign w:val="superscript"/>
                    </w:rPr>
                    <w:t>2</w:t>
                  </w:r>
                  <w:r>
                    <w:rPr>
                      <w:rFonts w:hint="eastAsia"/>
                      <w:color w:val="auto"/>
                      <w:sz w:val="21"/>
                      <w:szCs w:val="21"/>
                    </w:rPr>
                    <w:t>，主要用于一般固废存放；危废间</w:t>
                  </w:r>
                  <w:r>
                    <w:rPr>
                      <w:color w:val="auto"/>
                      <w:sz w:val="21"/>
                      <w:szCs w:val="21"/>
                    </w:rPr>
                    <w:t>位于</w:t>
                  </w:r>
                  <w:r>
                    <w:rPr>
                      <w:rFonts w:hint="eastAsia"/>
                      <w:color w:val="auto"/>
                      <w:sz w:val="21"/>
                      <w:szCs w:val="21"/>
                    </w:rPr>
                    <w:t>厂区1#厂房西北侧</w:t>
                  </w:r>
                  <w:r>
                    <w:rPr>
                      <w:color w:val="auto"/>
                      <w:sz w:val="21"/>
                      <w:szCs w:val="21"/>
                    </w:rPr>
                    <w:t>，建筑面积为</w:t>
                  </w:r>
                  <w:r>
                    <w:rPr>
                      <w:rFonts w:hint="eastAsia"/>
                      <w:color w:val="auto"/>
                      <w:sz w:val="21"/>
                      <w:szCs w:val="21"/>
                      <w:lang w:val="en-US" w:eastAsia="zh-CN"/>
                    </w:rPr>
                    <w:t>25</w:t>
                  </w:r>
                  <w:r>
                    <w:rPr>
                      <w:color w:val="auto"/>
                      <w:sz w:val="21"/>
                      <w:szCs w:val="21"/>
                    </w:rPr>
                    <w:t>m</w:t>
                  </w:r>
                  <w:r>
                    <w:rPr>
                      <w:color w:val="auto"/>
                      <w:sz w:val="21"/>
                      <w:szCs w:val="21"/>
                      <w:vertAlign w:val="superscript"/>
                    </w:rPr>
                    <w:t>2</w:t>
                  </w:r>
                  <w:r>
                    <w:rPr>
                      <w:color w:val="auto"/>
                      <w:sz w:val="21"/>
                      <w:szCs w:val="21"/>
                    </w:rPr>
                    <w:t>，主要用于危险</w:t>
                  </w:r>
                  <w:r>
                    <w:rPr>
                      <w:rFonts w:hint="eastAsia"/>
                      <w:color w:val="auto"/>
                      <w:sz w:val="21"/>
                      <w:szCs w:val="21"/>
                    </w:rPr>
                    <w:t>废物</w:t>
                  </w:r>
                  <w:r>
                    <w:rPr>
                      <w:color w:val="auto"/>
                      <w:sz w:val="21"/>
                      <w:szCs w:val="21"/>
                    </w:rPr>
                    <w:t>在厂区的临时暂存场所</w:t>
                  </w:r>
                  <w:r>
                    <w:rPr>
                      <w:rFonts w:hint="eastAsia"/>
                      <w:color w:val="auto"/>
                      <w:sz w:val="21"/>
                      <w:szCs w:val="21"/>
                    </w:rPr>
                    <w:t>。</w:t>
                  </w:r>
                </w:p>
                <w:p w14:paraId="60032CF4">
                  <w:pPr>
                    <w:adjustRightInd w:val="0"/>
                    <w:snapToGrid w:val="0"/>
                    <w:jc w:val="left"/>
                    <w:rPr>
                      <w:color w:val="auto"/>
                      <w:sz w:val="21"/>
                      <w:szCs w:val="21"/>
                    </w:rPr>
                  </w:pPr>
                  <w:r>
                    <w:rPr>
                      <w:rFonts w:hint="eastAsia"/>
                      <w:color w:val="auto"/>
                      <w:sz w:val="21"/>
                      <w:szCs w:val="21"/>
                    </w:rPr>
                    <w:t>本项目产生的危险废物主要为：废润滑油、废漆桶、漆渣、废活性炭、废过滤棉，危险废物收集在危废间暂存后定期委托有资质单位处置。一般工业固废主要为：不合格品、边角料等，由物资部门回收利用。生活垃圾收集后由环卫部门统一清运处置。</w:t>
                  </w:r>
                </w:p>
              </w:tc>
            </w:tr>
            <w:tr w14:paraId="4DC46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6" w:type="pct"/>
                  <w:vMerge w:val="continue"/>
                  <w:vAlign w:val="center"/>
                </w:tcPr>
                <w:p w14:paraId="000DB83A">
                  <w:pPr>
                    <w:jc w:val="center"/>
                    <w:rPr>
                      <w:color w:val="auto"/>
                      <w:sz w:val="21"/>
                      <w:szCs w:val="21"/>
                    </w:rPr>
                  </w:pPr>
                </w:p>
              </w:tc>
              <w:tc>
                <w:tcPr>
                  <w:tcW w:w="504" w:type="pct"/>
                  <w:vAlign w:val="center"/>
                </w:tcPr>
                <w:p w14:paraId="794989DC">
                  <w:pPr>
                    <w:jc w:val="center"/>
                    <w:rPr>
                      <w:color w:val="auto"/>
                      <w:kern w:val="0"/>
                      <w:sz w:val="21"/>
                      <w:szCs w:val="21"/>
                    </w:rPr>
                  </w:pPr>
                  <w:r>
                    <w:rPr>
                      <w:color w:val="auto"/>
                      <w:kern w:val="0"/>
                      <w:sz w:val="21"/>
                      <w:szCs w:val="21"/>
                    </w:rPr>
                    <w:t>土壤及地下水</w:t>
                  </w:r>
                </w:p>
              </w:tc>
              <w:tc>
                <w:tcPr>
                  <w:tcW w:w="4219" w:type="pct"/>
                  <w:gridSpan w:val="2"/>
                  <w:vAlign w:val="center"/>
                </w:tcPr>
                <w:p w14:paraId="2CDE9C29">
                  <w:pPr>
                    <w:adjustRightInd w:val="0"/>
                    <w:snapToGrid w:val="0"/>
                    <w:rPr>
                      <w:color w:val="auto"/>
                      <w:sz w:val="21"/>
                      <w:szCs w:val="21"/>
                    </w:rPr>
                  </w:pPr>
                  <w:r>
                    <w:rPr>
                      <w:rFonts w:hint="eastAsia"/>
                      <w:color w:val="auto"/>
                      <w:sz w:val="21"/>
                      <w:szCs w:val="21"/>
                      <w:lang w:eastAsia="zh-CN"/>
                    </w:rPr>
                    <w:t>辅料暂存间</w:t>
                  </w:r>
                  <w:r>
                    <w:rPr>
                      <w:rFonts w:hint="eastAsia"/>
                      <w:color w:val="auto"/>
                      <w:sz w:val="21"/>
                      <w:szCs w:val="21"/>
                    </w:rPr>
                    <w:t>、</w:t>
                  </w:r>
                  <w:r>
                    <w:rPr>
                      <w:rFonts w:hint="eastAsia"/>
                      <w:color w:val="auto"/>
                      <w:sz w:val="21"/>
                      <w:szCs w:val="21"/>
                      <w:lang w:eastAsia="zh-CN"/>
                    </w:rPr>
                    <w:t>喷漆房、</w:t>
                  </w:r>
                  <w:r>
                    <w:rPr>
                      <w:color w:val="auto"/>
                      <w:sz w:val="21"/>
                      <w:szCs w:val="21"/>
                    </w:rPr>
                    <w:t>危废</w:t>
                  </w:r>
                  <w:r>
                    <w:rPr>
                      <w:rFonts w:hint="eastAsia"/>
                      <w:color w:val="auto"/>
                      <w:sz w:val="21"/>
                      <w:szCs w:val="21"/>
                    </w:rPr>
                    <w:t>间</w:t>
                  </w:r>
                  <w:r>
                    <w:rPr>
                      <w:color w:val="auto"/>
                      <w:sz w:val="21"/>
                      <w:szCs w:val="21"/>
                    </w:rPr>
                    <w:t>采取重点防渗措施</w:t>
                  </w:r>
                  <w:r>
                    <w:rPr>
                      <w:rFonts w:hint="eastAsia"/>
                      <w:color w:val="auto"/>
                      <w:sz w:val="21"/>
                      <w:szCs w:val="21"/>
                      <w:lang w:eastAsia="zh-CN"/>
                    </w:rPr>
                    <w:t>，辅料暂存间</w:t>
                  </w:r>
                  <w:r>
                    <w:rPr>
                      <w:rFonts w:hint="eastAsia"/>
                      <w:color w:val="auto"/>
                      <w:sz w:val="21"/>
                      <w:szCs w:val="21"/>
                    </w:rPr>
                    <w:t>、</w:t>
                  </w:r>
                  <w:r>
                    <w:rPr>
                      <w:rFonts w:hint="eastAsia"/>
                      <w:color w:val="auto"/>
                      <w:sz w:val="21"/>
                      <w:szCs w:val="21"/>
                      <w:lang w:eastAsia="zh-CN"/>
                    </w:rPr>
                    <w:t>喷漆房要求</w:t>
                  </w:r>
                  <w:r>
                    <w:rPr>
                      <w:color w:val="auto"/>
                      <w:kern w:val="0"/>
                      <w:sz w:val="21"/>
                      <w:szCs w:val="21"/>
                    </w:rPr>
                    <w:t>等效黏土防渗层Mb≥6.0m，渗透系数K</w:t>
                  </w:r>
                  <w:r>
                    <w:rPr>
                      <w:color w:val="auto"/>
                      <w:sz w:val="21"/>
                      <w:szCs w:val="21"/>
                    </w:rPr>
                    <w:t>≤10</w:t>
                  </w:r>
                  <w:r>
                    <w:rPr>
                      <w:color w:val="auto"/>
                      <w:sz w:val="21"/>
                      <w:szCs w:val="21"/>
                      <w:vertAlign w:val="superscript"/>
                    </w:rPr>
                    <w:t>-7</w:t>
                  </w:r>
                  <w:r>
                    <w:rPr>
                      <w:color w:val="auto"/>
                      <w:sz w:val="21"/>
                      <w:szCs w:val="21"/>
                    </w:rPr>
                    <w:t>cm/s</w:t>
                  </w:r>
                  <w:r>
                    <w:rPr>
                      <w:rStyle w:val="33"/>
                      <w:rFonts w:hint="eastAsia"/>
                      <w:color w:val="auto"/>
                      <w:kern w:val="0"/>
                      <w:sz w:val="21"/>
                      <w:szCs w:val="21"/>
                      <w:lang w:eastAsia="zh-CN"/>
                    </w:rPr>
                    <w:t>，危废暂存间要求</w:t>
                  </w:r>
                  <w:r>
                    <w:t>基础防渗层为至少1米厚粘土层（渗透系数≤10</w:t>
                  </w:r>
                  <w:r>
                    <w:rPr>
                      <w:vertAlign w:val="superscript"/>
                    </w:rPr>
                    <w:t>-</w:t>
                  </w:r>
                  <w:r>
                    <w:rPr>
                      <w:rFonts w:hint="eastAsia"/>
                      <w:vertAlign w:val="superscript"/>
                      <w:lang w:val="en-US" w:eastAsia="zh-CN"/>
                    </w:rPr>
                    <w:t>7</w:t>
                  </w:r>
                  <w:r>
                    <w:t>cm/s），或2mm厚高密度聚乙烯，或至少2 mm厚</w:t>
                  </w:r>
                  <w:r>
                    <w:rPr>
                      <w:rFonts w:hint="eastAsia"/>
                    </w:rPr>
                    <w:t>其他防渗性能等效的材料</w:t>
                  </w:r>
                  <w:r>
                    <w:t>（渗透系数≤10</w:t>
                  </w:r>
                  <w:r>
                    <w:rPr>
                      <w:vertAlign w:val="superscript"/>
                    </w:rPr>
                    <w:t>-1</w:t>
                  </w:r>
                  <w:r>
                    <w:rPr>
                      <w:rFonts w:hint="eastAsia"/>
                      <w:vertAlign w:val="superscript"/>
                      <w:lang w:val="en-US" w:eastAsia="zh-CN"/>
                    </w:rPr>
                    <w:t>0</w:t>
                  </w:r>
                  <w:r>
                    <w:t>cm/s）</w:t>
                  </w:r>
                  <w:r>
                    <w:rPr>
                      <w:rStyle w:val="33"/>
                      <w:color w:val="auto"/>
                      <w:kern w:val="0"/>
                      <w:sz w:val="21"/>
                      <w:szCs w:val="21"/>
                    </w:rPr>
                    <w:t>；</w:t>
                  </w:r>
                  <w:r>
                    <w:rPr>
                      <w:rFonts w:hint="eastAsia"/>
                      <w:color w:val="auto"/>
                      <w:sz w:val="21"/>
                      <w:szCs w:val="21"/>
                    </w:rPr>
                    <w:t>固废间、生产车间</w:t>
                  </w:r>
                  <w:r>
                    <w:rPr>
                      <w:color w:val="auto"/>
                      <w:sz w:val="21"/>
                      <w:szCs w:val="21"/>
                    </w:rPr>
                    <w:t>地面采取一般防渗措施</w:t>
                  </w:r>
                  <w:r>
                    <w:rPr>
                      <w:color w:val="auto"/>
                      <w:kern w:val="0"/>
                      <w:sz w:val="21"/>
                      <w:szCs w:val="21"/>
                    </w:rPr>
                    <w:t>（等效黏土防渗层Mb≥1.5m，渗透系数K</w:t>
                  </w:r>
                  <w:r>
                    <w:rPr>
                      <w:color w:val="auto"/>
                      <w:sz w:val="21"/>
                      <w:szCs w:val="21"/>
                    </w:rPr>
                    <w:t>≤10</w:t>
                  </w:r>
                  <w:r>
                    <w:rPr>
                      <w:color w:val="auto"/>
                      <w:sz w:val="21"/>
                      <w:szCs w:val="21"/>
                      <w:vertAlign w:val="superscript"/>
                    </w:rPr>
                    <w:t>-7</w:t>
                  </w:r>
                  <w:r>
                    <w:rPr>
                      <w:color w:val="auto"/>
                      <w:sz w:val="21"/>
                      <w:szCs w:val="21"/>
                    </w:rPr>
                    <w:t>cm/s</w:t>
                  </w:r>
                  <w:r>
                    <w:rPr>
                      <w:rStyle w:val="33"/>
                      <w:color w:val="auto"/>
                      <w:kern w:val="0"/>
                      <w:sz w:val="21"/>
                      <w:szCs w:val="21"/>
                    </w:rPr>
                    <w:t>）</w:t>
                  </w:r>
                </w:p>
              </w:tc>
            </w:tr>
            <w:tr w14:paraId="1766A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6" w:type="pct"/>
                  <w:vMerge w:val="continue"/>
                  <w:vAlign w:val="center"/>
                </w:tcPr>
                <w:p w14:paraId="2DD62725">
                  <w:pPr>
                    <w:jc w:val="center"/>
                    <w:rPr>
                      <w:color w:val="auto"/>
                      <w:sz w:val="21"/>
                      <w:szCs w:val="21"/>
                    </w:rPr>
                  </w:pPr>
                </w:p>
              </w:tc>
              <w:tc>
                <w:tcPr>
                  <w:tcW w:w="504" w:type="pct"/>
                  <w:vAlign w:val="center"/>
                </w:tcPr>
                <w:p w14:paraId="53BF1859">
                  <w:pPr>
                    <w:jc w:val="center"/>
                    <w:rPr>
                      <w:color w:val="auto"/>
                      <w:kern w:val="0"/>
                      <w:sz w:val="21"/>
                      <w:szCs w:val="21"/>
                    </w:rPr>
                  </w:pPr>
                  <w:r>
                    <w:rPr>
                      <w:color w:val="auto"/>
                      <w:kern w:val="0"/>
                      <w:sz w:val="21"/>
                      <w:szCs w:val="21"/>
                    </w:rPr>
                    <w:t>环境风险</w:t>
                  </w:r>
                </w:p>
              </w:tc>
              <w:tc>
                <w:tcPr>
                  <w:tcW w:w="4219" w:type="pct"/>
                  <w:gridSpan w:val="2"/>
                  <w:vAlign w:val="center"/>
                </w:tcPr>
                <w:p w14:paraId="3B3DC553">
                  <w:pPr>
                    <w:adjustRightInd w:val="0"/>
                    <w:snapToGrid w:val="0"/>
                    <w:rPr>
                      <w:color w:val="auto"/>
                      <w:sz w:val="21"/>
                      <w:szCs w:val="21"/>
                    </w:rPr>
                  </w:pPr>
                  <w:r>
                    <w:rPr>
                      <w:color w:val="auto"/>
                      <w:sz w:val="21"/>
                      <w:szCs w:val="21"/>
                    </w:rPr>
                    <w:t>①建立健全</w:t>
                  </w:r>
                  <w:r>
                    <w:rPr>
                      <w:rFonts w:hint="eastAsia"/>
                      <w:color w:val="auto"/>
                      <w:sz w:val="21"/>
                      <w:szCs w:val="21"/>
                      <w:lang w:eastAsia="zh-CN"/>
                    </w:rPr>
                    <w:t>辅料暂存间</w:t>
                  </w:r>
                  <w:r>
                    <w:rPr>
                      <w:rFonts w:hint="eastAsia"/>
                      <w:color w:val="auto"/>
                      <w:sz w:val="21"/>
                      <w:szCs w:val="21"/>
                    </w:rPr>
                    <w:t>、</w:t>
                  </w:r>
                  <w:r>
                    <w:rPr>
                      <w:color w:val="auto"/>
                      <w:sz w:val="21"/>
                      <w:szCs w:val="21"/>
                    </w:rPr>
                    <w:t>危废</w:t>
                  </w:r>
                  <w:r>
                    <w:rPr>
                      <w:rFonts w:hint="eastAsia"/>
                      <w:color w:val="auto"/>
                      <w:sz w:val="21"/>
                      <w:szCs w:val="21"/>
                    </w:rPr>
                    <w:t>间</w:t>
                  </w:r>
                  <w:r>
                    <w:rPr>
                      <w:color w:val="auto"/>
                      <w:sz w:val="21"/>
                      <w:szCs w:val="21"/>
                    </w:rPr>
                    <w:t>、</w:t>
                  </w:r>
                  <w:r>
                    <w:rPr>
                      <w:rFonts w:hint="eastAsia"/>
                      <w:color w:val="auto"/>
                      <w:sz w:val="21"/>
                      <w:szCs w:val="21"/>
                      <w:lang w:eastAsia="zh-CN"/>
                    </w:rPr>
                    <w:t>喷漆房、</w:t>
                  </w:r>
                  <w:r>
                    <w:rPr>
                      <w:color w:val="auto"/>
                      <w:sz w:val="21"/>
                      <w:szCs w:val="21"/>
                    </w:rPr>
                    <w:t>固废间及生产车间的火灾防范制度，配备灭火设施；</w:t>
                  </w:r>
                </w:p>
                <w:p w14:paraId="122E847B">
                  <w:pPr>
                    <w:adjustRightInd w:val="0"/>
                    <w:snapToGrid w:val="0"/>
                    <w:rPr>
                      <w:color w:val="auto"/>
                      <w:sz w:val="21"/>
                      <w:szCs w:val="21"/>
                    </w:rPr>
                  </w:pPr>
                  <w:r>
                    <w:rPr>
                      <w:color w:val="auto"/>
                      <w:sz w:val="21"/>
                      <w:szCs w:val="21"/>
                    </w:rPr>
                    <w:t>②建立原料采购、存储、厂内运输、领用、使用、废弃等全路径管理制度，防止发生物料泄漏；危险废物厂区临时贮存、厂内转运管理制度，防止危险废物泄漏；</w:t>
                  </w:r>
                </w:p>
                <w:p w14:paraId="3F8500C2">
                  <w:pPr>
                    <w:adjustRightInd w:val="0"/>
                    <w:snapToGrid w:val="0"/>
                    <w:rPr>
                      <w:color w:val="auto"/>
                      <w:sz w:val="21"/>
                      <w:szCs w:val="21"/>
                    </w:rPr>
                  </w:pPr>
                  <w:r>
                    <w:rPr>
                      <w:color w:val="auto"/>
                      <w:sz w:val="21"/>
                      <w:szCs w:val="21"/>
                    </w:rPr>
                    <w:t>③加强对废气设施的运行管理、维护保养，当废气处理措施发生故障，造成废气事故性排放，项目应立即停产，排除事故故障，待确保废气治理措施正常运转后再恢复生产；</w:t>
                  </w:r>
                </w:p>
                <w:p w14:paraId="0DC17D0E">
                  <w:pPr>
                    <w:adjustRightInd w:val="0"/>
                    <w:snapToGrid w:val="0"/>
                    <w:rPr>
                      <w:color w:val="auto"/>
                      <w:sz w:val="21"/>
                      <w:szCs w:val="21"/>
                    </w:rPr>
                  </w:pPr>
                  <w:r>
                    <w:rPr>
                      <w:rFonts w:hint="eastAsia" w:ascii="宋体" w:hAnsi="宋体" w:cs="宋体"/>
                      <w:color w:val="auto"/>
                      <w:sz w:val="21"/>
                      <w:szCs w:val="21"/>
                    </w:rPr>
                    <w:t>④</w:t>
                  </w:r>
                  <w:r>
                    <w:rPr>
                      <w:rFonts w:hint="eastAsia"/>
                      <w:color w:val="auto"/>
                      <w:sz w:val="21"/>
                      <w:szCs w:val="21"/>
                      <w:lang w:eastAsia="zh-CN"/>
                    </w:rPr>
                    <w:t>辅料暂存间</w:t>
                  </w:r>
                  <w:r>
                    <w:rPr>
                      <w:rFonts w:hint="eastAsia"/>
                      <w:color w:val="auto"/>
                      <w:sz w:val="21"/>
                      <w:szCs w:val="21"/>
                    </w:rPr>
                    <w:t>、</w:t>
                  </w:r>
                  <w:r>
                    <w:rPr>
                      <w:color w:val="auto"/>
                      <w:sz w:val="21"/>
                      <w:szCs w:val="21"/>
                    </w:rPr>
                    <w:t>危废</w:t>
                  </w:r>
                  <w:r>
                    <w:rPr>
                      <w:rFonts w:hint="eastAsia"/>
                      <w:color w:val="auto"/>
                      <w:sz w:val="21"/>
                      <w:szCs w:val="21"/>
                    </w:rPr>
                    <w:t>间</w:t>
                  </w:r>
                  <w:r>
                    <w:rPr>
                      <w:color w:val="auto"/>
                      <w:sz w:val="21"/>
                      <w:szCs w:val="21"/>
                    </w:rPr>
                    <w:t>设置经防渗处理的地沟，保证原辅料、危废发生泄漏后能够得到有效收集，不进入外围水体；</w:t>
                  </w:r>
                </w:p>
                <w:p w14:paraId="3C68C3D9">
                  <w:pPr>
                    <w:adjustRightInd w:val="0"/>
                    <w:snapToGrid w:val="0"/>
                    <w:rPr>
                      <w:color w:val="auto"/>
                      <w:sz w:val="21"/>
                      <w:szCs w:val="21"/>
                    </w:rPr>
                  </w:pPr>
                  <w:r>
                    <w:rPr>
                      <w:rFonts w:hint="eastAsia" w:ascii="宋体" w:hAnsi="宋体" w:cs="宋体"/>
                      <w:color w:val="auto"/>
                      <w:sz w:val="21"/>
                      <w:szCs w:val="21"/>
                    </w:rPr>
                    <w:t>⑤</w:t>
                  </w:r>
                  <w:r>
                    <w:rPr>
                      <w:color w:val="auto"/>
                      <w:sz w:val="21"/>
                      <w:szCs w:val="21"/>
                    </w:rPr>
                    <w:t>配置应急水泵、消防沙、收集桶、防护服、防护手套、防护面罩、应急照明、急救药品、灭火器等应急物资</w:t>
                  </w:r>
                  <w:r>
                    <w:rPr>
                      <w:rFonts w:hint="eastAsia"/>
                      <w:color w:val="auto"/>
                      <w:sz w:val="21"/>
                      <w:szCs w:val="21"/>
                    </w:rPr>
                    <w:t>；</w:t>
                  </w:r>
                </w:p>
                <w:p w14:paraId="1CA95D93">
                  <w:pPr>
                    <w:adjustRightInd w:val="0"/>
                    <w:snapToGrid w:val="0"/>
                    <w:rPr>
                      <w:color w:val="auto"/>
                      <w:sz w:val="21"/>
                      <w:szCs w:val="21"/>
                    </w:rPr>
                  </w:pPr>
                  <w:r>
                    <w:rPr>
                      <w:rFonts w:hint="eastAsia" w:ascii="宋体" w:hAnsi="宋体" w:cs="宋体"/>
                      <w:color w:val="auto"/>
                      <w:sz w:val="21"/>
                      <w:szCs w:val="21"/>
                    </w:rPr>
                    <w:t>⑥</w:t>
                  </w:r>
                  <w:r>
                    <w:rPr>
                      <w:rFonts w:hint="eastAsia" w:ascii="宋体" w:hAnsi="宋体" w:cs="宋体"/>
                      <w:color w:val="auto"/>
                      <w:sz w:val="21"/>
                      <w:szCs w:val="21"/>
                      <w:lang w:eastAsia="zh-CN"/>
                    </w:rPr>
                    <w:t>雨水管网设置截断阀；</w:t>
                  </w:r>
                  <w:r>
                    <w:rPr>
                      <w:rFonts w:hint="eastAsia"/>
                      <w:color w:val="auto"/>
                      <w:sz w:val="21"/>
                      <w:szCs w:val="21"/>
                    </w:rPr>
                    <w:t>编制突发环境事件应急预案</w:t>
                  </w:r>
                  <w:r>
                    <w:rPr>
                      <w:color w:val="auto"/>
                      <w:sz w:val="21"/>
                      <w:szCs w:val="21"/>
                    </w:rPr>
                    <w:t>。</w:t>
                  </w:r>
                </w:p>
              </w:tc>
            </w:tr>
          </w:tbl>
          <w:p w14:paraId="1F50B471">
            <w:pPr>
              <w:pStyle w:val="9"/>
            </w:pPr>
          </w:p>
        </w:tc>
      </w:tr>
      <w:tr w14:paraId="092ECA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826" w:hRule="atLeast"/>
          <w:jc w:val="center"/>
        </w:trPr>
        <w:tc>
          <w:tcPr>
            <w:tcW w:w="424" w:type="dxa"/>
            <w:vAlign w:val="center"/>
          </w:tcPr>
          <w:p w14:paraId="6BD6C4CC">
            <w:pPr>
              <w:adjustRightInd w:val="0"/>
              <w:snapToGrid w:val="0"/>
              <w:jc w:val="center"/>
              <w:rPr>
                <w:rFonts w:cs="宋体"/>
                <w:b/>
                <w:szCs w:val="21"/>
              </w:rPr>
            </w:pPr>
            <w:r>
              <w:rPr>
                <w:rFonts w:hint="eastAsia" w:ascii="宋体" w:hAnsi="宋体" w:cs="宋体"/>
                <w:b/>
                <w:szCs w:val="21"/>
              </w:rPr>
              <w:t>建设</w:t>
            </w:r>
            <w:r>
              <w:rPr>
                <w:rFonts w:hint="eastAsia" w:cs="宋体"/>
                <w:b/>
                <w:szCs w:val="21"/>
              </w:rPr>
              <w:t>内容</w:t>
            </w:r>
          </w:p>
        </w:tc>
        <w:tc>
          <w:tcPr>
            <w:tcW w:w="8862" w:type="dxa"/>
            <w:gridSpan w:val="3"/>
          </w:tcPr>
          <w:p w14:paraId="259F8C12">
            <w:pPr>
              <w:widowControl/>
              <w:adjustRightInd w:val="0"/>
              <w:snapToGrid w:val="0"/>
              <w:spacing w:line="360" w:lineRule="auto"/>
              <w:ind w:firstLine="482" w:firstLineChars="200"/>
              <w:rPr>
                <w:b/>
                <w:bCs/>
                <w:sz w:val="24"/>
              </w:rPr>
            </w:pPr>
            <w:r>
              <w:rPr>
                <w:rFonts w:hint="eastAsia"/>
                <w:b/>
                <w:bCs/>
                <w:sz w:val="24"/>
              </w:rPr>
              <w:t>（三）主要产品及产能</w:t>
            </w:r>
          </w:p>
          <w:p w14:paraId="7F29AEF1">
            <w:pPr>
              <w:widowControl/>
              <w:adjustRightInd w:val="0"/>
              <w:snapToGrid w:val="0"/>
              <w:spacing w:line="360" w:lineRule="auto"/>
              <w:ind w:firstLine="480" w:firstLineChars="200"/>
              <w:rPr>
                <w:sz w:val="24"/>
              </w:rPr>
            </w:pPr>
            <w:r>
              <w:rPr>
                <w:rFonts w:hint="eastAsia"/>
                <w:sz w:val="24"/>
              </w:rPr>
              <w:t>本项目产品及产能见下表。</w:t>
            </w:r>
          </w:p>
          <w:p w14:paraId="700F5D7A">
            <w:pPr>
              <w:widowControl/>
              <w:numPr>
                <w:ilvl w:val="0"/>
                <w:numId w:val="2"/>
              </w:numPr>
              <w:jc w:val="center"/>
              <w:rPr>
                <w:b/>
                <w:kern w:val="0"/>
                <w:szCs w:val="21"/>
              </w:rPr>
            </w:pPr>
            <w:r>
              <w:rPr>
                <w:b/>
                <w:kern w:val="0"/>
                <w:szCs w:val="21"/>
              </w:rPr>
              <w:t>产品及</w:t>
            </w:r>
            <w:r>
              <w:rPr>
                <w:rFonts w:hint="eastAsia"/>
                <w:b/>
                <w:kern w:val="0"/>
                <w:szCs w:val="21"/>
              </w:rPr>
              <w:t>产能</w:t>
            </w:r>
            <w:r>
              <w:rPr>
                <w:b/>
                <w:kern w:val="0"/>
                <w:szCs w:val="21"/>
              </w:rPr>
              <w:t>一览表</w:t>
            </w:r>
          </w:p>
          <w:tbl>
            <w:tblPr>
              <w:tblStyle w:val="2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1"/>
              <w:gridCol w:w="2464"/>
              <w:gridCol w:w="1404"/>
              <w:gridCol w:w="1813"/>
              <w:gridCol w:w="2360"/>
            </w:tblGrid>
            <w:tr w14:paraId="30C15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342" w:type="pct"/>
                  <w:tcBorders>
                    <w:top w:val="single" w:color="auto" w:sz="4" w:space="0"/>
                    <w:left w:val="single" w:color="auto" w:sz="4" w:space="0"/>
                    <w:bottom w:val="single" w:color="auto" w:sz="4" w:space="0"/>
                    <w:right w:val="single" w:color="auto" w:sz="4" w:space="0"/>
                  </w:tcBorders>
                  <w:noWrap w:val="0"/>
                  <w:vAlign w:val="center"/>
                </w:tcPr>
                <w:p w14:paraId="27A19ECA">
                  <w:pPr>
                    <w:pStyle w:val="87"/>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序号</w:t>
                  </w:r>
                </w:p>
              </w:tc>
              <w:tc>
                <w:tcPr>
                  <w:tcW w:w="1427" w:type="pct"/>
                  <w:tcBorders>
                    <w:top w:val="single" w:color="auto" w:sz="4" w:space="0"/>
                    <w:left w:val="single" w:color="auto" w:sz="4" w:space="0"/>
                    <w:bottom w:val="single" w:color="auto" w:sz="4" w:space="0"/>
                    <w:right w:val="single" w:color="auto" w:sz="4" w:space="0"/>
                  </w:tcBorders>
                  <w:noWrap w:val="0"/>
                  <w:vAlign w:val="center"/>
                </w:tcPr>
                <w:p w14:paraId="38A40762">
                  <w:pPr>
                    <w:pStyle w:val="87"/>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产品名称</w:t>
                  </w:r>
                </w:p>
              </w:tc>
              <w:tc>
                <w:tcPr>
                  <w:tcW w:w="813" w:type="pct"/>
                  <w:tcBorders>
                    <w:top w:val="single" w:color="auto" w:sz="4" w:space="0"/>
                    <w:left w:val="single" w:color="auto" w:sz="4" w:space="0"/>
                    <w:bottom w:val="single" w:color="auto" w:sz="4" w:space="0"/>
                    <w:right w:val="single" w:color="auto" w:sz="4" w:space="0"/>
                  </w:tcBorders>
                  <w:noWrap w:val="0"/>
                  <w:vAlign w:val="center"/>
                </w:tcPr>
                <w:p w14:paraId="56A2A518">
                  <w:pPr>
                    <w:pStyle w:val="87"/>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年产量（套）</w:t>
                  </w:r>
                </w:p>
              </w:tc>
              <w:tc>
                <w:tcPr>
                  <w:tcW w:w="1050" w:type="pct"/>
                  <w:tcBorders>
                    <w:top w:val="single" w:color="auto" w:sz="4" w:space="0"/>
                    <w:left w:val="single" w:color="auto" w:sz="4" w:space="0"/>
                    <w:bottom w:val="single" w:color="auto" w:sz="4" w:space="0"/>
                    <w:right w:val="single" w:color="auto" w:sz="4" w:space="0"/>
                  </w:tcBorders>
                  <w:noWrap w:val="0"/>
                  <w:vAlign w:val="center"/>
                </w:tcPr>
                <w:p w14:paraId="66FBB00C">
                  <w:pPr>
                    <w:pStyle w:val="87"/>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sz w:val="21"/>
                      <w:szCs w:val="21"/>
                      <w:lang w:eastAsia="zh-CN"/>
                    </w:rPr>
                  </w:pPr>
                  <w:r>
                    <w:rPr>
                      <w:rFonts w:hint="default" w:ascii="Times New Roman" w:hAnsi="Times New Roman" w:eastAsia="宋体" w:cs="Times New Roman"/>
                      <w:b w:val="0"/>
                      <w:sz w:val="21"/>
                      <w:szCs w:val="21"/>
                      <w:lang w:eastAsia="zh-CN"/>
                    </w:rPr>
                    <w:t>产品型号及规格</w:t>
                  </w:r>
                </w:p>
              </w:tc>
              <w:tc>
                <w:tcPr>
                  <w:tcW w:w="1366" w:type="pct"/>
                  <w:tcBorders>
                    <w:top w:val="single" w:color="auto" w:sz="4" w:space="0"/>
                    <w:left w:val="single" w:color="auto" w:sz="4" w:space="0"/>
                    <w:bottom w:val="single" w:color="auto" w:sz="4" w:space="0"/>
                    <w:right w:val="single" w:color="auto" w:sz="4" w:space="0"/>
                  </w:tcBorders>
                  <w:noWrap w:val="0"/>
                  <w:vAlign w:val="center"/>
                </w:tcPr>
                <w:p w14:paraId="4EDB2915">
                  <w:pPr>
                    <w:pStyle w:val="87"/>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sz w:val="21"/>
                      <w:szCs w:val="21"/>
                      <w:lang w:eastAsia="zh-CN"/>
                    </w:rPr>
                  </w:pPr>
                  <w:r>
                    <w:rPr>
                      <w:rFonts w:hint="default" w:ascii="Times New Roman" w:hAnsi="Times New Roman" w:eastAsia="宋体" w:cs="Times New Roman"/>
                      <w:b w:val="0"/>
                      <w:sz w:val="21"/>
                      <w:szCs w:val="21"/>
                      <w:lang w:eastAsia="zh-CN"/>
                    </w:rPr>
                    <w:t>备注（用途）</w:t>
                  </w:r>
                </w:p>
              </w:tc>
            </w:tr>
            <w:tr w14:paraId="69E80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342" w:type="pct"/>
                  <w:tcBorders>
                    <w:top w:val="single" w:color="auto" w:sz="4" w:space="0"/>
                    <w:left w:val="single" w:color="auto" w:sz="4" w:space="0"/>
                    <w:bottom w:val="single" w:color="auto" w:sz="4" w:space="0"/>
                    <w:right w:val="single" w:color="auto" w:sz="4" w:space="0"/>
                  </w:tcBorders>
                  <w:noWrap w:val="0"/>
                  <w:vAlign w:val="center"/>
                </w:tcPr>
                <w:p w14:paraId="3A71B889">
                  <w:pPr>
                    <w:pStyle w:val="87"/>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1427" w:type="pct"/>
                  <w:tcBorders>
                    <w:top w:val="single" w:color="auto" w:sz="4" w:space="0"/>
                    <w:left w:val="single" w:color="auto" w:sz="4" w:space="0"/>
                    <w:bottom w:val="single" w:color="auto" w:sz="4" w:space="0"/>
                    <w:right w:val="single" w:color="auto" w:sz="4" w:space="0"/>
                  </w:tcBorders>
                  <w:noWrap w:val="0"/>
                  <w:vAlign w:val="center"/>
                </w:tcPr>
                <w:p w14:paraId="371F1541">
                  <w:pPr>
                    <w:pStyle w:val="87"/>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Cs w:val="0"/>
                      <w:sz w:val="21"/>
                      <w:szCs w:val="21"/>
                    </w:rPr>
                  </w:pPr>
                  <w:r>
                    <w:rPr>
                      <w:rFonts w:hint="default" w:ascii="Times New Roman" w:hAnsi="Times New Roman" w:eastAsia="宋体" w:cs="Times New Roman"/>
                      <w:color w:val="auto"/>
                      <w:sz w:val="21"/>
                      <w:szCs w:val="21"/>
                      <w:lang w:val="en-US" w:eastAsia="zh-CN"/>
                    </w:rPr>
                    <w:t>虾米曲线防堵清堵一体化煤斗设备</w:t>
                  </w:r>
                </w:p>
              </w:tc>
              <w:tc>
                <w:tcPr>
                  <w:tcW w:w="813" w:type="pct"/>
                  <w:tcBorders>
                    <w:top w:val="single" w:color="auto" w:sz="4" w:space="0"/>
                    <w:left w:val="single" w:color="auto" w:sz="4" w:space="0"/>
                    <w:bottom w:val="single" w:color="auto" w:sz="4" w:space="0"/>
                    <w:right w:val="single" w:color="auto" w:sz="4" w:space="0"/>
                  </w:tcBorders>
                  <w:noWrap w:val="0"/>
                  <w:vAlign w:val="center"/>
                </w:tcPr>
                <w:p w14:paraId="5113D16C">
                  <w:pPr>
                    <w:pStyle w:val="87"/>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val="0"/>
                      <w:sz w:val="21"/>
                      <w:szCs w:val="21"/>
                      <w:lang w:val="en-US" w:eastAsia="zh-CN"/>
                    </w:rPr>
                  </w:pPr>
                  <w:r>
                    <w:rPr>
                      <w:rFonts w:hint="default" w:ascii="Times New Roman" w:hAnsi="Times New Roman" w:eastAsia="宋体" w:cs="Times New Roman"/>
                      <w:bCs w:val="0"/>
                      <w:sz w:val="21"/>
                      <w:szCs w:val="21"/>
                      <w:lang w:val="en-US" w:eastAsia="zh-CN"/>
                    </w:rPr>
                    <w:t>100</w:t>
                  </w:r>
                </w:p>
              </w:tc>
              <w:tc>
                <w:tcPr>
                  <w:tcW w:w="1050" w:type="pct"/>
                  <w:tcBorders>
                    <w:top w:val="single" w:color="auto" w:sz="4" w:space="0"/>
                    <w:left w:val="single" w:color="auto" w:sz="4" w:space="0"/>
                    <w:bottom w:val="single" w:color="auto" w:sz="4" w:space="0"/>
                    <w:right w:val="single" w:color="auto" w:sz="4" w:space="0"/>
                  </w:tcBorders>
                  <w:noWrap w:val="0"/>
                  <w:vAlign w:val="center"/>
                </w:tcPr>
                <w:p w14:paraId="16BF2363">
                  <w:pPr>
                    <w:pStyle w:val="87"/>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val="0"/>
                      <w:sz w:val="21"/>
                      <w:szCs w:val="21"/>
                      <w:lang w:val="en-US" w:eastAsia="zh-CN"/>
                    </w:rPr>
                  </w:pPr>
                  <w:r>
                    <w:rPr>
                      <w:rFonts w:hint="default" w:ascii="Times New Roman" w:hAnsi="Times New Roman" w:eastAsia="宋体" w:cs="Times New Roman"/>
                      <w:bCs w:val="0"/>
                      <w:sz w:val="21"/>
                      <w:szCs w:val="21"/>
                      <w:lang w:val="en-US" w:eastAsia="zh-CN"/>
                    </w:rPr>
                    <w:t>RXMD01</w:t>
                  </w:r>
                </w:p>
              </w:tc>
              <w:tc>
                <w:tcPr>
                  <w:tcW w:w="1366" w:type="pct"/>
                  <w:tcBorders>
                    <w:top w:val="single" w:color="auto" w:sz="4" w:space="0"/>
                    <w:left w:val="single" w:color="auto" w:sz="4" w:space="0"/>
                    <w:bottom w:val="single" w:color="auto" w:sz="4" w:space="0"/>
                    <w:right w:val="single" w:color="auto" w:sz="4" w:space="0"/>
                  </w:tcBorders>
                  <w:noWrap w:val="0"/>
                  <w:vAlign w:val="center"/>
                </w:tcPr>
                <w:p w14:paraId="3A4D4F60">
                  <w:pPr>
                    <w:pStyle w:val="87"/>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val="0"/>
                      <w:sz w:val="21"/>
                      <w:szCs w:val="21"/>
                      <w:lang w:val="en-US" w:eastAsia="zh-CN"/>
                    </w:rPr>
                  </w:pPr>
                  <w:r>
                    <w:rPr>
                      <w:rFonts w:hint="default" w:ascii="Times New Roman" w:hAnsi="Times New Roman" w:eastAsia="宋体" w:cs="Times New Roman"/>
                      <w:bCs w:val="0"/>
                      <w:sz w:val="21"/>
                      <w:szCs w:val="21"/>
                      <w:lang w:val="en-US" w:eastAsia="zh-CN"/>
                    </w:rPr>
                    <w:t>火电厂制粉煤仓防堵</w:t>
                  </w:r>
                </w:p>
              </w:tc>
            </w:tr>
            <w:tr w14:paraId="010A9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342" w:type="pct"/>
                  <w:tcBorders>
                    <w:top w:val="single" w:color="auto" w:sz="4" w:space="0"/>
                    <w:left w:val="single" w:color="auto" w:sz="4" w:space="0"/>
                    <w:bottom w:val="single" w:color="auto" w:sz="4" w:space="0"/>
                    <w:right w:val="single" w:color="auto" w:sz="4" w:space="0"/>
                  </w:tcBorders>
                  <w:noWrap w:val="0"/>
                  <w:vAlign w:val="center"/>
                </w:tcPr>
                <w:p w14:paraId="289DE611">
                  <w:pPr>
                    <w:pStyle w:val="87"/>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1427" w:type="pct"/>
                  <w:tcBorders>
                    <w:top w:val="single" w:color="auto" w:sz="4" w:space="0"/>
                    <w:left w:val="single" w:color="auto" w:sz="4" w:space="0"/>
                    <w:bottom w:val="single" w:color="auto" w:sz="4" w:space="0"/>
                    <w:right w:val="single" w:color="auto" w:sz="4" w:space="0"/>
                  </w:tcBorders>
                  <w:noWrap w:val="0"/>
                  <w:vAlign w:val="center"/>
                </w:tcPr>
                <w:p w14:paraId="7886A3D2">
                  <w:pPr>
                    <w:pStyle w:val="87"/>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Cs w:val="0"/>
                      <w:color w:val="000000"/>
                      <w:kern w:val="2"/>
                      <w:sz w:val="21"/>
                      <w:szCs w:val="21"/>
                      <w:lang w:bidi="ar"/>
                    </w:rPr>
                  </w:pPr>
                  <w:r>
                    <w:rPr>
                      <w:rFonts w:hint="default" w:ascii="Times New Roman" w:hAnsi="Times New Roman" w:eastAsia="宋体" w:cs="Times New Roman"/>
                      <w:color w:val="auto"/>
                      <w:sz w:val="21"/>
                      <w:szCs w:val="21"/>
                      <w:lang w:val="en-US" w:eastAsia="zh-CN"/>
                    </w:rPr>
                    <w:t>仓外仓多路分仓设备</w:t>
                  </w:r>
                </w:p>
              </w:tc>
              <w:tc>
                <w:tcPr>
                  <w:tcW w:w="813" w:type="pct"/>
                  <w:tcBorders>
                    <w:top w:val="single" w:color="auto" w:sz="4" w:space="0"/>
                    <w:left w:val="single" w:color="auto" w:sz="4" w:space="0"/>
                    <w:bottom w:val="single" w:color="auto" w:sz="4" w:space="0"/>
                    <w:right w:val="single" w:color="auto" w:sz="4" w:space="0"/>
                  </w:tcBorders>
                  <w:noWrap w:val="0"/>
                  <w:vAlign w:val="center"/>
                </w:tcPr>
                <w:p w14:paraId="54C6E17B">
                  <w:pPr>
                    <w:pStyle w:val="87"/>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val="0"/>
                      <w:sz w:val="21"/>
                      <w:szCs w:val="21"/>
                      <w:lang w:val="en-US" w:eastAsia="zh-CN"/>
                    </w:rPr>
                  </w:pPr>
                  <w:r>
                    <w:rPr>
                      <w:rFonts w:hint="default" w:ascii="Times New Roman" w:hAnsi="Times New Roman" w:eastAsia="宋体" w:cs="Times New Roman"/>
                      <w:bCs w:val="0"/>
                      <w:sz w:val="21"/>
                      <w:szCs w:val="21"/>
                      <w:lang w:val="en-US" w:eastAsia="zh-CN"/>
                    </w:rPr>
                    <w:t>50</w:t>
                  </w:r>
                </w:p>
              </w:tc>
              <w:tc>
                <w:tcPr>
                  <w:tcW w:w="1050" w:type="pct"/>
                  <w:tcBorders>
                    <w:top w:val="single" w:color="auto" w:sz="4" w:space="0"/>
                    <w:left w:val="single" w:color="auto" w:sz="4" w:space="0"/>
                    <w:bottom w:val="single" w:color="auto" w:sz="4" w:space="0"/>
                    <w:right w:val="single" w:color="auto" w:sz="4" w:space="0"/>
                  </w:tcBorders>
                  <w:noWrap w:val="0"/>
                  <w:vAlign w:val="center"/>
                </w:tcPr>
                <w:p w14:paraId="30F713EC">
                  <w:pPr>
                    <w:pStyle w:val="87"/>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val="0"/>
                      <w:sz w:val="21"/>
                      <w:szCs w:val="21"/>
                      <w:lang w:val="en-US" w:eastAsia="zh-CN"/>
                    </w:rPr>
                  </w:pPr>
                  <w:r>
                    <w:rPr>
                      <w:rFonts w:hint="default" w:ascii="Times New Roman" w:hAnsi="Times New Roman" w:eastAsia="宋体" w:cs="Times New Roman"/>
                      <w:bCs w:val="0"/>
                      <w:sz w:val="21"/>
                      <w:szCs w:val="21"/>
                      <w:lang w:val="en-US" w:eastAsia="zh-CN"/>
                    </w:rPr>
                    <w:t>RXFC01</w:t>
                  </w:r>
                </w:p>
              </w:tc>
              <w:tc>
                <w:tcPr>
                  <w:tcW w:w="1366" w:type="pct"/>
                  <w:tcBorders>
                    <w:top w:val="single" w:color="auto" w:sz="4" w:space="0"/>
                    <w:left w:val="single" w:color="auto" w:sz="4" w:space="0"/>
                    <w:bottom w:val="single" w:color="auto" w:sz="4" w:space="0"/>
                    <w:right w:val="single" w:color="auto" w:sz="4" w:space="0"/>
                  </w:tcBorders>
                  <w:noWrap w:val="0"/>
                  <w:vAlign w:val="center"/>
                </w:tcPr>
                <w:p w14:paraId="553C3DFA">
                  <w:pPr>
                    <w:pStyle w:val="87"/>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val="0"/>
                      <w:sz w:val="21"/>
                      <w:szCs w:val="21"/>
                      <w:lang w:val="en-US" w:eastAsia="zh-CN"/>
                    </w:rPr>
                  </w:pPr>
                  <w:r>
                    <w:rPr>
                      <w:rFonts w:hint="default" w:ascii="Times New Roman" w:hAnsi="Times New Roman" w:eastAsia="宋体" w:cs="Times New Roman"/>
                      <w:bCs w:val="0"/>
                      <w:sz w:val="21"/>
                      <w:szCs w:val="21"/>
                      <w:lang w:val="en-US" w:eastAsia="zh-CN"/>
                    </w:rPr>
                    <w:t>火电厂燃料切换</w:t>
                  </w:r>
                </w:p>
              </w:tc>
            </w:tr>
            <w:tr w14:paraId="09F9D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342" w:type="pct"/>
                  <w:tcBorders>
                    <w:top w:val="single" w:color="auto" w:sz="4" w:space="0"/>
                    <w:left w:val="single" w:color="auto" w:sz="4" w:space="0"/>
                    <w:bottom w:val="single" w:color="auto" w:sz="4" w:space="0"/>
                    <w:right w:val="single" w:color="auto" w:sz="4" w:space="0"/>
                  </w:tcBorders>
                  <w:noWrap w:val="0"/>
                  <w:vAlign w:val="center"/>
                </w:tcPr>
                <w:p w14:paraId="44F11DE2">
                  <w:pPr>
                    <w:pStyle w:val="87"/>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1427" w:type="pct"/>
                  <w:tcBorders>
                    <w:top w:val="single" w:color="auto" w:sz="4" w:space="0"/>
                    <w:left w:val="single" w:color="auto" w:sz="4" w:space="0"/>
                    <w:bottom w:val="single" w:color="auto" w:sz="4" w:space="0"/>
                    <w:right w:val="single" w:color="auto" w:sz="4" w:space="0"/>
                  </w:tcBorders>
                  <w:noWrap w:val="0"/>
                  <w:vAlign w:val="center"/>
                </w:tcPr>
                <w:p w14:paraId="28F045C6">
                  <w:pPr>
                    <w:pStyle w:val="87"/>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Cs w:val="0"/>
                      <w:color w:val="000000"/>
                      <w:kern w:val="2"/>
                      <w:sz w:val="21"/>
                      <w:szCs w:val="21"/>
                      <w:lang w:bidi="ar"/>
                    </w:rPr>
                  </w:pPr>
                  <w:r>
                    <w:rPr>
                      <w:rFonts w:hint="default" w:ascii="Times New Roman" w:hAnsi="Times New Roman" w:eastAsia="宋体" w:cs="Times New Roman"/>
                      <w:color w:val="auto"/>
                      <w:sz w:val="21"/>
                      <w:szCs w:val="21"/>
                      <w:lang w:val="en-US" w:eastAsia="zh-CN"/>
                    </w:rPr>
                    <w:t>仓壁振打气锤</w:t>
                  </w:r>
                </w:p>
              </w:tc>
              <w:tc>
                <w:tcPr>
                  <w:tcW w:w="813" w:type="pct"/>
                  <w:tcBorders>
                    <w:top w:val="single" w:color="auto" w:sz="4" w:space="0"/>
                    <w:left w:val="single" w:color="auto" w:sz="4" w:space="0"/>
                    <w:bottom w:val="single" w:color="auto" w:sz="4" w:space="0"/>
                    <w:right w:val="single" w:color="auto" w:sz="4" w:space="0"/>
                  </w:tcBorders>
                  <w:noWrap w:val="0"/>
                  <w:vAlign w:val="center"/>
                </w:tcPr>
                <w:p w14:paraId="4187EFEF">
                  <w:pPr>
                    <w:pStyle w:val="87"/>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val="0"/>
                      <w:sz w:val="21"/>
                      <w:szCs w:val="21"/>
                      <w:lang w:val="en-US" w:eastAsia="zh-CN"/>
                    </w:rPr>
                  </w:pPr>
                  <w:r>
                    <w:rPr>
                      <w:rFonts w:hint="default" w:ascii="Times New Roman" w:hAnsi="Times New Roman" w:eastAsia="宋体" w:cs="Times New Roman"/>
                      <w:bCs w:val="0"/>
                      <w:sz w:val="21"/>
                      <w:szCs w:val="21"/>
                      <w:lang w:val="en-US" w:eastAsia="zh-CN"/>
                    </w:rPr>
                    <w:t>1500</w:t>
                  </w:r>
                </w:p>
              </w:tc>
              <w:tc>
                <w:tcPr>
                  <w:tcW w:w="1050" w:type="pct"/>
                  <w:tcBorders>
                    <w:top w:val="single" w:color="auto" w:sz="4" w:space="0"/>
                    <w:left w:val="single" w:color="auto" w:sz="4" w:space="0"/>
                    <w:bottom w:val="single" w:color="auto" w:sz="4" w:space="0"/>
                    <w:right w:val="single" w:color="auto" w:sz="4" w:space="0"/>
                  </w:tcBorders>
                  <w:noWrap w:val="0"/>
                  <w:vAlign w:val="center"/>
                </w:tcPr>
                <w:p w14:paraId="1CC8CFCB">
                  <w:pPr>
                    <w:pStyle w:val="87"/>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val="0"/>
                      <w:sz w:val="21"/>
                      <w:szCs w:val="21"/>
                      <w:lang w:val="en-US" w:eastAsia="zh-CN"/>
                    </w:rPr>
                  </w:pPr>
                  <w:r>
                    <w:rPr>
                      <w:rFonts w:hint="default" w:ascii="Times New Roman" w:hAnsi="Times New Roman" w:eastAsia="宋体" w:cs="Times New Roman"/>
                      <w:bCs w:val="0"/>
                      <w:sz w:val="21"/>
                      <w:szCs w:val="21"/>
                      <w:lang w:val="en-US" w:eastAsia="zh-CN"/>
                    </w:rPr>
                    <w:t>RXQC01</w:t>
                  </w:r>
                </w:p>
              </w:tc>
              <w:tc>
                <w:tcPr>
                  <w:tcW w:w="1366" w:type="pct"/>
                  <w:tcBorders>
                    <w:top w:val="single" w:color="auto" w:sz="4" w:space="0"/>
                    <w:left w:val="single" w:color="auto" w:sz="4" w:space="0"/>
                    <w:bottom w:val="single" w:color="auto" w:sz="4" w:space="0"/>
                    <w:right w:val="single" w:color="auto" w:sz="4" w:space="0"/>
                  </w:tcBorders>
                  <w:noWrap w:val="0"/>
                  <w:vAlign w:val="center"/>
                </w:tcPr>
                <w:p w14:paraId="37D2A535">
                  <w:pPr>
                    <w:pStyle w:val="87"/>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val="0"/>
                      <w:sz w:val="21"/>
                      <w:szCs w:val="21"/>
                      <w:lang w:val="en-US" w:eastAsia="zh-CN"/>
                    </w:rPr>
                  </w:pPr>
                  <w:r>
                    <w:rPr>
                      <w:rFonts w:hint="default" w:ascii="Times New Roman" w:hAnsi="Times New Roman" w:eastAsia="宋体" w:cs="Times New Roman"/>
                      <w:bCs w:val="0"/>
                      <w:sz w:val="21"/>
                      <w:szCs w:val="21"/>
                      <w:lang w:val="en-US" w:eastAsia="zh-CN"/>
                    </w:rPr>
                    <w:t>煤仓清堵</w:t>
                  </w:r>
                </w:p>
              </w:tc>
            </w:tr>
            <w:tr w14:paraId="4F567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342" w:type="pct"/>
                  <w:tcBorders>
                    <w:top w:val="single" w:color="auto" w:sz="4" w:space="0"/>
                    <w:left w:val="single" w:color="auto" w:sz="4" w:space="0"/>
                    <w:bottom w:val="single" w:color="auto" w:sz="4" w:space="0"/>
                    <w:right w:val="single" w:color="auto" w:sz="4" w:space="0"/>
                  </w:tcBorders>
                  <w:noWrap w:val="0"/>
                  <w:vAlign w:val="center"/>
                </w:tcPr>
                <w:p w14:paraId="4C0958F5">
                  <w:pPr>
                    <w:pStyle w:val="87"/>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w:t>
                  </w:r>
                </w:p>
              </w:tc>
              <w:tc>
                <w:tcPr>
                  <w:tcW w:w="1427" w:type="pct"/>
                  <w:tcBorders>
                    <w:top w:val="single" w:color="auto" w:sz="4" w:space="0"/>
                    <w:left w:val="single" w:color="auto" w:sz="4" w:space="0"/>
                    <w:bottom w:val="single" w:color="auto" w:sz="4" w:space="0"/>
                    <w:right w:val="single" w:color="auto" w:sz="4" w:space="0"/>
                  </w:tcBorders>
                  <w:noWrap w:val="0"/>
                  <w:vAlign w:val="center"/>
                </w:tcPr>
                <w:p w14:paraId="7F4B9D63">
                  <w:pPr>
                    <w:pStyle w:val="87"/>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Cs w:val="0"/>
                      <w:color w:val="000000"/>
                      <w:kern w:val="2"/>
                      <w:sz w:val="21"/>
                      <w:szCs w:val="21"/>
                      <w:lang w:val="en-US" w:eastAsia="zh-CN" w:bidi="ar"/>
                    </w:rPr>
                  </w:pPr>
                  <w:r>
                    <w:rPr>
                      <w:rFonts w:hint="default" w:ascii="Times New Roman" w:hAnsi="Times New Roman" w:eastAsia="宋体" w:cs="Times New Roman"/>
                      <w:bCs w:val="0"/>
                      <w:color w:val="000000"/>
                      <w:kern w:val="2"/>
                      <w:sz w:val="21"/>
                      <w:szCs w:val="21"/>
                      <w:lang w:val="en-US" w:eastAsia="zh-CN" w:bidi="ar"/>
                    </w:rPr>
                    <w:t>落煤管</w:t>
                  </w:r>
                </w:p>
              </w:tc>
              <w:tc>
                <w:tcPr>
                  <w:tcW w:w="813" w:type="pct"/>
                  <w:tcBorders>
                    <w:top w:val="single" w:color="auto" w:sz="4" w:space="0"/>
                    <w:left w:val="single" w:color="auto" w:sz="4" w:space="0"/>
                    <w:bottom w:val="single" w:color="auto" w:sz="4" w:space="0"/>
                    <w:right w:val="single" w:color="auto" w:sz="4" w:space="0"/>
                  </w:tcBorders>
                  <w:noWrap w:val="0"/>
                  <w:vAlign w:val="center"/>
                </w:tcPr>
                <w:p w14:paraId="4C2F5B09">
                  <w:pPr>
                    <w:pStyle w:val="87"/>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val="0"/>
                      <w:sz w:val="21"/>
                      <w:szCs w:val="21"/>
                      <w:lang w:val="en-US" w:eastAsia="zh-CN"/>
                    </w:rPr>
                  </w:pPr>
                  <w:r>
                    <w:rPr>
                      <w:rFonts w:hint="default" w:ascii="Times New Roman" w:hAnsi="Times New Roman" w:eastAsia="宋体" w:cs="Times New Roman"/>
                      <w:bCs w:val="0"/>
                      <w:sz w:val="21"/>
                      <w:szCs w:val="21"/>
                      <w:lang w:val="en-US" w:eastAsia="zh-CN"/>
                    </w:rPr>
                    <w:t>20</w:t>
                  </w:r>
                </w:p>
              </w:tc>
              <w:tc>
                <w:tcPr>
                  <w:tcW w:w="1050" w:type="pct"/>
                  <w:tcBorders>
                    <w:top w:val="single" w:color="auto" w:sz="4" w:space="0"/>
                    <w:left w:val="single" w:color="auto" w:sz="4" w:space="0"/>
                    <w:bottom w:val="single" w:color="auto" w:sz="4" w:space="0"/>
                    <w:right w:val="single" w:color="auto" w:sz="4" w:space="0"/>
                  </w:tcBorders>
                  <w:noWrap w:val="0"/>
                  <w:vAlign w:val="center"/>
                </w:tcPr>
                <w:p w14:paraId="1C219DBC">
                  <w:pPr>
                    <w:pStyle w:val="87"/>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val="0"/>
                      <w:sz w:val="21"/>
                      <w:szCs w:val="21"/>
                      <w:lang w:val="en-US" w:eastAsia="zh-CN"/>
                    </w:rPr>
                  </w:pPr>
                  <w:r>
                    <w:rPr>
                      <w:rFonts w:hint="default" w:ascii="Times New Roman" w:hAnsi="Times New Roman" w:eastAsia="宋体" w:cs="Times New Roman"/>
                      <w:bCs w:val="0"/>
                      <w:sz w:val="21"/>
                      <w:szCs w:val="21"/>
                      <w:lang w:val="en-US" w:eastAsia="zh-CN"/>
                    </w:rPr>
                    <w:t>RXLMG01</w:t>
                  </w:r>
                </w:p>
              </w:tc>
              <w:tc>
                <w:tcPr>
                  <w:tcW w:w="1366" w:type="pct"/>
                  <w:tcBorders>
                    <w:top w:val="single" w:color="auto" w:sz="4" w:space="0"/>
                    <w:left w:val="single" w:color="auto" w:sz="4" w:space="0"/>
                    <w:bottom w:val="single" w:color="auto" w:sz="4" w:space="0"/>
                    <w:right w:val="single" w:color="auto" w:sz="4" w:space="0"/>
                  </w:tcBorders>
                  <w:noWrap w:val="0"/>
                  <w:vAlign w:val="center"/>
                </w:tcPr>
                <w:p w14:paraId="70C93F40">
                  <w:pPr>
                    <w:pStyle w:val="87"/>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Cs w:val="0"/>
                      <w:sz w:val="21"/>
                      <w:szCs w:val="21"/>
                      <w:lang w:val="en-US" w:eastAsia="zh-CN"/>
                    </w:rPr>
                  </w:pPr>
                  <w:r>
                    <w:rPr>
                      <w:rFonts w:hint="default" w:ascii="Times New Roman" w:hAnsi="Times New Roman" w:eastAsia="宋体" w:cs="Times New Roman"/>
                      <w:bCs w:val="0"/>
                      <w:sz w:val="21"/>
                      <w:szCs w:val="21"/>
                      <w:lang w:val="en-US" w:eastAsia="zh-CN"/>
                    </w:rPr>
                    <w:t>火电厂转运站防磨防堵</w:t>
                  </w:r>
                </w:p>
              </w:tc>
            </w:tr>
          </w:tbl>
          <w:p w14:paraId="216B4257">
            <w:pPr>
              <w:widowControl w:val="0"/>
              <w:topLinePunct/>
              <w:adjustRightInd w:val="0"/>
              <w:snapToGrid w:val="0"/>
              <w:spacing w:line="360" w:lineRule="auto"/>
              <w:ind w:firstLine="482" w:firstLineChars="200"/>
              <w:jc w:val="both"/>
              <w:rPr>
                <w:rFonts w:hint="default" w:ascii="Times New Roman" w:hAnsi="Times New Roman" w:eastAsia="宋体" w:cs="Times New Roman"/>
                <w:b/>
                <w:bCs/>
                <w:kern w:val="24"/>
                <w:sz w:val="24"/>
                <w:szCs w:val="24"/>
                <w:lang w:val="en-US" w:eastAsia="zh-CN" w:bidi="ar-SA"/>
              </w:rPr>
            </w:pPr>
            <w:r>
              <w:rPr>
                <w:rFonts w:hint="eastAsia" w:ascii="Times New Roman" w:hAnsi="Times New Roman" w:eastAsia="宋体" w:cs="Times New Roman"/>
                <w:b/>
                <w:bCs/>
                <w:kern w:val="24"/>
                <w:sz w:val="24"/>
                <w:szCs w:val="24"/>
                <w:lang w:val="en-US" w:eastAsia="zh-CN" w:bidi="ar-SA"/>
              </w:rPr>
              <w:t>（四）漆料用量核算分析及漆量平衡</w:t>
            </w:r>
          </w:p>
          <w:p w14:paraId="34FCE8E4">
            <w:pPr>
              <w:pStyle w:val="2"/>
              <w:framePr w:wrap="auto" w:vAnchor="margin" w:hAnchor="text" w:yAlign="inline"/>
              <w:snapToGrid w:val="0"/>
              <w:spacing w:before="0" w:after="0" w:line="440" w:lineRule="exact"/>
              <w:ind w:right="0"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eastAsia="zh-CN"/>
              </w:rPr>
              <w:t>本项目产品零件需要进行喷漆达到防腐防锈的目的，由于部分零部件使用水性漆达不到防腐防锈要求，故使用少量油性漆进行喷涂，</w:t>
            </w:r>
            <w:r>
              <w:rPr>
                <w:rFonts w:hint="eastAsia" w:cs="Times New Roman"/>
                <w:sz w:val="24"/>
                <w:szCs w:val="24"/>
                <w:lang w:eastAsia="zh-CN"/>
              </w:rPr>
              <w:t>油性漆使用过程添加稀释剂（油漆：稀释剂</w:t>
            </w:r>
            <w:r>
              <w:rPr>
                <w:rFonts w:hint="eastAsia" w:cs="Times New Roman"/>
                <w:sz w:val="24"/>
                <w:szCs w:val="24"/>
                <w:lang w:val="en-US" w:eastAsia="zh-CN"/>
              </w:rPr>
              <w:t>=10：1</w:t>
            </w:r>
            <w:r>
              <w:rPr>
                <w:rFonts w:hint="eastAsia" w:cs="Times New Roman"/>
                <w:sz w:val="24"/>
                <w:szCs w:val="24"/>
                <w:lang w:eastAsia="zh-CN"/>
              </w:rPr>
              <w:t>），水性漆不用调配直接使用</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根据企业提供的</w:t>
            </w:r>
            <w:r>
              <w:rPr>
                <w:rFonts w:hint="eastAsia" w:ascii="Times New Roman" w:hAnsi="Times New Roman" w:eastAsia="宋体" w:cs="Times New Roman"/>
                <w:sz w:val="24"/>
                <w:szCs w:val="24"/>
                <w:lang w:eastAsia="zh-CN"/>
              </w:rPr>
              <w:t>油漆</w:t>
            </w:r>
            <w:r>
              <w:rPr>
                <w:rFonts w:hint="eastAsia" w:ascii="Times New Roman" w:hAnsi="Times New Roman" w:eastAsia="宋体" w:cs="Times New Roman"/>
                <w:sz w:val="24"/>
                <w:szCs w:val="24"/>
              </w:rPr>
              <w:t>、稀释剂、</w:t>
            </w:r>
            <w:r>
              <w:rPr>
                <w:rFonts w:hint="eastAsia" w:ascii="Times New Roman" w:hAnsi="Times New Roman" w:eastAsia="宋体" w:cs="Times New Roman"/>
                <w:sz w:val="24"/>
                <w:szCs w:val="24"/>
                <w:lang w:eastAsia="zh-CN"/>
              </w:rPr>
              <w:t>水性漆</w:t>
            </w:r>
            <w:r>
              <w:rPr>
                <w:rFonts w:hint="eastAsia" w:ascii="Times New Roman" w:hAnsi="Times New Roman" w:eastAsia="宋体" w:cs="Times New Roman"/>
                <w:sz w:val="24"/>
                <w:szCs w:val="24"/>
              </w:rPr>
              <w:t>M</w:t>
            </w:r>
            <w:r>
              <w:rPr>
                <w:rFonts w:ascii="Times New Roman" w:hAnsi="Times New Roman" w:eastAsia="宋体" w:cs="Times New Roman"/>
                <w:sz w:val="24"/>
                <w:szCs w:val="24"/>
              </w:rPr>
              <w:t>SDS</w:t>
            </w:r>
            <w:r>
              <w:rPr>
                <w:rFonts w:hint="eastAsia" w:ascii="Times New Roman" w:hAnsi="Times New Roman" w:eastAsia="宋体" w:cs="Times New Roman"/>
                <w:sz w:val="24"/>
                <w:szCs w:val="24"/>
                <w:lang w:eastAsia="zh-CN"/>
              </w:rPr>
              <w:t>及</w:t>
            </w:r>
            <w:r>
              <w:rPr>
                <w:rFonts w:hint="eastAsia" w:ascii="Times New Roman" w:hAnsi="Times New Roman" w:eastAsia="宋体" w:cs="Times New Roman"/>
                <w:sz w:val="24"/>
                <w:szCs w:val="24"/>
                <w:lang w:val="en-US" w:eastAsia="zh-CN"/>
              </w:rPr>
              <w:t>VOC检测报告</w:t>
            </w:r>
            <w:r>
              <w:rPr>
                <w:rFonts w:hint="eastAsia" w:ascii="Times New Roman" w:hAnsi="Times New Roman" w:eastAsia="宋体" w:cs="Times New Roman"/>
                <w:sz w:val="24"/>
                <w:szCs w:val="24"/>
              </w:rPr>
              <w:t>，可分别明确调配后的物料的物理参数，具体见下表。</w:t>
            </w:r>
          </w:p>
          <w:p w14:paraId="0BEAB24F">
            <w:pPr>
              <w:widowControl/>
              <w:numPr>
                <w:ilvl w:val="0"/>
                <w:numId w:val="2"/>
              </w:numPr>
              <w:jc w:val="center"/>
              <w:rPr>
                <w:rFonts w:hint="eastAsia" w:ascii="Times New Roman" w:hAnsi="Times New Roman" w:eastAsia="宋体" w:cs="Times New Roman"/>
                <w:b/>
                <w:szCs w:val="21"/>
              </w:rPr>
            </w:pPr>
            <w:r>
              <w:rPr>
                <w:rFonts w:hint="eastAsia" w:cs="Times New Roman"/>
                <w:b/>
                <w:szCs w:val="21"/>
                <w:lang w:eastAsia="zh-CN"/>
              </w:rPr>
              <w:t>水性漆及</w:t>
            </w:r>
            <w:r>
              <w:rPr>
                <w:rFonts w:hint="eastAsia" w:ascii="Times New Roman" w:hAnsi="Times New Roman" w:eastAsia="宋体" w:cs="Times New Roman"/>
                <w:b/>
                <w:szCs w:val="21"/>
              </w:rPr>
              <w:t>调配后</w:t>
            </w:r>
            <w:r>
              <w:rPr>
                <w:rFonts w:hint="eastAsia" w:cs="Times New Roman"/>
                <w:b/>
                <w:szCs w:val="21"/>
                <w:lang w:eastAsia="zh-CN"/>
              </w:rPr>
              <w:t>的油漆</w:t>
            </w:r>
            <w:r>
              <w:rPr>
                <w:rFonts w:hint="eastAsia" w:ascii="Times New Roman" w:hAnsi="Times New Roman" w:eastAsia="宋体" w:cs="Times New Roman"/>
                <w:b/>
                <w:szCs w:val="21"/>
              </w:rPr>
              <w:t>物料理化性质一览表</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1"/>
              <w:gridCol w:w="1042"/>
              <w:gridCol w:w="889"/>
              <w:gridCol w:w="1577"/>
              <w:gridCol w:w="1577"/>
              <w:gridCol w:w="1577"/>
              <w:gridCol w:w="1400"/>
            </w:tblGrid>
            <w:tr w14:paraId="7933F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dxa"/>
                  <w:shd w:val="clear" w:color="auto" w:fill="auto"/>
                  <w:noWrap w:val="0"/>
                  <w:vAlign w:val="center"/>
                </w:tcPr>
                <w:p w14:paraId="55E254C8">
                  <w:pPr>
                    <w:widowControl/>
                    <w:snapToGrid w:val="0"/>
                    <w:spacing w:before="0" w:after="0" w:line="240" w:lineRule="auto"/>
                    <w:ind w:right="0" w:firstLine="0" w:firstLineChars="0"/>
                    <w:jc w:val="center"/>
                    <w:rPr>
                      <w:rFonts w:ascii="Times New Roman" w:hAnsi="Times New Roman" w:eastAsia="宋体" w:cs="Times New Roman"/>
                      <w:b/>
                      <w:bCs/>
                      <w:kern w:val="0"/>
                      <w:sz w:val="21"/>
                      <w:szCs w:val="21"/>
                      <w:lang w:val="en-US" w:eastAsia="zh-CN" w:bidi="ar-SA"/>
                    </w:rPr>
                  </w:pPr>
                  <w:r>
                    <w:rPr>
                      <w:rFonts w:ascii="Times New Roman" w:hAnsi="Times New Roman" w:eastAsia="宋体" w:cs="Times New Roman"/>
                      <w:b/>
                      <w:bCs/>
                      <w:kern w:val="0"/>
                      <w:sz w:val="21"/>
                      <w:szCs w:val="21"/>
                      <w:lang w:val="en-US" w:eastAsia="zh-CN" w:bidi="ar-SA"/>
                    </w:rPr>
                    <w:t>序号</w:t>
                  </w:r>
                </w:p>
              </w:tc>
              <w:tc>
                <w:tcPr>
                  <w:tcW w:w="1042" w:type="dxa"/>
                  <w:shd w:val="clear" w:color="auto" w:fill="auto"/>
                  <w:noWrap w:val="0"/>
                  <w:vAlign w:val="center"/>
                </w:tcPr>
                <w:p w14:paraId="74211F54">
                  <w:pPr>
                    <w:widowControl/>
                    <w:snapToGrid w:val="0"/>
                    <w:spacing w:before="0" w:after="0" w:line="240" w:lineRule="auto"/>
                    <w:ind w:right="0" w:firstLine="0" w:firstLineChars="0"/>
                    <w:jc w:val="center"/>
                    <w:rPr>
                      <w:rFonts w:ascii="Times New Roman" w:hAnsi="Times New Roman" w:eastAsia="宋体" w:cs="Times New Roman"/>
                      <w:b/>
                      <w:bCs/>
                      <w:kern w:val="0"/>
                      <w:sz w:val="21"/>
                      <w:szCs w:val="21"/>
                      <w:lang w:val="en-US" w:eastAsia="zh-CN" w:bidi="ar-SA"/>
                    </w:rPr>
                  </w:pPr>
                  <w:r>
                    <w:rPr>
                      <w:rFonts w:ascii="Times New Roman" w:hAnsi="Times New Roman" w:eastAsia="宋体" w:cs="Times New Roman"/>
                      <w:b/>
                      <w:bCs/>
                      <w:kern w:val="0"/>
                      <w:sz w:val="21"/>
                      <w:szCs w:val="21"/>
                      <w:lang w:val="en-US" w:eastAsia="zh-CN" w:bidi="ar-SA"/>
                    </w:rPr>
                    <w:t>物料</w:t>
                  </w:r>
                </w:p>
              </w:tc>
              <w:tc>
                <w:tcPr>
                  <w:tcW w:w="889" w:type="dxa"/>
                  <w:shd w:val="clear" w:color="auto" w:fill="auto"/>
                  <w:noWrap w:val="0"/>
                  <w:vAlign w:val="center"/>
                </w:tcPr>
                <w:p w14:paraId="20DE5BEC">
                  <w:pPr>
                    <w:widowControl/>
                    <w:snapToGrid w:val="0"/>
                    <w:spacing w:before="0" w:after="0" w:line="240" w:lineRule="auto"/>
                    <w:ind w:right="0" w:firstLine="0" w:firstLineChars="0"/>
                    <w:jc w:val="center"/>
                    <w:rPr>
                      <w:rFonts w:ascii="Times New Roman" w:hAnsi="Times New Roman" w:eastAsia="宋体" w:cs="Times New Roman"/>
                      <w:b/>
                      <w:bCs/>
                      <w:kern w:val="0"/>
                      <w:sz w:val="21"/>
                      <w:szCs w:val="21"/>
                      <w:lang w:val="en-US" w:eastAsia="zh-CN" w:bidi="ar-SA"/>
                    </w:rPr>
                  </w:pPr>
                  <w:r>
                    <w:rPr>
                      <w:rFonts w:ascii="Times New Roman" w:hAnsi="Times New Roman" w:eastAsia="宋体" w:cs="Times New Roman"/>
                      <w:b/>
                      <w:bCs/>
                      <w:kern w:val="0"/>
                      <w:sz w:val="21"/>
                      <w:szCs w:val="21"/>
                      <w:lang w:val="en-US" w:eastAsia="zh-CN" w:bidi="ar-SA"/>
                    </w:rPr>
                    <w:t>密度/g/cm</w:t>
                  </w:r>
                  <w:r>
                    <w:rPr>
                      <w:rFonts w:ascii="Times New Roman" w:hAnsi="Times New Roman" w:eastAsia="宋体" w:cs="Times New Roman"/>
                      <w:b/>
                      <w:bCs/>
                      <w:kern w:val="0"/>
                      <w:sz w:val="21"/>
                      <w:szCs w:val="21"/>
                      <w:vertAlign w:val="superscript"/>
                      <w:lang w:val="en-US" w:eastAsia="zh-CN" w:bidi="ar-SA"/>
                    </w:rPr>
                    <w:t>3</w:t>
                  </w:r>
                </w:p>
              </w:tc>
              <w:tc>
                <w:tcPr>
                  <w:tcW w:w="1577" w:type="dxa"/>
                  <w:shd w:val="clear" w:color="auto" w:fill="auto"/>
                  <w:noWrap w:val="0"/>
                  <w:vAlign w:val="center"/>
                </w:tcPr>
                <w:p w14:paraId="5C67EA4D">
                  <w:pPr>
                    <w:widowControl/>
                    <w:snapToGrid w:val="0"/>
                    <w:spacing w:before="0" w:after="0" w:line="240" w:lineRule="auto"/>
                    <w:ind w:right="0" w:firstLine="0" w:firstLineChars="0"/>
                    <w:jc w:val="center"/>
                    <w:rPr>
                      <w:rFonts w:ascii="Times New Roman" w:hAnsi="Times New Roman" w:eastAsia="宋体" w:cs="Times New Roman"/>
                      <w:b/>
                      <w:bCs/>
                      <w:kern w:val="0"/>
                      <w:sz w:val="21"/>
                      <w:szCs w:val="21"/>
                      <w:lang w:val="en-US" w:eastAsia="zh-CN" w:bidi="ar-SA"/>
                    </w:rPr>
                  </w:pPr>
                  <w:r>
                    <w:rPr>
                      <w:rFonts w:ascii="Times New Roman" w:hAnsi="Times New Roman" w:eastAsia="宋体" w:cs="Times New Roman"/>
                      <w:b/>
                      <w:bCs/>
                      <w:kern w:val="0"/>
                      <w:sz w:val="21"/>
                      <w:szCs w:val="21"/>
                      <w:lang w:val="en-US" w:eastAsia="zh-CN" w:bidi="ar-SA"/>
                    </w:rPr>
                    <w:t>挥发份含量占比/%</w:t>
                  </w:r>
                </w:p>
              </w:tc>
              <w:tc>
                <w:tcPr>
                  <w:tcW w:w="1577" w:type="dxa"/>
                  <w:shd w:val="clear" w:color="auto" w:fill="auto"/>
                  <w:noWrap w:val="0"/>
                  <w:vAlign w:val="center"/>
                </w:tcPr>
                <w:p w14:paraId="2D18D8A3">
                  <w:pPr>
                    <w:widowControl/>
                    <w:snapToGrid w:val="0"/>
                    <w:spacing w:before="0" w:after="0" w:line="240" w:lineRule="auto"/>
                    <w:ind w:right="0" w:firstLine="0" w:firstLineChars="0"/>
                    <w:jc w:val="center"/>
                    <w:rPr>
                      <w:rFonts w:ascii="Times New Roman" w:hAnsi="Times New Roman" w:eastAsia="宋体" w:cs="Times New Roman"/>
                      <w:b/>
                      <w:bCs/>
                      <w:kern w:val="0"/>
                      <w:sz w:val="21"/>
                      <w:szCs w:val="21"/>
                      <w:lang w:val="en-US" w:eastAsia="zh-CN" w:bidi="ar-SA"/>
                    </w:rPr>
                  </w:pPr>
                  <w:r>
                    <w:rPr>
                      <w:rFonts w:hint="eastAsia" w:ascii="Times New Roman" w:hAnsi="Times New Roman" w:eastAsia="宋体" w:cs="Times New Roman"/>
                      <w:b/>
                      <w:bCs/>
                      <w:kern w:val="0"/>
                      <w:sz w:val="21"/>
                      <w:szCs w:val="21"/>
                      <w:lang w:val="en-US" w:eastAsia="zh-CN" w:bidi="ar-SA"/>
                    </w:rPr>
                    <w:t>水</w:t>
                  </w:r>
                  <w:r>
                    <w:rPr>
                      <w:rFonts w:ascii="Times New Roman" w:hAnsi="Times New Roman" w:eastAsia="宋体" w:cs="Times New Roman"/>
                      <w:b/>
                      <w:bCs/>
                      <w:kern w:val="0"/>
                      <w:sz w:val="21"/>
                      <w:szCs w:val="21"/>
                      <w:lang w:val="en-US" w:eastAsia="zh-CN" w:bidi="ar-SA"/>
                    </w:rPr>
                    <w:t>份含量占比/%</w:t>
                  </w:r>
                </w:p>
              </w:tc>
              <w:tc>
                <w:tcPr>
                  <w:tcW w:w="1577" w:type="dxa"/>
                  <w:shd w:val="clear" w:color="auto" w:fill="auto"/>
                  <w:noWrap w:val="0"/>
                  <w:vAlign w:val="center"/>
                </w:tcPr>
                <w:p w14:paraId="01353658">
                  <w:pPr>
                    <w:widowControl/>
                    <w:snapToGrid w:val="0"/>
                    <w:spacing w:before="0" w:after="0" w:line="240" w:lineRule="auto"/>
                    <w:ind w:right="0" w:firstLine="0" w:firstLineChars="0"/>
                    <w:jc w:val="center"/>
                    <w:rPr>
                      <w:rFonts w:ascii="Times New Roman" w:hAnsi="Times New Roman" w:eastAsia="宋体" w:cs="Times New Roman"/>
                      <w:b/>
                      <w:bCs/>
                      <w:kern w:val="0"/>
                      <w:sz w:val="21"/>
                      <w:szCs w:val="21"/>
                      <w:lang w:val="en-US" w:eastAsia="zh-CN" w:bidi="ar-SA"/>
                    </w:rPr>
                  </w:pPr>
                  <w:r>
                    <w:rPr>
                      <w:rFonts w:ascii="Times New Roman" w:hAnsi="Times New Roman" w:eastAsia="宋体" w:cs="Times New Roman"/>
                      <w:b/>
                      <w:bCs/>
                      <w:kern w:val="0"/>
                      <w:sz w:val="21"/>
                      <w:szCs w:val="21"/>
                      <w:lang w:val="en-US" w:eastAsia="zh-CN" w:bidi="ar-SA"/>
                    </w:rPr>
                    <w:t>固体份含量占比/%</w:t>
                  </w:r>
                </w:p>
              </w:tc>
              <w:tc>
                <w:tcPr>
                  <w:tcW w:w="1400" w:type="dxa"/>
                  <w:shd w:val="clear" w:color="auto" w:fill="auto"/>
                  <w:noWrap w:val="0"/>
                  <w:vAlign w:val="center"/>
                </w:tcPr>
                <w:p w14:paraId="10615E7B">
                  <w:pPr>
                    <w:widowControl/>
                    <w:snapToGrid w:val="0"/>
                    <w:spacing w:before="0" w:after="0" w:line="240" w:lineRule="auto"/>
                    <w:ind w:right="0" w:firstLine="0" w:firstLineChars="0"/>
                    <w:jc w:val="center"/>
                    <w:rPr>
                      <w:rFonts w:ascii="Times New Roman" w:hAnsi="Times New Roman" w:eastAsia="宋体" w:cs="Times New Roman"/>
                      <w:b/>
                      <w:bCs/>
                      <w:kern w:val="0"/>
                      <w:sz w:val="21"/>
                      <w:szCs w:val="21"/>
                      <w:lang w:val="en-US" w:eastAsia="zh-CN" w:bidi="ar-SA"/>
                    </w:rPr>
                  </w:pPr>
                  <w:r>
                    <w:rPr>
                      <w:rFonts w:ascii="Times New Roman" w:hAnsi="Times New Roman" w:eastAsia="宋体" w:cs="Times New Roman"/>
                      <w:b/>
                      <w:bCs/>
                      <w:kern w:val="0"/>
                      <w:sz w:val="21"/>
                      <w:szCs w:val="21"/>
                      <w:lang w:val="en-US" w:eastAsia="zh-CN" w:bidi="ar-SA"/>
                    </w:rPr>
                    <w:t>VOC含量/g/L</w:t>
                  </w:r>
                </w:p>
              </w:tc>
            </w:tr>
            <w:tr w14:paraId="03A0A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71" w:type="dxa"/>
                  <w:shd w:val="clear" w:color="auto" w:fill="auto"/>
                  <w:noWrap w:val="0"/>
                  <w:vAlign w:val="center"/>
                </w:tcPr>
                <w:p w14:paraId="1A23F235">
                  <w:pPr>
                    <w:widowControl/>
                    <w:snapToGrid w:val="0"/>
                    <w:spacing w:before="0" w:after="0" w:line="240" w:lineRule="auto"/>
                    <w:ind w:right="0" w:firstLine="0" w:firstLineChars="0"/>
                    <w:jc w:val="center"/>
                    <w:rPr>
                      <w:rFonts w:ascii="Times New Roman" w:hAnsi="Times New Roman" w:eastAsia="宋体" w:cs="Times New Roman"/>
                      <w:kern w:val="0"/>
                      <w:sz w:val="21"/>
                      <w:szCs w:val="21"/>
                      <w:lang w:val="en-US" w:eastAsia="zh-CN" w:bidi="ar-SA"/>
                    </w:rPr>
                  </w:pPr>
                  <w:r>
                    <w:rPr>
                      <w:rFonts w:ascii="Times New Roman" w:hAnsi="Times New Roman" w:eastAsia="宋体" w:cs="Times New Roman"/>
                      <w:kern w:val="0"/>
                      <w:sz w:val="21"/>
                      <w:szCs w:val="21"/>
                      <w:lang w:val="en-US" w:eastAsia="zh-CN" w:bidi="ar-SA"/>
                    </w:rPr>
                    <w:t>1</w:t>
                  </w:r>
                </w:p>
              </w:tc>
              <w:tc>
                <w:tcPr>
                  <w:tcW w:w="1042" w:type="dxa"/>
                  <w:shd w:val="clear" w:color="auto" w:fill="auto"/>
                  <w:noWrap w:val="0"/>
                  <w:vAlign w:val="center"/>
                </w:tcPr>
                <w:p w14:paraId="2C4AE4D9">
                  <w:pPr>
                    <w:widowControl/>
                    <w:snapToGrid w:val="0"/>
                    <w:spacing w:before="0" w:after="0" w:line="240" w:lineRule="auto"/>
                    <w:ind w:right="0" w:firstLine="0" w:firstLineChars="0"/>
                    <w:jc w:val="center"/>
                    <w:rPr>
                      <w:rFonts w:ascii="Times New Roman" w:hAnsi="Times New Roman" w:eastAsia="宋体" w:cs="Times New Roman"/>
                      <w:kern w:val="0"/>
                      <w:sz w:val="21"/>
                      <w:szCs w:val="21"/>
                      <w:lang w:val="en-US" w:eastAsia="zh-CN" w:bidi="ar-SA"/>
                    </w:rPr>
                  </w:pPr>
                  <w:r>
                    <w:rPr>
                      <w:rFonts w:ascii="Times New Roman" w:hAnsi="Times New Roman" w:eastAsia="宋体" w:cs="Times New Roman"/>
                      <w:kern w:val="0"/>
                      <w:sz w:val="21"/>
                      <w:szCs w:val="21"/>
                      <w:lang w:val="en-US" w:eastAsia="zh-CN" w:bidi="ar-SA"/>
                    </w:rPr>
                    <w:t>调配后</w:t>
                  </w:r>
                  <w:r>
                    <w:rPr>
                      <w:rFonts w:hint="eastAsia" w:ascii="Times New Roman" w:hAnsi="Times New Roman" w:eastAsia="宋体" w:cs="Times New Roman"/>
                      <w:kern w:val="0"/>
                      <w:sz w:val="21"/>
                      <w:szCs w:val="21"/>
                      <w:lang w:val="en-US" w:eastAsia="zh-CN" w:bidi="ar-SA"/>
                    </w:rPr>
                    <w:t>油</w:t>
                  </w:r>
                  <w:r>
                    <w:rPr>
                      <w:rFonts w:ascii="Times New Roman" w:hAnsi="Times New Roman" w:eastAsia="宋体" w:cs="Times New Roman"/>
                      <w:kern w:val="0"/>
                      <w:sz w:val="21"/>
                      <w:szCs w:val="21"/>
                      <w:lang w:val="en-US" w:eastAsia="zh-CN" w:bidi="ar-SA"/>
                    </w:rPr>
                    <w:t>漆</w:t>
                  </w:r>
                </w:p>
              </w:tc>
              <w:tc>
                <w:tcPr>
                  <w:tcW w:w="889" w:type="dxa"/>
                  <w:shd w:val="clear" w:color="auto" w:fill="auto"/>
                  <w:noWrap w:val="0"/>
                  <w:vAlign w:val="center"/>
                </w:tcPr>
                <w:p w14:paraId="351F9303">
                  <w:pPr>
                    <w:widowControl/>
                    <w:snapToGrid w:val="0"/>
                    <w:spacing w:before="0" w:after="0" w:line="240" w:lineRule="auto"/>
                    <w:ind w:right="0" w:firstLine="0" w:firstLineChars="0"/>
                    <w:jc w:val="center"/>
                    <w:rPr>
                      <w:rFonts w:ascii="Times New Roman" w:hAnsi="Times New Roman" w:eastAsia="宋体" w:cs="Times New Roman"/>
                      <w:kern w:val="0"/>
                      <w:sz w:val="21"/>
                      <w:szCs w:val="21"/>
                      <w:lang w:val="en-US" w:eastAsia="zh-CN" w:bidi="ar-SA"/>
                    </w:rPr>
                  </w:pPr>
                  <w:r>
                    <w:rPr>
                      <w:rFonts w:ascii="Times New Roman" w:hAnsi="Times New Roman" w:eastAsia="宋体" w:cs="Times New Roman"/>
                      <w:kern w:val="0"/>
                      <w:sz w:val="21"/>
                      <w:szCs w:val="21"/>
                      <w:lang w:val="en-US" w:eastAsia="zh-CN" w:bidi="ar-SA"/>
                    </w:rPr>
                    <w:t>1.44</w:t>
                  </w:r>
                </w:p>
              </w:tc>
              <w:tc>
                <w:tcPr>
                  <w:tcW w:w="1577" w:type="dxa"/>
                  <w:shd w:val="clear" w:color="auto" w:fill="auto"/>
                  <w:noWrap w:val="0"/>
                  <w:vAlign w:val="center"/>
                </w:tcPr>
                <w:p w14:paraId="22C4AAAB">
                  <w:pPr>
                    <w:widowControl/>
                    <w:snapToGrid w:val="0"/>
                    <w:spacing w:before="0" w:after="0" w:line="240" w:lineRule="auto"/>
                    <w:ind w:right="0"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27.3</w:t>
                  </w:r>
                </w:p>
              </w:tc>
              <w:tc>
                <w:tcPr>
                  <w:tcW w:w="1577" w:type="dxa"/>
                  <w:shd w:val="clear" w:color="auto" w:fill="auto"/>
                  <w:noWrap w:val="0"/>
                  <w:vAlign w:val="center"/>
                </w:tcPr>
                <w:p w14:paraId="7333B098">
                  <w:pPr>
                    <w:widowControl/>
                    <w:snapToGrid w:val="0"/>
                    <w:spacing w:before="0" w:after="0" w:line="240" w:lineRule="auto"/>
                    <w:ind w:right="0"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w:t>
                  </w:r>
                </w:p>
              </w:tc>
              <w:tc>
                <w:tcPr>
                  <w:tcW w:w="1577" w:type="dxa"/>
                  <w:shd w:val="clear" w:color="auto" w:fill="auto"/>
                  <w:noWrap w:val="0"/>
                  <w:vAlign w:val="center"/>
                </w:tcPr>
                <w:p w14:paraId="78824F44">
                  <w:pPr>
                    <w:widowControl/>
                    <w:snapToGrid w:val="0"/>
                    <w:spacing w:before="0" w:after="0" w:line="240" w:lineRule="auto"/>
                    <w:ind w:right="0"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72.7</w:t>
                  </w:r>
                </w:p>
              </w:tc>
              <w:tc>
                <w:tcPr>
                  <w:tcW w:w="1400" w:type="dxa"/>
                  <w:shd w:val="clear" w:color="auto" w:fill="auto"/>
                  <w:noWrap w:val="0"/>
                  <w:vAlign w:val="center"/>
                </w:tcPr>
                <w:p w14:paraId="7A646039">
                  <w:pPr>
                    <w:widowControl/>
                    <w:snapToGrid w:val="0"/>
                    <w:spacing w:before="0" w:after="0" w:line="240" w:lineRule="auto"/>
                    <w:ind w:right="0" w:firstLine="0" w:firstLineChars="0"/>
                    <w:jc w:val="center"/>
                    <w:rPr>
                      <w:rFonts w:hint="default" w:ascii="Times New Roman" w:hAnsi="Times New Roman" w:eastAsia="宋体" w:cs="Times New Roman"/>
                      <w:kern w:val="0"/>
                      <w:sz w:val="21"/>
                      <w:szCs w:val="21"/>
                      <w:lang w:val="en-US" w:eastAsia="zh-CN" w:bidi="ar-SA"/>
                    </w:rPr>
                  </w:pPr>
                  <w:r>
                    <w:rPr>
                      <w:rFonts w:ascii="Times New Roman" w:hAnsi="Times New Roman" w:eastAsia="宋体" w:cs="Times New Roman"/>
                      <w:kern w:val="0"/>
                      <w:sz w:val="21"/>
                      <w:szCs w:val="21"/>
                      <w:lang w:val="en-US" w:eastAsia="zh-CN" w:bidi="ar-SA"/>
                    </w:rPr>
                    <w:t>3</w:t>
                  </w:r>
                  <w:r>
                    <w:rPr>
                      <w:rFonts w:hint="eastAsia" w:ascii="Times New Roman" w:hAnsi="Times New Roman" w:eastAsia="宋体" w:cs="Times New Roman"/>
                      <w:kern w:val="0"/>
                      <w:sz w:val="21"/>
                      <w:szCs w:val="21"/>
                      <w:lang w:val="en-US" w:eastAsia="zh-CN" w:bidi="ar-SA"/>
                    </w:rPr>
                    <w:t>93.12</w:t>
                  </w:r>
                </w:p>
              </w:tc>
            </w:tr>
            <w:tr w14:paraId="30F57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dxa"/>
                  <w:shd w:val="clear" w:color="auto" w:fill="auto"/>
                  <w:noWrap w:val="0"/>
                  <w:vAlign w:val="center"/>
                </w:tcPr>
                <w:p w14:paraId="44EF63EA">
                  <w:pPr>
                    <w:widowControl/>
                    <w:snapToGrid w:val="0"/>
                    <w:spacing w:before="0" w:after="0" w:line="240" w:lineRule="auto"/>
                    <w:ind w:right="0" w:firstLine="0" w:firstLineChars="0"/>
                    <w:jc w:val="center"/>
                    <w:rPr>
                      <w:rFonts w:ascii="Times New Roman" w:hAnsi="Times New Roman" w:eastAsia="宋体" w:cs="Times New Roman"/>
                      <w:kern w:val="0"/>
                      <w:sz w:val="21"/>
                      <w:szCs w:val="21"/>
                      <w:lang w:val="en-US" w:eastAsia="zh-CN" w:bidi="ar-SA"/>
                    </w:rPr>
                  </w:pPr>
                  <w:r>
                    <w:rPr>
                      <w:rFonts w:ascii="Times New Roman" w:hAnsi="Times New Roman" w:eastAsia="宋体" w:cs="Times New Roman"/>
                      <w:kern w:val="0"/>
                      <w:sz w:val="21"/>
                      <w:szCs w:val="21"/>
                      <w:lang w:val="en-US" w:eastAsia="zh-CN" w:bidi="ar-SA"/>
                    </w:rPr>
                    <w:t>2</w:t>
                  </w:r>
                </w:p>
              </w:tc>
              <w:tc>
                <w:tcPr>
                  <w:tcW w:w="1042" w:type="dxa"/>
                  <w:shd w:val="clear" w:color="auto" w:fill="auto"/>
                  <w:noWrap w:val="0"/>
                  <w:vAlign w:val="center"/>
                </w:tcPr>
                <w:p w14:paraId="7EC53E99">
                  <w:pPr>
                    <w:widowControl/>
                    <w:snapToGrid w:val="0"/>
                    <w:spacing w:before="0" w:after="0" w:line="240" w:lineRule="auto"/>
                    <w:ind w:right="0" w:firstLine="0" w:firstLineChars="0"/>
                    <w:jc w:val="center"/>
                    <w:rPr>
                      <w:rFonts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水性</w:t>
                  </w:r>
                  <w:r>
                    <w:rPr>
                      <w:rFonts w:ascii="Times New Roman" w:hAnsi="Times New Roman" w:eastAsia="宋体" w:cs="Times New Roman"/>
                      <w:kern w:val="0"/>
                      <w:sz w:val="21"/>
                      <w:szCs w:val="21"/>
                      <w:lang w:val="en-US" w:eastAsia="zh-CN" w:bidi="ar-SA"/>
                    </w:rPr>
                    <w:t>漆</w:t>
                  </w:r>
                </w:p>
              </w:tc>
              <w:tc>
                <w:tcPr>
                  <w:tcW w:w="889" w:type="dxa"/>
                  <w:shd w:val="clear" w:color="auto" w:fill="auto"/>
                  <w:noWrap w:val="0"/>
                  <w:vAlign w:val="center"/>
                </w:tcPr>
                <w:p w14:paraId="79AF36DB">
                  <w:pPr>
                    <w:widowControl/>
                    <w:snapToGrid w:val="0"/>
                    <w:spacing w:before="0" w:after="0" w:line="240" w:lineRule="auto"/>
                    <w:ind w:right="0" w:firstLine="0" w:firstLineChars="0"/>
                    <w:jc w:val="center"/>
                    <w:rPr>
                      <w:rFonts w:ascii="Times New Roman" w:hAnsi="Times New Roman" w:eastAsia="宋体" w:cs="Times New Roman"/>
                      <w:kern w:val="0"/>
                      <w:sz w:val="21"/>
                      <w:szCs w:val="21"/>
                      <w:lang w:val="en-US" w:eastAsia="zh-CN" w:bidi="ar-SA"/>
                    </w:rPr>
                  </w:pPr>
                  <w:r>
                    <w:rPr>
                      <w:rFonts w:ascii="Times New Roman" w:hAnsi="Times New Roman" w:eastAsia="宋体" w:cs="Times New Roman"/>
                      <w:kern w:val="0"/>
                      <w:sz w:val="21"/>
                      <w:szCs w:val="21"/>
                      <w:lang w:val="en-US" w:eastAsia="zh-CN" w:bidi="ar-SA"/>
                    </w:rPr>
                    <w:t>1.</w:t>
                  </w:r>
                  <w:r>
                    <w:rPr>
                      <w:rFonts w:hint="eastAsia" w:cs="Times New Roman"/>
                      <w:kern w:val="0"/>
                      <w:sz w:val="21"/>
                      <w:szCs w:val="21"/>
                      <w:lang w:val="en-US" w:eastAsia="zh-CN" w:bidi="ar-SA"/>
                    </w:rPr>
                    <w:t>1</w:t>
                  </w:r>
                </w:p>
              </w:tc>
              <w:tc>
                <w:tcPr>
                  <w:tcW w:w="1577" w:type="dxa"/>
                  <w:shd w:val="clear" w:color="auto" w:fill="auto"/>
                  <w:noWrap w:val="0"/>
                  <w:vAlign w:val="center"/>
                </w:tcPr>
                <w:p w14:paraId="5F5787E2">
                  <w:pPr>
                    <w:widowControl/>
                    <w:snapToGrid w:val="0"/>
                    <w:spacing w:before="0" w:after="0" w:line="240" w:lineRule="auto"/>
                    <w:ind w:right="0" w:firstLine="0" w:firstLineChars="0"/>
                    <w:jc w:val="center"/>
                    <w:rPr>
                      <w:rFonts w:hint="default"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bidi="ar-SA"/>
                    </w:rPr>
                    <w:t>9</w:t>
                  </w:r>
                </w:p>
              </w:tc>
              <w:tc>
                <w:tcPr>
                  <w:tcW w:w="1577" w:type="dxa"/>
                  <w:shd w:val="clear" w:color="auto" w:fill="auto"/>
                  <w:noWrap w:val="0"/>
                  <w:vAlign w:val="center"/>
                </w:tcPr>
                <w:p w14:paraId="1F302267">
                  <w:pPr>
                    <w:widowControl/>
                    <w:snapToGrid w:val="0"/>
                    <w:spacing w:before="0" w:after="0" w:line="240" w:lineRule="auto"/>
                    <w:ind w:right="0" w:firstLine="0" w:firstLineChars="0"/>
                    <w:jc w:val="center"/>
                    <w:rPr>
                      <w:rFonts w:hint="default"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bidi="ar-SA"/>
                    </w:rPr>
                    <w:t>42</w:t>
                  </w:r>
                </w:p>
              </w:tc>
              <w:tc>
                <w:tcPr>
                  <w:tcW w:w="1577" w:type="dxa"/>
                  <w:shd w:val="clear" w:color="auto" w:fill="auto"/>
                  <w:noWrap w:val="0"/>
                  <w:vAlign w:val="center"/>
                </w:tcPr>
                <w:p w14:paraId="0E8A47E3">
                  <w:pPr>
                    <w:widowControl/>
                    <w:snapToGrid w:val="0"/>
                    <w:spacing w:before="0" w:after="0" w:line="240" w:lineRule="auto"/>
                    <w:ind w:right="0"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4</w:t>
                  </w:r>
                  <w:r>
                    <w:rPr>
                      <w:rFonts w:hint="eastAsia" w:cs="Times New Roman"/>
                      <w:kern w:val="0"/>
                      <w:sz w:val="21"/>
                      <w:szCs w:val="21"/>
                      <w:lang w:val="en-US" w:eastAsia="zh-CN" w:bidi="ar-SA"/>
                    </w:rPr>
                    <w:t>9</w:t>
                  </w:r>
                </w:p>
              </w:tc>
              <w:tc>
                <w:tcPr>
                  <w:tcW w:w="1400" w:type="dxa"/>
                  <w:shd w:val="clear" w:color="auto" w:fill="auto"/>
                  <w:noWrap w:val="0"/>
                  <w:vAlign w:val="center"/>
                </w:tcPr>
                <w:p w14:paraId="52F39573">
                  <w:pPr>
                    <w:widowControl/>
                    <w:snapToGrid w:val="0"/>
                    <w:spacing w:before="0" w:after="0" w:line="240" w:lineRule="auto"/>
                    <w:ind w:right="0"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98</w:t>
                  </w:r>
                </w:p>
              </w:tc>
            </w:tr>
          </w:tbl>
          <w:p w14:paraId="2369D88B">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根据《涂装工艺与设备手册》中涂料消耗量计算公式</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本项目喷涂油漆用量按照下式计算</w:t>
            </w:r>
            <w:r>
              <w:rPr>
                <w:rFonts w:ascii="Times New Roman" w:hAnsi="Times New Roman" w:eastAsia="宋体" w:cs="Times New Roman"/>
                <w:sz w:val="24"/>
                <w:szCs w:val="24"/>
              </w:rPr>
              <w:t>：</w:t>
            </w:r>
          </w:p>
          <w:p w14:paraId="2BAFB0DC">
            <w:pPr>
              <w:spacing w:line="360" w:lineRule="auto"/>
              <w:jc w:val="center"/>
              <w:rPr>
                <w:rFonts w:ascii="Times New Roman" w:hAnsi="Times New Roman" w:eastAsia="宋体" w:cs="Times New Roman"/>
                <w:sz w:val="24"/>
                <w:szCs w:val="24"/>
              </w:rPr>
            </w:pPr>
            <w:r>
              <w:rPr>
                <w:rFonts w:ascii="Times New Roman" w:hAnsi="Times New Roman" w:eastAsia="宋体" w:cs="Times New Roman"/>
                <w:position w:val="-10"/>
                <w:sz w:val="24"/>
                <w:szCs w:val="24"/>
              </w:rPr>
              <w:object>
                <v:shape id="_x0000_i1025" o:spt="75" type="#_x0000_t75" style="height:18pt;width:126pt;" o:ole="t" filled="f" o:preferrelative="t" stroked="f" coordsize="21600,21600">
                  <v:path/>
                  <v:fill on="f" focussize="0,0"/>
                  <v:stroke on="f"/>
                  <v:imagedata r:id="rId12" o:title=""/>
                  <o:lock v:ext="edit" aspectratio="t"/>
                  <w10:wrap type="none"/>
                  <w10:anchorlock/>
                </v:shape>
                <o:OLEObject Type="Embed" ProgID="Equation.KSEE3" ShapeID="_x0000_i1025" DrawAspect="Content" ObjectID="_1468075725" r:id="rId11">
                  <o:LockedField>false</o:LockedField>
                </o:OLEObject>
              </w:object>
            </w:r>
          </w:p>
          <w:p w14:paraId="68B6579E">
            <w:pPr>
              <w:keepNext w:val="0"/>
              <w:keepLines w:val="0"/>
              <w:pageBreakBefore w:val="0"/>
              <w:widowControl w:val="0"/>
              <w:kinsoku/>
              <w:wordWrap/>
              <w:overflowPunct/>
              <w:topLinePunct w:val="0"/>
              <w:autoSpaceDE/>
              <w:autoSpaceDN/>
              <w:bidi w:val="0"/>
              <w:spacing w:line="360" w:lineRule="auto"/>
              <w:ind w:left="840" w:leftChars="400" w:firstLine="0" w:firstLineChars="0"/>
              <w:jc w:val="both"/>
              <w:textAlignment w:val="auto"/>
              <w:rPr>
                <w:rFonts w:ascii="Times New Roman" w:hAnsi="Times New Roman" w:eastAsia="宋体" w:cs="Times New Roman"/>
                <w:sz w:val="24"/>
                <w:szCs w:val="24"/>
              </w:rPr>
            </w:pPr>
            <w:r>
              <w:rPr>
                <w:rFonts w:ascii="Times New Roman" w:hAnsi="Times New Roman" w:eastAsia="宋体" w:cs="Times New Roman"/>
                <w:sz w:val="24"/>
                <w:szCs w:val="24"/>
              </w:rPr>
              <w:t>其中：m—油漆某组分用量，t/a；</w:t>
            </w:r>
          </w:p>
          <w:p w14:paraId="62A8789D">
            <w:pPr>
              <w:keepNext w:val="0"/>
              <w:keepLines w:val="0"/>
              <w:pageBreakBefore w:val="0"/>
              <w:widowControl w:val="0"/>
              <w:kinsoku/>
              <w:wordWrap/>
              <w:overflowPunct/>
              <w:topLinePunct w:val="0"/>
              <w:autoSpaceDE/>
              <w:autoSpaceDN/>
              <w:bidi w:val="0"/>
              <w:spacing w:line="360" w:lineRule="auto"/>
              <w:ind w:left="840" w:leftChars="400" w:firstLine="0" w:firstLineChars="0"/>
              <w:jc w:val="both"/>
              <w:textAlignment w:val="auto"/>
              <w:rPr>
                <w:rFonts w:ascii="Times New Roman" w:hAnsi="Times New Roman" w:eastAsia="宋体" w:cs="Times New Roman"/>
                <w:sz w:val="24"/>
                <w:szCs w:val="24"/>
              </w:rPr>
            </w:pPr>
            <w:r>
              <w:rPr>
                <w:rFonts w:ascii="Times New Roman" w:hAnsi="Times New Roman" w:eastAsia="宋体" w:cs="Times New Roman"/>
                <w:sz w:val="24"/>
                <w:szCs w:val="24"/>
              </w:rPr>
              <w:t>ρ—油漆密度，g/cm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w:t>
            </w:r>
          </w:p>
          <w:p w14:paraId="553F5A77">
            <w:pPr>
              <w:keepNext w:val="0"/>
              <w:keepLines w:val="0"/>
              <w:pageBreakBefore w:val="0"/>
              <w:widowControl w:val="0"/>
              <w:kinsoku/>
              <w:wordWrap/>
              <w:overflowPunct/>
              <w:topLinePunct w:val="0"/>
              <w:autoSpaceDE/>
              <w:autoSpaceDN/>
              <w:bidi w:val="0"/>
              <w:spacing w:line="360" w:lineRule="auto"/>
              <w:ind w:left="840" w:leftChars="400" w:firstLine="0" w:firstLineChars="0"/>
              <w:jc w:val="both"/>
              <w:textAlignment w:val="auto"/>
              <w:rPr>
                <w:rFonts w:ascii="Times New Roman" w:hAnsi="Times New Roman" w:eastAsia="宋体" w:cs="Times New Roman"/>
                <w:sz w:val="24"/>
                <w:szCs w:val="24"/>
              </w:rPr>
            </w:pPr>
            <w:r>
              <w:rPr>
                <w:rFonts w:ascii="Times New Roman" w:hAnsi="Times New Roman" w:eastAsia="宋体" w:cs="Times New Roman"/>
                <w:sz w:val="24"/>
                <w:szCs w:val="24"/>
              </w:rPr>
              <w:t>δ—涂层厚度，μm；</w:t>
            </w:r>
          </w:p>
          <w:p w14:paraId="737D3857">
            <w:pPr>
              <w:keepNext w:val="0"/>
              <w:keepLines w:val="0"/>
              <w:pageBreakBefore w:val="0"/>
              <w:widowControl w:val="0"/>
              <w:kinsoku/>
              <w:wordWrap/>
              <w:overflowPunct/>
              <w:topLinePunct w:val="0"/>
              <w:autoSpaceDE/>
              <w:autoSpaceDN/>
              <w:bidi w:val="0"/>
              <w:spacing w:line="360" w:lineRule="auto"/>
              <w:ind w:left="840" w:leftChars="400" w:firstLine="0" w:firstLineChars="0"/>
              <w:jc w:val="both"/>
              <w:textAlignment w:val="auto"/>
              <w:rPr>
                <w:rFonts w:ascii="Times New Roman" w:hAnsi="Times New Roman" w:eastAsia="宋体" w:cs="Times New Roman"/>
                <w:sz w:val="24"/>
                <w:szCs w:val="24"/>
              </w:rPr>
            </w:pPr>
            <w:r>
              <w:rPr>
                <w:rFonts w:ascii="Times New Roman" w:hAnsi="Times New Roman" w:eastAsia="宋体" w:cs="Times New Roman"/>
                <w:sz w:val="24"/>
                <w:szCs w:val="24"/>
              </w:rPr>
              <w:t>S—涂装面积，m</w:t>
            </w:r>
            <w:r>
              <w:rPr>
                <w:rFonts w:ascii="Times New Roman" w:hAnsi="Times New Roman" w:eastAsia="宋体" w:cs="Times New Roman"/>
                <w:sz w:val="24"/>
                <w:szCs w:val="24"/>
                <w:vertAlign w:val="superscript"/>
              </w:rPr>
              <w:t>2</w:t>
            </w:r>
            <w:r>
              <w:rPr>
                <w:rFonts w:ascii="Times New Roman" w:hAnsi="Times New Roman" w:eastAsia="宋体" w:cs="Times New Roman"/>
                <w:sz w:val="24"/>
                <w:szCs w:val="24"/>
              </w:rPr>
              <w:t>；</w:t>
            </w:r>
          </w:p>
          <w:p w14:paraId="1EFDCAC5">
            <w:pPr>
              <w:keepNext w:val="0"/>
              <w:keepLines w:val="0"/>
              <w:pageBreakBefore w:val="0"/>
              <w:widowControl w:val="0"/>
              <w:kinsoku/>
              <w:wordWrap/>
              <w:overflowPunct/>
              <w:topLinePunct w:val="0"/>
              <w:autoSpaceDE/>
              <w:autoSpaceDN/>
              <w:bidi w:val="0"/>
              <w:spacing w:line="360" w:lineRule="auto"/>
              <w:ind w:left="840" w:leftChars="400" w:firstLine="0" w:firstLineChars="0"/>
              <w:jc w:val="both"/>
              <w:textAlignment w:val="auto"/>
              <w:rPr>
                <w:rFonts w:ascii="Times New Roman" w:hAnsi="Times New Roman" w:eastAsia="宋体" w:cs="Times New Roman"/>
                <w:sz w:val="24"/>
                <w:szCs w:val="24"/>
              </w:rPr>
            </w:pPr>
            <w:r>
              <w:rPr>
                <w:rFonts w:ascii="Times New Roman" w:hAnsi="Times New Roman" w:eastAsia="宋体" w:cs="Times New Roman"/>
                <w:sz w:val="24"/>
                <w:szCs w:val="24"/>
              </w:rPr>
              <w:t>η—该油漆组分所占油漆比例；</w:t>
            </w:r>
          </w:p>
          <w:p w14:paraId="303A2F44">
            <w:pPr>
              <w:keepNext w:val="0"/>
              <w:keepLines w:val="0"/>
              <w:pageBreakBefore w:val="0"/>
              <w:widowControl w:val="0"/>
              <w:kinsoku/>
              <w:wordWrap/>
              <w:overflowPunct/>
              <w:topLinePunct w:val="0"/>
              <w:autoSpaceDE/>
              <w:autoSpaceDN/>
              <w:bidi w:val="0"/>
              <w:spacing w:line="360" w:lineRule="auto"/>
              <w:ind w:left="840" w:leftChars="400" w:firstLine="0" w:firstLineChars="0"/>
              <w:jc w:val="both"/>
              <w:textAlignment w:val="auto"/>
              <w:rPr>
                <w:rFonts w:ascii="Times New Roman" w:hAnsi="Times New Roman" w:eastAsia="宋体" w:cs="Times New Roman"/>
                <w:sz w:val="24"/>
                <w:szCs w:val="24"/>
              </w:rPr>
            </w:pPr>
            <w:r>
              <w:rPr>
                <w:rFonts w:ascii="Times New Roman" w:hAnsi="Times New Roman" w:eastAsia="宋体" w:cs="Times New Roman"/>
                <w:sz w:val="24"/>
                <w:szCs w:val="24"/>
              </w:rPr>
              <w:t>NV—油漆中固体分含量，%；</w:t>
            </w:r>
          </w:p>
          <w:p w14:paraId="74AD51B0">
            <w:pPr>
              <w:keepNext w:val="0"/>
              <w:keepLines w:val="0"/>
              <w:pageBreakBefore w:val="0"/>
              <w:widowControl w:val="0"/>
              <w:tabs>
                <w:tab w:val="left" w:pos="5069"/>
              </w:tabs>
              <w:kinsoku/>
              <w:wordWrap/>
              <w:overflowPunct/>
              <w:topLinePunct w:val="0"/>
              <w:autoSpaceDE/>
              <w:autoSpaceDN/>
              <w:bidi w:val="0"/>
              <w:adjustRightInd w:val="0"/>
              <w:snapToGrid w:val="0"/>
              <w:spacing w:line="360" w:lineRule="auto"/>
              <w:ind w:left="840" w:leftChars="400" w:firstLine="0" w:firstLineChars="0"/>
              <w:jc w:val="both"/>
              <w:textAlignment w:val="auto"/>
              <w:rPr>
                <w:rFonts w:ascii="Times New Roman" w:hAnsi="Times New Roman" w:eastAsia="宋体" w:cs="Times New Roman"/>
                <w:sz w:val="24"/>
                <w:szCs w:val="24"/>
              </w:rPr>
            </w:pPr>
            <w:r>
              <w:rPr>
                <w:rFonts w:ascii="Times New Roman" w:hAnsi="Times New Roman" w:eastAsia="宋体" w:cs="Times New Roman"/>
                <w:sz w:val="24"/>
                <w:szCs w:val="24"/>
              </w:rPr>
              <w:t>ε—上漆率。</w:t>
            </w:r>
          </w:p>
          <w:p w14:paraId="765D7C7E">
            <w:pPr>
              <w:widowControl/>
              <w:numPr>
                <w:ilvl w:val="0"/>
                <w:numId w:val="2"/>
              </w:numPr>
              <w:ind w:left="420" w:hanging="420"/>
              <w:jc w:val="center"/>
              <w:rPr>
                <w:rFonts w:ascii="Times New Roman" w:hAnsi="Times New Roman" w:eastAsia="宋体" w:cs="Times New Roman"/>
                <w:b/>
                <w:kern w:val="0"/>
                <w:szCs w:val="21"/>
              </w:rPr>
            </w:pPr>
            <w:r>
              <w:rPr>
                <w:rFonts w:ascii="Times New Roman" w:hAnsi="Times New Roman" w:eastAsia="宋体" w:cs="Times New Roman"/>
                <w:b/>
                <w:kern w:val="0"/>
                <w:szCs w:val="21"/>
              </w:rPr>
              <w:t>项目</w:t>
            </w:r>
            <w:r>
              <w:rPr>
                <w:rFonts w:hint="eastAsia" w:ascii="Times New Roman" w:hAnsi="Times New Roman" w:eastAsia="宋体" w:cs="Times New Roman"/>
                <w:b/>
                <w:kern w:val="0"/>
                <w:szCs w:val="21"/>
                <w:lang w:val="en-US" w:eastAsia="zh-CN"/>
              </w:rPr>
              <w:t>漆料用量核算</w:t>
            </w:r>
            <w:r>
              <w:rPr>
                <w:rFonts w:ascii="Times New Roman" w:hAnsi="Times New Roman" w:eastAsia="宋体" w:cs="Times New Roman"/>
                <w:b/>
                <w:kern w:val="0"/>
                <w:szCs w:val="21"/>
              </w:rPr>
              <w:t>参数汇总一览表</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84"/>
              <w:gridCol w:w="722"/>
              <w:gridCol w:w="952"/>
              <w:gridCol w:w="806"/>
              <w:gridCol w:w="997"/>
              <w:gridCol w:w="1052"/>
              <w:gridCol w:w="702"/>
              <w:gridCol w:w="822"/>
            </w:tblGrid>
            <w:tr w14:paraId="40896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noWrap w:val="0"/>
                  <w:vAlign w:val="center"/>
                </w:tcPr>
                <w:p w14:paraId="5BB2295A">
                  <w:pPr>
                    <w:keepNext w:val="0"/>
                    <w:keepLines w:val="0"/>
                    <w:pageBreakBefore w:val="0"/>
                    <w:widowControl/>
                    <w:suppressLineNumbers w:val="0"/>
                    <w:kinsoku/>
                    <w:wordWrap/>
                    <w:overflowPunct/>
                    <w:topLinePunct w:val="0"/>
                    <w:autoSpaceDE/>
                    <w:autoSpaceDN/>
                    <w:bidi w:val="0"/>
                    <w:adjustRightInd/>
                    <w:ind w:right="0"/>
                    <w:jc w:val="center"/>
                    <w:textAlignment w:val="center"/>
                    <w:rPr>
                      <w:rFonts w:ascii="Times New Roman" w:hAnsi="Times New Roman" w:eastAsia="宋体" w:cs="Times New Roman"/>
                      <w:b/>
                      <w:bCs/>
                      <w:sz w:val="21"/>
                      <w:szCs w:val="21"/>
                    </w:rPr>
                  </w:pPr>
                  <w:r>
                    <w:rPr>
                      <w:rFonts w:hint="eastAsia" w:ascii="宋体" w:hAnsi="宋体" w:eastAsia="宋体" w:cs="宋体"/>
                      <w:b/>
                      <w:bCs/>
                      <w:i w:val="0"/>
                      <w:iCs w:val="0"/>
                      <w:color w:val="000000"/>
                      <w:kern w:val="0"/>
                      <w:sz w:val="21"/>
                      <w:szCs w:val="21"/>
                      <w:u w:val="none"/>
                      <w:lang w:val="en-US" w:eastAsia="zh-CN" w:bidi="ar"/>
                    </w:rPr>
                    <w:t>喷涂部件</w:t>
                  </w:r>
                </w:p>
              </w:tc>
              <w:tc>
                <w:tcPr>
                  <w:tcW w:w="0" w:type="auto"/>
                  <w:shd w:val="clear" w:color="auto" w:fill="auto"/>
                  <w:noWrap w:val="0"/>
                  <w:vAlign w:val="center"/>
                </w:tcPr>
                <w:p w14:paraId="6807022D">
                  <w:pPr>
                    <w:keepNext w:val="0"/>
                    <w:keepLines w:val="0"/>
                    <w:pageBreakBefore w:val="0"/>
                    <w:widowControl/>
                    <w:suppressLineNumbers w:val="0"/>
                    <w:kinsoku/>
                    <w:wordWrap/>
                    <w:overflowPunct/>
                    <w:topLinePunct w:val="0"/>
                    <w:autoSpaceDE/>
                    <w:autoSpaceDN/>
                    <w:bidi w:val="0"/>
                    <w:adjustRightInd/>
                    <w:ind w:right="0"/>
                    <w:jc w:val="center"/>
                    <w:textAlignment w:val="center"/>
                    <w:rPr>
                      <w:rFonts w:ascii="Times New Roman" w:hAnsi="Times New Roman" w:eastAsia="宋体" w:cs="Times New Roman"/>
                      <w:b/>
                      <w:bCs/>
                      <w:sz w:val="21"/>
                      <w:szCs w:val="21"/>
                    </w:rPr>
                  </w:pPr>
                  <w:r>
                    <w:rPr>
                      <w:rFonts w:hint="eastAsia" w:ascii="宋体" w:hAnsi="宋体" w:eastAsia="宋体" w:cs="宋体"/>
                      <w:b/>
                      <w:bCs/>
                      <w:i w:val="0"/>
                      <w:iCs w:val="0"/>
                      <w:color w:val="000000"/>
                      <w:kern w:val="0"/>
                      <w:sz w:val="21"/>
                      <w:szCs w:val="21"/>
                      <w:u w:val="none"/>
                      <w:lang w:val="en-US" w:eastAsia="zh-CN" w:bidi="ar"/>
                    </w:rPr>
                    <w:t>漆料</w:t>
                  </w:r>
                </w:p>
              </w:tc>
              <w:tc>
                <w:tcPr>
                  <w:tcW w:w="0" w:type="auto"/>
                  <w:shd w:val="clear" w:color="auto" w:fill="auto"/>
                  <w:noWrap w:val="0"/>
                  <w:vAlign w:val="center"/>
                </w:tcPr>
                <w:p w14:paraId="100BFCBD">
                  <w:pPr>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rPr>
                      <w:rFonts w:ascii="Times New Roman" w:hAnsi="Times New Roman" w:eastAsia="宋体" w:cs="Times New Roman"/>
                      <w:b/>
                      <w:bCs/>
                      <w:kern w:val="0"/>
                      <w:sz w:val="21"/>
                      <w:szCs w:val="21"/>
                      <w:lang w:val="en-US" w:eastAsia="zh-CN" w:bidi="ar-SA"/>
                    </w:rPr>
                  </w:pPr>
                  <w:r>
                    <w:rPr>
                      <w:rFonts w:ascii="Times New Roman" w:hAnsi="Times New Roman" w:eastAsia="宋体" w:cs="Times New Roman"/>
                      <w:b/>
                      <w:bCs/>
                      <w:kern w:val="0"/>
                      <w:sz w:val="21"/>
                      <w:szCs w:val="21"/>
                      <w:lang w:val="en-US" w:eastAsia="zh-CN" w:bidi="ar-SA"/>
                    </w:rPr>
                    <w:t>漆密度/g/cm</w:t>
                  </w:r>
                  <w:r>
                    <w:rPr>
                      <w:rFonts w:ascii="Times New Roman" w:hAnsi="Times New Roman" w:eastAsia="宋体" w:cs="Times New Roman"/>
                      <w:b/>
                      <w:bCs/>
                      <w:kern w:val="0"/>
                      <w:sz w:val="21"/>
                      <w:szCs w:val="21"/>
                      <w:vertAlign w:val="superscript"/>
                      <w:lang w:val="en-US" w:eastAsia="zh-CN" w:bidi="ar-SA"/>
                    </w:rPr>
                    <w:t>3</w:t>
                  </w:r>
                </w:p>
              </w:tc>
              <w:tc>
                <w:tcPr>
                  <w:tcW w:w="0" w:type="auto"/>
                  <w:shd w:val="clear" w:color="auto" w:fill="auto"/>
                  <w:noWrap w:val="0"/>
                  <w:vAlign w:val="center"/>
                </w:tcPr>
                <w:p w14:paraId="036438B5">
                  <w:pPr>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rPr>
                      <w:rFonts w:ascii="Times New Roman" w:hAnsi="Times New Roman" w:eastAsia="宋体" w:cs="Times New Roman"/>
                      <w:b/>
                      <w:bCs/>
                      <w:kern w:val="0"/>
                      <w:sz w:val="21"/>
                      <w:szCs w:val="21"/>
                      <w:lang w:val="en-US" w:eastAsia="zh-CN" w:bidi="ar-SA"/>
                    </w:rPr>
                  </w:pPr>
                  <w:r>
                    <w:rPr>
                      <w:rFonts w:ascii="Times New Roman" w:hAnsi="Times New Roman" w:eastAsia="宋体" w:cs="Times New Roman"/>
                      <w:b/>
                      <w:bCs/>
                      <w:kern w:val="0"/>
                      <w:sz w:val="21"/>
                      <w:szCs w:val="21"/>
                      <w:lang w:val="en-US" w:eastAsia="zh-CN" w:bidi="ar-SA"/>
                    </w:rPr>
                    <w:t>涂层厚度/μm</w:t>
                  </w:r>
                </w:p>
              </w:tc>
              <w:tc>
                <w:tcPr>
                  <w:tcW w:w="0" w:type="auto"/>
                  <w:shd w:val="clear" w:color="auto" w:fill="auto"/>
                  <w:noWrap w:val="0"/>
                  <w:vAlign w:val="center"/>
                </w:tcPr>
                <w:p w14:paraId="5187131A">
                  <w:pPr>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rPr>
                      <w:rFonts w:ascii="Times New Roman" w:hAnsi="Times New Roman" w:eastAsia="宋体" w:cs="Times New Roman"/>
                      <w:b/>
                      <w:bCs/>
                      <w:kern w:val="0"/>
                      <w:sz w:val="21"/>
                      <w:szCs w:val="21"/>
                      <w:lang w:val="en-US" w:eastAsia="zh-CN" w:bidi="ar-SA"/>
                    </w:rPr>
                  </w:pPr>
                  <w:r>
                    <w:rPr>
                      <w:rFonts w:ascii="Times New Roman" w:hAnsi="Times New Roman" w:eastAsia="宋体" w:cs="Times New Roman"/>
                      <w:b/>
                      <w:bCs/>
                      <w:kern w:val="0"/>
                      <w:sz w:val="21"/>
                      <w:szCs w:val="21"/>
                      <w:lang w:val="en-US" w:eastAsia="zh-CN" w:bidi="ar-SA"/>
                    </w:rPr>
                    <w:t>涂装面积/m</w:t>
                  </w:r>
                  <w:r>
                    <w:rPr>
                      <w:rFonts w:ascii="Times New Roman" w:hAnsi="Times New Roman" w:eastAsia="宋体" w:cs="Times New Roman"/>
                      <w:b/>
                      <w:bCs/>
                      <w:kern w:val="0"/>
                      <w:sz w:val="21"/>
                      <w:szCs w:val="21"/>
                      <w:vertAlign w:val="superscript"/>
                      <w:lang w:val="en-US" w:eastAsia="zh-CN" w:bidi="ar-SA"/>
                    </w:rPr>
                    <w:t>2</w:t>
                  </w:r>
                </w:p>
              </w:tc>
              <w:tc>
                <w:tcPr>
                  <w:tcW w:w="0" w:type="auto"/>
                  <w:shd w:val="clear" w:color="auto" w:fill="auto"/>
                  <w:noWrap w:val="0"/>
                  <w:vAlign w:val="center"/>
                </w:tcPr>
                <w:p w14:paraId="701A9038">
                  <w:pPr>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rPr>
                      <w:rFonts w:ascii="Times New Roman" w:hAnsi="Times New Roman" w:eastAsia="宋体" w:cs="Times New Roman"/>
                      <w:b/>
                      <w:bCs/>
                      <w:kern w:val="0"/>
                      <w:sz w:val="21"/>
                      <w:szCs w:val="21"/>
                      <w:lang w:val="en-US" w:eastAsia="zh-CN" w:bidi="ar-SA"/>
                    </w:rPr>
                  </w:pPr>
                  <w:r>
                    <w:rPr>
                      <w:rFonts w:ascii="Times New Roman" w:hAnsi="Times New Roman" w:eastAsia="宋体" w:cs="Times New Roman"/>
                      <w:b/>
                      <w:bCs/>
                      <w:kern w:val="0"/>
                      <w:sz w:val="21"/>
                      <w:szCs w:val="21"/>
                      <w:lang w:val="en-US" w:eastAsia="zh-CN" w:bidi="ar-SA"/>
                    </w:rPr>
                    <w:t>固体份含量占比/%</w:t>
                  </w:r>
                </w:p>
              </w:tc>
              <w:tc>
                <w:tcPr>
                  <w:tcW w:w="0" w:type="auto"/>
                  <w:shd w:val="clear" w:color="auto" w:fill="auto"/>
                  <w:noWrap w:val="0"/>
                  <w:vAlign w:val="center"/>
                </w:tcPr>
                <w:p w14:paraId="467DF10E">
                  <w:pPr>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rPr>
                      <w:rFonts w:ascii="Times New Roman" w:hAnsi="Times New Roman" w:eastAsia="宋体" w:cs="Times New Roman"/>
                      <w:b/>
                      <w:bCs/>
                      <w:kern w:val="0"/>
                      <w:sz w:val="21"/>
                      <w:szCs w:val="21"/>
                      <w:lang w:val="en-US" w:eastAsia="zh-CN" w:bidi="ar-SA"/>
                    </w:rPr>
                  </w:pPr>
                  <w:r>
                    <w:rPr>
                      <w:rFonts w:hint="eastAsia" w:ascii="Times New Roman" w:hAnsi="Times New Roman" w:eastAsia="宋体" w:cs="Times New Roman"/>
                      <w:b/>
                      <w:bCs/>
                      <w:kern w:val="0"/>
                      <w:sz w:val="21"/>
                      <w:szCs w:val="21"/>
                      <w:lang w:val="en-US" w:eastAsia="zh-CN" w:bidi="ar-SA"/>
                    </w:rPr>
                    <w:t>上漆率/</w:t>
                  </w:r>
                  <w:r>
                    <w:rPr>
                      <w:rFonts w:ascii="Times New Roman" w:hAnsi="Times New Roman" w:eastAsia="宋体" w:cs="Times New Roman"/>
                      <w:b/>
                      <w:bCs/>
                      <w:kern w:val="0"/>
                      <w:sz w:val="21"/>
                      <w:szCs w:val="21"/>
                      <w:lang w:val="en-US" w:eastAsia="zh-CN" w:bidi="ar-SA"/>
                    </w:rPr>
                    <w:t>%</w:t>
                  </w:r>
                </w:p>
              </w:tc>
              <w:tc>
                <w:tcPr>
                  <w:tcW w:w="0" w:type="auto"/>
                  <w:shd w:val="clear" w:color="auto" w:fill="auto"/>
                  <w:noWrap w:val="0"/>
                  <w:vAlign w:val="center"/>
                </w:tcPr>
                <w:p w14:paraId="69260589">
                  <w:pPr>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rPr>
                      <w:rFonts w:ascii="Times New Roman" w:hAnsi="Times New Roman" w:eastAsia="宋体" w:cs="Times New Roman"/>
                      <w:b/>
                      <w:bCs/>
                      <w:kern w:val="0"/>
                      <w:sz w:val="21"/>
                      <w:szCs w:val="21"/>
                      <w:lang w:val="en-US" w:eastAsia="zh-CN" w:bidi="ar-SA"/>
                    </w:rPr>
                  </w:pPr>
                  <w:r>
                    <w:rPr>
                      <w:rFonts w:hint="eastAsia" w:ascii="Times New Roman" w:hAnsi="Times New Roman" w:eastAsia="宋体" w:cs="Times New Roman"/>
                      <w:b/>
                      <w:bCs/>
                      <w:kern w:val="0"/>
                      <w:sz w:val="21"/>
                      <w:szCs w:val="21"/>
                      <w:lang w:val="en-US" w:eastAsia="zh-CN" w:bidi="ar-SA"/>
                    </w:rPr>
                    <w:t>漆用量/t/a</w:t>
                  </w:r>
                </w:p>
              </w:tc>
            </w:tr>
            <w:tr w14:paraId="6F5F2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noWrap w:val="0"/>
                  <w:vAlign w:val="center"/>
                </w:tcPr>
                <w:p w14:paraId="52780E90">
                  <w:pPr>
                    <w:keepNext w:val="0"/>
                    <w:keepLines w:val="0"/>
                    <w:widowControl/>
                    <w:suppressLineNumbers w:val="0"/>
                    <w:jc w:val="center"/>
                    <w:textAlignment w:val="center"/>
                    <w:rPr>
                      <w:rFonts w:ascii="Times New Roman" w:hAnsi="Times New Roman" w:eastAsia="宋体" w:cs="Times New Roman"/>
                      <w:sz w:val="21"/>
                      <w:szCs w:val="21"/>
                    </w:rPr>
                  </w:pPr>
                  <w:r>
                    <w:rPr>
                      <w:rFonts w:hint="default" w:ascii="Times New Roman" w:hAnsi="Times New Roman" w:eastAsia="宋体" w:cs="Times New Roman"/>
                      <w:color w:val="auto"/>
                      <w:sz w:val="21"/>
                      <w:szCs w:val="21"/>
                      <w:lang w:val="en-US" w:eastAsia="zh-CN"/>
                    </w:rPr>
                    <w:t>虾米曲线防堵清堵一体化煤斗设备</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仓外仓多路分仓设备</w:t>
                  </w:r>
                  <w:r>
                    <w:rPr>
                      <w:rFonts w:hint="eastAsia" w:ascii="Times New Roman" w:hAnsi="Times New Roman" w:eastAsia="宋体" w:cs="Times New Roman"/>
                      <w:color w:val="auto"/>
                      <w:sz w:val="21"/>
                      <w:szCs w:val="21"/>
                      <w:lang w:val="en-US" w:eastAsia="zh-CN"/>
                    </w:rPr>
                    <w:t>和落煤管的部分零部件</w:t>
                  </w:r>
                </w:p>
              </w:tc>
              <w:tc>
                <w:tcPr>
                  <w:tcW w:w="0" w:type="auto"/>
                  <w:shd w:val="clear" w:color="auto" w:fill="auto"/>
                  <w:noWrap w:val="0"/>
                  <w:vAlign w:val="center"/>
                </w:tcPr>
                <w:p w14:paraId="0BC2A616">
                  <w:pPr>
                    <w:keepNext w:val="0"/>
                    <w:keepLines w:val="0"/>
                    <w:widowControl/>
                    <w:suppressLineNumbers w:val="0"/>
                    <w:jc w:val="center"/>
                    <w:textAlignment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kern w:val="0"/>
                      <w:sz w:val="21"/>
                      <w:szCs w:val="21"/>
                      <w:lang w:eastAsia="zh-CN" w:bidi="ar"/>
                    </w:rPr>
                    <w:t>油漆</w:t>
                  </w:r>
                </w:p>
              </w:tc>
              <w:tc>
                <w:tcPr>
                  <w:tcW w:w="0" w:type="auto"/>
                  <w:shd w:val="clear" w:color="auto" w:fill="auto"/>
                  <w:noWrap w:val="0"/>
                  <w:vAlign w:val="center"/>
                </w:tcPr>
                <w:p w14:paraId="56D56AE1">
                  <w:pPr>
                    <w:widowControl/>
                    <w:snapToGrid w:val="0"/>
                    <w:spacing w:before="0" w:after="0" w:line="240" w:lineRule="auto"/>
                    <w:ind w:right="113"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w:t>
                  </w:r>
                  <w:r>
                    <w:rPr>
                      <w:rFonts w:hint="eastAsia" w:cs="Times New Roman"/>
                      <w:kern w:val="0"/>
                      <w:sz w:val="21"/>
                      <w:szCs w:val="21"/>
                      <w:lang w:val="en-US" w:eastAsia="zh-CN" w:bidi="ar-SA"/>
                    </w:rPr>
                    <w:t>44</w:t>
                  </w:r>
                </w:p>
              </w:tc>
              <w:tc>
                <w:tcPr>
                  <w:tcW w:w="0" w:type="auto"/>
                  <w:shd w:val="clear" w:color="auto" w:fill="auto"/>
                  <w:noWrap w:val="0"/>
                  <w:vAlign w:val="center"/>
                </w:tcPr>
                <w:p w14:paraId="279A8ADC">
                  <w:pPr>
                    <w:widowControl/>
                    <w:snapToGrid w:val="0"/>
                    <w:spacing w:before="0" w:after="0" w:line="240" w:lineRule="auto"/>
                    <w:ind w:right="113" w:firstLine="0" w:firstLineChars="0"/>
                    <w:jc w:val="center"/>
                    <w:rPr>
                      <w:rFonts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w:t>
                  </w:r>
                  <w:r>
                    <w:rPr>
                      <w:rFonts w:ascii="Times New Roman" w:hAnsi="Times New Roman" w:eastAsia="宋体" w:cs="Times New Roman"/>
                      <w:kern w:val="0"/>
                      <w:sz w:val="21"/>
                      <w:szCs w:val="21"/>
                      <w:lang w:val="en-US" w:eastAsia="zh-CN" w:bidi="ar-SA"/>
                    </w:rPr>
                    <w:t>0</w:t>
                  </w:r>
                </w:p>
              </w:tc>
              <w:tc>
                <w:tcPr>
                  <w:tcW w:w="0" w:type="auto"/>
                  <w:shd w:val="clear" w:color="auto" w:fill="auto"/>
                  <w:noWrap w:val="0"/>
                  <w:vAlign w:val="center"/>
                </w:tcPr>
                <w:p w14:paraId="62531D3E">
                  <w:pPr>
                    <w:widowControl/>
                    <w:snapToGrid w:val="0"/>
                    <w:spacing w:before="0" w:after="0" w:line="240" w:lineRule="auto"/>
                    <w:ind w:right="113" w:firstLine="0" w:firstLineChars="0"/>
                    <w:jc w:val="center"/>
                    <w:rPr>
                      <w:rFonts w:hint="default"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bidi="ar-SA"/>
                    </w:rPr>
                    <w:t>9720</w:t>
                  </w:r>
                </w:p>
              </w:tc>
              <w:tc>
                <w:tcPr>
                  <w:tcW w:w="0" w:type="auto"/>
                  <w:shd w:val="clear" w:color="auto" w:fill="auto"/>
                  <w:noWrap w:val="0"/>
                  <w:vAlign w:val="center"/>
                </w:tcPr>
                <w:p w14:paraId="143D891D">
                  <w:pPr>
                    <w:widowControl/>
                    <w:snapToGrid w:val="0"/>
                    <w:spacing w:before="0" w:after="0" w:line="240" w:lineRule="auto"/>
                    <w:ind w:right="113" w:firstLine="0" w:firstLineChars="0"/>
                    <w:jc w:val="center"/>
                    <w:rPr>
                      <w:rFonts w:hint="default"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bidi="ar-SA"/>
                    </w:rPr>
                    <w:t>72.7</w:t>
                  </w:r>
                </w:p>
              </w:tc>
              <w:tc>
                <w:tcPr>
                  <w:tcW w:w="0" w:type="auto"/>
                  <w:shd w:val="clear" w:color="auto" w:fill="auto"/>
                  <w:noWrap w:val="0"/>
                  <w:vAlign w:val="center"/>
                </w:tcPr>
                <w:p w14:paraId="07F9B90F">
                  <w:pPr>
                    <w:widowControl/>
                    <w:snapToGrid w:val="0"/>
                    <w:spacing w:before="0" w:after="0" w:line="240" w:lineRule="auto"/>
                    <w:ind w:right="113" w:firstLine="0" w:firstLineChars="0"/>
                    <w:jc w:val="center"/>
                    <w:rPr>
                      <w:rFonts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7</w:t>
                  </w:r>
                  <w:r>
                    <w:rPr>
                      <w:rFonts w:ascii="Times New Roman" w:hAnsi="Times New Roman" w:eastAsia="宋体" w:cs="Times New Roman"/>
                      <w:kern w:val="0"/>
                      <w:sz w:val="21"/>
                      <w:szCs w:val="21"/>
                      <w:lang w:val="en-US" w:eastAsia="zh-CN" w:bidi="ar-SA"/>
                    </w:rPr>
                    <w:t>0</w:t>
                  </w:r>
                </w:p>
              </w:tc>
              <w:tc>
                <w:tcPr>
                  <w:tcW w:w="0" w:type="auto"/>
                  <w:shd w:val="clear" w:color="auto" w:fill="auto"/>
                  <w:noWrap w:val="0"/>
                  <w:vAlign w:val="center"/>
                </w:tcPr>
                <w:p w14:paraId="389B1249">
                  <w:pPr>
                    <w:widowControl/>
                    <w:snapToGrid w:val="0"/>
                    <w:spacing w:before="0" w:after="0" w:line="240" w:lineRule="auto"/>
                    <w:ind w:right="113"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0.5</w:t>
                  </w:r>
                  <w:r>
                    <w:rPr>
                      <w:rFonts w:hint="eastAsia" w:cs="Times New Roman"/>
                      <w:kern w:val="0"/>
                      <w:sz w:val="21"/>
                      <w:szCs w:val="21"/>
                      <w:lang w:val="en-US" w:eastAsia="zh-CN" w:bidi="ar-SA"/>
                    </w:rPr>
                    <w:t>5</w:t>
                  </w:r>
                </w:p>
              </w:tc>
            </w:tr>
            <w:tr w14:paraId="760D0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noWrap w:val="0"/>
                  <w:vAlign w:val="center"/>
                </w:tcPr>
                <w:p w14:paraId="68CAA5D2">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lang w:val="en-US" w:eastAsia="zh-CN"/>
                    </w:rPr>
                    <w:t>仓壁振打气锤</w:t>
                  </w:r>
                  <w:r>
                    <w:rPr>
                      <w:rFonts w:hint="eastAsia" w:ascii="Times New Roman" w:hAnsi="Times New Roman" w:eastAsia="宋体" w:cs="Times New Roman"/>
                      <w:color w:val="auto"/>
                      <w:sz w:val="21"/>
                      <w:szCs w:val="21"/>
                      <w:lang w:val="en-US" w:eastAsia="zh-CN"/>
                    </w:rPr>
                    <w:t>的部分零部件</w:t>
                  </w:r>
                </w:p>
              </w:tc>
              <w:tc>
                <w:tcPr>
                  <w:tcW w:w="0" w:type="auto"/>
                  <w:shd w:val="clear" w:color="auto" w:fill="auto"/>
                  <w:noWrap w:val="0"/>
                  <w:vAlign w:val="center"/>
                </w:tcPr>
                <w:p w14:paraId="5E4E5CC8">
                  <w:pPr>
                    <w:keepNext w:val="0"/>
                    <w:keepLines w:val="0"/>
                    <w:widowControl/>
                    <w:suppressLineNumbers w:val="0"/>
                    <w:jc w:val="center"/>
                    <w:textAlignment w:val="center"/>
                    <w:rPr>
                      <w:rFonts w:hint="eastAsia" w:ascii="Times New Roman" w:hAnsi="Times New Roman" w:eastAsia="宋体" w:cs="Times New Roman"/>
                      <w:kern w:val="0"/>
                      <w:sz w:val="21"/>
                      <w:szCs w:val="21"/>
                      <w:lang w:bidi="ar"/>
                    </w:rPr>
                  </w:pPr>
                  <w:r>
                    <w:rPr>
                      <w:rFonts w:hint="eastAsia" w:ascii="Times New Roman" w:hAnsi="Times New Roman" w:eastAsia="宋体" w:cs="Times New Roman"/>
                      <w:kern w:val="0"/>
                      <w:sz w:val="21"/>
                      <w:szCs w:val="21"/>
                      <w:lang w:bidi="ar"/>
                    </w:rPr>
                    <w:t>水性环氧底漆</w:t>
                  </w:r>
                </w:p>
              </w:tc>
              <w:tc>
                <w:tcPr>
                  <w:tcW w:w="0" w:type="auto"/>
                  <w:shd w:val="clear" w:color="auto" w:fill="auto"/>
                  <w:noWrap w:val="0"/>
                  <w:vAlign w:val="center"/>
                </w:tcPr>
                <w:p w14:paraId="65E4D893">
                  <w:pPr>
                    <w:widowControl/>
                    <w:snapToGrid w:val="0"/>
                    <w:spacing w:before="0" w:after="0" w:line="240" w:lineRule="auto"/>
                    <w:ind w:right="113" w:rightChars="0"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w:t>
                  </w:r>
                  <w:r>
                    <w:rPr>
                      <w:rFonts w:hint="eastAsia" w:cs="Times New Roman"/>
                      <w:kern w:val="0"/>
                      <w:sz w:val="21"/>
                      <w:szCs w:val="21"/>
                      <w:lang w:val="en-US" w:eastAsia="zh-CN" w:bidi="ar-SA"/>
                    </w:rPr>
                    <w:t>1</w:t>
                  </w:r>
                </w:p>
              </w:tc>
              <w:tc>
                <w:tcPr>
                  <w:tcW w:w="0" w:type="auto"/>
                  <w:shd w:val="clear" w:color="auto" w:fill="auto"/>
                  <w:noWrap w:val="0"/>
                  <w:vAlign w:val="center"/>
                </w:tcPr>
                <w:p w14:paraId="2CA009C5">
                  <w:pPr>
                    <w:widowControl/>
                    <w:snapToGrid w:val="0"/>
                    <w:spacing w:before="0" w:after="0" w:line="240" w:lineRule="auto"/>
                    <w:ind w:right="113" w:rightChars="0" w:firstLine="0" w:firstLineChars="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w:t>
                  </w:r>
                  <w:r>
                    <w:rPr>
                      <w:rFonts w:ascii="Times New Roman" w:hAnsi="Times New Roman" w:eastAsia="宋体" w:cs="Times New Roman"/>
                      <w:kern w:val="0"/>
                      <w:sz w:val="21"/>
                      <w:szCs w:val="21"/>
                      <w:lang w:val="en-US" w:eastAsia="zh-CN" w:bidi="ar-SA"/>
                    </w:rPr>
                    <w:t>0</w:t>
                  </w:r>
                </w:p>
              </w:tc>
              <w:tc>
                <w:tcPr>
                  <w:tcW w:w="0" w:type="auto"/>
                  <w:shd w:val="clear" w:color="auto" w:fill="auto"/>
                  <w:noWrap w:val="0"/>
                  <w:vAlign w:val="center"/>
                </w:tcPr>
                <w:p w14:paraId="558595D3">
                  <w:pPr>
                    <w:widowControl/>
                    <w:snapToGrid w:val="0"/>
                    <w:spacing w:before="0" w:after="0" w:line="240" w:lineRule="auto"/>
                    <w:ind w:right="113" w:firstLine="0" w:firstLineChars="0"/>
                    <w:jc w:val="center"/>
                    <w:rPr>
                      <w:rFonts w:hint="default"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bidi="ar-SA"/>
                    </w:rPr>
                    <w:t>15600</w:t>
                  </w:r>
                </w:p>
              </w:tc>
              <w:tc>
                <w:tcPr>
                  <w:tcW w:w="0" w:type="auto"/>
                  <w:shd w:val="clear" w:color="auto" w:fill="auto"/>
                  <w:noWrap w:val="0"/>
                  <w:vAlign w:val="center"/>
                </w:tcPr>
                <w:p w14:paraId="6DDE9980">
                  <w:pPr>
                    <w:widowControl/>
                    <w:snapToGrid w:val="0"/>
                    <w:spacing w:before="0" w:after="0" w:line="240" w:lineRule="auto"/>
                    <w:ind w:right="113" w:rightChars="0" w:firstLine="0" w:firstLineChars="0"/>
                    <w:jc w:val="center"/>
                    <w:rPr>
                      <w:rFonts w:hint="default"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bidi="ar-SA"/>
                    </w:rPr>
                    <w:t>49</w:t>
                  </w:r>
                </w:p>
              </w:tc>
              <w:tc>
                <w:tcPr>
                  <w:tcW w:w="0" w:type="auto"/>
                  <w:shd w:val="clear" w:color="auto" w:fill="auto"/>
                  <w:noWrap w:val="0"/>
                  <w:vAlign w:val="center"/>
                </w:tcPr>
                <w:p w14:paraId="6B948383">
                  <w:pPr>
                    <w:widowControl/>
                    <w:snapToGrid w:val="0"/>
                    <w:spacing w:before="0" w:after="0" w:line="240" w:lineRule="auto"/>
                    <w:ind w:right="113" w:rightChars="0" w:firstLine="0" w:firstLineChars="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7</w:t>
                  </w:r>
                  <w:r>
                    <w:rPr>
                      <w:rFonts w:ascii="Times New Roman" w:hAnsi="Times New Roman" w:eastAsia="宋体" w:cs="Times New Roman"/>
                      <w:kern w:val="0"/>
                      <w:sz w:val="21"/>
                      <w:szCs w:val="21"/>
                      <w:lang w:val="en-US" w:eastAsia="zh-CN" w:bidi="ar-SA"/>
                    </w:rPr>
                    <w:t>0</w:t>
                  </w:r>
                </w:p>
              </w:tc>
              <w:tc>
                <w:tcPr>
                  <w:tcW w:w="0" w:type="auto"/>
                  <w:shd w:val="clear" w:color="auto" w:fill="auto"/>
                  <w:noWrap w:val="0"/>
                  <w:vAlign w:val="center"/>
                </w:tcPr>
                <w:p w14:paraId="725BEFF8">
                  <w:pPr>
                    <w:widowControl/>
                    <w:snapToGrid w:val="0"/>
                    <w:spacing w:before="0" w:after="0" w:line="240" w:lineRule="auto"/>
                    <w:ind w:right="113"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w:t>
                  </w:r>
                  <w:r>
                    <w:rPr>
                      <w:rFonts w:hint="eastAsia" w:cs="Times New Roman"/>
                      <w:kern w:val="0"/>
                      <w:sz w:val="21"/>
                      <w:szCs w:val="21"/>
                      <w:lang w:val="en-US" w:eastAsia="zh-CN" w:bidi="ar-SA"/>
                    </w:rPr>
                    <w:t>5</w:t>
                  </w:r>
                </w:p>
              </w:tc>
            </w:tr>
          </w:tbl>
          <w:p w14:paraId="29E6A26B">
            <w:pPr>
              <w:widowControl/>
              <w:adjustRightInd w:val="0"/>
              <w:snapToGrid w:val="0"/>
              <w:spacing w:line="240" w:lineRule="auto"/>
              <w:ind w:firstLine="420" w:firstLineChars="200"/>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lang w:val="en-US" w:eastAsia="zh-CN"/>
              </w:rPr>
              <w:t>注：根据企业提供的资料，</w:t>
            </w:r>
            <w:r>
              <w:rPr>
                <w:rFonts w:hint="default" w:ascii="Times New Roman" w:hAnsi="Times New Roman" w:eastAsia="宋体" w:cs="Times New Roman"/>
                <w:color w:val="auto"/>
                <w:sz w:val="21"/>
                <w:szCs w:val="21"/>
                <w:lang w:val="en-US" w:eastAsia="zh-CN"/>
              </w:rPr>
              <w:t>虾米曲线防堵清堵一体化煤斗设备</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仓外仓多路分仓设备</w:t>
            </w:r>
            <w:r>
              <w:rPr>
                <w:rFonts w:hint="eastAsia" w:ascii="Times New Roman" w:hAnsi="Times New Roman" w:eastAsia="宋体" w:cs="Times New Roman"/>
                <w:color w:val="auto"/>
                <w:sz w:val="21"/>
                <w:szCs w:val="21"/>
                <w:lang w:val="en-US" w:eastAsia="zh-CN"/>
              </w:rPr>
              <w:t>和落煤管中</w:t>
            </w:r>
            <w:r>
              <w:rPr>
                <w:rFonts w:hint="eastAsia" w:ascii="Times New Roman" w:hAnsi="Times New Roman" w:eastAsia="宋体" w:cs="Times New Roman"/>
                <w:szCs w:val="21"/>
                <w:lang w:val="en-US" w:eastAsia="zh-CN"/>
              </w:rPr>
              <w:t>需要喷涂的零部件数量为1000个，每个零部件需喷涂约</w:t>
            </w:r>
            <w:r>
              <w:rPr>
                <w:rFonts w:hint="eastAsia" w:cs="Times New Roman"/>
                <w:szCs w:val="21"/>
                <w:lang w:val="en-US" w:eastAsia="zh-CN"/>
              </w:rPr>
              <w:t>9.72</w:t>
            </w:r>
            <w:r>
              <w:rPr>
                <w:rFonts w:hint="eastAsia" w:ascii="Times New Roman" w:hAnsi="Times New Roman" w:eastAsia="宋体" w:cs="Times New Roman"/>
                <w:szCs w:val="21"/>
                <w:lang w:val="en-US" w:eastAsia="zh-CN"/>
              </w:rPr>
              <w:t>m</w:t>
            </w:r>
            <w:r>
              <w:rPr>
                <w:rFonts w:hint="eastAsia" w:ascii="Times New Roman" w:hAnsi="Times New Roman" w:eastAsia="宋体" w:cs="Times New Roman"/>
                <w:szCs w:val="21"/>
                <w:vertAlign w:val="superscript"/>
                <w:lang w:val="en-US" w:eastAsia="zh-CN"/>
              </w:rPr>
              <w:t>2</w:t>
            </w:r>
            <w:r>
              <w:rPr>
                <w:rFonts w:hint="eastAsia" w:ascii="Times New Roman" w:hAnsi="Times New Roman" w:eastAsia="宋体" w:cs="Times New Roman"/>
                <w:szCs w:val="21"/>
                <w:lang w:val="en-US" w:eastAsia="zh-CN"/>
              </w:rPr>
              <w:t>的面积底漆，故</w:t>
            </w:r>
            <w:r>
              <w:rPr>
                <w:rFonts w:hint="eastAsia" w:ascii="Times New Roman" w:hAnsi="Times New Roman" w:eastAsia="宋体" w:cs="Times New Roman"/>
                <w:sz w:val="21"/>
                <w:szCs w:val="21"/>
              </w:rPr>
              <w:t>可明确底漆的涂装面积为</w:t>
            </w:r>
            <w:r>
              <w:rPr>
                <w:rFonts w:hint="eastAsia" w:cs="Times New Roman"/>
                <w:sz w:val="21"/>
                <w:szCs w:val="21"/>
                <w:lang w:val="en-US" w:eastAsia="zh-CN"/>
              </w:rPr>
              <w:t>9720</w:t>
            </w:r>
            <w:r>
              <w:rPr>
                <w:rFonts w:ascii="Times New Roman" w:hAnsi="Times New Roman" w:eastAsia="宋体" w:cs="Times New Roman"/>
                <w:sz w:val="21"/>
                <w:szCs w:val="21"/>
              </w:rPr>
              <w:t>m</w:t>
            </w:r>
            <w:r>
              <w:rPr>
                <w:rFonts w:ascii="Times New Roman" w:hAnsi="Times New Roman" w:eastAsia="宋体" w:cs="Times New Roman"/>
                <w:sz w:val="21"/>
                <w:szCs w:val="21"/>
                <w:vertAlign w:val="superscript"/>
              </w:rPr>
              <w:t>2</w:t>
            </w:r>
            <w:r>
              <w:rPr>
                <w:rFonts w:hint="eastAsia" w:ascii="Times New Roman" w:hAnsi="Times New Roman" w:eastAsia="宋体" w:cs="Times New Roman"/>
                <w:szCs w:val="21"/>
                <w:lang w:val="en-US" w:eastAsia="zh-CN"/>
              </w:rPr>
              <w:t>；</w:t>
            </w:r>
            <w:r>
              <w:rPr>
                <w:rFonts w:hint="default" w:ascii="Times New Roman" w:hAnsi="Times New Roman" w:eastAsia="宋体" w:cs="Times New Roman"/>
                <w:color w:val="auto"/>
                <w:sz w:val="21"/>
                <w:szCs w:val="21"/>
                <w:lang w:val="en-US" w:eastAsia="zh-CN"/>
              </w:rPr>
              <w:t>仓壁振打气锤</w:t>
            </w:r>
            <w:r>
              <w:rPr>
                <w:rFonts w:hint="eastAsia" w:ascii="Times New Roman" w:hAnsi="Times New Roman" w:eastAsia="宋体" w:cs="Times New Roman"/>
                <w:color w:val="auto"/>
                <w:sz w:val="21"/>
                <w:szCs w:val="21"/>
                <w:lang w:val="en-US" w:eastAsia="zh-CN"/>
              </w:rPr>
              <w:t>中部分零部件</w:t>
            </w:r>
            <w:r>
              <w:rPr>
                <w:rFonts w:hint="eastAsia" w:ascii="Times New Roman" w:hAnsi="Times New Roman" w:eastAsia="宋体" w:cs="Times New Roman"/>
                <w:szCs w:val="21"/>
                <w:lang w:val="en-US" w:eastAsia="zh-CN"/>
              </w:rPr>
              <w:t>需要喷涂的零部件数量为3000个，每个零部件需喷涂约</w:t>
            </w:r>
            <w:r>
              <w:rPr>
                <w:rFonts w:hint="eastAsia" w:cs="Times New Roman"/>
                <w:szCs w:val="21"/>
                <w:lang w:val="en-US" w:eastAsia="zh-CN"/>
              </w:rPr>
              <w:t>5.2</w:t>
            </w:r>
            <w:r>
              <w:rPr>
                <w:rFonts w:hint="eastAsia" w:ascii="Times New Roman" w:hAnsi="Times New Roman" w:eastAsia="宋体" w:cs="Times New Roman"/>
                <w:szCs w:val="21"/>
                <w:lang w:val="en-US" w:eastAsia="zh-CN"/>
              </w:rPr>
              <w:t>m</w:t>
            </w:r>
            <w:r>
              <w:rPr>
                <w:rFonts w:hint="eastAsia" w:ascii="Times New Roman" w:hAnsi="Times New Roman" w:eastAsia="宋体" w:cs="Times New Roman"/>
                <w:szCs w:val="21"/>
                <w:vertAlign w:val="superscript"/>
                <w:lang w:val="en-US" w:eastAsia="zh-CN"/>
              </w:rPr>
              <w:t>2</w:t>
            </w:r>
            <w:r>
              <w:rPr>
                <w:rFonts w:hint="eastAsia" w:ascii="Times New Roman" w:hAnsi="Times New Roman" w:eastAsia="宋体" w:cs="Times New Roman"/>
                <w:szCs w:val="21"/>
                <w:lang w:val="en-US" w:eastAsia="zh-CN"/>
              </w:rPr>
              <w:t>的面积底漆，故</w:t>
            </w:r>
            <w:r>
              <w:rPr>
                <w:rFonts w:hint="eastAsia" w:ascii="Times New Roman" w:hAnsi="Times New Roman" w:eastAsia="宋体" w:cs="Times New Roman"/>
                <w:sz w:val="21"/>
                <w:szCs w:val="21"/>
              </w:rPr>
              <w:t>可明确底漆的涂装面积为</w:t>
            </w:r>
            <w:r>
              <w:rPr>
                <w:rFonts w:hint="eastAsia" w:cs="Times New Roman"/>
                <w:sz w:val="21"/>
                <w:szCs w:val="21"/>
                <w:lang w:val="en-US" w:eastAsia="zh-CN"/>
              </w:rPr>
              <w:t>15720</w:t>
            </w:r>
            <w:r>
              <w:rPr>
                <w:rFonts w:ascii="Times New Roman" w:hAnsi="Times New Roman" w:eastAsia="宋体" w:cs="Times New Roman"/>
                <w:sz w:val="21"/>
                <w:szCs w:val="21"/>
              </w:rPr>
              <w:t>m</w:t>
            </w:r>
            <w:r>
              <w:rPr>
                <w:rFonts w:ascii="Times New Roman" w:hAnsi="Times New Roman" w:eastAsia="宋体" w:cs="Times New Roman"/>
                <w:sz w:val="21"/>
                <w:szCs w:val="21"/>
                <w:vertAlign w:val="superscript"/>
              </w:rPr>
              <w:t>2</w:t>
            </w:r>
            <w:r>
              <w:rPr>
                <w:rFonts w:hint="eastAsia" w:ascii="Times New Roman" w:hAnsi="Times New Roman" w:eastAsia="宋体" w:cs="Times New Roman"/>
                <w:sz w:val="21"/>
                <w:szCs w:val="21"/>
                <w:vertAlign w:val="baseline"/>
                <w:lang w:val="en-US" w:eastAsia="zh-CN"/>
              </w:rPr>
              <w:t>。</w:t>
            </w:r>
          </w:p>
          <w:p w14:paraId="2CDE2676">
            <w:pPr>
              <w:widowControl/>
              <w:adjustRightInd w:val="0"/>
              <w:snapToGrid w:val="0"/>
              <w:spacing w:line="360" w:lineRule="auto"/>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漆料平衡：</w:t>
            </w:r>
          </w:p>
          <w:p w14:paraId="6F2CC037">
            <w:pPr>
              <w:widowControl/>
              <w:adjustRightInd w:val="0"/>
              <w:snapToGrid w:val="0"/>
              <w:spacing w:line="360" w:lineRule="auto"/>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drawing>
                <wp:inline distT="0" distB="0" distL="114300" distR="114300">
                  <wp:extent cx="5549900" cy="6200775"/>
                  <wp:effectExtent l="0" t="0" r="0" b="0"/>
                  <wp:docPr id="8" name="ECB019B1-382A-4266-B25C-5B523AA43C14-1" descr="C:/Users/wyy/AppData/Local/Temp/wps.LiFgwo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CB019B1-382A-4266-B25C-5B523AA43C14-1" descr="C:/Users/wyy/AppData/Local/Temp/wps.LiFgwowps"/>
                          <pic:cNvPicPr>
                            <a:picLocks noChangeAspect="1"/>
                          </pic:cNvPicPr>
                        </pic:nvPicPr>
                        <pic:blipFill>
                          <a:blip r:embed="rId13"/>
                          <a:stretch>
                            <a:fillRect/>
                          </a:stretch>
                        </pic:blipFill>
                        <pic:spPr>
                          <a:xfrm>
                            <a:off x="0" y="0"/>
                            <a:ext cx="5549900" cy="6200775"/>
                          </a:xfrm>
                          <a:prstGeom prst="rect">
                            <a:avLst/>
                          </a:prstGeom>
                        </pic:spPr>
                      </pic:pic>
                    </a:graphicData>
                  </a:graphic>
                </wp:inline>
              </w:drawing>
            </w:r>
          </w:p>
          <w:p w14:paraId="35654BFA">
            <w:pPr>
              <w:widowControl/>
              <w:adjustRightInd w:val="0"/>
              <w:snapToGrid w:val="0"/>
              <w:spacing w:line="240" w:lineRule="auto"/>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图2-1 漆料平衡图</w:t>
            </w:r>
          </w:p>
          <w:p w14:paraId="32C3E842">
            <w:pPr>
              <w:widowControl/>
              <w:adjustRightInd w:val="0"/>
              <w:snapToGrid w:val="0"/>
              <w:spacing w:line="360" w:lineRule="auto"/>
              <w:ind w:firstLine="480" w:firstLineChars="200"/>
              <w:rPr>
                <w:rFonts w:hint="eastAsia" w:ascii="Times New Roman" w:hAnsi="Times New Roman" w:eastAsia="宋体" w:cs="Times New Roman"/>
                <w:sz w:val="24"/>
                <w:lang w:val="en-US" w:eastAsia="zh-CN"/>
              </w:rPr>
            </w:pPr>
            <w:r>
              <w:rPr>
                <w:rFonts w:hint="eastAsia" w:cs="Times New Roman"/>
                <w:sz w:val="24"/>
                <w:lang w:val="en-US" w:eastAsia="zh-CN"/>
              </w:rPr>
              <w:t>油性漆二甲苯</w:t>
            </w:r>
            <w:r>
              <w:rPr>
                <w:rFonts w:hint="eastAsia" w:ascii="Times New Roman" w:hAnsi="Times New Roman" w:eastAsia="宋体" w:cs="Times New Roman"/>
                <w:sz w:val="24"/>
                <w:lang w:val="en-US" w:eastAsia="zh-CN"/>
              </w:rPr>
              <w:t>平衡：</w:t>
            </w:r>
          </w:p>
          <w:p w14:paraId="154FC35B">
            <w:pPr>
              <w:widowControl/>
              <w:adjustRightInd w:val="0"/>
              <w:snapToGrid w:val="0"/>
              <w:spacing w:line="360" w:lineRule="auto"/>
              <w:rPr>
                <w:rFonts w:hint="eastAsia" w:ascii="Times New Roman" w:hAnsi="Times New Roman" w:eastAsia="宋体" w:cs="Times New Roman"/>
                <w:sz w:val="24"/>
                <w:lang w:val="en-US" w:eastAsia="zh-CN"/>
              </w:rPr>
            </w:pPr>
            <w:r>
              <w:rPr>
                <w:rFonts w:hint="eastAsia"/>
                <w:lang w:val="en-US" w:eastAsia="zh-CN"/>
              </w:rPr>
              <w:drawing>
                <wp:inline distT="0" distB="0" distL="114300" distR="114300">
                  <wp:extent cx="5456555" cy="1668780"/>
                  <wp:effectExtent l="0" t="0" r="0" b="0"/>
                  <wp:docPr id="4" name="ECB019B1-382A-4266-B25C-5B523AA43C14-2" descr="C:/Users/wyy/AppData/Local/Temp/wps.ifWJdE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CB019B1-382A-4266-B25C-5B523AA43C14-2" descr="C:/Users/wyy/AppData/Local/Temp/wps.ifWJdEwps"/>
                          <pic:cNvPicPr>
                            <a:picLocks noChangeAspect="1"/>
                          </pic:cNvPicPr>
                        </pic:nvPicPr>
                        <pic:blipFill>
                          <a:blip r:embed="rId14"/>
                          <a:stretch>
                            <a:fillRect/>
                          </a:stretch>
                        </pic:blipFill>
                        <pic:spPr>
                          <a:xfrm>
                            <a:off x="0" y="0"/>
                            <a:ext cx="5456555" cy="1668780"/>
                          </a:xfrm>
                          <a:prstGeom prst="rect">
                            <a:avLst/>
                          </a:prstGeom>
                        </pic:spPr>
                      </pic:pic>
                    </a:graphicData>
                  </a:graphic>
                </wp:inline>
              </w:drawing>
            </w:r>
          </w:p>
          <w:p w14:paraId="292299EF">
            <w:pPr>
              <w:pStyle w:val="2"/>
              <w:jc w:val="center"/>
              <w:rPr>
                <w:rFonts w:hint="eastAsia"/>
                <w:lang w:val="en-US" w:eastAsia="zh-CN"/>
              </w:rPr>
            </w:pPr>
            <w:r>
              <w:rPr>
                <w:rFonts w:hint="eastAsia" w:ascii="Times New Roman" w:hAnsi="Times New Roman" w:eastAsia="宋体" w:cs="Times New Roman"/>
                <w:b/>
                <w:bCs/>
                <w:sz w:val="21"/>
                <w:szCs w:val="21"/>
                <w:lang w:val="en-US" w:eastAsia="zh-CN"/>
              </w:rPr>
              <w:t>图2-</w:t>
            </w:r>
            <w:r>
              <w:rPr>
                <w:rFonts w:hint="eastAsia" w:cs="Times New Roman"/>
                <w:b/>
                <w:bCs/>
                <w:sz w:val="21"/>
                <w:szCs w:val="21"/>
                <w:lang w:val="en-US" w:eastAsia="zh-CN"/>
              </w:rPr>
              <w:t>2</w:t>
            </w:r>
            <w:r>
              <w:rPr>
                <w:rFonts w:hint="eastAsia" w:ascii="Times New Roman" w:hAnsi="Times New Roman" w:eastAsia="宋体" w:cs="Times New Roman"/>
                <w:b/>
                <w:bCs/>
                <w:sz w:val="21"/>
                <w:szCs w:val="21"/>
                <w:lang w:val="en-US" w:eastAsia="zh-CN"/>
              </w:rPr>
              <w:t xml:space="preserve"> </w:t>
            </w:r>
            <w:r>
              <w:rPr>
                <w:rFonts w:hint="eastAsia" w:cs="Times New Roman"/>
                <w:b/>
                <w:bCs/>
                <w:sz w:val="21"/>
                <w:szCs w:val="21"/>
                <w:lang w:val="en-US" w:eastAsia="zh-CN"/>
              </w:rPr>
              <w:t>二甲苯</w:t>
            </w:r>
            <w:r>
              <w:rPr>
                <w:rFonts w:hint="eastAsia" w:ascii="Times New Roman" w:hAnsi="Times New Roman" w:eastAsia="宋体" w:cs="Times New Roman"/>
                <w:b/>
                <w:bCs/>
                <w:sz w:val="21"/>
                <w:szCs w:val="21"/>
                <w:lang w:val="en-US" w:eastAsia="zh-CN"/>
              </w:rPr>
              <w:t>平衡图</w:t>
            </w:r>
          </w:p>
          <w:p w14:paraId="102C6A5F">
            <w:pPr>
              <w:widowControl/>
              <w:adjustRightInd w:val="0"/>
              <w:snapToGrid w:val="0"/>
              <w:spacing w:line="360" w:lineRule="auto"/>
              <w:ind w:firstLine="482" w:firstLineChars="200"/>
              <w:rPr>
                <w:b/>
                <w:bCs/>
                <w:sz w:val="24"/>
              </w:rPr>
            </w:pPr>
            <w:r>
              <w:rPr>
                <w:rFonts w:hint="eastAsia"/>
                <w:b/>
                <w:bCs/>
                <w:sz w:val="24"/>
              </w:rPr>
              <w:t>（</w:t>
            </w:r>
            <w:r>
              <w:rPr>
                <w:rFonts w:hint="eastAsia"/>
                <w:b/>
                <w:bCs/>
                <w:sz w:val="24"/>
                <w:lang w:eastAsia="zh-CN"/>
              </w:rPr>
              <w:t>五</w:t>
            </w:r>
            <w:r>
              <w:rPr>
                <w:rFonts w:hint="eastAsia"/>
                <w:b/>
                <w:bCs/>
                <w:sz w:val="24"/>
              </w:rPr>
              <w:t>）主要原辅料及年用量</w:t>
            </w:r>
          </w:p>
          <w:p w14:paraId="5C7EE891">
            <w:pPr>
              <w:widowControl/>
              <w:adjustRightInd w:val="0"/>
              <w:snapToGrid w:val="0"/>
              <w:spacing w:line="360" w:lineRule="auto"/>
              <w:ind w:firstLine="480" w:firstLineChars="200"/>
            </w:pPr>
            <w:r>
              <w:rPr>
                <w:rFonts w:hint="eastAsia"/>
                <w:sz w:val="24"/>
              </w:rPr>
              <w:t>本项目主要原辅料年用量见下表。</w:t>
            </w:r>
          </w:p>
          <w:p w14:paraId="6D57A376">
            <w:pPr>
              <w:widowControl/>
              <w:numPr>
                <w:ilvl w:val="0"/>
                <w:numId w:val="2"/>
              </w:numPr>
              <w:jc w:val="center"/>
              <w:rPr>
                <w:b/>
                <w:kern w:val="0"/>
                <w:szCs w:val="21"/>
              </w:rPr>
            </w:pPr>
            <w:r>
              <w:rPr>
                <w:b/>
                <w:kern w:val="0"/>
                <w:szCs w:val="21"/>
              </w:rPr>
              <w:t>项目</w:t>
            </w:r>
            <w:r>
              <w:rPr>
                <w:rFonts w:hint="eastAsia"/>
                <w:b/>
                <w:kern w:val="0"/>
                <w:szCs w:val="21"/>
              </w:rPr>
              <w:t>原辅料及年用量</w:t>
            </w:r>
            <w:r>
              <w:rPr>
                <w:b/>
                <w:kern w:val="0"/>
                <w:szCs w:val="21"/>
              </w:rPr>
              <w:t>一览表</w:t>
            </w:r>
          </w:p>
          <w:tbl>
            <w:tblPr>
              <w:tblStyle w:val="26"/>
              <w:tblW w:w="4997" w:type="pct"/>
              <w:jc w:val="center"/>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autofit"/>
              <w:tblCellMar>
                <w:top w:w="0" w:type="dxa"/>
                <w:left w:w="108" w:type="dxa"/>
                <w:bottom w:w="0" w:type="dxa"/>
                <w:right w:w="108" w:type="dxa"/>
              </w:tblCellMar>
            </w:tblPr>
            <w:tblGrid>
              <w:gridCol w:w="712"/>
              <w:gridCol w:w="684"/>
              <w:gridCol w:w="922"/>
              <w:gridCol w:w="826"/>
              <w:gridCol w:w="919"/>
              <w:gridCol w:w="1555"/>
              <w:gridCol w:w="1095"/>
              <w:gridCol w:w="1919"/>
            </w:tblGrid>
            <w:tr w14:paraId="5F24CB93">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12" w:type="pct"/>
                  <w:vAlign w:val="center"/>
                </w:tcPr>
                <w:p w14:paraId="41B0A6FA">
                  <w:pPr>
                    <w:adjustRightInd w:val="0"/>
                    <w:snapToGrid w:val="0"/>
                    <w:jc w:val="center"/>
                    <w:rPr>
                      <w:rFonts w:hint="default" w:ascii="Times New Roman" w:hAnsi="Times New Roman" w:cs="Times New Roman"/>
                      <w:b/>
                      <w:bCs/>
                      <w:sz w:val="21"/>
                      <w:szCs w:val="21"/>
                    </w:rPr>
                  </w:pPr>
                  <w:r>
                    <w:rPr>
                      <w:rFonts w:hint="default" w:ascii="Times New Roman" w:hAnsi="Times New Roman" w:cs="Times New Roman"/>
                      <w:b/>
                      <w:bCs/>
                      <w:sz w:val="21"/>
                      <w:szCs w:val="21"/>
                    </w:rPr>
                    <w:t>序号</w:t>
                  </w:r>
                </w:p>
              </w:tc>
              <w:tc>
                <w:tcPr>
                  <w:tcW w:w="930" w:type="pct"/>
                  <w:gridSpan w:val="2"/>
                  <w:vAlign w:val="center"/>
                </w:tcPr>
                <w:p w14:paraId="68B16006">
                  <w:pPr>
                    <w:adjustRightInd w:val="0"/>
                    <w:snapToGrid w:val="0"/>
                    <w:jc w:val="center"/>
                    <w:rPr>
                      <w:rFonts w:hint="default" w:ascii="Times New Roman" w:hAnsi="Times New Roman" w:cs="Times New Roman"/>
                      <w:b/>
                      <w:bCs/>
                      <w:sz w:val="21"/>
                      <w:szCs w:val="21"/>
                    </w:rPr>
                  </w:pPr>
                  <w:r>
                    <w:rPr>
                      <w:rFonts w:hint="default" w:ascii="Times New Roman" w:hAnsi="Times New Roman" w:cs="Times New Roman"/>
                      <w:b/>
                      <w:bCs/>
                      <w:sz w:val="21"/>
                      <w:szCs w:val="21"/>
                    </w:rPr>
                    <w:t>名称</w:t>
                  </w:r>
                </w:p>
              </w:tc>
              <w:tc>
                <w:tcPr>
                  <w:tcW w:w="478" w:type="pct"/>
                  <w:vAlign w:val="center"/>
                </w:tcPr>
                <w:p w14:paraId="20547028">
                  <w:pPr>
                    <w:adjustRightInd w:val="0"/>
                    <w:snapToGrid w:val="0"/>
                    <w:jc w:val="center"/>
                    <w:rPr>
                      <w:rFonts w:hint="default" w:ascii="Times New Roman" w:hAnsi="Times New Roman" w:cs="Times New Roman"/>
                      <w:b/>
                      <w:bCs/>
                      <w:sz w:val="21"/>
                      <w:szCs w:val="21"/>
                    </w:rPr>
                  </w:pPr>
                  <w:r>
                    <w:rPr>
                      <w:rFonts w:hint="default" w:ascii="Times New Roman" w:hAnsi="Times New Roman" w:cs="Times New Roman"/>
                      <w:b/>
                      <w:bCs/>
                      <w:sz w:val="21"/>
                      <w:szCs w:val="21"/>
                    </w:rPr>
                    <w:t>单位</w:t>
                  </w:r>
                </w:p>
              </w:tc>
              <w:tc>
                <w:tcPr>
                  <w:tcW w:w="532" w:type="pct"/>
                  <w:vAlign w:val="center"/>
                </w:tcPr>
                <w:p w14:paraId="7E9C806E">
                  <w:pPr>
                    <w:adjustRightInd w:val="0"/>
                    <w:snapToGrid w:val="0"/>
                    <w:jc w:val="center"/>
                    <w:rPr>
                      <w:rFonts w:hint="default" w:ascii="Times New Roman" w:hAnsi="Times New Roman" w:cs="Times New Roman"/>
                      <w:b/>
                      <w:bCs/>
                      <w:sz w:val="21"/>
                      <w:szCs w:val="21"/>
                    </w:rPr>
                  </w:pPr>
                  <w:r>
                    <w:rPr>
                      <w:rFonts w:hint="default" w:ascii="Times New Roman" w:hAnsi="Times New Roman" w:cs="Times New Roman"/>
                      <w:b/>
                      <w:bCs/>
                      <w:sz w:val="21"/>
                      <w:szCs w:val="21"/>
                    </w:rPr>
                    <w:t>年用量</w:t>
                  </w:r>
                </w:p>
              </w:tc>
              <w:tc>
                <w:tcPr>
                  <w:tcW w:w="900" w:type="pct"/>
                  <w:vAlign w:val="center"/>
                </w:tcPr>
                <w:p w14:paraId="0B6381B9">
                  <w:pPr>
                    <w:adjustRightInd w:val="0"/>
                    <w:snapToGrid w:val="0"/>
                    <w:jc w:val="center"/>
                    <w:rPr>
                      <w:rFonts w:hint="default" w:ascii="Times New Roman" w:hAnsi="Times New Roman" w:cs="Times New Roman"/>
                      <w:b/>
                      <w:bCs/>
                      <w:sz w:val="21"/>
                      <w:szCs w:val="21"/>
                    </w:rPr>
                  </w:pPr>
                  <w:r>
                    <w:rPr>
                      <w:rFonts w:hint="default" w:ascii="Times New Roman" w:hAnsi="Times New Roman" w:cs="Times New Roman"/>
                      <w:b/>
                      <w:bCs/>
                      <w:sz w:val="21"/>
                      <w:szCs w:val="21"/>
                    </w:rPr>
                    <w:t>最大贮存量</w:t>
                  </w:r>
                </w:p>
              </w:tc>
              <w:tc>
                <w:tcPr>
                  <w:tcW w:w="634" w:type="pct"/>
                  <w:vAlign w:val="center"/>
                </w:tcPr>
                <w:p w14:paraId="36C92595">
                  <w:pPr>
                    <w:adjustRightInd w:val="0"/>
                    <w:snapToGrid w:val="0"/>
                    <w:jc w:val="center"/>
                    <w:rPr>
                      <w:rFonts w:hint="default" w:ascii="Times New Roman" w:hAnsi="Times New Roman" w:cs="Times New Roman"/>
                      <w:b/>
                      <w:bCs/>
                      <w:sz w:val="21"/>
                      <w:szCs w:val="21"/>
                    </w:rPr>
                  </w:pPr>
                  <w:r>
                    <w:rPr>
                      <w:rFonts w:hint="default" w:ascii="Times New Roman" w:hAnsi="Times New Roman" w:cs="Times New Roman"/>
                      <w:b/>
                      <w:bCs/>
                      <w:sz w:val="21"/>
                      <w:szCs w:val="21"/>
                    </w:rPr>
                    <w:t>贮存位置</w:t>
                  </w:r>
                </w:p>
              </w:tc>
              <w:tc>
                <w:tcPr>
                  <w:tcW w:w="1111" w:type="pct"/>
                  <w:vAlign w:val="center"/>
                </w:tcPr>
                <w:p w14:paraId="05A50BE9">
                  <w:pPr>
                    <w:adjustRightInd w:val="0"/>
                    <w:snapToGrid w:val="0"/>
                    <w:jc w:val="center"/>
                    <w:rPr>
                      <w:rFonts w:hint="default" w:ascii="Times New Roman" w:hAnsi="Times New Roman" w:cs="Times New Roman"/>
                      <w:b/>
                      <w:bCs/>
                      <w:sz w:val="21"/>
                      <w:szCs w:val="21"/>
                    </w:rPr>
                  </w:pPr>
                  <w:r>
                    <w:rPr>
                      <w:rFonts w:hint="default" w:ascii="Times New Roman" w:hAnsi="Times New Roman" w:cs="Times New Roman"/>
                      <w:b/>
                      <w:bCs/>
                      <w:sz w:val="21"/>
                      <w:szCs w:val="21"/>
                    </w:rPr>
                    <w:t>包装方式/规格</w:t>
                  </w:r>
                </w:p>
              </w:tc>
            </w:tr>
            <w:tr w14:paraId="25BD9CBE">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12" w:type="pct"/>
                  <w:vAlign w:val="center"/>
                </w:tcPr>
                <w:p w14:paraId="47EAFA0A">
                  <w:pPr>
                    <w:widowControl/>
                    <w:jc w:val="center"/>
                    <w:textAlignment w:val="center"/>
                    <w:rPr>
                      <w:rFonts w:hint="default" w:ascii="Times New Roman" w:hAnsi="Times New Roman" w:cs="Times New Roman"/>
                      <w:kern w:val="0"/>
                      <w:sz w:val="21"/>
                      <w:szCs w:val="21"/>
                      <w:lang w:bidi="ar"/>
                    </w:rPr>
                  </w:pPr>
                  <w:r>
                    <w:rPr>
                      <w:rFonts w:hint="default" w:ascii="Times New Roman" w:hAnsi="Times New Roman" w:cs="Times New Roman"/>
                      <w:kern w:val="0"/>
                      <w:sz w:val="21"/>
                      <w:szCs w:val="21"/>
                      <w:lang w:bidi="ar"/>
                    </w:rPr>
                    <w:t>1</w:t>
                  </w:r>
                </w:p>
              </w:tc>
              <w:tc>
                <w:tcPr>
                  <w:tcW w:w="930" w:type="pct"/>
                  <w:gridSpan w:val="2"/>
                  <w:vAlign w:val="center"/>
                </w:tcPr>
                <w:p w14:paraId="1A6E5A3B">
                  <w:pPr>
                    <w:pStyle w:val="87"/>
                    <w:widowControl/>
                    <w:autoSpaceDE w:val="0"/>
                    <w:autoSpaceDN w:val="0"/>
                    <w:spacing w:line="240" w:lineRule="auto"/>
                    <w:ind w:firstLine="0" w:firstLineChars="0"/>
                    <w:jc w:val="center"/>
                    <w:textAlignment w:val="center"/>
                    <w:rPr>
                      <w:rFonts w:hint="default" w:ascii="Times New Roman" w:hAnsi="Times New Roman" w:cs="Times New Roman"/>
                      <w:kern w:val="0"/>
                      <w:sz w:val="21"/>
                      <w:szCs w:val="21"/>
                      <w:lang w:bidi="ar"/>
                    </w:rPr>
                  </w:pPr>
                  <w:r>
                    <w:rPr>
                      <w:rFonts w:hint="default" w:ascii="Times New Roman" w:hAnsi="Times New Roman" w:cs="Times New Roman"/>
                      <w:color w:val="auto"/>
                      <w:sz w:val="21"/>
                      <w:szCs w:val="21"/>
                    </w:rPr>
                    <w:t>不锈钢钢材</w:t>
                  </w:r>
                </w:p>
              </w:tc>
              <w:tc>
                <w:tcPr>
                  <w:tcW w:w="478" w:type="pct"/>
                  <w:vAlign w:val="center"/>
                </w:tcPr>
                <w:p w14:paraId="4F7FA4CD">
                  <w:pPr>
                    <w:keepNext w:val="0"/>
                    <w:keepLines w:val="0"/>
                    <w:pageBreakBefore w:val="0"/>
                    <w:widowControl/>
                    <w:kinsoku/>
                    <w:wordWrap/>
                    <w:overflowPunct/>
                    <w:topLinePunct w:val="0"/>
                    <w:bidi w:val="0"/>
                    <w:adjustRightInd/>
                    <w:snapToGrid/>
                    <w:ind w:firstLine="0" w:firstLineChars="0"/>
                    <w:jc w:val="center"/>
                    <w:textAlignment w:val="auto"/>
                    <w:rPr>
                      <w:rStyle w:val="62"/>
                      <w:rFonts w:hint="default" w:ascii="Times New Roman" w:hAnsi="Times New Roman" w:cs="Times New Roman"/>
                      <w:color w:val="auto"/>
                      <w:sz w:val="21"/>
                      <w:szCs w:val="21"/>
                      <w:lang w:bidi="ar"/>
                    </w:rPr>
                  </w:pPr>
                  <w:r>
                    <w:rPr>
                      <w:rFonts w:hint="default" w:ascii="Times New Roman" w:hAnsi="Times New Roman" w:cs="Times New Roman"/>
                      <w:color w:val="auto"/>
                      <w:kern w:val="0"/>
                      <w:sz w:val="21"/>
                      <w:szCs w:val="21"/>
                      <w:lang w:val="en-US" w:eastAsia="zh-CN"/>
                    </w:rPr>
                    <w:t>t</w:t>
                  </w:r>
                </w:p>
              </w:tc>
              <w:tc>
                <w:tcPr>
                  <w:tcW w:w="532" w:type="pct"/>
                  <w:vAlign w:val="center"/>
                </w:tcPr>
                <w:p w14:paraId="7AFDA96A">
                  <w:pPr>
                    <w:widowControl/>
                    <w:jc w:val="center"/>
                    <w:rPr>
                      <w:rStyle w:val="62"/>
                      <w:rFonts w:hint="default" w:ascii="Times New Roman" w:hAnsi="Times New Roman" w:cs="Times New Roman"/>
                      <w:color w:val="auto"/>
                      <w:sz w:val="21"/>
                      <w:szCs w:val="21"/>
                      <w:lang w:bidi="ar"/>
                    </w:rPr>
                  </w:pPr>
                  <w:r>
                    <w:rPr>
                      <w:rFonts w:hint="eastAsia" w:ascii="Times New Roman" w:hAnsi="Times New Roman" w:eastAsia="宋体"/>
                      <w:color w:val="auto"/>
                      <w:kern w:val="0"/>
                      <w:szCs w:val="21"/>
                      <w:lang w:val="en-US" w:eastAsia="zh-CN"/>
                    </w:rPr>
                    <w:t>1200</w:t>
                  </w:r>
                </w:p>
              </w:tc>
              <w:tc>
                <w:tcPr>
                  <w:tcW w:w="900" w:type="pct"/>
                  <w:vAlign w:val="center"/>
                </w:tcPr>
                <w:p w14:paraId="664F129E">
                  <w:pPr>
                    <w:widowControl/>
                    <w:jc w:val="center"/>
                    <w:textAlignment w:val="center"/>
                    <w:rPr>
                      <w:rFonts w:hint="default" w:ascii="Times New Roman" w:hAnsi="Times New Roman" w:cs="Times New Roman"/>
                      <w:kern w:val="0"/>
                      <w:sz w:val="21"/>
                      <w:szCs w:val="21"/>
                    </w:rPr>
                  </w:pPr>
                  <w:r>
                    <w:rPr>
                      <w:rFonts w:hint="eastAsia" w:ascii="Times New Roman" w:hAnsi="Times New Roman" w:cs="Times New Roman"/>
                      <w:kern w:val="0"/>
                      <w:sz w:val="21"/>
                      <w:szCs w:val="21"/>
                      <w:lang w:val="en-US" w:eastAsia="zh-CN"/>
                    </w:rPr>
                    <w:t>3</w:t>
                  </w:r>
                  <w:r>
                    <w:rPr>
                      <w:rFonts w:hint="default" w:ascii="Times New Roman" w:hAnsi="Times New Roman" w:cs="Times New Roman"/>
                      <w:kern w:val="0"/>
                      <w:sz w:val="21"/>
                      <w:szCs w:val="21"/>
                    </w:rPr>
                    <w:t>00</w:t>
                  </w:r>
                </w:p>
              </w:tc>
              <w:tc>
                <w:tcPr>
                  <w:tcW w:w="634" w:type="pct"/>
                  <w:vMerge w:val="restart"/>
                  <w:vAlign w:val="center"/>
                </w:tcPr>
                <w:p w14:paraId="6FF9CC99">
                  <w:pPr>
                    <w:widowControl/>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原材料库</w:t>
                  </w:r>
                </w:p>
              </w:tc>
              <w:tc>
                <w:tcPr>
                  <w:tcW w:w="1111" w:type="pct"/>
                  <w:vAlign w:val="center"/>
                </w:tcPr>
                <w:p w14:paraId="44028596">
                  <w:pPr>
                    <w:jc w:val="center"/>
                    <w:rPr>
                      <w:rFonts w:hint="default" w:ascii="Times New Roman" w:hAnsi="Times New Roman" w:cs="Times New Roman"/>
                      <w:sz w:val="21"/>
                      <w:szCs w:val="21"/>
                    </w:rPr>
                  </w:pPr>
                  <w:r>
                    <w:rPr>
                      <w:rFonts w:hint="eastAsia" w:ascii="Times New Roman" w:hAnsi="Times New Roman" w:cs="Times New Roman"/>
                      <w:sz w:val="21"/>
                      <w:szCs w:val="21"/>
                      <w:lang w:eastAsia="zh-CN"/>
                    </w:rPr>
                    <w:t>钢板</w:t>
                  </w:r>
                  <w:r>
                    <w:rPr>
                      <w:rFonts w:hint="default" w:ascii="Times New Roman" w:hAnsi="Times New Roman" w:cs="Times New Roman"/>
                      <w:sz w:val="21"/>
                      <w:szCs w:val="21"/>
                    </w:rPr>
                    <w:t>，托盘</w:t>
                  </w:r>
                </w:p>
              </w:tc>
            </w:tr>
            <w:tr w14:paraId="46DEB1C7">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12" w:type="pct"/>
                  <w:vAlign w:val="center"/>
                </w:tcPr>
                <w:p w14:paraId="2138DB3F">
                  <w:pPr>
                    <w:widowControl/>
                    <w:jc w:val="center"/>
                    <w:textAlignment w:val="center"/>
                    <w:rPr>
                      <w:rFonts w:hint="eastAsia" w:ascii="Times New Roman" w:hAnsi="Times New Roman" w:eastAsia="宋体" w:cs="Times New Roman"/>
                      <w:kern w:val="0"/>
                      <w:sz w:val="21"/>
                      <w:szCs w:val="21"/>
                      <w:lang w:val="en-US" w:eastAsia="zh-CN" w:bidi="ar"/>
                    </w:rPr>
                  </w:pPr>
                  <w:r>
                    <w:rPr>
                      <w:rFonts w:hint="eastAsia" w:ascii="Times New Roman" w:hAnsi="Times New Roman" w:cs="Times New Roman"/>
                      <w:kern w:val="0"/>
                      <w:sz w:val="21"/>
                      <w:szCs w:val="21"/>
                      <w:lang w:val="en-US" w:eastAsia="zh-CN" w:bidi="ar"/>
                    </w:rPr>
                    <w:t>2</w:t>
                  </w:r>
                </w:p>
              </w:tc>
              <w:tc>
                <w:tcPr>
                  <w:tcW w:w="930" w:type="pct"/>
                  <w:gridSpan w:val="2"/>
                  <w:shd w:val="clear" w:color="auto" w:fill="auto"/>
                  <w:vAlign w:val="center"/>
                </w:tcPr>
                <w:p w14:paraId="0059FF20">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color w:val="auto"/>
                      <w:kern w:val="0"/>
                      <w:sz w:val="21"/>
                      <w:szCs w:val="21"/>
                      <w:lang w:val="en-US" w:eastAsia="zh-CN"/>
                    </w:rPr>
                    <w:t>普通钢材</w:t>
                  </w:r>
                </w:p>
              </w:tc>
              <w:tc>
                <w:tcPr>
                  <w:tcW w:w="478" w:type="pct"/>
                  <w:shd w:val="clear" w:color="auto" w:fill="auto"/>
                  <w:vAlign w:val="center"/>
                </w:tcPr>
                <w:p w14:paraId="1BD749FB">
                  <w:pPr>
                    <w:widowControl/>
                    <w:jc w:val="center"/>
                    <w:textAlignment w:val="center"/>
                    <w:rPr>
                      <w:rFonts w:hint="default" w:ascii="Times New Roman" w:hAnsi="Times New Roman" w:eastAsia="宋体" w:cs="Times New Roman"/>
                      <w:color w:val="auto"/>
                      <w:kern w:val="2"/>
                      <w:sz w:val="21"/>
                      <w:szCs w:val="21"/>
                      <w:u w:val="none"/>
                      <w:lang w:val="en-US" w:eastAsia="zh-CN" w:bidi="ar"/>
                    </w:rPr>
                  </w:pPr>
                  <w:r>
                    <w:rPr>
                      <w:rStyle w:val="62"/>
                      <w:rFonts w:hint="eastAsia" w:ascii="Times New Roman" w:hAnsi="Times New Roman" w:cs="Times New Roman"/>
                      <w:color w:val="auto"/>
                      <w:sz w:val="21"/>
                      <w:szCs w:val="21"/>
                      <w:lang w:val="en-US" w:eastAsia="zh-CN" w:bidi="ar"/>
                    </w:rPr>
                    <w:t>t</w:t>
                  </w:r>
                </w:p>
              </w:tc>
              <w:tc>
                <w:tcPr>
                  <w:tcW w:w="532" w:type="pct"/>
                  <w:shd w:val="clear" w:color="auto" w:fill="auto"/>
                  <w:vAlign w:val="center"/>
                </w:tcPr>
                <w:p w14:paraId="2AEBBAC0">
                  <w:pPr>
                    <w:widowControl/>
                    <w:jc w:val="center"/>
                    <w:rPr>
                      <w:rFonts w:hint="eastAsia" w:ascii="Times New Roman" w:hAnsi="Times New Roman" w:eastAsia="宋体" w:cs="Times New Roman"/>
                      <w:color w:val="auto"/>
                      <w:kern w:val="2"/>
                      <w:sz w:val="21"/>
                      <w:szCs w:val="21"/>
                      <w:u w:val="none"/>
                      <w:lang w:val="en-US" w:eastAsia="zh-CN" w:bidi="ar"/>
                    </w:rPr>
                  </w:pPr>
                  <w:r>
                    <w:rPr>
                      <w:rFonts w:hint="eastAsia" w:ascii="Times New Roman" w:hAnsi="Times New Roman"/>
                      <w:color w:val="auto"/>
                      <w:kern w:val="0"/>
                      <w:szCs w:val="21"/>
                      <w:lang w:val="en-US" w:eastAsia="zh-CN"/>
                    </w:rPr>
                    <w:t>500</w:t>
                  </w:r>
                </w:p>
              </w:tc>
              <w:tc>
                <w:tcPr>
                  <w:tcW w:w="900" w:type="pct"/>
                  <w:shd w:val="clear" w:color="auto" w:fill="auto"/>
                  <w:vAlign w:val="center"/>
                </w:tcPr>
                <w:p w14:paraId="46A1D070">
                  <w:pPr>
                    <w:widowControl/>
                    <w:jc w:val="center"/>
                    <w:textAlignment w:val="center"/>
                    <w:rPr>
                      <w:rFonts w:hint="eastAsia"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rPr>
                    <w:t>125</w:t>
                  </w:r>
                </w:p>
              </w:tc>
              <w:tc>
                <w:tcPr>
                  <w:tcW w:w="634" w:type="pct"/>
                  <w:vMerge w:val="continue"/>
                  <w:vAlign w:val="center"/>
                </w:tcPr>
                <w:p w14:paraId="3C20716A">
                  <w:pPr>
                    <w:widowControl/>
                    <w:jc w:val="center"/>
                    <w:textAlignment w:val="center"/>
                    <w:rPr>
                      <w:rFonts w:hint="default" w:ascii="Times New Roman" w:hAnsi="Times New Roman" w:cs="Times New Roman"/>
                      <w:sz w:val="21"/>
                      <w:szCs w:val="21"/>
                    </w:rPr>
                  </w:pPr>
                </w:p>
              </w:tc>
              <w:tc>
                <w:tcPr>
                  <w:tcW w:w="1111" w:type="pct"/>
                  <w:vAlign w:val="center"/>
                </w:tcPr>
                <w:p w14:paraId="646EA8C2">
                  <w:pPr>
                    <w:jc w:val="center"/>
                    <w:rPr>
                      <w:rFonts w:hint="default" w:ascii="Times New Roman" w:hAnsi="Times New Roman" w:cs="Times New Roman"/>
                      <w:sz w:val="21"/>
                      <w:szCs w:val="21"/>
                    </w:rPr>
                  </w:pPr>
                  <w:r>
                    <w:rPr>
                      <w:rFonts w:hint="eastAsia" w:ascii="Times New Roman" w:hAnsi="Times New Roman" w:cs="Times New Roman"/>
                      <w:sz w:val="21"/>
                      <w:szCs w:val="21"/>
                      <w:lang w:eastAsia="zh-CN"/>
                    </w:rPr>
                    <w:t>钢板</w:t>
                  </w:r>
                  <w:r>
                    <w:rPr>
                      <w:rFonts w:hint="default" w:ascii="Times New Roman" w:hAnsi="Times New Roman" w:cs="Times New Roman"/>
                      <w:sz w:val="21"/>
                      <w:szCs w:val="21"/>
                    </w:rPr>
                    <w:t>，托盘</w:t>
                  </w:r>
                </w:p>
              </w:tc>
            </w:tr>
            <w:tr w14:paraId="1F65EDC7">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12" w:type="pct"/>
                  <w:vAlign w:val="center"/>
                </w:tcPr>
                <w:p w14:paraId="34F22B34">
                  <w:pPr>
                    <w:widowControl/>
                    <w:jc w:val="center"/>
                    <w:textAlignment w:val="center"/>
                    <w:rPr>
                      <w:rFonts w:hint="eastAsia" w:ascii="Times New Roman" w:hAnsi="Times New Roman" w:eastAsia="宋体" w:cs="Times New Roman"/>
                      <w:kern w:val="0"/>
                      <w:sz w:val="21"/>
                      <w:szCs w:val="21"/>
                      <w:lang w:val="en-US" w:eastAsia="zh-CN" w:bidi="ar"/>
                    </w:rPr>
                  </w:pPr>
                  <w:r>
                    <w:rPr>
                      <w:rFonts w:hint="eastAsia" w:ascii="Times New Roman" w:hAnsi="Times New Roman" w:cs="Times New Roman"/>
                      <w:kern w:val="0"/>
                      <w:sz w:val="21"/>
                      <w:szCs w:val="21"/>
                      <w:lang w:val="en-US" w:eastAsia="zh-CN" w:bidi="ar"/>
                    </w:rPr>
                    <w:t>3</w:t>
                  </w:r>
                </w:p>
              </w:tc>
              <w:tc>
                <w:tcPr>
                  <w:tcW w:w="930" w:type="pct"/>
                  <w:gridSpan w:val="2"/>
                  <w:shd w:val="clear" w:color="auto" w:fill="auto"/>
                  <w:vAlign w:val="center"/>
                </w:tcPr>
                <w:p w14:paraId="55E4D2A1">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color w:val="auto"/>
                      <w:kern w:val="0"/>
                      <w:sz w:val="21"/>
                      <w:szCs w:val="21"/>
                      <w:lang w:val="en-US" w:eastAsia="zh-CN"/>
                    </w:rPr>
                    <w:t>电线电缆</w:t>
                  </w:r>
                </w:p>
              </w:tc>
              <w:tc>
                <w:tcPr>
                  <w:tcW w:w="478" w:type="pct"/>
                  <w:shd w:val="clear" w:color="auto" w:fill="auto"/>
                  <w:vAlign w:val="center"/>
                </w:tcPr>
                <w:p w14:paraId="7EE4CADB">
                  <w:pPr>
                    <w:keepNext w:val="0"/>
                    <w:keepLines w:val="0"/>
                    <w:pageBreakBefore w:val="0"/>
                    <w:widowControl/>
                    <w:kinsoku/>
                    <w:wordWrap/>
                    <w:overflowPunct/>
                    <w:topLinePunct w:val="0"/>
                    <w:bidi w:val="0"/>
                    <w:adjustRightInd/>
                    <w:snapToGrid/>
                    <w:ind w:firstLine="0" w:firstLineChars="0"/>
                    <w:jc w:val="center"/>
                    <w:textAlignment w:val="auto"/>
                    <w:rPr>
                      <w:rFonts w:hint="default" w:ascii="Times New Roman" w:hAnsi="Times New Roman" w:eastAsia="宋体" w:cs="Times New Roman"/>
                      <w:color w:val="auto"/>
                      <w:kern w:val="2"/>
                      <w:sz w:val="21"/>
                      <w:szCs w:val="21"/>
                      <w:u w:val="none"/>
                      <w:lang w:val="en-US" w:eastAsia="zh-CN" w:bidi="ar"/>
                    </w:rPr>
                  </w:pPr>
                  <w:r>
                    <w:rPr>
                      <w:rFonts w:hint="default" w:ascii="Times New Roman" w:hAnsi="Times New Roman" w:cs="Times New Roman"/>
                      <w:color w:val="auto"/>
                      <w:kern w:val="0"/>
                      <w:sz w:val="21"/>
                      <w:szCs w:val="21"/>
                      <w:lang w:val="en-US" w:eastAsia="zh-CN"/>
                    </w:rPr>
                    <w:t>米</w:t>
                  </w:r>
                </w:p>
              </w:tc>
              <w:tc>
                <w:tcPr>
                  <w:tcW w:w="532" w:type="pct"/>
                  <w:shd w:val="clear" w:color="auto" w:fill="auto"/>
                  <w:vAlign w:val="center"/>
                </w:tcPr>
                <w:p w14:paraId="3359FDD8">
                  <w:pPr>
                    <w:widowControl/>
                    <w:jc w:val="center"/>
                    <w:rPr>
                      <w:rFonts w:hint="eastAsia" w:ascii="Times New Roman" w:hAnsi="Times New Roman" w:eastAsia="宋体" w:cs="Times New Roman"/>
                      <w:color w:val="auto"/>
                      <w:kern w:val="2"/>
                      <w:sz w:val="21"/>
                      <w:szCs w:val="21"/>
                      <w:u w:val="none"/>
                      <w:lang w:val="en-US" w:eastAsia="zh-CN" w:bidi="ar"/>
                    </w:rPr>
                  </w:pPr>
                  <w:r>
                    <w:rPr>
                      <w:rFonts w:hint="eastAsia" w:ascii="Times New Roman" w:hAnsi="Times New Roman"/>
                      <w:color w:val="auto"/>
                      <w:kern w:val="0"/>
                      <w:szCs w:val="21"/>
                      <w:lang w:val="en-US" w:eastAsia="zh-CN"/>
                    </w:rPr>
                    <w:t>2000</w:t>
                  </w:r>
                </w:p>
              </w:tc>
              <w:tc>
                <w:tcPr>
                  <w:tcW w:w="900" w:type="pct"/>
                  <w:shd w:val="clear" w:color="auto" w:fill="auto"/>
                  <w:vAlign w:val="center"/>
                </w:tcPr>
                <w:p w14:paraId="15A7FC34">
                  <w:pPr>
                    <w:widowControl/>
                    <w:jc w:val="center"/>
                    <w:textAlignment w:val="center"/>
                    <w:rPr>
                      <w:rFonts w:hint="eastAsia"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rPr>
                    <w:t>500</w:t>
                  </w:r>
                </w:p>
              </w:tc>
              <w:tc>
                <w:tcPr>
                  <w:tcW w:w="634" w:type="pct"/>
                  <w:vMerge w:val="continue"/>
                  <w:vAlign w:val="center"/>
                </w:tcPr>
                <w:p w14:paraId="266E40EE">
                  <w:pPr>
                    <w:widowControl/>
                    <w:jc w:val="center"/>
                    <w:textAlignment w:val="center"/>
                    <w:rPr>
                      <w:rFonts w:hint="default" w:ascii="Times New Roman" w:hAnsi="Times New Roman" w:cs="Times New Roman"/>
                      <w:sz w:val="21"/>
                      <w:szCs w:val="21"/>
                    </w:rPr>
                  </w:pPr>
                </w:p>
              </w:tc>
              <w:tc>
                <w:tcPr>
                  <w:tcW w:w="1111" w:type="pct"/>
                  <w:vAlign w:val="center"/>
                </w:tcPr>
                <w:p w14:paraId="50CAAE72">
                  <w:pPr>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捆装，托盘</w:t>
                  </w:r>
                </w:p>
              </w:tc>
            </w:tr>
            <w:tr w14:paraId="776C9FF0">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12" w:type="pct"/>
                  <w:vAlign w:val="center"/>
                </w:tcPr>
                <w:p w14:paraId="2DF0F5B1">
                  <w:pPr>
                    <w:widowControl/>
                    <w:jc w:val="center"/>
                    <w:textAlignment w:val="center"/>
                    <w:rPr>
                      <w:rFonts w:hint="eastAsia" w:ascii="Times New Roman" w:hAnsi="Times New Roman" w:eastAsia="宋体" w:cs="Times New Roman"/>
                      <w:kern w:val="0"/>
                      <w:sz w:val="21"/>
                      <w:szCs w:val="21"/>
                      <w:lang w:eastAsia="zh-CN" w:bidi="ar"/>
                    </w:rPr>
                  </w:pPr>
                  <w:r>
                    <w:rPr>
                      <w:rFonts w:hint="eastAsia" w:ascii="Times New Roman" w:hAnsi="Times New Roman" w:cs="Times New Roman"/>
                      <w:kern w:val="0"/>
                      <w:sz w:val="21"/>
                      <w:szCs w:val="21"/>
                      <w:lang w:val="en-US" w:eastAsia="zh-CN" w:bidi="ar"/>
                    </w:rPr>
                    <w:t>4</w:t>
                  </w:r>
                </w:p>
              </w:tc>
              <w:tc>
                <w:tcPr>
                  <w:tcW w:w="930" w:type="pct"/>
                  <w:gridSpan w:val="2"/>
                  <w:shd w:val="clear" w:color="auto" w:fill="auto"/>
                  <w:vAlign w:val="center"/>
                </w:tcPr>
                <w:p w14:paraId="70C1E139">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color w:val="auto"/>
                      <w:kern w:val="0"/>
                      <w:sz w:val="21"/>
                      <w:szCs w:val="21"/>
                      <w:lang w:val="en-US" w:eastAsia="zh-CN"/>
                    </w:rPr>
                    <w:t>五金电料</w:t>
                  </w:r>
                </w:p>
              </w:tc>
              <w:tc>
                <w:tcPr>
                  <w:tcW w:w="478" w:type="pct"/>
                  <w:shd w:val="clear" w:color="auto" w:fill="auto"/>
                  <w:vAlign w:val="center"/>
                </w:tcPr>
                <w:p w14:paraId="3FABB10A">
                  <w:pPr>
                    <w:keepNext w:val="0"/>
                    <w:keepLines w:val="0"/>
                    <w:pageBreakBefore w:val="0"/>
                    <w:widowControl/>
                    <w:kinsoku/>
                    <w:wordWrap/>
                    <w:overflowPunct/>
                    <w:topLinePunct w:val="0"/>
                    <w:bidi w:val="0"/>
                    <w:adjustRightInd/>
                    <w:snapToGrid/>
                    <w:ind w:firstLine="0" w:firstLineChars="0"/>
                    <w:jc w:val="center"/>
                    <w:textAlignment w:val="auto"/>
                    <w:rPr>
                      <w:rFonts w:hint="default" w:ascii="Times New Roman" w:hAnsi="Times New Roman" w:eastAsia="宋体" w:cs="Times New Roman"/>
                      <w:color w:val="auto"/>
                      <w:kern w:val="2"/>
                      <w:sz w:val="21"/>
                      <w:szCs w:val="21"/>
                      <w:u w:val="none"/>
                      <w:lang w:val="en-US" w:eastAsia="zh-CN" w:bidi="ar"/>
                    </w:rPr>
                  </w:pPr>
                  <w:r>
                    <w:rPr>
                      <w:rFonts w:hint="default" w:ascii="Times New Roman" w:hAnsi="Times New Roman" w:cs="Times New Roman"/>
                      <w:color w:val="auto"/>
                      <w:kern w:val="0"/>
                      <w:sz w:val="21"/>
                      <w:szCs w:val="21"/>
                      <w:lang w:val="en-US" w:eastAsia="zh-CN"/>
                    </w:rPr>
                    <w:t>t</w:t>
                  </w:r>
                </w:p>
              </w:tc>
              <w:tc>
                <w:tcPr>
                  <w:tcW w:w="532" w:type="pct"/>
                  <w:shd w:val="clear" w:color="auto" w:fill="auto"/>
                  <w:vAlign w:val="center"/>
                </w:tcPr>
                <w:p w14:paraId="71D0C298">
                  <w:pPr>
                    <w:widowControl/>
                    <w:jc w:val="center"/>
                    <w:rPr>
                      <w:rFonts w:hint="default" w:ascii="Times New Roman" w:hAnsi="Times New Roman" w:eastAsia="宋体" w:cs="Times New Roman"/>
                      <w:color w:val="auto"/>
                      <w:kern w:val="2"/>
                      <w:sz w:val="21"/>
                      <w:szCs w:val="21"/>
                      <w:u w:val="none"/>
                      <w:lang w:val="en-US" w:eastAsia="zh-CN" w:bidi="ar"/>
                    </w:rPr>
                  </w:pPr>
                  <w:r>
                    <w:rPr>
                      <w:rFonts w:hint="eastAsia" w:ascii="Times New Roman" w:hAnsi="Times New Roman"/>
                      <w:color w:val="auto"/>
                      <w:kern w:val="0"/>
                      <w:szCs w:val="21"/>
                      <w:lang w:val="en-US" w:eastAsia="zh-CN"/>
                    </w:rPr>
                    <w:t>40</w:t>
                  </w:r>
                </w:p>
              </w:tc>
              <w:tc>
                <w:tcPr>
                  <w:tcW w:w="900" w:type="pct"/>
                  <w:shd w:val="clear" w:color="auto" w:fill="auto"/>
                  <w:vAlign w:val="center"/>
                </w:tcPr>
                <w:p w14:paraId="5DCB4BF1">
                  <w:pPr>
                    <w:widowControl/>
                    <w:jc w:val="center"/>
                    <w:textAlignment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rPr>
                    <w:t>10</w:t>
                  </w:r>
                </w:p>
              </w:tc>
              <w:tc>
                <w:tcPr>
                  <w:tcW w:w="634" w:type="pct"/>
                  <w:vMerge w:val="continue"/>
                  <w:vAlign w:val="center"/>
                </w:tcPr>
                <w:p w14:paraId="7BEE7401">
                  <w:pPr>
                    <w:widowControl/>
                    <w:jc w:val="center"/>
                    <w:textAlignment w:val="center"/>
                    <w:rPr>
                      <w:rFonts w:hint="default" w:ascii="Times New Roman" w:hAnsi="Times New Roman" w:cs="Times New Roman"/>
                      <w:sz w:val="21"/>
                      <w:szCs w:val="21"/>
                    </w:rPr>
                  </w:pPr>
                </w:p>
              </w:tc>
              <w:tc>
                <w:tcPr>
                  <w:tcW w:w="1111" w:type="pct"/>
                  <w:vAlign w:val="center"/>
                </w:tcPr>
                <w:p w14:paraId="692AE4E5">
                  <w:pPr>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纸箱装</w:t>
                  </w:r>
                </w:p>
              </w:tc>
            </w:tr>
            <w:tr w14:paraId="414365B0">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12" w:type="pct"/>
                  <w:vAlign w:val="center"/>
                </w:tcPr>
                <w:p w14:paraId="7B3AB1F2">
                  <w:pPr>
                    <w:widowControl/>
                    <w:jc w:val="center"/>
                    <w:textAlignment w:val="center"/>
                    <w:rPr>
                      <w:rFonts w:hint="eastAsia" w:ascii="Times New Roman" w:hAnsi="Times New Roman" w:eastAsia="宋体" w:cs="Times New Roman"/>
                      <w:kern w:val="0"/>
                      <w:sz w:val="21"/>
                      <w:szCs w:val="21"/>
                      <w:lang w:eastAsia="zh-CN" w:bidi="ar"/>
                    </w:rPr>
                  </w:pPr>
                  <w:r>
                    <w:rPr>
                      <w:rFonts w:hint="eastAsia" w:ascii="Times New Roman" w:hAnsi="Times New Roman" w:cs="Times New Roman"/>
                      <w:kern w:val="0"/>
                      <w:sz w:val="21"/>
                      <w:szCs w:val="21"/>
                      <w:lang w:val="en-US" w:eastAsia="zh-CN" w:bidi="ar"/>
                    </w:rPr>
                    <w:t>5</w:t>
                  </w:r>
                </w:p>
              </w:tc>
              <w:tc>
                <w:tcPr>
                  <w:tcW w:w="930" w:type="pct"/>
                  <w:gridSpan w:val="2"/>
                  <w:vAlign w:val="center"/>
                </w:tcPr>
                <w:p w14:paraId="25EF9A0C">
                  <w:pPr>
                    <w:pStyle w:val="87"/>
                    <w:widowControl/>
                    <w:autoSpaceDE w:val="0"/>
                    <w:autoSpaceDN w:val="0"/>
                    <w:spacing w:line="240" w:lineRule="auto"/>
                    <w:ind w:firstLine="0" w:firstLineChars="0"/>
                    <w:jc w:val="center"/>
                    <w:textAlignment w:val="center"/>
                    <w:rPr>
                      <w:rFonts w:hint="default" w:ascii="Times New Roman" w:hAnsi="Times New Roman" w:cs="Times New Roman"/>
                      <w:kern w:val="0"/>
                      <w:sz w:val="21"/>
                      <w:szCs w:val="21"/>
                      <w:lang w:bidi="ar"/>
                    </w:rPr>
                  </w:pPr>
                  <w:r>
                    <w:rPr>
                      <w:rFonts w:hint="default" w:ascii="Times New Roman" w:hAnsi="Times New Roman" w:cs="Times New Roman"/>
                      <w:color w:val="auto"/>
                      <w:sz w:val="21"/>
                      <w:szCs w:val="21"/>
                    </w:rPr>
                    <w:t>气动</w:t>
                  </w:r>
                  <w:r>
                    <w:rPr>
                      <w:rFonts w:hint="default" w:ascii="Times New Roman" w:hAnsi="Times New Roman" w:cs="Times New Roman"/>
                      <w:color w:val="auto"/>
                      <w:sz w:val="21"/>
                      <w:szCs w:val="21"/>
                      <w:lang w:val="en-US" w:eastAsia="zh-CN"/>
                    </w:rPr>
                    <w:t>执行机构</w:t>
                  </w:r>
                </w:p>
              </w:tc>
              <w:tc>
                <w:tcPr>
                  <w:tcW w:w="478" w:type="pct"/>
                  <w:vAlign w:val="center"/>
                </w:tcPr>
                <w:p w14:paraId="4D5A12D3">
                  <w:pPr>
                    <w:keepNext w:val="0"/>
                    <w:keepLines w:val="0"/>
                    <w:pageBreakBefore w:val="0"/>
                    <w:widowControl/>
                    <w:kinsoku/>
                    <w:wordWrap/>
                    <w:overflowPunct/>
                    <w:topLinePunct w:val="0"/>
                    <w:bidi w:val="0"/>
                    <w:adjustRightInd/>
                    <w:snapToGrid/>
                    <w:ind w:firstLine="0" w:firstLineChars="0"/>
                    <w:jc w:val="center"/>
                    <w:textAlignment w:val="auto"/>
                    <w:rPr>
                      <w:rStyle w:val="62"/>
                      <w:rFonts w:hint="default" w:ascii="Times New Roman" w:hAnsi="Times New Roman" w:cs="Times New Roman"/>
                      <w:color w:val="auto"/>
                      <w:sz w:val="21"/>
                      <w:szCs w:val="21"/>
                      <w:lang w:bidi="ar"/>
                    </w:rPr>
                  </w:pPr>
                  <w:r>
                    <w:rPr>
                      <w:rFonts w:hint="default" w:ascii="Times New Roman" w:hAnsi="Times New Roman" w:eastAsia="宋体" w:cs="Times New Roman"/>
                      <w:color w:val="auto"/>
                      <w:kern w:val="0"/>
                      <w:sz w:val="21"/>
                      <w:szCs w:val="21"/>
                      <w:lang w:val="en-US" w:eastAsia="zh-CN"/>
                    </w:rPr>
                    <w:t>条</w:t>
                  </w:r>
                </w:p>
              </w:tc>
              <w:tc>
                <w:tcPr>
                  <w:tcW w:w="532" w:type="pct"/>
                  <w:vAlign w:val="center"/>
                </w:tcPr>
                <w:p w14:paraId="3E8F057D">
                  <w:pPr>
                    <w:widowControl/>
                    <w:jc w:val="center"/>
                    <w:rPr>
                      <w:rStyle w:val="62"/>
                      <w:rFonts w:hint="default" w:ascii="Times New Roman" w:hAnsi="Times New Roman" w:cs="Times New Roman"/>
                      <w:color w:val="auto"/>
                      <w:sz w:val="21"/>
                      <w:szCs w:val="21"/>
                      <w:lang w:bidi="ar"/>
                    </w:rPr>
                  </w:pPr>
                  <w:r>
                    <w:rPr>
                      <w:rFonts w:hint="eastAsia" w:ascii="Times New Roman" w:hAnsi="Times New Roman" w:eastAsia="宋体"/>
                      <w:color w:val="auto"/>
                      <w:kern w:val="0"/>
                      <w:szCs w:val="21"/>
                      <w:lang w:val="en-US" w:eastAsia="zh-CN"/>
                    </w:rPr>
                    <w:t>1000</w:t>
                  </w:r>
                </w:p>
              </w:tc>
              <w:tc>
                <w:tcPr>
                  <w:tcW w:w="900" w:type="pct"/>
                  <w:vAlign w:val="center"/>
                </w:tcPr>
                <w:p w14:paraId="51F21EB6">
                  <w:pPr>
                    <w:widowControl/>
                    <w:jc w:val="center"/>
                    <w:textAlignment w:val="center"/>
                    <w:rPr>
                      <w:rFonts w:hint="default" w:ascii="Times New Roman" w:hAnsi="Times New Roman" w:cs="Times New Roman"/>
                      <w:kern w:val="0"/>
                      <w:sz w:val="21"/>
                      <w:szCs w:val="21"/>
                    </w:rPr>
                  </w:pPr>
                  <w:r>
                    <w:rPr>
                      <w:rFonts w:hint="eastAsia" w:ascii="Times New Roman" w:hAnsi="Times New Roman" w:cs="Times New Roman"/>
                      <w:kern w:val="0"/>
                      <w:sz w:val="21"/>
                      <w:szCs w:val="21"/>
                      <w:lang w:val="en-US" w:eastAsia="zh-CN"/>
                    </w:rPr>
                    <w:t>250</w:t>
                  </w:r>
                </w:p>
              </w:tc>
              <w:tc>
                <w:tcPr>
                  <w:tcW w:w="634" w:type="pct"/>
                  <w:vMerge w:val="continue"/>
                  <w:vAlign w:val="center"/>
                </w:tcPr>
                <w:p w14:paraId="77600867">
                  <w:pPr>
                    <w:widowControl/>
                    <w:jc w:val="center"/>
                    <w:textAlignment w:val="center"/>
                    <w:rPr>
                      <w:rFonts w:hint="default" w:ascii="Times New Roman" w:hAnsi="Times New Roman" w:cs="Times New Roman"/>
                      <w:sz w:val="21"/>
                      <w:szCs w:val="21"/>
                    </w:rPr>
                  </w:pPr>
                </w:p>
              </w:tc>
              <w:tc>
                <w:tcPr>
                  <w:tcW w:w="1111" w:type="pct"/>
                  <w:vAlign w:val="center"/>
                </w:tcPr>
                <w:p w14:paraId="0797DFAB">
                  <w:pPr>
                    <w:jc w:val="center"/>
                    <w:rPr>
                      <w:rFonts w:hint="default" w:ascii="Times New Roman" w:hAnsi="Times New Roman" w:cs="Times New Roman"/>
                      <w:sz w:val="21"/>
                      <w:szCs w:val="21"/>
                    </w:rPr>
                  </w:pPr>
                  <w:r>
                    <w:rPr>
                      <w:rFonts w:hint="eastAsia" w:ascii="Times New Roman" w:hAnsi="Times New Roman" w:cs="Times New Roman"/>
                      <w:sz w:val="21"/>
                      <w:szCs w:val="21"/>
                      <w:lang w:eastAsia="zh-CN"/>
                    </w:rPr>
                    <w:t>纸箱装</w:t>
                  </w:r>
                </w:p>
              </w:tc>
            </w:tr>
            <w:tr w14:paraId="45D9A6A8">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12" w:type="pct"/>
                  <w:vAlign w:val="center"/>
                </w:tcPr>
                <w:p w14:paraId="0835AF29">
                  <w:pPr>
                    <w:widowControl/>
                    <w:jc w:val="center"/>
                    <w:textAlignment w:val="center"/>
                    <w:rPr>
                      <w:rFonts w:hint="eastAsia" w:ascii="Times New Roman" w:hAnsi="Times New Roman" w:eastAsia="宋体" w:cs="Times New Roman"/>
                      <w:kern w:val="0"/>
                      <w:sz w:val="21"/>
                      <w:szCs w:val="21"/>
                      <w:lang w:eastAsia="zh-CN" w:bidi="ar"/>
                    </w:rPr>
                  </w:pPr>
                  <w:r>
                    <w:rPr>
                      <w:rFonts w:hint="eastAsia" w:ascii="Times New Roman" w:hAnsi="Times New Roman" w:cs="Times New Roman"/>
                      <w:kern w:val="0"/>
                      <w:sz w:val="21"/>
                      <w:szCs w:val="21"/>
                      <w:lang w:val="en-US" w:eastAsia="zh-CN" w:bidi="ar"/>
                    </w:rPr>
                    <w:t>6</w:t>
                  </w:r>
                </w:p>
              </w:tc>
              <w:tc>
                <w:tcPr>
                  <w:tcW w:w="930" w:type="pct"/>
                  <w:gridSpan w:val="2"/>
                  <w:vAlign w:val="center"/>
                </w:tcPr>
                <w:p w14:paraId="7AF4112E">
                  <w:pPr>
                    <w:pStyle w:val="87"/>
                    <w:widowControl/>
                    <w:autoSpaceDE w:val="0"/>
                    <w:autoSpaceDN w:val="0"/>
                    <w:spacing w:line="240" w:lineRule="auto"/>
                    <w:ind w:firstLine="0" w:firstLineChars="0"/>
                    <w:jc w:val="center"/>
                    <w:textAlignment w:val="center"/>
                    <w:rPr>
                      <w:rFonts w:hint="default" w:ascii="Times New Roman" w:hAnsi="Times New Roman" w:cs="Times New Roman"/>
                      <w:kern w:val="0"/>
                      <w:sz w:val="21"/>
                      <w:szCs w:val="21"/>
                      <w:lang w:bidi="ar"/>
                    </w:rPr>
                  </w:pPr>
                  <w:r>
                    <w:rPr>
                      <w:rFonts w:hint="default" w:ascii="Times New Roman" w:hAnsi="Times New Roman" w:cs="Times New Roman"/>
                      <w:color w:val="auto"/>
                      <w:sz w:val="21"/>
                      <w:szCs w:val="21"/>
                      <w:lang w:val="en-US" w:eastAsia="zh-CN"/>
                    </w:rPr>
                    <w:t>冲击</w:t>
                  </w:r>
                  <w:r>
                    <w:rPr>
                      <w:rFonts w:hint="default" w:ascii="Times New Roman" w:hAnsi="Times New Roman" w:cs="Times New Roman"/>
                      <w:color w:val="auto"/>
                      <w:sz w:val="21"/>
                      <w:szCs w:val="21"/>
                    </w:rPr>
                    <w:t>气缸</w:t>
                  </w:r>
                </w:p>
              </w:tc>
              <w:tc>
                <w:tcPr>
                  <w:tcW w:w="478" w:type="pct"/>
                  <w:vAlign w:val="center"/>
                </w:tcPr>
                <w:p w14:paraId="3A322DF5">
                  <w:pPr>
                    <w:keepNext w:val="0"/>
                    <w:keepLines w:val="0"/>
                    <w:pageBreakBefore w:val="0"/>
                    <w:widowControl/>
                    <w:kinsoku/>
                    <w:wordWrap/>
                    <w:overflowPunct/>
                    <w:topLinePunct w:val="0"/>
                    <w:bidi w:val="0"/>
                    <w:adjustRightInd/>
                    <w:snapToGrid/>
                    <w:ind w:firstLine="0" w:firstLineChars="0"/>
                    <w:jc w:val="center"/>
                    <w:textAlignment w:val="auto"/>
                    <w:rPr>
                      <w:rStyle w:val="62"/>
                      <w:rFonts w:hint="default" w:ascii="Times New Roman" w:hAnsi="Times New Roman" w:cs="Times New Roman"/>
                      <w:color w:val="auto"/>
                      <w:sz w:val="21"/>
                      <w:szCs w:val="21"/>
                      <w:lang w:bidi="ar"/>
                    </w:rPr>
                  </w:pPr>
                  <w:r>
                    <w:rPr>
                      <w:rFonts w:hint="default" w:ascii="Times New Roman" w:hAnsi="Times New Roman" w:cs="Times New Roman"/>
                      <w:color w:val="auto"/>
                      <w:kern w:val="0"/>
                      <w:sz w:val="21"/>
                      <w:szCs w:val="21"/>
                      <w:lang w:val="en-US" w:eastAsia="zh-CN"/>
                    </w:rPr>
                    <w:t>只</w:t>
                  </w:r>
                </w:p>
              </w:tc>
              <w:tc>
                <w:tcPr>
                  <w:tcW w:w="532" w:type="pct"/>
                  <w:vAlign w:val="center"/>
                </w:tcPr>
                <w:p w14:paraId="742EC04D">
                  <w:pPr>
                    <w:widowControl/>
                    <w:jc w:val="center"/>
                    <w:rPr>
                      <w:rStyle w:val="62"/>
                      <w:rFonts w:hint="default" w:ascii="Times New Roman" w:hAnsi="Times New Roman" w:cs="Times New Roman"/>
                      <w:color w:val="auto"/>
                      <w:sz w:val="21"/>
                      <w:szCs w:val="21"/>
                      <w:lang w:val="en-US" w:bidi="ar"/>
                    </w:rPr>
                  </w:pPr>
                  <w:r>
                    <w:rPr>
                      <w:rFonts w:hint="eastAsia" w:ascii="Times New Roman" w:hAnsi="Times New Roman"/>
                      <w:color w:val="auto"/>
                      <w:kern w:val="0"/>
                      <w:szCs w:val="21"/>
                      <w:lang w:val="en-US" w:eastAsia="zh-CN"/>
                    </w:rPr>
                    <w:t>4000</w:t>
                  </w:r>
                </w:p>
              </w:tc>
              <w:tc>
                <w:tcPr>
                  <w:tcW w:w="900" w:type="pct"/>
                  <w:vAlign w:val="center"/>
                </w:tcPr>
                <w:p w14:paraId="2965B299">
                  <w:pPr>
                    <w:widowControl/>
                    <w:jc w:val="center"/>
                    <w:textAlignment w:val="center"/>
                    <w:rPr>
                      <w:rFonts w:hint="default" w:ascii="Times New Roman" w:hAnsi="Times New Roman" w:cs="Times New Roman"/>
                      <w:kern w:val="0"/>
                      <w:sz w:val="21"/>
                      <w:szCs w:val="21"/>
                    </w:rPr>
                  </w:pPr>
                  <w:r>
                    <w:rPr>
                      <w:rFonts w:hint="eastAsia" w:ascii="Times New Roman" w:hAnsi="Times New Roman" w:cs="Times New Roman"/>
                      <w:kern w:val="0"/>
                      <w:sz w:val="21"/>
                      <w:szCs w:val="21"/>
                      <w:lang w:val="en-US" w:eastAsia="zh-CN"/>
                    </w:rPr>
                    <w:t>10</w:t>
                  </w:r>
                  <w:r>
                    <w:rPr>
                      <w:rFonts w:hint="default" w:ascii="Times New Roman" w:hAnsi="Times New Roman" w:cs="Times New Roman"/>
                      <w:kern w:val="0"/>
                      <w:sz w:val="21"/>
                      <w:szCs w:val="21"/>
                    </w:rPr>
                    <w:t>0</w:t>
                  </w:r>
                  <w:r>
                    <w:rPr>
                      <w:rFonts w:hint="eastAsia" w:ascii="Times New Roman" w:hAnsi="Times New Roman" w:cs="Times New Roman"/>
                      <w:kern w:val="0"/>
                      <w:sz w:val="21"/>
                      <w:szCs w:val="21"/>
                      <w:lang w:val="en-US" w:eastAsia="zh-CN"/>
                    </w:rPr>
                    <w:t>0</w:t>
                  </w:r>
                </w:p>
              </w:tc>
              <w:tc>
                <w:tcPr>
                  <w:tcW w:w="634" w:type="pct"/>
                  <w:vMerge w:val="continue"/>
                  <w:vAlign w:val="center"/>
                </w:tcPr>
                <w:p w14:paraId="68DA6FF8">
                  <w:pPr>
                    <w:widowControl/>
                    <w:jc w:val="center"/>
                    <w:textAlignment w:val="center"/>
                    <w:rPr>
                      <w:rFonts w:hint="default" w:ascii="Times New Roman" w:hAnsi="Times New Roman" w:cs="Times New Roman"/>
                      <w:sz w:val="21"/>
                      <w:szCs w:val="21"/>
                    </w:rPr>
                  </w:pPr>
                </w:p>
              </w:tc>
              <w:tc>
                <w:tcPr>
                  <w:tcW w:w="1111" w:type="pct"/>
                  <w:vAlign w:val="center"/>
                </w:tcPr>
                <w:p w14:paraId="01876193">
                  <w:pPr>
                    <w:jc w:val="center"/>
                    <w:rPr>
                      <w:rFonts w:hint="default" w:ascii="Times New Roman" w:hAnsi="Times New Roman" w:cs="Times New Roman"/>
                      <w:sz w:val="21"/>
                      <w:szCs w:val="21"/>
                    </w:rPr>
                  </w:pPr>
                  <w:r>
                    <w:rPr>
                      <w:rFonts w:hint="eastAsia" w:ascii="Times New Roman" w:hAnsi="Times New Roman" w:cs="Times New Roman"/>
                      <w:sz w:val="21"/>
                      <w:szCs w:val="21"/>
                      <w:lang w:eastAsia="zh-CN"/>
                    </w:rPr>
                    <w:t>纸箱装</w:t>
                  </w:r>
                </w:p>
              </w:tc>
            </w:tr>
            <w:tr w14:paraId="6AFA85E0">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12" w:type="pct"/>
                  <w:shd w:val="clear" w:color="auto" w:fill="auto"/>
                  <w:vAlign w:val="center"/>
                </w:tcPr>
                <w:p w14:paraId="2D053B4C">
                  <w:pPr>
                    <w:widowControl/>
                    <w:jc w:val="center"/>
                    <w:textAlignment w:val="center"/>
                    <w:rPr>
                      <w:rFonts w:hint="default" w:ascii="Times New Roman" w:hAnsi="Times New Roman" w:eastAsia="宋体" w:cs="Times New Roman"/>
                      <w:kern w:val="0"/>
                      <w:sz w:val="21"/>
                      <w:szCs w:val="21"/>
                      <w:lang w:val="en-US" w:eastAsia="zh-CN" w:bidi="ar"/>
                    </w:rPr>
                  </w:pPr>
                  <w:r>
                    <w:rPr>
                      <w:rFonts w:hint="default" w:ascii="Times New Roman" w:hAnsi="Times New Roman" w:cs="Times New Roman"/>
                      <w:kern w:val="0"/>
                      <w:sz w:val="21"/>
                      <w:szCs w:val="21"/>
                      <w:lang w:bidi="ar"/>
                    </w:rPr>
                    <w:t>7</w:t>
                  </w:r>
                </w:p>
              </w:tc>
              <w:tc>
                <w:tcPr>
                  <w:tcW w:w="930" w:type="pct"/>
                  <w:gridSpan w:val="2"/>
                  <w:vAlign w:val="center"/>
                </w:tcPr>
                <w:p w14:paraId="22643242">
                  <w:pPr>
                    <w:pStyle w:val="87"/>
                    <w:widowControl/>
                    <w:autoSpaceDE w:val="0"/>
                    <w:autoSpaceDN w:val="0"/>
                    <w:spacing w:line="240" w:lineRule="auto"/>
                    <w:ind w:firstLine="0" w:firstLineChars="0"/>
                    <w:jc w:val="center"/>
                    <w:textAlignment w:val="center"/>
                    <w:rPr>
                      <w:rFonts w:hint="default" w:ascii="Times New Roman" w:hAnsi="Times New Roman" w:cs="Times New Roman"/>
                      <w:kern w:val="0"/>
                      <w:sz w:val="21"/>
                      <w:szCs w:val="21"/>
                      <w:lang w:bidi="ar"/>
                    </w:rPr>
                  </w:pPr>
                  <w:r>
                    <w:rPr>
                      <w:rFonts w:hint="default" w:ascii="Times New Roman" w:hAnsi="Times New Roman" w:cs="Times New Roman"/>
                      <w:color w:val="auto"/>
                      <w:sz w:val="21"/>
                      <w:szCs w:val="21"/>
                    </w:rPr>
                    <w:t>电气元件</w:t>
                  </w:r>
                </w:p>
              </w:tc>
              <w:tc>
                <w:tcPr>
                  <w:tcW w:w="478" w:type="pct"/>
                  <w:vAlign w:val="center"/>
                </w:tcPr>
                <w:p w14:paraId="3DEF2D9D">
                  <w:pPr>
                    <w:keepNext w:val="0"/>
                    <w:keepLines w:val="0"/>
                    <w:pageBreakBefore w:val="0"/>
                    <w:widowControl/>
                    <w:kinsoku/>
                    <w:wordWrap/>
                    <w:overflowPunct/>
                    <w:topLinePunct w:val="0"/>
                    <w:bidi w:val="0"/>
                    <w:adjustRightInd/>
                    <w:snapToGrid/>
                    <w:ind w:firstLine="0" w:firstLineChars="0"/>
                    <w:jc w:val="center"/>
                    <w:textAlignment w:val="auto"/>
                    <w:rPr>
                      <w:rStyle w:val="62"/>
                      <w:rFonts w:hint="default" w:ascii="Times New Roman" w:hAnsi="Times New Roman" w:cs="Times New Roman"/>
                      <w:color w:val="auto"/>
                      <w:sz w:val="21"/>
                      <w:szCs w:val="21"/>
                      <w:lang w:bidi="ar"/>
                    </w:rPr>
                  </w:pPr>
                  <w:r>
                    <w:rPr>
                      <w:rFonts w:hint="default" w:ascii="Times New Roman" w:hAnsi="Times New Roman" w:cs="Times New Roman"/>
                      <w:color w:val="auto"/>
                      <w:kern w:val="0"/>
                      <w:sz w:val="21"/>
                      <w:szCs w:val="21"/>
                      <w:lang w:val="en-US" w:eastAsia="zh-CN"/>
                    </w:rPr>
                    <w:t>套</w:t>
                  </w:r>
                </w:p>
              </w:tc>
              <w:tc>
                <w:tcPr>
                  <w:tcW w:w="532" w:type="pct"/>
                  <w:vAlign w:val="center"/>
                </w:tcPr>
                <w:p w14:paraId="0E38893E">
                  <w:pPr>
                    <w:widowControl/>
                    <w:jc w:val="center"/>
                    <w:rPr>
                      <w:rStyle w:val="62"/>
                      <w:rFonts w:hint="default" w:ascii="Times New Roman" w:hAnsi="Times New Roman" w:cs="Times New Roman"/>
                      <w:color w:val="auto"/>
                      <w:sz w:val="21"/>
                      <w:szCs w:val="21"/>
                      <w:lang w:bidi="ar"/>
                    </w:rPr>
                  </w:pPr>
                  <w:r>
                    <w:rPr>
                      <w:rFonts w:hint="eastAsia" w:ascii="Times New Roman" w:hAnsi="Times New Roman"/>
                      <w:color w:val="auto"/>
                      <w:kern w:val="0"/>
                      <w:szCs w:val="21"/>
                      <w:lang w:val="en-US" w:eastAsia="zh-CN"/>
                    </w:rPr>
                    <w:t>200</w:t>
                  </w:r>
                </w:p>
              </w:tc>
              <w:tc>
                <w:tcPr>
                  <w:tcW w:w="900" w:type="pct"/>
                  <w:vAlign w:val="center"/>
                </w:tcPr>
                <w:p w14:paraId="31B11FF2">
                  <w:pPr>
                    <w:widowControl/>
                    <w:jc w:val="center"/>
                    <w:textAlignment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50</w:t>
                  </w:r>
                </w:p>
              </w:tc>
              <w:tc>
                <w:tcPr>
                  <w:tcW w:w="634" w:type="pct"/>
                  <w:vMerge w:val="continue"/>
                  <w:vAlign w:val="center"/>
                </w:tcPr>
                <w:p w14:paraId="2A5C00ED">
                  <w:pPr>
                    <w:widowControl/>
                    <w:jc w:val="center"/>
                    <w:textAlignment w:val="center"/>
                    <w:rPr>
                      <w:rFonts w:hint="default" w:ascii="Times New Roman" w:hAnsi="Times New Roman" w:cs="Times New Roman"/>
                      <w:sz w:val="21"/>
                      <w:szCs w:val="21"/>
                    </w:rPr>
                  </w:pPr>
                </w:p>
              </w:tc>
              <w:tc>
                <w:tcPr>
                  <w:tcW w:w="1111" w:type="pct"/>
                  <w:vAlign w:val="center"/>
                </w:tcPr>
                <w:p w14:paraId="690ACC87">
                  <w:pPr>
                    <w:jc w:val="center"/>
                    <w:rPr>
                      <w:rFonts w:hint="default" w:ascii="Times New Roman" w:hAnsi="Times New Roman" w:cs="Times New Roman"/>
                      <w:sz w:val="21"/>
                      <w:szCs w:val="21"/>
                    </w:rPr>
                  </w:pPr>
                  <w:r>
                    <w:rPr>
                      <w:rFonts w:hint="eastAsia" w:ascii="Times New Roman" w:hAnsi="Times New Roman" w:cs="Times New Roman"/>
                      <w:sz w:val="21"/>
                      <w:szCs w:val="21"/>
                      <w:lang w:eastAsia="zh-CN"/>
                    </w:rPr>
                    <w:t>纸箱装</w:t>
                  </w:r>
                </w:p>
              </w:tc>
            </w:tr>
            <w:tr w14:paraId="7EBF35F5">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12" w:type="pct"/>
                  <w:shd w:val="clear" w:color="auto" w:fill="auto"/>
                  <w:vAlign w:val="center"/>
                </w:tcPr>
                <w:p w14:paraId="44B3E6D5">
                  <w:pPr>
                    <w:widowControl/>
                    <w:jc w:val="center"/>
                    <w:textAlignment w:val="center"/>
                    <w:rPr>
                      <w:rFonts w:hint="default" w:ascii="Times New Roman" w:hAnsi="Times New Roman" w:eastAsia="宋体" w:cs="Times New Roman"/>
                      <w:kern w:val="0"/>
                      <w:sz w:val="21"/>
                      <w:szCs w:val="21"/>
                      <w:lang w:val="en-US" w:eastAsia="zh-CN" w:bidi="ar"/>
                    </w:rPr>
                  </w:pPr>
                  <w:r>
                    <w:rPr>
                      <w:rFonts w:hint="default" w:ascii="Times New Roman" w:hAnsi="Times New Roman" w:cs="Times New Roman"/>
                      <w:kern w:val="0"/>
                      <w:sz w:val="21"/>
                      <w:szCs w:val="21"/>
                      <w:lang w:bidi="ar"/>
                    </w:rPr>
                    <w:t>8</w:t>
                  </w:r>
                </w:p>
              </w:tc>
              <w:tc>
                <w:tcPr>
                  <w:tcW w:w="396" w:type="pct"/>
                  <w:vMerge w:val="restart"/>
                  <w:vAlign w:val="center"/>
                </w:tcPr>
                <w:p w14:paraId="6B4EC127">
                  <w:pPr>
                    <w:widowControl/>
                    <w:jc w:val="center"/>
                    <w:rPr>
                      <w:rFonts w:hint="eastAsia" w:ascii="Times New Roman" w:hAnsi="Times New Roman" w:eastAsia="宋体" w:cs="Times New Roman"/>
                      <w:kern w:val="0"/>
                      <w:sz w:val="21"/>
                      <w:szCs w:val="21"/>
                      <w:lang w:eastAsia="zh-CN" w:bidi="ar"/>
                    </w:rPr>
                  </w:pPr>
                  <w:r>
                    <w:rPr>
                      <w:rFonts w:hint="eastAsia" w:cs="Times New Roman"/>
                      <w:kern w:val="0"/>
                      <w:sz w:val="21"/>
                      <w:szCs w:val="21"/>
                      <w:lang w:eastAsia="zh-CN" w:bidi="ar"/>
                    </w:rPr>
                    <w:t>调配油漆</w:t>
                  </w:r>
                </w:p>
              </w:tc>
              <w:tc>
                <w:tcPr>
                  <w:tcW w:w="533" w:type="pct"/>
                  <w:vAlign w:val="center"/>
                </w:tcPr>
                <w:p w14:paraId="2BDF7C6C">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油</w:t>
                  </w:r>
                  <w:r>
                    <w:rPr>
                      <w:rFonts w:hint="eastAsia" w:cs="Times New Roman"/>
                      <w:color w:val="auto"/>
                      <w:kern w:val="0"/>
                      <w:sz w:val="21"/>
                      <w:szCs w:val="21"/>
                      <w:lang w:val="en-US" w:eastAsia="zh-CN"/>
                    </w:rPr>
                    <w:t>性</w:t>
                  </w:r>
                  <w:r>
                    <w:rPr>
                      <w:rFonts w:hint="default" w:ascii="Times New Roman" w:hAnsi="Times New Roman" w:cs="Times New Roman"/>
                      <w:color w:val="auto"/>
                      <w:kern w:val="0"/>
                      <w:sz w:val="21"/>
                      <w:szCs w:val="21"/>
                      <w:lang w:val="en-US" w:eastAsia="zh-CN"/>
                    </w:rPr>
                    <w:t>漆</w:t>
                  </w:r>
                </w:p>
              </w:tc>
              <w:tc>
                <w:tcPr>
                  <w:tcW w:w="478" w:type="pct"/>
                  <w:vAlign w:val="center"/>
                </w:tcPr>
                <w:p w14:paraId="354A221F">
                  <w:pPr>
                    <w:keepNext w:val="0"/>
                    <w:keepLines w:val="0"/>
                    <w:pageBreakBefore w:val="0"/>
                    <w:widowControl/>
                    <w:kinsoku/>
                    <w:wordWrap/>
                    <w:overflowPunct/>
                    <w:topLinePunct w:val="0"/>
                    <w:bidi w:val="0"/>
                    <w:adjustRightInd/>
                    <w:snapToGrid/>
                    <w:ind w:firstLine="0" w:firstLineChars="0"/>
                    <w:jc w:val="center"/>
                    <w:textAlignment w:val="auto"/>
                    <w:rPr>
                      <w:rStyle w:val="62"/>
                      <w:rFonts w:hint="default" w:ascii="Times New Roman" w:hAnsi="Times New Roman" w:cs="Times New Roman"/>
                      <w:color w:val="auto"/>
                      <w:sz w:val="21"/>
                      <w:szCs w:val="21"/>
                      <w:lang w:bidi="ar"/>
                    </w:rPr>
                  </w:pPr>
                  <w:r>
                    <w:rPr>
                      <w:rFonts w:hint="default" w:ascii="Times New Roman" w:hAnsi="Times New Roman" w:cs="Times New Roman"/>
                      <w:color w:val="auto"/>
                      <w:kern w:val="0"/>
                      <w:sz w:val="21"/>
                      <w:szCs w:val="21"/>
                      <w:lang w:val="en-US" w:eastAsia="zh-CN"/>
                    </w:rPr>
                    <w:t>t</w:t>
                  </w:r>
                </w:p>
              </w:tc>
              <w:tc>
                <w:tcPr>
                  <w:tcW w:w="532" w:type="pct"/>
                  <w:vAlign w:val="center"/>
                </w:tcPr>
                <w:p w14:paraId="621BF5EA">
                  <w:pPr>
                    <w:widowControl/>
                    <w:jc w:val="center"/>
                    <w:rPr>
                      <w:rStyle w:val="62"/>
                      <w:rFonts w:hint="default" w:ascii="Times New Roman" w:hAnsi="Times New Roman" w:cs="Times New Roman"/>
                      <w:color w:val="auto"/>
                      <w:sz w:val="21"/>
                      <w:szCs w:val="21"/>
                      <w:lang w:bidi="ar"/>
                    </w:rPr>
                  </w:pPr>
                  <w:r>
                    <w:rPr>
                      <w:rFonts w:hint="eastAsia" w:ascii="Times New Roman" w:hAnsi="Times New Roman"/>
                      <w:color w:val="auto"/>
                      <w:kern w:val="0"/>
                      <w:szCs w:val="21"/>
                      <w:lang w:val="en-US" w:eastAsia="zh-CN"/>
                    </w:rPr>
                    <w:t>0.5</w:t>
                  </w:r>
                </w:p>
              </w:tc>
              <w:tc>
                <w:tcPr>
                  <w:tcW w:w="900" w:type="pct"/>
                  <w:vAlign w:val="center"/>
                </w:tcPr>
                <w:p w14:paraId="3FFD5F03">
                  <w:pPr>
                    <w:widowControl/>
                    <w:jc w:val="center"/>
                    <w:textAlignment w:val="center"/>
                    <w:rPr>
                      <w:rFonts w:hint="default" w:ascii="Times New Roman" w:hAnsi="Times New Roman" w:eastAsia="宋体" w:cs="Times New Roman"/>
                      <w:kern w:val="0"/>
                      <w:sz w:val="21"/>
                      <w:szCs w:val="21"/>
                      <w:lang w:val="en-US" w:eastAsia="zh-CN"/>
                    </w:rPr>
                  </w:pPr>
                  <w:r>
                    <w:rPr>
                      <w:rFonts w:hint="eastAsia" w:ascii="Times New Roman" w:hAnsi="Times New Roman" w:cs="Times New Roman"/>
                      <w:kern w:val="0"/>
                      <w:sz w:val="21"/>
                      <w:szCs w:val="21"/>
                      <w:lang w:val="en-US" w:eastAsia="zh-CN"/>
                    </w:rPr>
                    <w:t>0.1</w:t>
                  </w:r>
                </w:p>
              </w:tc>
              <w:tc>
                <w:tcPr>
                  <w:tcW w:w="634" w:type="pct"/>
                  <w:vMerge w:val="restart"/>
                  <w:vAlign w:val="center"/>
                </w:tcPr>
                <w:p w14:paraId="002DB7E2">
                  <w:pPr>
                    <w:widowControl/>
                    <w:jc w:val="center"/>
                    <w:textAlignment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辅料暂存间</w:t>
                  </w:r>
                </w:p>
              </w:tc>
              <w:tc>
                <w:tcPr>
                  <w:tcW w:w="1111" w:type="pct"/>
                  <w:vAlign w:val="center"/>
                </w:tcPr>
                <w:p w14:paraId="48834C99">
                  <w:pPr>
                    <w:jc w:val="center"/>
                    <w:rPr>
                      <w:rFonts w:hint="default" w:ascii="Times New Roman" w:hAnsi="Times New Roman" w:cs="Times New Roman"/>
                      <w:sz w:val="21"/>
                      <w:szCs w:val="21"/>
                    </w:rPr>
                  </w:pPr>
                  <w:r>
                    <w:rPr>
                      <w:rFonts w:hint="default" w:ascii="Times New Roman" w:hAnsi="Times New Roman" w:cs="Times New Roman"/>
                      <w:sz w:val="21"/>
                      <w:szCs w:val="21"/>
                    </w:rPr>
                    <w:t>液体，25kg/桶装</w:t>
                  </w:r>
                </w:p>
              </w:tc>
            </w:tr>
            <w:tr w14:paraId="6771FFC1">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12" w:type="pct"/>
                  <w:shd w:val="clear" w:color="auto" w:fill="auto"/>
                  <w:vAlign w:val="center"/>
                </w:tcPr>
                <w:p w14:paraId="7D9B0C8B">
                  <w:pPr>
                    <w:widowControl/>
                    <w:jc w:val="center"/>
                    <w:textAlignment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9</w:t>
                  </w:r>
                </w:p>
              </w:tc>
              <w:tc>
                <w:tcPr>
                  <w:tcW w:w="396" w:type="pct"/>
                  <w:vMerge w:val="continue"/>
                  <w:shd w:val="clear" w:color="auto" w:fill="auto"/>
                  <w:vAlign w:val="center"/>
                </w:tcPr>
                <w:p w14:paraId="2117BE7B">
                  <w:pPr>
                    <w:pStyle w:val="87"/>
                    <w:widowControl/>
                    <w:autoSpaceDE w:val="0"/>
                    <w:autoSpaceDN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p>
              </w:tc>
              <w:tc>
                <w:tcPr>
                  <w:tcW w:w="533" w:type="pct"/>
                  <w:shd w:val="clear" w:color="auto" w:fill="auto"/>
                  <w:vAlign w:val="center"/>
                </w:tcPr>
                <w:p w14:paraId="76C53DE5">
                  <w:pPr>
                    <w:pStyle w:val="87"/>
                    <w:widowControl/>
                    <w:autoSpaceDE w:val="0"/>
                    <w:autoSpaceDN w:val="0"/>
                    <w:spacing w:line="240" w:lineRule="auto"/>
                    <w:ind w:firstLine="0" w:firstLineChars="0"/>
                    <w:jc w:val="center"/>
                    <w:textAlignment w:val="center"/>
                    <w:rPr>
                      <w:rFonts w:hint="eastAsia" w:cs="Times New Roman"/>
                      <w:color w:val="auto"/>
                      <w:sz w:val="21"/>
                      <w:szCs w:val="21"/>
                      <w:lang w:eastAsia="zh-CN"/>
                    </w:rPr>
                  </w:pPr>
                  <w:r>
                    <w:rPr>
                      <w:rFonts w:hint="eastAsia" w:cs="Times New Roman"/>
                      <w:color w:val="auto"/>
                      <w:sz w:val="21"/>
                      <w:szCs w:val="21"/>
                      <w:lang w:eastAsia="zh-CN"/>
                    </w:rPr>
                    <w:t>稀释剂</w:t>
                  </w:r>
                </w:p>
              </w:tc>
              <w:tc>
                <w:tcPr>
                  <w:tcW w:w="478" w:type="pct"/>
                  <w:shd w:val="clear" w:color="auto" w:fill="auto"/>
                  <w:vAlign w:val="center"/>
                </w:tcPr>
                <w:p w14:paraId="28CB5C03">
                  <w:pPr>
                    <w:keepNext w:val="0"/>
                    <w:keepLines w:val="0"/>
                    <w:pageBreakBefore w:val="0"/>
                    <w:widowControl/>
                    <w:kinsoku/>
                    <w:wordWrap/>
                    <w:overflowPunct/>
                    <w:topLinePunct w:val="0"/>
                    <w:bidi w:val="0"/>
                    <w:adjustRightInd/>
                    <w:snapToGrid/>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t</w:t>
                  </w:r>
                </w:p>
              </w:tc>
              <w:tc>
                <w:tcPr>
                  <w:tcW w:w="532" w:type="pct"/>
                  <w:shd w:val="clear" w:color="auto" w:fill="auto"/>
                  <w:vAlign w:val="center"/>
                </w:tcPr>
                <w:p w14:paraId="3E284B39">
                  <w:pPr>
                    <w:widowControl/>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0.05</w:t>
                  </w:r>
                </w:p>
              </w:tc>
              <w:tc>
                <w:tcPr>
                  <w:tcW w:w="900" w:type="pct"/>
                  <w:shd w:val="clear" w:color="auto" w:fill="auto"/>
                  <w:vAlign w:val="center"/>
                </w:tcPr>
                <w:p w14:paraId="5BF25ED3">
                  <w:pPr>
                    <w:widowControl/>
                    <w:jc w:val="center"/>
                    <w:textAlignment w:val="center"/>
                    <w:rPr>
                      <w:rFonts w:hint="eastAsia"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rPr>
                    <w:t>0.025</w:t>
                  </w:r>
                </w:p>
              </w:tc>
              <w:tc>
                <w:tcPr>
                  <w:tcW w:w="634" w:type="pct"/>
                  <w:vMerge w:val="continue"/>
                  <w:shd w:val="clear" w:color="auto" w:fill="auto"/>
                  <w:vAlign w:val="center"/>
                </w:tcPr>
                <w:p w14:paraId="20D1A809">
                  <w:pPr>
                    <w:widowControl/>
                    <w:jc w:val="center"/>
                    <w:textAlignment w:val="center"/>
                    <w:rPr>
                      <w:rFonts w:hint="default" w:ascii="Times New Roman" w:hAnsi="Times New Roman" w:eastAsia="宋体" w:cs="Times New Roman"/>
                      <w:kern w:val="2"/>
                      <w:sz w:val="21"/>
                      <w:szCs w:val="21"/>
                      <w:lang w:val="en-US" w:eastAsia="zh-CN" w:bidi="ar-SA"/>
                    </w:rPr>
                  </w:pPr>
                </w:p>
              </w:tc>
              <w:tc>
                <w:tcPr>
                  <w:tcW w:w="1111" w:type="pct"/>
                  <w:shd w:val="clear" w:color="auto" w:fill="auto"/>
                  <w:vAlign w:val="center"/>
                </w:tcPr>
                <w:p w14:paraId="0511778D">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液体，25kg/桶装</w:t>
                  </w:r>
                </w:p>
              </w:tc>
            </w:tr>
            <w:tr w14:paraId="0D03F803">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12" w:type="pct"/>
                  <w:shd w:val="clear" w:color="auto" w:fill="auto"/>
                  <w:vAlign w:val="center"/>
                </w:tcPr>
                <w:p w14:paraId="2D0B847F">
                  <w:pPr>
                    <w:widowControl/>
                    <w:jc w:val="center"/>
                    <w:textAlignment w:val="center"/>
                    <w:rPr>
                      <w:rFonts w:hint="default" w:ascii="Times New Roman" w:hAnsi="Times New Roman" w:eastAsia="宋体" w:cs="Times New Roman"/>
                      <w:kern w:val="0"/>
                      <w:sz w:val="21"/>
                      <w:szCs w:val="21"/>
                      <w:lang w:val="en-US" w:eastAsia="zh-CN" w:bidi="ar"/>
                    </w:rPr>
                  </w:pPr>
                  <w:r>
                    <w:rPr>
                      <w:rFonts w:hint="default" w:ascii="Times New Roman" w:hAnsi="Times New Roman" w:cs="Times New Roman"/>
                      <w:kern w:val="0"/>
                      <w:sz w:val="21"/>
                      <w:szCs w:val="21"/>
                      <w:lang w:val="en-US" w:eastAsia="zh-CN" w:bidi="ar"/>
                    </w:rPr>
                    <w:t>10</w:t>
                  </w:r>
                </w:p>
              </w:tc>
              <w:tc>
                <w:tcPr>
                  <w:tcW w:w="930" w:type="pct"/>
                  <w:gridSpan w:val="2"/>
                  <w:vAlign w:val="center"/>
                </w:tcPr>
                <w:p w14:paraId="5F89A261">
                  <w:pPr>
                    <w:pStyle w:val="87"/>
                    <w:widowControl/>
                    <w:autoSpaceDE w:val="0"/>
                    <w:autoSpaceDN w:val="0"/>
                    <w:spacing w:line="240" w:lineRule="auto"/>
                    <w:ind w:firstLine="0" w:firstLineChars="0"/>
                    <w:jc w:val="center"/>
                    <w:textAlignment w:val="center"/>
                    <w:rPr>
                      <w:rFonts w:hint="default" w:ascii="Times New Roman" w:hAnsi="Times New Roman" w:cs="Times New Roman"/>
                      <w:kern w:val="0"/>
                      <w:sz w:val="21"/>
                      <w:szCs w:val="21"/>
                    </w:rPr>
                  </w:pPr>
                  <w:r>
                    <w:rPr>
                      <w:rFonts w:hint="default" w:ascii="Times New Roman" w:hAnsi="Times New Roman" w:cs="Times New Roman"/>
                      <w:color w:val="auto"/>
                      <w:sz w:val="21"/>
                      <w:szCs w:val="21"/>
                    </w:rPr>
                    <w:t>焊丝</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焊条</w:t>
                  </w:r>
                </w:p>
              </w:tc>
              <w:tc>
                <w:tcPr>
                  <w:tcW w:w="478" w:type="pct"/>
                  <w:vAlign w:val="center"/>
                </w:tcPr>
                <w:p w14:paraId="4445C7FB">
                  <w:pPr>
                    <w:keepNext w:val="0"/>
                    <w:keepLines w:val="0"/>
                    <w:pageBreakBefore w:val="0"/>
                    <w:widowControl/>
                    <w:kinsoku/>
                    <w:wordWrap/>
                    <w:overflowPunct/>
                    <w:topLinePunct w:val="0"/>
                    <w:bidi w:val="0"/>
                    <w:adjustRightInd/>
                    <w:snapToGrid/>
                    <w:ind w:firstLine="0" w:firstLineChars="0"/>
                    <w:jc w:val="center"/>
                    <w:textAlignment w:val="auto"/>
                    <w:rPr>
                      <w:rStyle w:val="62"/>
                      <w:rFonts w:hint="default" w:ascii="Times New Roman" w:hAnsi="Times New Roman" w:cs="Times New Roman"/>
                      <w:color w:val="auto"/>
                      <w:sz w:val="21"/>
                      <w:szCs w:val="21"/>
                      <w:lang w:bidi="ar"/>
                    </w:rPr>
                  </w:pPr>
                  <w:r>
                    <w:rPr>
                      <w:rFonts w:hint="default" w:ascii="Times New Roman" w:hAnsi="Times New Roman" w:cs="Times New Roman"/>
                      <w:color w:val="auto"/>
                      <w:kern w:val="0"/>
                      <w:sz w:val="21"/>
                      <w:szCs w:val="21"/>
                      <w:lang w:val="en-US" w:eastAsia="zh-CN"/>
                    </w:rPr>
                    <w:t>t</w:t>
                  </w:r>
                </w:p>
              </w:tc>
              <w:tc>
                <w:tcPr>
                  <w:tcW w:w="532" w:type="pct"/>
                  <w:vAlign w:val="center"/>
                </w:tcPr>
                <w:p w14:paraId="30BB0CF7">
                  <w:pPr>
                    <w:widowControl/>
                    <w:jc w:val="center"/>
                    <w:rPr>
                      <w:rStyle w:val="62"/>
                      <w:rFonts w:hint="default" w:ascii="Times New Roman" w:hAnsi="Times New Roman" w:cs="Times New Roman"/>
                      <w:color w:val="auto"/>
                      <w:sz w:val="21"/>
                      <w:szCs w:val="21"/>
                      <w:lang w:val="en-US" w:bidi="ar"/>
                    </w:rPr>
                  </w:pPr>
                  <w:r>
                    <w:rPr>
                      <w:rFonts w:hint="eastAsia" w:ascii="Times New Roman" w:hAnsi="Times New Roman" w:eastAsia="宋体"/>
                      <w:color w:val="auto"/>
                      <w:kern w:val="0"/>
                      <w:szCs w:val="21"/>
                      <w:lang w:val="en-US" w:eastAsia="zh-CN"/>
                    </w:rPr>
                    <w:t>25</w:t>
                  </w:r>
                </w:p>
              </w:tc>
              <w:tc>
                <w:tcPr>
                  <w:tcW w:w="900" w:type="pct"/>
                  <w:vAlign w:val="center"/>
                </w:tcPr>
                <w:p w14:paraId="49C4C869">
                  <w:pPr>
                    <w:widowControl/>
                    <w:jc w:val="center"/>
                    <w:textAlignment w:val="center"/>
                    <w:rPr>
                      <w:rFonts w:hint="default" w:ascii="Times New Roman" w:hAnsi="Times New Roman" w:eastAsia="宋体" w:cs="Times New Roman"/>
                      <w:kern w:val="0"/>
                      <w:sz w:val="21"/>
                      <w:szCs w:val="21"/>
                      <w:lang w:val="en-US" w:eastAsia="zh-CN"/>
                    </w:rPr>
                  </w:pPr>
                  <w:r>
                    <w:rPr>
                      <w:rFonts w:hint="eastAsia" w:ascii="Times New Roman" w:hAnsi="Times New Roman" w:cs="Times New Roman"/>
                      <w:kern w:val="0"/>
                      <w:sz w:val="21"/>
                      <w:szCs w:val="21"/>
                      <w:lang w:val="en-US" w:eastAsia="zh-CN"/>
                    </w:rPr>
                    <w:t>6.5</w:t>
                  </w:r>
                </w:p>
              </w:tc>
              <w:tc>
                <w:tcPr>
                  <w:tcW w:w="634" w:type="pct"/>
                  <w:vMerge w:val="continue"/>
                  <w:vAlign w:val="center"/>
                </w:tcPr>
                <w:p w14:paraId="24845FDB">
                  <w:pPr>
                    <w:widowControl/>
                    <w:jc w:val="center"/>
                    <w:textAlignment w:val="center"/>
                    <w:rPr>
                      <w:rFonts w:hint="default" w:ascii="Times New Roman" w:hAnsi="Times New Roman" w:cs="Times New Roman"/>
                      <w:sz w:val="21"/>
                      <w:szCs w:val="21"/>
                    </w:rPr>
                  </w:pPr>
                </w:p>
              </w:tc>
              <w:tc>
                <w:tcPr>
                  <w:tcW w:w="1111" w:type="pct"/>
                  <w:vAlign w:val="center"/>
                </w:tcPr>
                <w:p w14:paraId="6AA46E09">
                  <w:pPr>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固体</w:t>
                  </w:r>
                  <w:r>
                    <w:rPr>
                      <w:rFonts w:hint="default" w:ascii="Times New Roman" w:hAnsi="Times New Roman" w:cs="Times New Roman"/>
                      <w:sz w:val="21"/>
                      <w:szCs w:val="21"/>
                    </w:rPr>
                    <w:t>，</w:t>
                  </w:r>
                  <w:r>
                    <w:rPr>
                      <w:rFonts w:hint="eastAsia" w:ascii="Times New Roman" w:hAnsi="Times New Roman" w:cs="Times New Roman"/>
                      <w:sz w:val="21"/>
                      <w:szCs w:val="21"/>
                      <w:lang w:eastAsia="zh-CN"/>
                    </w:rPr>
                    <w:t>袋装</w:t>
                  </w:r>
                </w:p>
              </w:tc>
            </w:tr>
            <w:tr w14:paraId="2611E1A4">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12" w:type="pct"/>
                  <w:shd w:val="clear" w:color="auto" w:fill="auto"/>
                  <w:vAlign w:val="center"/>
                </w:tcPr>
                <w:p w14:paraId="585C4DF3">
                  <w:pPr>
                    <w:widowControl/>
                    <w:jc w:val="center"/>
                    <w:textAlignment w:val="center"/>
                    <w:rPr>
                      <w:rFonts w:hint="default" w:ascii="Times New Roman" w:hAnsi="Times New Roman" w:eastAsia="宋体" w:cs="Times New Roman"/>
                      <w:kern w:val="0"/>
                      <w:sz w:val="21"/>
                      <w:szCs w:val="21"/>
                      <w:lang w:val="en-US" w:eastAsia="zh-CN" w:bidi="ar"/>
                    </w:rPr>
                  </w:pPr>
                  <w:r>
                    <w:rPr>
                      <w:rFonts w:hint="eastAsia" w:ascii="Times New Roman" w:hAnsi="Times New Roman" w:cs="Times New Roman"/>
                      <w:kern w:val="0"/>
                      <w:sz w:val="21"/>
                      <w:szCs w:val="21"/>
                      <w:lang w:val="en-US" w:eastAsia="zh-CN" w:bidi="ar"/>
                    </w:rPr>
                    <w:t>11</w:t>
                  </w:r>
                </w:p>
              </w:tc>
              <w:tc>
                <w:tcPr>
                  <w:tcW w:w="930" w:type="pct"/>
                  <w:gridSpan w:val="2"/>
                  <w:vAlign w:val="center"/>
                </w:tcPr>
                <w:p w14:paraId="24FF0EAF">
                  <w:pPr>
                    <w:pStyle w:val="87"/>
                    <w:widowControl/>
                    <w:autoSpaceDE w:val="0"/>
                    <w:autoSpaceDN w:val="0"/>
                    <w:spacing w:line="240" w:lineRule="auto"/>
                    <w:ind w:firstLine="0" w:firstLineChars="0"/>
                    <w:jc w:val="center"/>
                    <w:textAlignment w:val="center"/>
                    <w:rPr>
                      <w:rFonts w:hint="eastAsia" w:ascii="Times New Roman" w:hAnsi="Times New Roman" w:eastAsia="宋体" w:cs="Times New Roman"/>
                      <w:kern w:val="0"/>
                      <w:sz w:val="21"/>
                      <w:szCs w:val="21"/>
                      <w:lang w:eastAsia="zh-CN"/>
                    </w:rPr>
                  </w:pPr>
                  <w:r>
                    <w:rPr>
                      <w:rFonts w:hint="default" w:ascii="Times New Roman" w:hAnsi="Times New Roman" w:cs="Times New Roman"/>
                      <w:color w:val="auto"/>
                      <w:sz w:val="21"/>
                      <w:szCs w:val="21"/>
                    </w:rPr>
                    <w:t>水性</w:t>
                  </w:r>
                  <w:r>
                    <w:rPr>
                      <w:rFonts w:hint="eastAsia" w:ascii="Times New Roman" w:hAnsi="Times New Roman" w:cs="Times New Roman"/>
                      <w:color w:val="auto"/>
                      <w:sz w:val="21"/>
                      <w:szCs w:val="21"/>
                      <w:lang w:eastAsia="zh-CN"/>
                    </w:rPr>
                    <w:t>防腐涂料</w:t>
                  </w:r>
                </w:p>
              </w:tc>
              <w:tc>
                <w:tcPr>
                  <w:tcW w:w="478" w:type="pct"/>
                  <w:vAlign w:val="center"/>
                </w:tcPr>
                <w:p w14:paraId="71776EA3">
                  <w:pPr>
                    <w:keepNext w:val="0"/>
                    <w:keepLines w:val="0"/>
                    <w:pageBreakBefore w:val="0"/>
                    <w:widowControl/>
                    <w:kinsoku/>
                    <w:wordWrap/>
                    <w:overflowPunct/>
                    <w:topLinePunct w:val="0"/>
                    <w:bidi w:val="0"/>
                    <w:adjustRightInd/>
                    <w:snapToGrid/>
                    <w:ind w:firstLine="0" w:firstLineChars="0"/>
                    <w:jc w:val="center"/>
                    <w:textAlignment w:val="auto"/>
                    <w:rPr>
                      <w:rStyle w:val="62"/>
                      <w:rFonts w:hint="default" w:ascii="Times New Roman" w:hAnsi="Times New Roman" w:cs="Times New Roman"/>
                      <w:color w:val="auto"/>
                      <w:sz w:val="21"/>
                      <w:szCs w:val="21"/>
                      <w:lang w:bidi="ar"/>
                    </w:rPr>
                  </w:pPr>
                  <w:r>
                    <w:rPr>
                      <w:rFonts w:hint="default" w:ascii="Times New Roman" w:hAnsi="Times New Roman" w:cs="Times New Roman"/>
                      <w:color w:val="auto"/>
                      <w:kern w:val="0"/>
                      <w:sz w:val="21"/>
                      <w:szCs w:val="21"/>
                      <w:lang w:val="en-US" w:eastAsia="zh-CN"/>
                    </w:rPr>
                    <w:t>t</w:t>
                  </w:r>
                </w:p>
              </w:tc>
              <w:tc>
                <w:tcPr>
                  <w:tcW w:w="532" w:type="pct"/>
                  <w:vAlign w:val="center"/>
                </w:tcPr>
                <w:p w14:paraId="4AA3CC1A">
                  <w:pPr>
                    <w:widowControl/>
                    <w:jc w:val="center"/>
                    <w:rPr>
                      <w:rStyle w:val="62"/>
                      <w:rFonts w:hint="default" w:ascii="Times New Roman" w:hAnsi="Times New Roman" w:cs="Times New Roman"/>
                      <w:color w:val="auto"/>
                      <w:sz w:val="21"/>
                      <w:szCs w:val="21"/>
                      <w:lang w:val="en-US" w:bidi="ar"/>
                    </w:rPr>
                  </w:pPr>
                  <w:r>
                    <w:rPr>
                      <w:rFonts w:hint="eastAsia" w:ascii="Times New Roman" w:hAnsi="Times New Roman"/>
                      <w:color w:val="auto"/>
                      <w:kern w:val="0"/>
                      <w:szCs w:val="21"/>
                      <w:lang w:val="en-US" w:eastAsia="zh-CN"/>
                    </w:rPr>
                    <w:t>0.5</w:t>
                  </w:r>
                </w:p>
              </w:tc>
              <w:tc>
                <w:tcPr>
                  <w:tcW w:w="900" w:type="pct"/>
                  <w:vAlign w:val="center"/>
                </w:tcPr>
                <w:p w14:paraId="342B22B4">
                  <w:pPr>
                    <w:widowControl/>
                    <w:jc w:val="center"/>
                    <w:textAlignment w:val="center"/>
                    <w:rPr>
                      <w:rFonts w:hint="default" w:ascii="Times New Roman" w:hAnsi="Times New Roman" w:eastAsia="宋体" w:cs="Times New Roman"/>
                      <w:kern w:val="0"/>
                      <w:sz w:val="21"/>
                      <w:szCs w:val="21"/>
                      <w:lang w:val="en-US" w:eastAsia="zh-CN"/>
                    </w:rPr>
                  </w:pPr>
                  <w:r>
                    <w:rPr>
                      <w:rFonts w:hint="eastAsia" w:ascii="Times New Roman" w:hAnsi="Times New Roman" w:cs="Times New Roman"/>
                      <w:kern w:val="0"/>
                      <w:sz w:val="21"/>
                      <w:szCs w:val="21"/>
                      <w:lang w:val="en-US" w:eastAsia="zh-CN"/>
                    </w:rPr>
                    <w:t>0.1</w:t>
                  </w:r>
                </w:p>
              </w:tc>
              <w:tc>
                <w:tcPr>
                  <w:tcW w:w="634" w:type="pct"/>
                  <w:vMerge w:val="continue"/>
                  <w:vAlign w:val="center"/>
                </w:tcPr>
                <w:p w14:paraId="04CA74F3">
                  <w:pPr>
                    <w:widowControl/>
                    <w:jc w:val="center"/>
                    <w:textAlignment w:val="center"/>
                    <w:rPr>
                      <w:rFonts w:hint="default" w:ascii="Times New Roman" w:hAnsi="Times New Roman" w:cs="Times New Roman"/>
                      <w:sz w:val="21"/>
                      <w:szCs w:val="21"/>
                    </w:rPr>
                  </w:pPr>
                </w:p>
              </w:tc>
              <w:tc>
                <w:tcPr>
                  <w:tcW w:w="1111" w:type="pct"/>
                  <w:vAlign w:val="center"/>
                </w:tcPr>
                <w:p w14:paraId="0226D5AF">
                  <w:pPr>
                    <w:jc w:val="center"/>
                    <w:rPr>
                      <w:rFonts w:hint="default" w:ascii="Times New Roman" w:hAnsi="Times New Roman" w:cs="Times New Roman"/>
                      <w:sz w:val="21"/>
                      <w:szCs w:val="21"/>
                    </w:rPr>
                  </w:pPr>
                  <w:r>
                    <w:rPr>
                      <w:rFonts w:hint="default" w:ascii="Times New Roman" w:hAnsi="Times New Roman" w:cs="Times New Roman"/>
                      <w:sz w:val="21"/>
                      <w:szCs w:val="21"/>
                    </w:rPr>
                    <w:t>液体，25kg/桶装</w:t>
                  </w:r>
                </w:p>
              </w:tc>
            </w:tr>
            <w:tr w14:paraId="1A089645">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12" w:type="pct"/>
                  <w:shd w:val="clear" w:color="auto" w:fill="auto"/>
                  <w:vAlign w:val="center"/>
                </w:tcPr>
                <w:p w14:paraId="72009C64">
                  <w:pPr>
                    <w:widowControl/>
                    <w:jc w:val="center"/>
                    <w:textAlignment w:val="center"/>
                    <w:rPr>
                      <w:rFonts w:hint="default" w:ascii="Times New Roman" w:hAnsi="Times New Roman" w:eastAsia="宋体" w:cs="Times New Roman"/>
                      <w:kern w:val="0"/>
                      <w:sz w:val="21"/>
                      <w:szCs w:val="21"/>
                      <w:lang w:val="en-US" w:eastAsia="zh-CN" w:bidi="ar"/>
                    </w:rPr>
                  </w:pPr>
                  <w:r>
                    <w:rPr>
                      <w:rFonts w:hint="eastAsia" w:cs="Times New Roman"/>
                      <w:kern w:val="0"/>
                      <w:sz w:val="21"/>
                      <w:szCs w:val="21"/>
                      <w:lang w:val="en-US" w:eastAsia="zh-CN" w:bidi="ar"/>
                    </w:rPr>
                    <w:t>12</w:t>
                  </w:r>
                </w:p>
              </w:tc>
              <w:tc>
                <w:tcPr>
                  <w:tcW w:w="930" w:type="pct"/>
                  <w:gridSpan w:val="2"/>
                  <w:vAlign w:val="center"/>
                </w:tcPr>
                <w:p w14:paraId="1534EAC9">
                  <w:pPr>
                    <w:pStyle w:val="87"/>
                    <w:widowControl/>
                    <w:autoSpaceDE w:val="0"/>
                    <w:autoSpaceDN w:val="0"/>
                    <w:spacing w:line="240" w:lineRule="auto"/>
                    <w:ind w:firstLine="0" w:firstLineChars="0"/>
                    <w:jc w:val="center"/>
                    <w:textAlignment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润滑油</w:t>
                  </w:r>
                </w:p>
              </w:tc>
              <w:tc>
                <w:tcPr>
                  <w:tcW w:w="478" w:type="pct"/>
                  <w:vAlign w:val="center"/>
                </w:tcPr>
                <w:p w14:paraId="1508677D">
                  <w:pPr>
                    <w:keepNext w:val="0"/>
                    <w:keepLines w:val="0"/>
                    <w:pageBreakBefore w:val="0"/>
                    <w:widowControl/>
                    <w:kinsoku/>
                    <w:wordWrap/>
                    <w:overflowPunct/>
                    <w:topLinePunct w:val="0"/>
                    <w:bidi w:val="0"/>
                    <w:adjustRightInd/>
                    <w:snapToGrid/>
                    <w:ind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t</w:t>
                  </w:r>
                </w:p>
              </w:tc>
              <w:tc>
                <w:tcPr>
                  <w:tcW w:w="532" w:type="pct"/>
                  <w:vAlign w:val="center"/>
                </w:tcPr>
                <w:p w14:paraId="160F5C1E">
                  <w:pPr>
                    <w:widowControl/>
                    <w:jc w:val="center"/>
                    <w:rPr>
                      <w:rFonts w:hint="default" w:ascii="Times New Roman" w:hAnsi="Times New Roman"/>
                      <w:color w:val="auto"/>
                      <w:kern w:val="0"/>
                      <w:szCs w:val="21"/>
                      <w:lang w:val="en-US" w:eastAsia="zh-CN"/>
                    </w:rPr>
                  </w:pPr>
                  <w:r>
                    <w:rPr>
                      <w:rFonts w:hint="eastAsia" w:ascii="Times New Roman" w:hAnsi="Times New Roman"/>
                      <w:color w:val="auto"/>
                      <w:kern w:val="0"/>
                      <w:szCs w:val="21"/>
                      <w:lang w:val="en-US" w:eastAsia="zh-CN"/>
                    </w:rPr>
                    <w:t>2</w:t>
                  </w:r>
                </w:p>
              </w:tc>
              <w:tc>
                <w:tcPr>
                  <w:tcW w:w="900" w:type="pct"/>
                  <w:vAlign w:val="center"/>
                </w:tcPr>
                <w:p w14:paraId="67576210">
                  <w:pPr>
                    <w:widowControl/>
                    <w:jc w:val="center"/>
                    <w:textAlignment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0.4</w:t>
                  </w:r>
                </w:p>
              </w:tc>
              <w:tc>
                <w:tcPr>
                  <w:tcW w:w="634" w:type="pct"/>
                  <w:vMerge w:val="continue"/>
                  <w:vAlign w:val="center"/>
                </w:tcPr>
                <w:p w14:paraId="62F06716">
                  <w:pPr>
                    <w:widowControl/>
                    <w:jc w:val="center"/>
                    <w:textAlignment w:val="center"/>
                    <w:rPr>
                      <w:rFonts w:hint="default" w:ascii="Times New Roman" w:hAnsi="Times New Roman" w:cs="Times New Roman"/>
                      <w:sz w:val="21"/>
                      <w:szCs w:val="21"/>
                    </w:rPr>
                  </w:pPr>
                </w:p>
              </w:tc>
              <w:tc>
                <w:tcPr>
                  <w:tcW w:w="1111" w:type="pct"/>
                  <w:vAlign w:val="center"/>
                </w:tcPr>
                <w:p w14:paraId="3EA77825">
                  <w:pPr>
                    <w:jc w:val="center"/>
                    <w:rPr>
                      <w:rFonts w:hint="default" w:ascii="Times New Roman" w:hAnsi="Times New Roman" w:cs="Times New Roman"/>
                      <w:sz w:val="21"/>
                      <w:szCs w:val="21"/>
                    </w:rPr>
                  </w:pPr>
                  <w:r>
                    <w:rPr>
                      <w:rFonts w:hint="default" w:ascii="Times New Roman" w:hAnsi="Times New Roman" w:cs="Times New Roman"/>
                      <w:sz w:val="21"/>
                      <w:szCs w:val="21"/>
                    </w:rPr>
                    <w:t>液体，25kg/桶装</w:t>
                  </w:r>
                </w:p>
              </w:tc>
            </w:tr>
            <w:tr w14:paraId="71B00CFE">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12" w:type="pct"/>
                  <w:shd w:val="clear" w:color="auto" w:fill="auto"/>
                  <w:vAlign w:val="center"/>
                </w:tcPr>
                <w:p w14:paraId="769A9B3C">
                  <w:pPr>
                    <w:widowControl/>
                    <w:jc w:val="center"/>
                    <w:textAlignment w:val="center"/>
                    <w:rPr>
                      <w:rFonts w:hint="default" w:ascii="Times New Roman" w:hAnsi="Times New Roman" w:cs="Times New Roman"/>
                      <w:kern w:val="0"/>
                      <w:sz w:val="21"/>
                      <w:szCs w:val="21"/>
                      <w:lang w:val="en-US" w:eastAsia="zh-CN" w:bidi="ar"/>
                    </w:rPr>
                  </w:pPr>
                  <w:r>
                    <w:rPr>
                      <w:rFonts w:hint="eastAsia" w:cs="Times New Roman"/>
                      <w:kern w:val="0"/>
                      <w:sz w:val="21"/>
                      <w:szCs w:val="21"/>
                      <w:lang w:val="en-US" w:eastAsia="zh-CN" w:bidi="ar"/>
                    </w:rPr>
                    <w:t>13</w:t>
                  </w:r>
                </w:p>
              </w:tc>
              <w:tc>
                <w:tcPr>
                  <w:tcW w:w="930" w:type="pct"/>
                  <w:gridSpan w:val="2"/>
                  <w:vAlign w:val="center"/>
                </w:tcPr>
                <w:p w14:paraId="66DB1191">
                  <w:pPr>
                    <w:pStyle w:val="87"/>
                    <w:widowControl/>
                    <w:autoSpaceDE w:val="0"/>
                    <w:autoSpaceDN w:val="0"/>
                    <w:spacing w:line="240" w:lineRule="auto"/>
                    <w:ind w:firstLine="0" w:firstLineChars="0"/>
                    <w:jc w:val="center"/>
                    <w:textAlignment w:val="center"/>
                    <w:rPr>
                      <w:rFonts w:hint="eastAsia" w:ascii="Times New Roman" w:hAnsi="Times New Roman" w:cs="Times New Roman"/>
                      <w:color w:val="auto"/>
                      <w:sz w:val="21"/>
                      <w:szCs w:val="21"/>
                      <w:lang w:eastAsia="zh-CN"/>
                    </w:rPr>
                  </w:pPr>
                  <w:r>
                    <w:rPr>
                      <w:rFonts w:hint="eastAsia" w:cs="Times New Roman"/>
                      <w:color w:val="auto"/>
                      <w:sz w:val="21"/>
                      <w:szCs w:val="21"/>
                      <w:lang w:eastAsia="zh-CN"/>
                    </w:rPr>
                    <w:t>二氧化碳</w:t>
                  </w:r>
                </w:p>
              </w:tc>
              <w:tc>
                <w:tcPr>
                  <w:tcW w:w="478" w:type="pct"/>
                  <w:vAlign w:val="center"/>
                </w:tcPr>
                <w:p w14:paraId="1374EF74">
                  <w:pPr>
                    <w:keepNext w:val="0"/>
                    <w:keepLines w:val="0"/>
                    <w:pageBreakBefore w:val="0"/>
                    <w:widowControl/>
                    <w:kinsoku/>
                    <w:wordWrap/>
                    <w:overflowPunct/>
                    <w:topLinePunct w:val="0"/>
                    <w:bidi w:val="0"/>
                    <w:adjustRightInd/>
                    <w:snapToGrid/>
                    <w:ind w:firstLine="0" w:firstLineChars="0"/>
                    <w:jc w:val="center"/>
                    <w:textAlignment w:val="auto"/>
                    <w:rPr>
                      <w:rFonts w:hint="eastAsia"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瓶</w:t>
                  </w:r>
                </w:p>
              </w:tc>
              <w:tc>
                <w:tcPr>
                  <w:tcW w:w="532" w:type="pct"/>
                  <w:vAlign w:val="center"/>
                </w:tcPr>
                <w:p w14:paraId="27B5AE86">
                  <w:pPr>
                    <w:widowControl/>
                    <w:jc w:val="center"/>
                    <w:rPr>
                      <w:rFonts w:hint="default" w:ascii="Times New Roman" w:hAnsi="Times New Roman"/>
                      <w:color w:val="auto"/>
                      <w:kern w:val="0"/>
                      <w:szCs w:val="21"/>
                      <w:lang w:val="en-US" w:eastAsia="zh-CN"/>
                    </w:rPr>
                  </w:pPr>
                  <w:r>
                    <w:rPr>
                      <w:rFonts w:hint="eastAsia"/>
                      <w:color w:val="auto"/>
                      <w:kern w:val="0"/>
                      <w:szCs w:val="21"/>
                      <w:lang w:val="en-US" w:eastAsia="zh-CN"/>
                    </w:rPr>
                    <w:t>20</w:t>
                  </w:r>
                </w:p>
              </w:tc>
              <w:tc>
                <w:tcPr>
                  <w:tcW w:w="900" w:type="pct"/>
                  <w:vAlign w:val="center"/>
                </w:tcPr>
                <w:p w14:paraId="1E6005FA">
                  <w:pPr>
                    <w:widowControl/>
                    <w:jc w:val="center"/>
                    <w:textAlignment w:val="center"/>
                    <w:rPr>
                      <w:rFonts w:hint="default" w:ascii="Times New Roman" w:hAnsi="Times New Roman" w:cs="Times New Roman"/>
                      <w:kern w:val="0"/>
                      <w:sz w:val="21"/>
                      <w:szCs w:val="21"/>
                      <w:lang w:val="en-US" w:eastAsia="zh-CN"/>
                    </w:rPr>
                  </w:pPr>
                  <w:r>
                    <w:rPr>
                      <w:rFonts w:hint="eastAsia" w:cs="Times New Roman"/>
                      <w:kern w:val="0"/>
                      <w:sz w:val="21"/>
                      <w:szCs w:val="21"/>
                      <w:lang w:val="en-US" w:eastAsia="zh-CN"/>
                    </w:rPr>
                    <w:t>2</w:t>
                  </w:r>
                </w:p>
              </w:tc>
              <w:tc>
                <w:tcPr>
                  <w:tcW w:w="634" w:type="pct"/>
                  <w:vAlign w:val="center"/>
                </w:tcPr>
                <w:p w14:paraId="09690A20">
                  <w:pPr>
                    <w:widowControl/>
                    <w:jc w:val="center"/>
                    <w:textAlignment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1#厂房</w:t>
                  </w:r>
                </w:p>
              </w:tc>
              <w:tc>
                <w:tcPr>
                  <w:tcW w:w="1111" w:type="pct"/>
                  <w:vAlign w:val="center"/>
                </w:tcPr>
                <w:p w14:paraId="69BB5365">
                  <w:pPr>
                    <w:jc w:val="center"/>
                    <w:rPr>
                      <w:rFonts w:hint="default" w:ascii="Times New Roman" w:hAnsi="Times New Roman" w:eastAsia="宋体" w:cs="Times New Roman"/>
                      <w:sz w:val="21"/>
                      <w:szCs w:val="21"/>
                      <w:lang w:val="en-US" w:eastAsia="zh-CN"/>
                    </w:rPr>
                  </w:pPr>
                  <w:r>
                    <w:rPr>
                      <w:rFonts w:hint="eastAsia" w:cs="Times New Roman"/>
                      <w:sz w:val="21"/>
                      <w:szCs w:val="21"/>
                      <w:lang w:eastAsia="zh-CN"/>
                    </w:rPr>
                    <w:t>钢瓶，</w:t>
                  </w:r>
                  <w:r>
                    <w:rPr>
                      <w:rFonts w:hint="eastAsia" w:cs="Times New Roman"/>
                      <w:sz w:val="21"/>
                      <w:szCs w:val="21"/>
                      <w:lang w:val="en-US" w:eastAsia="zh-CN"/>
                    </w:rPr>
                    <w:t>15L/瓶</w:t>
                  </w:r>
                </w:p>
              </w:tc>
            </w:tr>
          </w:tbl>
          <w:p w14:paraId="424C2350">
            <w:pPr>
              <w:widowControl/>
              <w:adjustRightInd w:val="0"/>
              <w:snapToGrid w:val="0"/>
              <w:spacing w:line="360" w:lineRule="auto"/>
              <w:ind w:firstLine="480" w:firstLineChars="200"/>
              <w:rPr>
                <w:sz w:val="24"/>
              </w:rPr>
            </w:pPr>
            <w:r>
              <w:rPr>
                <w:rFonts w:hint="eastAsia"/>
                <w:sz w:val="24"/>
              </w:rPr>
              <w:t>主要原辅料成分理化性质如下：</w:t>
            </w:r>
          </w:p>
          <w:p w14:paraId="25605D11">
            <w:pPr>
              <w:widowControl/>
              <w:numPr>
                <w:ilvl w:val="0"/>
                <w:numId w:val="2"/>
              </w:numPr>
              <w:jc w:val="center"/>
              <w:rPr>
                <w:b/>
                <w:kern w:val="0"/>
                <w:szCs w:val="21"/>
              </w:rPr>
            </w:pPr>
            <w:r>
              <w:rPr>
                <w:rFonts w:hint="eastAsia"/>
                <w:b/>
                <w:kern w:val="0"/>
                <w:szCs w:val="21"/>
                <w:lang w:eastAsia="zh-CN"/>
              </w:rPr>
              <w:t>原辅料理化性质一览</w:t>
            </w:r>
            <w:r>
              <w:rPr>
                <w:b/>
                <w:kern w:val="0"/>
                <w:szCs w:val="21"/>
              </w:rPr>
              <w:t>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7"/>
              <w:gridCol w:w="1978"/>
              <w:gridCol w:w="3078"/>
              <w:gridCol w:w="1007"/>
              <w:gridCol w:w="1904"/>
            </w:tblGrid>
            <w:tr w14:paraId="5C9A6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6" w:type="pct"/>
                  <w:noWrap w:val="0"/>
                  <w:vAlign w:val="center"/>
                </w:tcPr>
                <w:p w14:paraId="2DC169B3">
                  <w:pPr>
                    <w:tabs>
                      <w:tab w:val="left" w:pos="825"/>
                    </w:tabs>
                    <w:jc w:val="center"/>
                    <w:rPr>
                      <w:b/>
                      <w:sz w:val="21"/>
                      <w:szCs w:val="21"/>
                    </w:rPr>
                  </w:pPr>
                  <w:r>
                    <w:rPr>
                      <w:b/>
                      <w:sz w:val="21"/>
                      <w:szCs w:val="21"/>
                    </w:rPr>
                    <w:t>名称</w:t>
                  </w:r>
                </w:p>
              </w:tc>
              <w:tc>
                <w:tcPr>
                  <w:tcW w:w="1145" w:type="pct"/>
                  <w:noWrap w:val="0"/>
                  <w:vAlign w:val="center"/>
                </w:tcPr>
                <w:p w14:paraId="3374509D">
                  <w:pPr>
                    <w:tabs>
                      <w:tab w:val="left" w:pos="825"/>
                    </w:tabs>
                    <w:jc w:val="center"/>
                    <w:rPr>
                      <w:rFonts w:hint="eastAsia"/>
                      <w:b/>
                      <w:sz w:val="21"/>
                      <w:szCs w:val="21"/>
                    </w:rPr>
                  </w:pPr>
                  <w:r>
                    <w:rPr>
                      <w:rFonts w:hint="eastAsia"/>
                      <w:b/>
                      <w:sz w:val="21"/>
                      <w:szCs w:val="21"/>
                    </w:rPr>
                    <w:t>主要成分</w:t>
                  </w:r>
                </w:p>
              </w:tc>
              <w:tc>
                <w:tcPr>
                  <w:tcW w:w="1782" w:type="pct"/>
                  <w:noWrap w:val="0"/>
                  <w:vAlign w:val="center"/>
                </w:tcPr>
                <w:p w14:paraId="6AFCC4CA">
                  <w:pPr>
                    <w:tabs>
                      <w:tab w:val="left" w:pos="825"/>
                    </w:tabs>
                    <w:jc w:val="center"/>
                    <w:rPr>
                      <w:b/>
                      <w:sz w:val="21"/>
                      <w:szCs w:val="21"/>
                    </w:rPr>
                  </w:pPr>
                  <w:r>
                    <w:rPr>
                      <w:b/>
                      <w:sz w:val="21"/>
                      <w:szCs w:val="21"/>
                    </w:rPr>
                    <w:t>理化特性</w:t>
                  </w:r>
                </w:p>
              </w:tc>
              <w:tc>
                <w:tcPr>
                  <w:tcW w:w="583" w:type="pct"/>
                  <w:noWrap w:val="0"/>
                  <w:vAlign w:val="center"/>
                </w:tcPr>
                <w:p w14:paraId="1B011A26">
                  <w:pPr>
                    <w:tabs>
                      <w:tab w:val="left" w:pos="825"/>
                    </w:tabs>
                    <w:jc w:val="center"/>
                    <w:rPr>
                      <w:b/>
                      <w:sz w:val="21"/>
                      <w:szCs w:val="21"/>
                    </w:rPr>
                  </w:pPr>
                  <w:r>
                    <w:rPr>
                      <w:rFonts w:hint="eastAsia"/>
                      <w:b/>
                      <w:sz w:val="21"/>
                      <w:szCs w:val="21"/>
                    </w:rPr>
                    <w:t>危险</w:t>
                  </w:r>
                  <w:r>
                    <w:rPr>
                      <w:b/>
                      <w:sz w:val="21"/>
                      <w:szCs w:val="21"/>
                    </w:rPr>
                    <w:t>特性</w:t>
                  </w:r>
                </w:p>
              </w:tc>
              <w:tc>
                <w:tcPr>
                  <w:tcW w:w="1102" w:type="pct"/>
                  <w:noWrap w:val="0"/>
                  <w:vAlign w:val="center"/>
                </w:tcPr>
                <w:p w14:paraId="2C7CC198">
                  <w:pPr>
                    <w:tabs>
                      <w:tab w:val="left" w:pos="825"/>
                    </w:tabs>
                    <w:jc w:val="center"/>
                    <w:rPr>
                      <w:b/>
                      <w:sz w:val="21"/>
                      <w:szCs w:val="21"/>
                    </w:rPr>
                  </w:pPr>
                  <w:r>
                    <w:rPr>
                      <w:b/>
                      <w:sz w:val="21"/>
                      <w:szCs w:val="21"/>
                    </w:rPr>
                    <w:t>毒理特性</w:t>
                  </w:r>
                </w:p>
              </w:tc>
            </w:tr>
            <w:tr w14:paraId="000ED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6" w:type="pct"/>
                  <w:noWrap w:val="0"/>
                  <w:vAlign w:val="center"/>
                </w:tcPr>
                <w:p w14:paraId="68E729C8">
                  <w:pPr>
                    <w:tabs>
                      <w:tab w:val="left" w:pos="825"/>
                    </w:tabs>
                    <w:jc w:val="center"/>
                    <w:rPr>
                      <w:rFonts w:hint="eastAsia"/>
                      <w:sz w:val="21"/>
                      <w:szCs w:val="21"/>
                    </w:rPr>
                  </w:pPr>
                  <w:r>
                    <w:rPr>
                      <w:rFonts w:hint="default" w:ascii="Times New Roman" w:hAnsi="Times New Roman" w:cs="Times New Roman"/>
                      <w:color w:val="auto"/>
                      <w:kern w:val="0"/>
                      <w:sz w:val="21"/>
                      <w:szCs w:val="21"/>
                      <w:lang w:val="en-US" w:eastAsia="zh-CN"/>
                    </w:rPr>
                    <w:t>油漆</w:t>
                  </w:r>
                </w:p>
              </w:tc>
              <w:tc>
                <w:tcPr>
                  <w:tcW w:w="1145" w:type="pct"/>
                  <w:noWrap w:val="0"/>
                  <w:vAlign w:val="center"/>
                </w:tcPr>
                <w:p w14:paraId="6C4292D0">
                  <w:pPr>
                    <w:widowControl/>
                    <w:jc w:val="center"/>
                    <w:textAlignment w:val="center"/>
                    <w:rPr>
                      <w:rFonts w:hint="eastAsia"/>
                      <w:kern w:val="0"/>
                      <w:sz w:val="21"/>
                      <w:szCs w:val="21"/>
                      <w:lang w:val="en-US" w:eastAsia="zh-CN" w:bidi="ar"/>
                    </w:rPr>
                  </w:pPr>
                  <w:r>
                    <w:rPr>
                      <w:rFonts w:hint="eastAsia"/>
                      <w:kern w:val="0"/>
                      <w:sz w:val="21"/>
                      <w:szCs w:val="21"/>
                      <w:lang w:eastAsia="zh-CN" w:bidi="ar"/>
                    </w:rPr>
                    <w:t>醇酸树脂</w:t>
                  </w:r>
                  <w:r>
                    <w:rPr>
                      <w:rFonts w:hint="eastAsia"/>
                      <w:kern w:val="0"/>
                      <w:sz w:val="21"/>
                      <w:szCs w:val="21"/>
                      <w:lang w:val="en-US" w:eastAsia="zh-CN" w:bidi="ar"/>
                    </w:rPr>
                    <w:t>60%</w:t>
                  </w:r>
                </w:p>
                <w:p w14:paraId="17CD3414">
                  <w:pPr>
                    <w:widowControl/>
                    <w:jc w:val="center"/>
                    <w:textAlignment w:val="center"/>
                    <w:rPr>
                      <w:rFonts w:hint="eastAsia"/>
                      <w:kern w:val="0"/>
                      <w:sz w:val="21"/>
                      <w:szCs w:val="21"/>
                      <w:lang w:val="en-US" w:eastAsia="zh-CN" w:bidi="ar"/>
                    </w:rPr>
                  </w:pPr>
                  <w:r>
                    <w:rPr>
                      <w:rFonts w:hint="eastAsia"/>
                      <w:kern w:val="0"/>
                      <w:sz w:val="21"/>
                      <w:szCs w:val="21"/>
                      <w:lang w:val="en-US" w:eastAsia="zh-CN" w:bidi="ar"/>
                    </w:rPr>
                    <w:t>二甲苯10%</w:t>
                  </w:r>
                </w:p>
                <w:p w14:paraId="0744BB20">
                  <w:pPr>
                    <w:widowControl/>
                    <w:jc w:val="center"/>
                    <w:textAlignment w:val="center"/>
                  </w:pPr>
                  <w:r>
                    <w:rPr>
                      <w:rFonts w:hint="eastAsia"/>
                      <w:kern w:val="0"/>
                      <w:sz w:val="21"/>
                      <w:szCs w:val="21"/>
                      <w:lang w:val="en-US" w:eastAsia="zh-CN" w:bidi="ar"/>
                    </w:rPr>
                    <w:t>200#溶剂10%</w:t>
                  </w:r>
                </w:p>
                <w:p w14:paraId="1EC2DC33">
                  <w:pPr>
                    <w:widowControl/>
                    <w:jc w:val="center"/>
                    <w:textAlignment w:val="center"/>
                    <w:rPr>
                      <w:rFonts w:hint="default" w:eastAsia="宋体"/>
                      <w:sz w:val="21"/>
                      <w:szCs w:val="21"/>
                      <w:lang w:val="en-US" w:eastAsia="zh-CN"/>
                    </w:rPr>
                  </w:pPr>
                  <w:r>
                    <w:rPr>
                      <w:rFonts w:hint="eastAsia"/>
                      <w:lang w:eastAsia="zh-CN"/>
                    </w:rPr>
                    <w:t>助剂</w:t>
                  </w:r>
                  <w:r>
                    <w:rPr>
                      <w:rFonts w:hint="eastAsia"/>
                      <w:lang w:val="en-US" w:eastAsia="zh-CN"/>
                    </w:rPr>
                    <w:t>20%</w:t>
                  </w:r>
                </w:p>
              </w:tc>
              <w:tc>
                <w:tcPr>
                  <w:tcW w:w="1782" w:type="pct"/>
                  <w:noWrap w:val="0"/>
                  <w:vAlign w:val="center"/>
                </w:tcPr>
                <w:p w14:paraId="131CFF4A">
                  <w:pPr>
                    <w:tabs>
                      <w:tab w:val="left" w:pos="825"/>
                    </w:tabs>
                    <w:jc w:val="center"/>
                    <w:rPr>
                      <w:rFonts w:hint="default" w:eastAsia="宋体"/>
                      <w:sz w:val="21"/>
                      <w:szCs w:val="21"/>
                      <w:shd w:val="clear" w:color="auto" w:fill="FFFFFF"/>
                      <w:lang w:val="en-US" w:eastAsia="zh-CN"/>
                    </w:rPr>
                  </w:pPr>
                  <w:r>
                    <w:rPr>
                      <w:rFonts w:hint="default" w:ascii="Times New Roman" w:hAnsi="Times New Roman" w:cs="Times New Roman"/>
                      <w:color w:val="auto"/>
                      <w:kern w:val="0"/>
                      <w:sz w:val="21"/>
                      <w:szCs w:val="21"/>
                      <w:lang w:val="en-US" w:eastAsia="zh-CN"/>
                    </w:rPr>
                    <w:t>油漆</w:t>
                  </w:r>
                  <w:r>
                    <w:rPr>
                      <w:rFonts w:hint="eastAsia" w:ascii="Times New Roman" w:hAnsi="Times New Roman" w:cs="Times New Roman"/>
                      <w:color w:val="auto"/>
                      <w:kern w:val="0"/>
                      <w:sz w:val="21"/>
                      <w:szCs w:val="21"/>
                      <w:lang w:val="en-US" w:eastAsia="zh-CN"/>
                    </w:rPr>
                    <w:t>整体为</w:t>
                  </w:r>
                  <w:r>
                    <w:rPr>
                      <w:rFonts w:hint="eastAsia"/>
                      <w:sz w:val="21"/>
                      <w:szCs w:val="21"/>
                      <w:shd w:val="clear" w:color="auto" w:fill="FFFFFF"/>
                    </w:rPr>
                    <w:t>均匀浆状液体，具有特殊芳香味</w:t>
                  </w:r>
                  <w:r>
                    <w:rPr>
                      <w:rFonts w:hint="eastAsia"/>
                      <w:sz w:val="21"/>
                      <w:szCs w:val="21"/>
                      <w:shd w:val="clear" w:color="auto" w:fill="FFFFFF"/>
                      <w:lang w:eastAsia="zh-CN"/>
                    </w:rPr>
                    <w:t>，易燃、具有刺激性，密度为</w:t>
                  </w:r>
                  <w:r>
                    <w:rPr>
                      <w:rFonts w:hint="eastAsia"/>
                      <w:sz w:val="21"/>
                      <w:szCs w:val="21"/>
                      <w:shd w:val="clear" w:color="auto" w:fill="FFFFFF"/>
                      <w:lang w:val="en-US" w:eastAsia="zh-CN"/>
                    </w:rPr>
                    <w:t>1.6g/m</w:t>
                  </w:r>
                  <w:r>
                    <w:rPr>
                      <w:rFonts w:hint="eastAsia"/>
                      <w:sz w:val="21"/>
                      <w:szCs w:val="21"/>
                      <w:shd w:val="clear" w:color="auto" w:fill="FFFFFF"/>
                      <w:vertAlign w:val="superscript"/>
                      <w:lang w:val="en-US" w:eastAsia="zh-CN"/>
                    </w:rPr>
                    <w:t>3</w:t>
                  </w:r>
                  <w:r>
                    <w:rPr>
                      <w:rFonts w:hint="eastAsia"/>
                      <w:sz w:val="21"/>
                      <w:szCs w:val="21"/>
                      <w:shd w:val="clear" w:color="auto" w:fill="FFFFFF"/>
                      <w:lang w:eastAsia="zh-CN"/>
                    </w:rPr>
                    <w:t>；醇酸树脂为黄褐色粘稠液体，易燃，闪点为</w:t>
                  </w:r>
                  <w:r>
                    <w:rPr>
                      <w:rFonts w:hint="eastAsia"/>
                      <w:sz w:val="21"/>
                      <w:szCs w:val="21"/>
                      <w:shd w:val="clear" w:color="auto" w:fill="FFFFFF"/>
                      <w:lang w:val="en-US" w:eastAsia="zh-CN"/>
                    </w:rPr>
                    <w:t>23~61℃；二甲苯为无色透明液体，闪点25℃，熔点0~35℃，沸点138.9℃，相对密度</w:t>
                  </w:r>
                  <w:r>
                    <w:rPr>
                      <w:rFonts w:hint="eastAsia" w:ascii="宋体" w:hAnsi="宋体" w:eastAsia="宋体" w:cs="宋体"/>
                      <w:sz w:val="21"/>
                      <w:szCs w:val="21"/>
                      <w:shd w:val="clear" w:color="auto" w:fill="FFFFFF"/>
                      <w:lang w:val="en-US" w:eastAsia="zh-CN"/>
                    </w:rPr>
                    <w:t>(</w:t>
                  </w:r>
                  <w:r>
                    <w:rPr>
                      <w:rFonts w:hint="eastAsia"/>
                      <w:sz w:val="21"/>
                      <w:szCs w:val="21"/>
                      <w:shd w:val="clear" w:color="auto" w:fill="FFFFFF"/>
                      <w:lang w:val="en-US" w:eastAsia="zh-CN"/>
                    </w:rPr>
                    <w:t>水=1</w:t>
                  </w:r>
                  <w:r>
                    <w:rPr>
                      <w:rFonts w:hint="eastAsia" w:ascii="宋体" w:hAnsi="宋体" w:eastAsia="宋体" w:cs="宋体"/>
                      <w:sz w:val="21"/>
                      <w:szCs w:val="21"/>
                      <w:shd w:val="clear" w:color="auto" w:fill="FFFFFF"/>
                      <w:lang w:val="en-US" w:eastAsia="zh-CN"/>
                    </w:rPr>
                    <w:t>)</w:t>
                  </w:r>
                  <w:r>
                    <w:rPr>
                      <w:rFonts w:hint="eastAsia"/>
                      <w:sz w:val="21"/>
                      <w:szCs w:val="21"/>
                      <w:shd w:val="clear" w:color="auto" w:fill="FFFFFF"/>
                      <w:lang w:val="en-US" w:eastAsia="zh-CN"/>
                    </w:rPr>
                    <w:t>0.86，易燃温度530℃；200#溶剂为无色或淡黄色透明液体，具有挥发性和易燃性，有特殊的臭味，沸点40-200℃，闪点33℃，爆炸极限1.3-6%，相对密度</w:t>
                  </w:r>
                  <w:r>
                    <w:rPr>
                      <w:rFonts w:hint="eastAsia" w:ascii="宋体" w:hAnsi="宋体" w:eastAsia="宋体" w:cs="宋体"/>
                      <w:sz w:val="21"/>
                      <w:szCs w:val="21"/>
                      <w:shd w:val="clear" w:color="auto" w:fill="FFFFFF"/>
                      <w:lang w:val="en-US" w:eastAsia="zh-CN"/>
                    </w:rPr>
                    <w:t>(</w:t>
                  </w:r>
                  <w:r>
                    <w:rPr>
                      <w:rFonts w:hint="eastAsia"/>
                      <w:sz w:val="21"/>
                      <w:szCs w:val="21"/>
                      <w:shd w:val="clear" w:color="auto" w:fill="FFFFFF"/>
                      <w:lang w:val="en-US" w:eastAsia="zh-CN"/>
                    </w:rPr>
                    <w:t>水=1</w:t>
                  </w:r>
                  <w:r>
                    <w:rPr>
                      <w:rFonts w:hint="eastAsia" w:ascii="宋体" w:hAnsi="宋体" w:eastAsia="宋体" w:cs="宋体"/>
                      <w:sz w:val="21"/>
                      <w:szCs w:val="21"/>
                      <w:shd w:val="clear" w:color="auto" w:fill="FFFFFF"/>
                      <w:lang w:val="en-US" w:eastAsia="zh-CN"/>
                    </w:rPr>
                    <w:t>)</w:t>
                  </w:r>
                  <w:r>
                    <w:rPr>
                      <w:rFonts w:hint="eastAsia"/>
                      <w:sz w:val="21"/>
                      <w:szCs w:val="21"/>
                      <w:shd w:val="clear" w:color="auto" w:fill="FFFFFF"/>
                      <w:lang w:val="en-US" w:eastAsia="zh-CN"/>
                    </w:rPr>
                    <w:t>0.71溶解性不溶于水，溶于多数有机溶剂引燃温度350℃</w:t>
                  </w:r>
                </w:p>
              </w:tc>
              <w:tc>
                <w:tcPr>
                  <w:tcW w:w="583" w:type="pct"/>
                  <w:noWrap w:val="0"/>
                  <w:vAlign w:val="center"/>
                </w:tcPr>
                <w:p w14:paraId="038FE054">
                  <w:pPr>
                    <w:tabs>
                      <w:tab w:val="left" w:pos="825"/>
                    </w:tabs>
                    <w:jc w:val="center"/>
                    <w:rPr>
                      <w:sz w:val="21"/>
                      <w:szCs w:val="21"/>
                    </w:rPr>
                  </w:pPr>
                  <w:r>
                    <w:rPr>
                      <w:sz w:val="21"/>
                      <w:szCs w:val="21"/>
                    </w:rPr>
                    <w:t>易燃</w:t>
                  </w:r>
                </w:p>
              </w:tc>
              <w:tc>
                <w:tcPr>
                  <w:tcW w:w="1102" w:type="pct"/>
                  <w:noWrap w:val="0"/>
                  <w:vAlign w:val="center"/>
                </w:tcPr>
                <w:p w14:paraId="59B1E906">
                  <w:pPr>
                    <w:widowControl/>
                    <w:jc w:val="center"/>
                    <w:textAlignment w:val="center"/>
                    <w:rPr>
                      <w:rFonts w:hint="default" w:ascii="Times New Roman" w:hAnsi="Times New Roman" w:eastAsia="宋体" w:cs="Times New Roman"/>
                      <w:kern w:val="0"/>
                      <w:sz w:val="21"/>
                      <w:szCs w:val="21"/>
                      <w:lang w:eastAsia="zh-CN" w:bidi="ar"/>
                    </w:rPr>
                  </w:pPr>
                  <w:r>
                    <w:rPr>
                      <w:rFonts w:hint="default" w:ascii="Times New Roman" w:hAnsi="Times New Roman" w:eastAsia="宋体" w:cs="Times New Roman"/>
                      <w:kern w:val="0"/>
                      <w:sz w:val="21"/>
                      <w:szCs w:val="21"/>
                      <w:lang w:eastAsia="zh-CN" w:bidi="ar"/>
                    </w:rPr>
                    <w:t>大鼠——经口：CDL0:5000mg/kg</w:t>
                  </w:r>
                </w:p>
                <w:p w14:paraId="5ABC1745">
                  <w:pPr>
                    <w:widowControl/>
                    <w:jc w:val="center"/>
                    <w:textAlignment w:val="center"/>
                    <w:rPr>
                      <w:rFonts w:hint="default" w:ascii="Times New Roman" w:hAnsi="Times New Roman" w:eastAsia="宋体" w:cs="Times New Roman"/>
                      <w:kern w:val="0"/>
                      <w:sz w:val="21"/>
                      <w:szCs w:val="21"/>
                      <w:lang w:eastAsia="zh-CN" w:bidi="ar"/>
                    </w:rPr>
                  </w:pPr>
                  <w:r>
                    <w:rPr>
                      <w:rFonts w:hint="default" w:ascii="Times New Roman" w:hAnsi="Times New Roman" w:eastAsia="宋体" w:cs="Times New Roman"/>
                      <w:kern w:val="0"/>
                      <w:sz w:val="21"/>
                      <w:szCs w:val="21"/>
                      <w:lang w:eastAsia="zh-CN" w:bidi="ar"/>
                    </w:rPr>
                    <w:t>大鼠——吸入：lclo:6125ppm/12h</w:t>
                  </w:r>
                </w:p>
                <w:p w14:paraId="7A429E4D">
                  <w:pPr>
                    <w:widowControl/>
                    <w:jc w:val="center"/>
                    <w:textAlignment w:val="center"/>
                    <w:rPr>
                      <w:rFonts w:hint="default" w:ascii="Times New Roman" w:hAnsi="Times New Roman" w:eastAsia="宋体" w:cs="Times New Roman"/>
                      <w:kern w:val="0"/>
                      <w:sz w:val="21"/>
                      <w:szCs w:val="21"/>
                      <w:lang w:eastAsia="zh-CN" w:bidi="ar"/>
                    </w:rPr>
                  </w:pPr>
                  <w:r>
                    <w:rPr>
                      <w:rFonts w:hint="default" w:ascii="Times New Roman" w:hAnsi="Times New Roman" w:eastAsia="宋体" w:cs="Times New Roman"/>
                      <w:kern w:val="0"/>
                      <w:sz w:val="21"/>
                      <w:szCs w:val="21"/>
                      <w:lang w:eastAsia="zh-CN" w:bidi="ar"/>
                    </w:rPr>
                    <w:t>小鼠——吸入：1clo:6920ppm</w:t>
                  </w:r>
                </w:p>
                <w:p w14:paraId="474FC400">
                  <w:pPr>
                    <w:widowControl/>
                    <w:jc w:val="center"/>
                    <w:textAlignment w:val="center"/>
                    <w:rPr>
                      <w:rFonts w:hint="eastAsia" w:eastAsia="仿宋_GB2312"/>
                      <w:sz w:val="21"/>
                      <w:szCs w:val="21"/>
                      <w:lang w:eastAsia="zh-CN"/>
                    </w:rPr>
                  </w:pPr>
                  <w:r>
                    <w:rPr>
                      <w:rFonts w:hint="default" w:ascii="Times New Roman" w:hAnsi="Times New Roman" w:eastAsia="宋体" w:cs="Times New Roman"/>
                      <w:kern w:val="0"/>
                      <w:sz w:val="21"/>
                      <w:szCs w:val="21"/>
                      <w:lang w:eastAsia="zh-CN" w:bidi="ar"/>
                    </w:rPr>
                    <w:t>兔——经皮LD50:14100mg/kg</w:t>
                  </w:r>
                </w:p>
              </w:tc>
            </w:tr>
            <w:tr w14:paraId="28D0A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6" w:type="pct"/>
                  <w:noWrap w:val="0"/>
                  <w:vAlign w:val="center"/>
                </w:tcPr>
                <w:p w14:paraId="1CA1C855">
                  <w:pPr>
                    <w:tabs>
                      <w:tab w:val="left" w:pos="825"/>
                    </w:tabs>
                    <w:jc w:val="center"/>
                    <w:rPr>
                      <w:rFonts w:hint="eastAsia"/>
                      <w:sz w:val="21"/>
                      <w:szCs w:val="21"/>
                      <w:shd w:val="clear" w:color="auto" w:fill="FFFFFF"/>
                    </w:rPr>
                  </w:pPr>
                  <w:r>
                    <w:rPr>
                      <w:rFonts w:hint="default" w:ascii="Times New Roman" w:hAnsi="Times New Roman" w:cs="Times New Roman"/>
                      <w:color w:val="auto"/>
                      <w:sz w:val="21"/>
                      <w:szCs w:val="21"/>
                    </w:rPr>
                    <w:t>水性</w:t>
                  </w:r>
                  <w:r>
                    <w:rPr>
                      <w:rFonts w:hint="eastAsia" w:ascii="Times New Roman" w:hAnsi="Times New Roman" w:cs="Times New Roman"/>
                      <w:color w:val="auto"/>
                      <w:sz w:val="21"/>
                      <w:szCs w:val="21"/>
                      <w:lang w:eastAsia="zh-CN"/>
                    </w:rPr>
                    <w:t>防腐涂料</w:t>
                  </w:r>
                </w:p>
              </w:tc>
              <w:tc>
                <w:tcPr>
                  <w:tcW w:w="1145" w:type="pct"/>
                  <w:noWrap w:val="0"/>
                  <w:vAlign w:val="center"/>
                </w:tcPr>
                <w:p w14:paraId="4F28AAD9">
                  <w:pPr>
                    <w:widowControl/>
                    <w:jc w:val="center"/>
                    <w:textAlignment w:val="center"/>
                    <w:rPr>
                      <w:rFonts w:hint="eastAsia" w:eastAsia="宋体"/>
                      <w:kern w:val="0"/>
                      <w:sz w:val="21"/>
                      <w:szCs w:val="21"/>
                      <w:lang w:val="en-US" w:eastAsia="zh-CN" w:bidi="ar"/>
                    </w:rPr>
                  </w:pPr>
                  <w:r>
                    <w:rPr>
                      <w:rFonts w:hint="eastAsia"/>
                      <w:kern w:val="0"/>
                      <w:sz w:val="21"/>
                      <w:szCs w:val="21"/>
                      <w:lang w:bidi="ar"/>
                    </w:rPr>
                    <w:t>乙二醇丁醚1.5</w:t>
                  </w:r>
                  <w:r>
                    <w:rPr>
                      <w:rFonts w:hint="eastAsia"/>
                      <w:kern w:val="0"/>
                      <w:sz w:val="21"/>
                      <w:szCs w:val="21"/>
                      <w:lang w:val="en-US" w:eastAsia="zh-CN" w:bidi="ar"/>
                    </w:rPr>
                    <w:t>%</w:t>
                  </w:r>
                </w:p>
                <w:p w14:paraId="7687E9CC">
                  <w:pPr>
                    <w:widowControl/>
                    <w:jc w:val="center"/>
                    <w:textAlignment w:val="center"/>
                    <w:rPr>
                      <w:rFonts w:hint="default" w:eastAsia="宋体"/>
                      <w:kern w:val="0"/>
                      <w:sz w:val="21"/>
                      <w:szCs w:val="21"/>
                      <w:lang w:val="en-US" w:eastAsia="zh-CN" w:bidi="ar"/>
                    </w:rPr>
                  </w:pPr>
                  <w:r>
                    <w:rPr>
                      <w:rFonts w:hint="eastAsia"/>
                      <w:kern w:val="0"/>
                      <w:sz w:val="21"/>
                      <w:szCs w:val="21"/>
                      <w:lang w:bidi="ar"/>
                    </w:rPr>
                    <w:t>涂料助剂0.5</w:t>
                  </w:r>
                  <w:r>
                    <w:rPr>
                      <w:rFonts w:hint="eastAsia"/>
                      <w:kern w:val="0"/>
                      <w:sz w:val="21"/>
                      <w:szCs w:val="21"/>
                      <w:lang w:val="en-US" w:eastAsia="zh-CN" w:bidi="ar"/>
                    </w:rPr>
                    <w:t>%</w:t>
                  </w:r>
                </w:p>
                <w:p w14:paraId="3B9A5AE5">
                  <w:pPr>
                    <w:widowControl/>
                    <w:jc w:val="center"/>
                    <w:textAlignment w:val="center"/>
                    <w:rPr>
                      <w:rFonts w:hint="eastAsia"/>
                      <w:kern w:val="0"/>
                      <w:sz w:val="21"/>
                      <w:szCs w:val="21"/>
                      <w:lang w:bidi="ar"/>
                    </w:rPr>
                  </w:pPr>
                  <w:r>
                    <w:rPr>
                      <w:rFonts w:hint="eastAsia"/>
                      <w:kern w:val="0"/>
                      <w:sz w:val="21"/>
                      <w:szCs w:val="21"/>
                      <w:lang w:bidi="ar"/>
                    </w:rPr>
                    <w:t>水性丙烯酸改性醇酸树脂63</w:t>
                  </w:r>
                  <w:r>
                    <w:rPr>
                      <w:rFonts w:hint="eastAsia"/>
                      <w:kern w:val="0"/>
                      <w:sz w:val="21"/>
                      <w:szCs w:val="21"/>
                      <w:lang w:val="en-US" w:eastAsia="zh-CN" w:bidi="ar"/>
                    </w:rPr>
                    <w:t>%</w:t>
                  </w:r>
                </w:p>
                <w:p w14:paraId="252AABC4">
                  <w:pPr>
                    <w:widowControl/>
                    <w:jc w:val="center"/>
                    <w:textAlignment w:val="center"/>
                    <w:rPr>
                      <w:rFonts w:hint="eastAsia" w:eastAsia="宋体"/>
                      <w:kern w:val="0"/>
                      <w:sz w:val="21"/>
                      <w:szCs w:val="21"/>
                      <w:lang w:val="en-US" w:eastAsia="zh-CN" w:bidi="ar"/>
                    </w:rPr>
                  </w:pPr>
                  <w:r>
                    <w:rPr>
                      <w:rFonts w:hint="eastAsia"/>
                      <w:kern w:val="0"/>
                      <w:sz w:val="21"/>
                      <w:szCs w:val="21"/>
                      <w:lang w:bidi="ar"/>
                    </w:rPr>
                    <w:t>丙二醇甲醚5</w:t>
                  </w:r>
                  <w:r>
                    <w:rPr>
                      <w:rFonts w:hint="eastAsia"/>
                      <w:kern w:val="0"/>
                      <w:sz w:val="21"/>
                      <w:szCs w:val="21"/>
                      <w:lang w:val="en-US" w:eastAsia="zh-CN" w:bidi="ar"/>
                    </w:rPr>
                    <w:t>%</w:t>
                  </w:r>
                </w:p>
                <w:p w14:paraId="5E63E6A2">
                  <w:pPr>
                    <w:widowControl/>
                    <w:jc w:val="center"/>
                    <w:textAlignment w:val="center"/>
                    <w:rPr>
                      <w:rFonts w:hint="eastAsia" w:eastAsia="宋体"/>
                      <w:kern w:val="0"/>
                      <w:sz w:val="21"/>
                      <w:szCs w:val="21"/>
                      <w:lang w:val="en-US" w:eastAsia="zh-CN" w:bidi="ar"/>
                    </w:rPr>
                  </w:pPr>
                  <w:r>
                    <w:rPr>
                      <w:rFonts w:hint="eastAsia"/>
                      <w:kern w:val="0"/>
                      <w:sz w:val="21"/>
                      <w:szCs w:val="21"/>
                      <w:lang w:bidi="ar"/>
                    </w:rPr>
                    <w:t>颜料30</w:t>
                  </w:r>
                  <w:r>
                    <w:rPr>
                      <w:rFonts w:hint="eastAsia"/>
                      <w:kern w:val="0"/>
                      <w:sz w:val="21"/>
                      <w:szCs w:val="21"/>
                      <w:lang w:val="en-US" w:eastAsia="zh-CN" w:bidi="ar"/>
                    </w:rPr>
                    <w:t>%</w:t>
                  </w:r>
                </w:p>
              </w:tc>
              <w:tc>
                <w:tcPr>
                  <w:tcW w:w="1782" w:type="pct"/>
                  <w:noWrap w:val="0"/>
                  <w:vAlign w:val="center"/>
                </w:tcPr>
                <w:p w14:paraId="253A6EAA">
                  <w:pPr>
                    <w:tabs>
                      <w:tab w:val="left" w:pos="825"/>
                    </w:tabs>
                    <w:jc w:val="center"/>
                    <w:rPr>
                      <w:rFonts w:hint="eastAsia" w:eastAsia="宋体"/>
                      <w:sz w:val="21"/>
                      <w:szCs w:val="21"/>
                      <w:shd w:val="clear" w:color="auto" w:fill="FFFFFF"/>
                      <w:lang w:eastAsia="zh-CN"/>
                    </w:rPr>
                  </w:pPr>
                  <w:r>
                    <w:rPr>
                      <w:spacing w:val="-4"/>
                    </w:rPr>
                    <w:t>粘稠液体</w:t>
                  </w:r>
                  <w:r>
                    <w:rPr>
                      <w:rFonts w:hint="eastAsia"/>
                      <w:spacing w:val="-4"/>
                      <w:lang w:eastAsia="zh-CN"/>
                    </w:rPr>
                    <w:t>，</w:t>
                  </w:r>
                  <w:r>
                    <w:rPr>
                      <w:spacing w:val="-1"/>
                    </w:rPr>
                    <w:t>相对密度</w:t>
                  </w:r>
                  <w:r>
                    <w:rPr>
                      <w:spacing w:val="-3"/>
                    </w:rPr>
                    <w:t>（</w:t>
                  </w:r>
                  <w:r>
                    <w:rPr>
                      <w:spacing w:val="-4"/>
                    </w:rPr>
                    <w:t>水=</w:t>
                  </w:r>
                  <w:r>
                    <w:rPr>
                      <w:spacing w:val="-2"/>
                    </w:rPr>
                    <w:t>1</w:t>
                  </w:r>
                  <w:r>
                    <w:rPr>
                      <w:spacing w:val="-108"/>
                    </w:rPr>
                    <w:t>）</w:t>
                  </w:r>
                  <w:r>
                    <w:rPr>
                      <w:rFonts w:hint="eastAsia"/>
                      <w:spacing w:val="-5"/>
                      <w:lang w:eastAsia="zh-CN"/>
                    </w:rPr>
                    <w:t>）：</w:t>
                  </w:r>
                  <w:r>
                    <w:rPr>
                      <w:spacing w:val="-2"/>
                    </w:rPr>
                    <w:t>1</w:t>
                  </w:r>
                  <w:r>
                    <w:rPr>
                      <w:spacing w:val="-5"/>
                    </w:rPr>
                    <w:t>.</w:t>
                  </w:r>
                  <w:r>
                    <w:rPr>
                      <w:spacing w:val="-2"/>
                    </w:rPr>
                    <w:t>1</w:t>
                  </w:r>
                  <w:r>
                    <w:rPr>
                      <w:rFonts w:hint="eastAsia"/>
                      <w:spacing w:val="-2"/>
                      <w:lang w:eastAsia="zh-CN"/>
                    </w:rPr>
                    <w:t>，稳定，</w:t>
                  </w:r>
                  <w:r>
                    <w:t>对中枢神经系统有麻醉作用，对皮肤、黏膜有刺激作用</w:t>
                  </w:r>
                </w:p>
              </w:tc>
              <w:tc>
                <w:tcPr>
                  <w:tcW w:w="583" w:type="pct"/>
                  <w:noWrap w:val="0"/>
                  <w:vAlign w:val="center"/>
                </w:tcPr>
                <w:p w14:paraId="74595D70">
                  <w:pPr>
                    <w:tabs>
                      <w:tab w:val="left" w:pos="825"/>
                    </w:tabs>
                    <w:jc w:val="center"/>
                    <w:rPr>
                      <w:rFonts w:hint="eastAsia"/>
                      <w:sz w:val="21"/>
                      <w:szCs w:val="21"/>
                    </w:rPr>
                  </w:pPr>
                  <w:r>
                    <w:rPr>
                      <w:rFonts w:hint="eastAsia"/>
                      <w:sz w:val="21"/>
                      <w:szCs w:val="21"/>
                    </w:rPr>
                    <w:t>不燃</w:t>
                  </w:r>
                </w:p>
              </w:tc>
              <w:tc>
                <w:tcPr>
                  <w:tcW w:w="1102" w:type="pct"/>
                  <w:noWrap w:val="0"/>
                  <w:vAlign w:val="center"/>
                </w:tcPr>
                <w:p w14:paraId="2A07ED81">
                  <w:pPr>
                    <w:widowControl/>
                    <w:jc w:val="center"/>
                    <w:textAlignment w:val="center"/>
                    <w:rPr>
                      <w:rFonts w:hint="eastAsia"/>
                      <w:kern w:val="0"/>
                      <w:sz w:val="21"/>
                      <w:szCs w:val="21"/>
                      <w:lang w:bidi="ar"/>
                    </w:rPr>
                  </w:pPr>
                  <w:r>
                    <w:rPr>
                      <w:rFonts w:hint="eastAsia"/>
                      <w:kern w:val="0"/>
                      <w:sz w:val="21"/>
                      <w:szCs w:val="21"/>
                      <w:lang w:bidi="ar"/>
                    </w:rPr>
                    <w:t>LD50：2500mg/kg(大鼠经口)；1200 mg/kg(小鼠经口)</w:t>
                  </w:r>
                </w:p>
                <w:p w14:paraId="07D24604">
                  <w:pPr>
                    <w:widowControl/>
                    <w:jc w:val="center"/>
                    <w:textAlignment w:val="center"/>
                    <w:rPr>
                      <w:rFonts w:hint="eastAsia"/>
                      <w:kern w:val="0"/>
                      <w:sz w:val="21"/>
                      <w:szCs w:val="21"/>
                      <w:lang w:bidi="ar"/>
                    </w:rPr>
                  </w:pPr>
                  <w:r>
                    <w:rPr>
                      <w:rFonts w:hint="eastAsia"/>
                      <w:kern w:val="0"/>
                      <w:sz w:val="21"/>
                      <w:szCs w:val="21"/>
                      <w:lang w:bidi="ar"/>
                    </w:rPr>
                    <w:t>LC50：无资料</w:t>
                  </w:r>
                </w:p>
              </w:tc>
            </w:tr>
            <w:tr w14:paraId="4E98D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6" w:type="pct"/>
                  <w:noWrap w:val="0"/>
                  <w:vAlign w:val="center"/>
                </w:tcPr>
                <w:p w14:paraId="27D2E57C">
                  <w:pPr>
                    <w:tabs>
                      <w:tab w:val="left" w:pos="825"/>
                    </w:tabs>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稀释剂</w:t>
                  </w:r>
                </w:p>
              </w:tc>
              <w:tc>
                <w:tcPr>
                  <w:tcW w:w="1145" w:type="pct"/>
                  <w:noWrap w:val="0"/>
                  <w:vAlign w:val="center"/>
                </w:tcPr>
                <w:p w14:paraId="5A9A0E5A">
                  <w:pPr>
                    <w:widowControl/>
                    <w:jc w:val="center"/>
                    <w:textAlignment w:val="center"/>
                    <w:rPr>
                      <w:rFonts w:hint="eastAsia"/>
                      <w:kern w:val="0"/>
                      <w:sz w:val="21"/>
                      <w:szCs w:val="21"/>
                      <w:lang w:bidi="ar"/>
                    </w:rPr>
                  </w:pPr>
                  <w:r>
                    <w:rPr>
                      <w:rFonts w:hint="eastAsia"/>
                      <w:kern w:val="0"/>
                      <w:sz w:val="21"/>
                      <w:szCs w:val="21"/>
                      <w:lang w:bidi="ar"/>
                    </w:rPr>
                    <w:t>二甲苯:30~50%</w:t>
                  </w:r>
                </w:p>
                <w:p w14:paraId="1D3837CE">
                  <w:pPr>
                    <w:widowControl/>
                    <w:jc w:val="center"/>
                    <w:textAlignment w:val="center"/>
                    <w:rPr>
                      <w:rFonts w:hint="eastAsia"/>
                      <w:kern w:val="0"/>
                      <w:sz w:val="21"/>
                      <w:szCs w:val="21"/>
                      <w:lang w:bidi="ar"/>
                    </w:rPr>
                  </w:pPr>
                  <w:r>
                    <w:rPr>
                      <w:rFonts w:hint="eastAsia"/>
                      <w:kern w:val="0"/>
                      <w:sz w:val="21"/>
                      <w:szCs w:val="21"/>
                      <w:lang w:bidi="ar"/>
                    </w:rPr>
                    <w:t>醋酸丁酯:20~40%</w:t>
                  </w:r>
                </w:p>
                <w:p w14:paraId="3C244939">
                  <w:pPr>
                    <w:widowControl/>
                    <w:jc w:val="center"/>
                    <w:textAlignment w:val="center"/>
                    <w:rPr>
                      <w:rFonts w:hint="eastAsia"/>
                      <w:kern w:val="0"/>
                      <w:sz w:val="21"/>
                      <w:szCs w:val="21"/>
                      <w:lang w:bidi="ar"/>
                    </w:rPr>
                  </w:pPr>
                  <w:r>
                    <w:rPr>
                      <w:rFonts w:hint="eastAsia"/>
                      <w:kern w:val="0"/>
                      <w:sz w:val="21"/>
                      <w:szCs w:val="21"/>
                      <w:lang w:bidi="ar"/>
                    </w:rPr>
                    <w:t>环己酮 20~40%</w:t>
                  </w:r>
                </w:p>
              </w:tc>
              <w:tc>
                <w:tcPr>
                  <w:tcW w:w="1782" w:type="pct"/>
                  <w:noWrap w:val="0"/>
                  <w:vAlign w:val="center"/>
                </w:tcPr>
                <w:p w14:paraId="6581F8EB">
                  <w:pPr>
                    <w:tabs>
                      <w:tab w:val="left" w:pos="825"/>
                    </w:tabs>
                    <w:jc w:val="both"/>
                    <w:rPr>
                      <w:rFonts w:hint="default" w:eastAsia="宋体"/>
                      <w:spacing w:val="-4"/>
                      <w:lang w:val="en-US" w:eastAsia="zh-CN"/>
                    </w:rPr>
                  </w:pPr>
                  <w:r>
                    <w:rPr>
                      <w:rFonts w:hint="eastAsia"/>
                      <w:spacing w:val="-4"/>
                      <w:lang w:eastAsia="zh-CN"/>
                    </w:rPr>
                    <w:t>透明粘稠液体，闪点</w:t>
                  </w:r>
                  <w:r>
                    <w:rPr>
                      <w:rFonts w:hint="eastAsia"/>
                      <w:spacing w:val="-4"/>
                      <w:lang w:val="en-US" w:eastAsia="zh-CN"/>
                    </w:rPr>
                    <w:t>28</w:t>
                  </w:r>
                  <w:r>
                    <w:rPr>
                      <w:rFonts w:hint="eastAsia"/>
                      <w:sz w:val="21"/>
                      <w:szCs w:val="21"/>
                      <w:shd w:val="clear" w:color="auto" w:fill="FFFFFF"/>
                      <w:lang w:val="en-US" w:eastAsia="zh-CN"/>
                    </w:rPr>
                    <w:t>℃，燃点500℃，相对密度0.8595，不溶于水</w:t>
                  </w:r>
                </w:p>
              </w:tc>
              <w:tc>
                <w:tcPr>
                  <w:tcW w:w="583" w:type="pct"/>
                  <w:noWrap w:val="0"/>
                  <w:vAlign w:val="center"/>
                </w:tcPr>
                <w:p w14:paraId="68D691C7">
                  <w:pPr>
                    <w:tabs>
                      <w:tab w:val="left" w:pos="825"/>
                    </w:tabs>
                    <w:jc w:val="center"/>
                    <w:rPr>
                      <w:rFonts w:hint="eastAsia" w:eastAsia="宋体"/>
                      <w:sz w:val="21"/>
                      <w:szCs w:val="21"/>
                      <w:lang w:eastAsia="zh-CN"/>
                    </w:rPr>
                  </w:pPr>
                  <w:r>
                    <w:rPr>
                      <w:rFonts w:hint="eastAsia"/>
                      <w:sz w:val="21"/>
                      <w:szCs w:val="21"/>
                      <w:lang w:eastAsia="zh-CN"/>
                    </w:rPr>
                    <w:t>易燃</w:t>
                  </w:r>
                </w:p>
              </w:tc>
              <w:tc>
                <w:tcPr>
                  <w:tcW w:w="1102" w:type="pct"/>
                  <w:noWrap w:val="0"/>
                  <w:vAlign w:val="center"/>
                </w:tcPr>
                <w:p w14:paraId="6DBC8FB2">
                  <w:pPr>
                    <w:widowControl/>
                    <w:jc w:val="center"/>
                    <w:textAlignment w:val="center"/>
                    <w:rPr>
                      <w:rFonts w:hint="eastAsia"/>
                      <w:kern w:val="0"/>
                      <w:sz w:val="21"/>
                      <w:szCs w:val="21"/>
                      <w:lang w:bidi="ar"/>
                    </w:rPr>
                  </w:pPr>
                  <w:r>
                    <w:rPr>
                      <w:rFonts w:hint="eastAsia"/>
                      <w:kern w:val="0"/>
                      <w:sz w:val="21"/>
                      <w:szCs w:val="21"/>
                      <w:lang w:bidi="ar"/>
                    </w:rPr>
                    <w:t>产品在燃烧时会释放有毒或高度毒性气体</w:t>
                  </w:r>
                </w:p>
              </w:tc>
            </w:tr>
          </w:tbl>
          <w:p w14:paraId="230AD043">
            <w:pPr>
              <w:widowControl/>
              <w:numPr>
                <w:ilvl w:val="0"/>
                <w:numId w:val="0"/>
              </w:numPr>
              <w:adjustRightInd w:val="0"/>
              <w:snapToGrid w:val="0"/>
              <w:spacing w:line="360" w:lineRule="auto"/>
              <w:ind w:firstLine="482" w:firstLineChars="200"/>
              <w:rPr>
                <w:b/>
                <w:bCs/>
                <w:sz w:val="24"/>
              </w:rPr>
            </w:pPr>
            <w:r>
              <w:rPr>
                <w:rFonts w:hint="eastAsia" w:ascii="Times New Roman" w:hAnsi="Times New Roman" w:eastAsia="宋体" w:cs="Times New Roman"/>
                <w:b/>
                <w:bCs/>
                <w:kern w:val="2"/>
                <w:sz w:val="24"/>
                <w:szCs w:val="24"/>
                <w:lang w:val="en-US" w:eastAsia="zh-CN" w:bidi="ar-SA"/>
              </w:rPr>
              <w:t>（</w:t>
            </w:r>
            <w:r>
              <w:rPr>
                <w:rFonts w:hint="eastAsia" w:cs="Times New Roman"/>
                <w:b/>
                <w:bCs/>
                <w:kern w:val="2"/>
                <w:sz w:val="24"/>
                <w:szCs w:val="24"/>
                <w:lang w:val="en-US" w:eastAsia="zh-CN" w:bidi="ar-SA"/>
              </w:rPr>
              <w:t>六</w:t>
            </w:r>
            <w:r>
              <w:rPr>
                <w:rFonts w:hint="eastAsia" w:ascii="Times New Roman" w:hAnsi="Times New Roman" w:eastAsia="宋体" w:cs="Times New Roman"/>
                <w:b/>
                <w:bCs/>
                <w:kern w:val="2"/>
                <w:sz w:val="24"/>
                <w:szCs w:val="24"/>
                <w:lang w:val="en-US" w:eastAsia="zh-CN" w:bidi="ar-SA"/>
              </w:rPr>
              <w:t>）</w:t>
            </w:r>
            <w:r>
              <w:rPr>
                <w:rFonts w:hint="eastAsia"/>
                <w:b/>
                <w:bCs/>
                <w:sz w:val="24"/>
              </w:rPr>
              <w:t>主要生产设施</w:t>
            </w:r>
          </w:p>
          <w:p w14:paraId="53AB0CB9">
            <w:pPr>
              <w:pStyle w:val="66"/>
              <w:ind w:firstLine="480" w:firstLineChars="200"/>
              <w:jc w:val="both"/>
              <w:rPr>
                <w:b w:val="0"/>
                <w:bCs w:val="0"/>
              </w:rPr>
            </w:pPr>
            <w:r>
              <w:rPr>
                <w:b w:val="0"/>
                <w:bCs w:val="0"/>
              </w:rPr>
              <w:t>本项目主要生产设施见下表：</w:t>
            </w:r>
          </w:p>
          <w:p w14:paraId="636FE9EC">
            <w:pPr>
              <w:widowControl/>
              <w:numPr>
                <w:ilvl w:val="0"/>
                <w:numId w:val="2"/>
              </w:numPr>
              <w:jc w:val="center"/>
              <w:rPr>
                <w:b/>
                <w:kern w:val="0"/>
                <w:szCs w:val="21"/>
              </w:rPr>
            </w:pPr>
            <w:r>
              <w:rPr>
                <w:b/>
                <w:kern w:val="0"/>
                <w:szCs w:val="21"/>
              </w:rPr>
              <w:t xml:space="preserve">  项目主要生产设施一览表</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4"/>
              <w:gridCol w:w="1728"/>
              <w:gridCol w:w="1740"/>
              <w:gridCol w:w="1724"/>
              <w:gridCol w:w="1721"/>
            </w:tblGrid>
            <w:tr w14:paraId="45D29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1" w:type="dxa"/>
                  <w:noWrap w:val="0"/>
                  <w:vAlign w:val="center"/>
                </w:tcPr>
                <w:p w14:paraId="39FB95A6">
                  <w:pPr>
                    <w:keepNext w:val="0"/>
                    <w:keepLines w:val="0"/>
                    <w:pageBreakBefore w:val="0"/>
                    <w:kinsoku/>
                    <w:wordWrap/>
                    <w:overflowPunct/>
                    <w:topLinePunct w:val="0"/>
                    <w:autoSpaceDE/>
                    <w:autoSpaceDN/>
                    <w:bidi w:val="0"/>
                    <w:adjustRightInd/>
                    <w:snapToGrid/>
                    <w:spacing w:line="240" w:lineRule="auto"/>
                    <w:jc w:val="center"/>
                    <w:rPr>
                      <w:rFonts w:ascii="Arial" w:hAnsi="Arial" w:cs="Arial"/>
                      <w:color w:val="auto"/>
                      <w:kern w:val="2"/>
                      <w:sz w:val="21"/>
                      <w:szCs w:val="21"/>
                      <w:lang w:val="en-US" w:eastAsia="zh-CN" w:bidi="ar-SA"/>
                    </w:rPr>
                  </w:pPr>
                  <w:r>
                    <w:rPr>
                      <w:color w:val="auto"/>
                      <w:sz w:val="21"/>
                      <w:szCs w:val="21"/>
                    </w:rPr>
                    <w:t>设备名称</w:t>
                  </w:r>
                </w:p>
              </w:tc>
              <w:tc>
                <w:tcPr>
                  <w:tcW w:w="1742" w:type="dxa"/>
                  <w:noWrap w:val="0"/>
                  <w:vAlign w:val="center"/>
                </w:tcPr>
                <w:p w14:paraId="754148CB">
                  <w:pPr>
                    <w:keepNext w:val="0"/>
                    <w:keepLines w:val="0"/>
                    <w:pageBreakBefore w:val="0"/>
                    <w:kinsoku/>
                    <w:wordWrap/>
                    <w:overflowPunct/>
                    <w:topLinePunct w:val="0"/>
                    <w:autoSpaceDE/>
                    <w:autoSpaceDN/>
                    <w:bidi w:val="0"/>
                    <w:adjustRightInd/>
                    <w:snapToGrid/>
                    <w:spacing w:line="240" w:lineRule="auto"/>
                    <w:jc w:val="center"/>
                    <w:rPr>
                      <w:rFonts w:hint="eastAsia" w:ascii="Arial" w:hAnsi="Arial" w:eastAsia="宋体" w:cs="Arial"/>
                      <w:color w:val="auto"/>
                      <w:kern w:val="2"/>
                      <w:sz w:val="21"/>
                      <w:szCs w:val="21"/>
                      <w:lang w:val="en-US" w:eastAsia="zh-CN" w:bidi="ar-SA"/>
                    </w:rPr>
                  </w:pPr>
                  <w:r>
                    <w:rPr>
                      <w:color w:val="auto"/>
                      <w:sz w:val="21"/>
                      <w:szCs w:val="21"/>
                    </w:rPr>
                    <w:t>单位</w:t>
                  </w:r>
                  <w:r>
                    <w:rPr>
                      <w:rFonts w:hint="eastAsia"/>
                      <w:color w:val="auto"/>
                      <w:sz w:val="21"/>
                      <w:szCs w:val="21"/>
                      <w:lang w:eastAsia="zh-CN"/>
                    </w:rPr>
                    <w:t>（台</w:t>
                  </w:r>
                  <w:r>
                    <w:rPr>
                      <w:rFonts w:hint="eastAsia"/>
                      <w:color w:val="auto"/>
                      <w:sz w:val="21"/>
                      <w:szCs w:val="21"/>
                      <w:lang w:val="en-US" w:eastAsia="zh-CN"/>
                    </w:rPr>
                    <w:t>/套</w:t>
                  </w:r>
                  <w:r>
                    <w:rPr>
                      <w:rFonts w:hint="eastAsia"/>
                      <w:color w:val="auto"/>
                      <w:sz w:val="21"/>
                      <w:szCs w:val="21"/>
                      <w:lang w:eastAsia="zh-CN"/>
                    </w:rPr>
                    <w:t>）</w:t>
                  </w:r>
                </w:p>
              </w:tc>
              <w:tc>
                <w:tcPr>
                  <w:tcW w:w="1742" w:type="dxa"/>
                  <w:noWrap w:val="0"/>
                  <w:vAlign w:val="center"/>
                </w:tcPr>
                <w:p w14:paraId="2754B0E7">
                  <w:pPr>
                    <w:keepNext w:val="0"/>
                    <w:keepLines w:val="0"/>
                    <w:pageBreakBefore w:val="0"/>
                    <w:kinsoku/>
                    <w:wordWrap/>
                    <w:overflowPunct/>
                    <w:topLinePunct w:val="0"/>
                    <w:autoSpaceDE/>
                    <w:autoSpaceDN/>
                    <w:bidi w:val="0"/>
                    <w:adjustRightInd/>
                    <w:snapToGrid/>
                    <w:spacing w:line="240" w:lineRule="auto"/>
                    <w:jc w:val="center"/>
                    <w:rPr>
                      <w:rFonts w:ascii="Arial" w:hAnsi="Arial" w:cs="Arial"/>
                      <w:color w:val="auto"/>
                      <w:kern w:val="2"/>
                      <w:sz w:val="21"/>
                      <w:szCs w:val="21"/>
                      <w:lang w:val="en-US" w:eastAsia="zh-CN" w:bidi="ar-SA"/>
                    </w:rPr>
                  </w:pPr>
                  <w:r>
                    <w:rPr>
                      <w:rFonts w:hint="eastAsia"/>
                      <w:color w:val="auto"/>
                      <w:sz w:val="21"/>
                      <w:szCs w:val="21"/>
                    </w:rPr>
                    <w:t>规格和</w:t>
                  </w:r>
                  <w:r>
                    <w:rPr>
                      <w:color w:val="auto"/>
                      <w:sz w:val="21"/>
                      <w:szCs w:val="21"/>
                    </w:rPr>
                    <w:t>型号</w:t>
                  </w:r>
                </w:p>
              </w:tc>
              <w:tc>
                <w:tcPr>
                  <w:tcW w:w="1740" w:type="dxa"/>
                  <w:noWrap w:val="0"/>
                  <w:vAlign w:val="center"/>
                </w:tcPr>
                <w:p w14:paraId="1E44D390">
                  <w:pPr>
                    <w:keepNext w:val="0"/>
                    <w:keepLines w:val="0"/>
                    <w:pageBreakBefore w:val="0"/>
                    <w:kinsoku/>
                    <w:wordWrap/>
                    <w:overflowPunct/>
                    <w:topLinePunct w:val="0"/>
                    <w:autoSpaceDE/>
                    <w:autoSpaceDN/>
                    <w:bidi w:val="0"/>
                    <w:adjustRightInd/>
                    <w:snapToGrid/>
                    <w:spacing w:line="240" w:lineRule="auto"/>
                    <w:jc w:val="center"/>
                    <w:rPr>
                      <w:rFonts w:ascii="Arial" w:hAnsi="Arial" w:cs="Arial"/>
                      <w:color w:val="auto"/>
                      <w:kern w:val="2"/>
                      <w:sz w:val="21"/>
                      <w:szCs w:val="21"/>
                      <w:lang w:val="en-US" w:eastAsia="zh-CN" w:bidi="ar-SA"/>
                    </w:rPr>
                  </w:pPr>
                  <w:r>
                    <w:rPr>
                      <w:color w:val="auto"/>
                      <w:sz w:val="21"/>
                      <w:szCs w:val="21"/>
                    </w:rPr>
                    <w:t>数量</w:t>
                  </w:r>
                </w:p>
              </w:tc>
              <w:tc>
                <w:tcPr>
                  <w:tcW w:w="1737" w:type="dxa"/>
                  <w:noWrap w:val="0"/>
                  <w:vAlign w:val="center"/>
                </w:tcPr>
                <w:p w14:paraId="13D5F4C6">
                  <w:pPr>
                    <w:keepNext w:val="0"/>
                    <w:keepLines w:val="0"/>
                    <w:pageBreakBefore w:val="0"/>
                    <w:kinsoku/>
                    <w:wordWrap/>
                    <w:overflowPunct/>
                    <w:topLinePunct w:val="0"/>
                    <w:autoSpaceDE/>
                    <w:autoSpaceDN/>
                    <w:bidi w:val="0"/>
                    <w:adjustRightInd/>
                    <w:snapToGrid/>
                    <w:spacing w:line="240" w:lineRule="auto"/>
                    <w:jc w:val="center"/>
                    <w:rPr>
                      <w:rFonts w:hint="eastAsia" w:eastAsia="宋体"/>
                      <w:color w:val="auto"/>
                      <w:sz w:val="21"/>
                      <w:szCs w:val="21"/>
                      <w:lang w:eastAsia="zh-CN"/>
                    </w:rPr>
                  </w:pPr>
                  <w:r>
                    <w:rPr>
                      <w:rFonts w:hint="eastAsia"/>
                      <w:color w:val="auto"/>
                      <w:sz w:val="21"/>
                      <w:szCs w:val="21"/>
                      <w:lang w:eastAsia="zh-CN"/>
                    </w:rPr>
                    <w:t>位置</w:t>
                  </w:r>
                </w:p>
              </w:tc>
            </w:tr>
            <w:tr w14:paraId="086AC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1" w:type="dxa"/>
                  <w:noWrap w:val="0"/>
                  <w:vAlign w:val="center"/>
                </w:tcPr>
                <w:p w14:paraId="15E6C8E2">
                  <w:pPr>
                    <w:pStyle w:val="87"/>
                    <w:keepNext w:val="0"/>
                    <w:keepLines w:val="0"/>
                    <w:pageBreakBefore w:val="0"/>
                    <w:widowControl/>
                    <w:kinsoku/>
                    <w:wordWrap/>
                    <w:overflowPunct/>
                    <w:topLinePunct w:val="0"/>
                    <w:autoSpaceDE/>
                    <w:autoSpaceDN/>
                    <w:bidi w:val="0"/>
                    <w:adjustRightInd/>
                    <w:snapToGrid/>
                    <w:spacing w:after="0" w:afterLines="0" w:line="240" w:lineRule="auto"/>
                    <w:ind w:firstLine="0" w:firstLineChars="0"/>
                    <w:jc w:val="center"/>
                    <w:textAlignment w:val="center"/>
                    <w:rPr>
                      <w:rFonts w:hint="eastAsia" w:ascii="Times New Roman" w:hAnsi="Times New Roman" w:cs="Times New Roman"/>
                      <w:bCs w:val="0"/>
                      <w:color w:val="auto"/>
                      <w:sz w:val="21"/>
                      <w:szCs w:val="21"/>
                    </w:rPr>
                  </w:pPr>
                  <w:r>
                    <w:rPr>
                      <w:rFonts w:hint="eastAsia" w:cs="Times New Roman"/>
                      <w:bCs w:val="0"/>
                      <w:color w:val="auto"/>
                      <w:sz w:val="21"/>
                      <w:szCs w:val="21"/>
                      <w:lang w:val="en-US" w:eastAsia="zh-CN"/>
                    </w:rPr>
                    <w:t>等离子</w:t>
                  </w:r>
                  <w:r>
                    <w:rPr>
                      <w:rFonts w:hint="eastAsia" w:ascii="Times New Roman" w:hAnsi="Times New Roman" w:cs="Times New Roman"/>
                      <w:bCs w:val="0"/>
                      <w:color w:val="auto"/>
                      <w:sz w:val="21"/>
                      <w:szCs w:val="21"/>
                    </w:rPr>
                    <w:t>切割机</w:t>
                  </w:r>
                </w:p>
              </w:tc>
              <w:tc>
                <w:tcPr>
                  <w:tcW w:w="1742" w:type="dxa"/>
                  <w:noWrap w:val="0"/>
                  <w:vAlign w:val="center"/>
                </w:tcPr>
                <w:p w14:paraId="27D51F4E">
                  <w:pPr>
                    <w:keepNext w:val="0"/>
                    <w:keepLines w:val="0"/>
                    <w:pageBreakBefore w:val="0"/>
                    <w:kinsoku/>
                    <w:wordWrap/>
                    <w:overflowPunct/>
                    <w:topLinePunct w:val="0"/>
                    <w:autoSpaceDE/>
                    <w:autoSpaceDN/>
                    <w:bidi w:val="0"/>
                    <w:adjustRightInd/>
                    <w:snapToGrid/>
                    <w:spacing w:line="240" w:lineRule="auto"/>
                    <w:jc w:val="center"/>
                    <w:rPr>
                      <w:rFonts w:hint="default" w:eastAsia="宋体"/>
                      <w:color w:val="auto"/>
                      <w:sz w:val="21"/>
                      <w:szCs w:val="21"/>
                      <w:lang w:val="en-US" w:eastAsia="zh-CN"/>
                    </w:rPr>
                  </w:pPr>
                  <w:r>
                    <w:rPr>
                      <w:rFonts w:hint="eastAsia" w:eastAsia="宋体"/>
                      <w:color w:val="auto"/>
                      <w:sz w:val="21"/>
                      <w:szCs w:val="21"/>
                      <w:lang w:val="en-US" w:eastAsia="zh-CN"/>
                    </w:rPr>
                    <w:t>台</w:t>
                  </w:r>
                </w:p>
              </w:tc>
              <w:tc>
                <w:tcPr>
                  <w:tcW w:w="1742" w:type="dxa"/>
                  <w:noWrap w:val="0"/>
                  <w:vAlign w:val="center"/>
                </w:tcPr>
                <w:p w14:paraId="1B646C53">
                  <w:pPr>
                    <w:pStyle w:val="87"/>
                    <w:keepNext w:val="0"/>
                    <w:keepLines w:val="0"/>
                    <w:pageBreakBefore w:val="0"/>
                    <w:widowControl/>
                    <w:kinsoku/>
                    <w:wordWrap/>
                    <w:overflowPunct/>
                    <w:topLinePunct w:val="0"/>
                    <w:autoSpaceDE/>
                    <w:autoSpaceDN/>
                    <w:bidi w:val="0"/>
                    <w:adjustRightInd/>
                    <w:snapToGrid/>
                    <w:spacing w:after="0" w:afterLines="0" w:line="240" w:lineRule="auto"/>
                    <w:ind w:firstLine="0" w:firstLineChars="0"/>
                    <w:jc w:val="center"/>
                    <w:textAlignment w:val="center"/>
                    <w:rPr>
                      <w:rFonts w:hint="eastAsia" w:ascii="Times New Roman" w:hAnsi="Times New Roman" w:cs="Times New Roman"/>
                      <w:bCs w:val="0"/>
                      <w:color w:val="auto"/>
                      <w:sz w:val="21"/>
                      <w:szCs w:val="21"/>
                    </w:rPr>
                  </w:pPr>
                  <w:r>
                    <w:rPr>
                      <w:rFonts w:hint="eastAsia" w:ascii="Times New Roman" w:hAnsi="Times New Roman" w:cs="Times New Roman"/>
                      <w:bCs w:val="0"/>
                      <w:color w:val="auto"/>
                      <w:sz w:val="21"/>
                      <w:szCs w:val="21"/>
                    </w:rPr>
                    <w:t>LGK-120</w:t>
                  </w:r>
                </w:p>
              </w:tc>
              <w:tc>
                <w:tcPr>
                  <w:tcW w:w="1740" w:type="dxa"/>
                  <w:noWrap w:val="0"/>
                  <w:vAlign w:val="center"/>
                </w:tcPr>
                <w:p w14:paraId="3F1B828D">
                  <w:pPr>
                    <w:pStyle w:val="87"/>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cs="Times New Roman"/>
                      <w:bCs w:val="0"/>
                      <w:color w:val="auto"/>
                      <w:szCs w:val="21"/>
                      <w:lang w:val="en-US" w:eastAsia="zh-CN"/>
                    </w:rPr>
                  </w:pPr>
                  <w:r>
                    <w:rPr>
                      <w:rFonts w:hint="eastAsia" w:cs="Times New Roman"/>
                      <w:bCs w:val="0"/>
                      <w:color w:val="auto"/>
                      <w:szCs w:val="21"/>
                      <w:lang w:val="en-US" w:eastAsia="zh-CN"/>
                    </w:rPr>
                    <w:t>10</w:t>
                  </w:r>
                </w:p>
              </w:tc>
              <w:tc>
                <w:tcPr>
                  <w:tcW w:w="1737" w:type="dxa"/>
                  <w:noWrap w:val="0"/>
                  <w:vAlign w:val="center"/>
                </w:tcPr>
                <w:p w14:paraId="76B0C148">
                  <w:pPr>
                    <w:keepNext w:val="0"/>
                    <w:keepLines w:val="0"/>
                    <w:pageBreakBefore w:val="0"/>
                    <w:kinsoku/>
                    <w:wordWrap/>
                    <w:overflowPunct/>
                    <w:topLinePunct w:val="0"/>
                    <w:autoSpaceDE/>
                    <w:autoSpaceDN/>
                    <w:bidi w:val="0"/>
                    <w:adjustRightInd/>
                    <w:snapToGrid/>
                    <w:spacing w:line="240" w:lineRule="auto"/>
                    <w:jc w:val="center"/>
                    <w:rPr>
                      <w:rFonts w:hint="default" w:ascii="Arial" w:hAnsi="Arial" w:eastAsia="宋体" w:cs="Arial"/>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1#生产车间</w:t>
                  </w:r>
                </w:p>
              </w:tc>
            </w:tr>
            <w:tr w14:paraId="42236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1" w:type="dxa"/>
                  <w:noWrap w:val="0"/>
                  <w:vAlign w:val="center"/>
                </w:tcPr>
                <w:p w14:paraId="556914B6">
                  <w:pPr>
                    <w:pStyle w:val="87"/>
                    <w:keepNext w:val="0"/>
                    <w:keepLines w:val="0"/>
                    <w:pageBreakBefore w:val="0"/>
                    <w:widowControl/>
                    <w:kinsoku/>
                    <w:wordWrap/>
                    <w:overflowPunct/>
                    <w:topLinePunct w:val="0"/>
                    <w:autoSpaceDE/>
                    <w:autoSpaceDN/>
                    <w:bidi w:val="0"/>
                    <w:adjustRightInd/>
                    <w:snapToGrid/>
                    <w:spacing w:after="0" w:afterLines="0" w:line="240" w:lineRule="auto"/>
                    <w:ind w:firstLine="0" w:firstLineChars="0"/>
                    <w:jc w:val="center"/>
                    <w:textAlignment w:val="center"/>
                    <w:rPr>
                      <w:rFonts w:hint="default" w:ascii="Times New Roman" w:hAnsi="Times New Roman" w:eastAsia="宋体" w:cs="Arial"/>
                      <w:color w:val="auto"/>
                      <w:kern w:val="2"/>
                      <w:sz w:val="21"/>
                      <w:szCs w:val="21"/>
                      <w:lang w:val="en-US" w:eastAsia="zh-CN" w:bidi="ar-SA"/>
                    </w:rPr>
                  </w:pPr>
                  <w:r>
                    <w:rPr>
                      <w:rFonts w:hint="default" w:ascii="Times New Roman" w:hAnsi="Times New Roman" w:eastAsia="宋体" w:cs="Arial"/>
                      <w:color w:val="auto"/>
                      <w:kern w:val="2"/>
                      <w:sz w:val="21"/>
                      <w:szCs w:val="21"/>
                      <w:lang w:val="en-US" w:eastAsia="zh-CN" w:bidi="ar-SA"/>
                    </w:rPr>
                    <w:t>单梁起重机</w:t>
                  </w:r>
                </w:p>
              </w:tc>
              <w:tc>
                <w:tcPr>
                  <w:tcW w:w="1742" w:type="dxa"/>
                  <w:noWrap w:val="0"/>
                  <w:vAlign w:val="center"/>
                </w:tcPr>
                <w:p w14:paraId="48CE576B">
                  <w:pPr>
                    <w:keepNext w:val="0"/>
                    <w:keepLines w:val="0"/>
                    <w:pageBreakBefore w:val="0"/>
                    <w:kinsoku/>
                    <w:wordWrap/>
                    <w:overflowPunct/>
                    <w:topLinePunct w:val="0"/>
                    <w:autoSpaceDE/>
                    <w:autoSpaceDN/>
                    <w:bidi w:val="0"/>
                    <w:adjustRightInd/>
                    <w:snapToGrid/>
                    <w:spacing w:line="240" w:lineRule="auto"/>
                    <w:jc w:val="center"/>
                    <w:rPr>
                      <w:rFonts w:hint="default" w:eastAsia="宋体"/>
                      <w:color w:val="auto"/>
                      <w:sz w:val="21"/>
                      <w:szCs w:val="21"/>
                      <w:lang w:val="en-US" w:eastAsia="zh-CN"/>
                    </w:rPr>
                  </w:pPr>
                  <w:r>
                    <w:rPr>
                      <w:rFonts w:hint="eastAsia" w:eastAsia="宋体"/>
                      <w:color w:val="auto"/>
                      <w:sz w:val="21"/>
                      <w:szCs w:val="21"/>
                      <w:lang w:val="en-US" w:eastAsia="zh-CN"/>
                    </w:rPr>
                    <w:t>台</w:t>
                  </w:r>
                </w:p>
              </w:tc>
              <w:tc>
                <w:tcPr>
                  <w:tcW w:w="1742" w:type="dxa"/>
                  <w:noWrap w:val="0"/>
                  <w:vAlign w:val="center"/>
                </w:tcPr>
                <w:p w14:paraId="03FB030A">
                  <w:pPr>
                    <w:pStyle w:val="87"/>
                    <w:keepNext w:val="0"/>
                    <w:keepLines w:val="0"/>
                    <w:pageBreakBefore w:val="0"/>
                    <w:widowControl/>
                    <w:kinsoku/>
                    <w:wordWrap/>
                    <w:overflowPunct/>
                    <w:topLinePunct w:val="0"/>
                    <w:autoSpaceDE/>
                    <w:autoSpaceDN/>
                    <w:bidi w:val="0"/>
                    <w:adjustRightInd/>
                    <w:snapToGrid/>
                    <w:spacing w:after="0" w:afterLines="0" w:line="240" w:lineRule="auto"/>
                    <w:ind w:firstLine="0" w:firstLineChars="0"/>
                    <w:jc w:val="center"/>
                    <w:textAlignment w:val="center"/>
                    <w:rPr>
                      <w:rFonts w:hint="eastAsia" w:ascii="Times New Roman" w:hAnsi="Times New Roman" w:eastAsia="宋体" w:cs="Arial"/>
                      <w:color w:val="auto"/>
                      <w:kern w:val="2"/>
                      <w:sz w:val="21"/>
                      <w:szCs w:val="21"/>
                      <w:lang w:val="en-US" w:eastAsia="zh-CN" w:bidi="ar-SA"/>
                    </w:rPr>
                  </w:pPr>
                  <w:r>
                    <w:rPr>
                      <w:rFonts w:hint="eastAsia" w:ascii="Times New Roman" w:hAnsi="Times New Roman" w:eastAsia="宋体" w:cs="Arial"/>
                      <w:color w:val="auto"/>
                      <w:kern w:val="2"/>
                      <w:sz w:val="21"/>
                      <w:szCs w:val="21"/>
                      <w:lang w:val="en-US" w:eastAsia="zh-CN" w:bidi="ar-SA"/>
                    </w:rPr>
                    <w:t>LD10T-18.8M</w:t>
                  </w:r>
                </w:p>
              </w:tc>
              <w:tc>
                <w:tcPr>
                  <w:tcW w:w="1740" w:type="dxa"/>
                  <w:noWrap w:val="0"/>
                  <w:vAlign w:val="center"/>
                </w:tcPr>
                <w:p w14:paraId="64D55F69">
                  <w:pPr>
                    <w:pStyle w:val="87"/>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eastAsia="宋体"/>
                      <w:color w:val="auto"/>
                      <w:sz w:val="21"/>
                      <w:szCs w:val="21"/>
                      <w:lang w:val="en-US" w:eastAsia="zh-CN"/>
                    </w:rPr>
                  </w:pPr>
                  <w:r>
                    <w:rPr>
                      <w:rFonts w:hint="eastAsia"/>
                      <w:color w:val="auto"/>
                      <w:sz w:val="21"/>
                      <w:szCs w:val="21"/>
                      <w:lang w:val="en-US" w:eastAsia="zh-CN"/>
                    </w:rPr>
                    <w:t>12</w:t>
                  </w:r>
                </w:p>
              </w:tc>
              <w:tc>
                <w:tcPr>
                  <w:tcW w:w="1737" w:type="dxa"/>
                  <w:noWrap w:val="0"/>
                  <w:vAlign w:val="center"/>
                </w:tcPr>
                <w:p w14:paraId="7C1CF684">
                  <w:pPr>
                    <w:keepNext w:val="0"/>
                    <w:keepLines w:val="0"/>
                    <w:pageBreakBefore w:val="0"/>
                    <w:kinsoku/>
                    <w:wordWrap/>
                    <w:overflowPunct/>
                    <w:topLinePunct w:val="0"/>
                    <w:autoSpaceDE/>
                    <w:autoSpaceDN/>
                    <w:bidi w:val="0"/>
                    <w:adjustRightInd/>
                    <w:snapToGrid/>
                    <w:spacing w:line="240" w:lineRule="auto"/>
                    <w:jc w:val="center"/>
                    <w:rPr>
                      <w:rFonts w:hint="default" w:ascii="Arial" w:hAnsi="Arial" w:eastAsia="宋体" w:cs="Arial"/>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1#生产车间</w:t>
                  </w:r>
                </w:p>
              </w:tc>
            </w:tr>
            <w:tr w14:paraId="4FE7F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1" w:type="dxa"/>
                  <w:noWrap w:val="0"/>
                  <w:vAlign w:val="center"/>
                </w:tcPr>
                <w:p w14:paraId="7612BAA4">
                  <w:pPr>
                    <w:pStyle w:val="87"/>
                    <w:keepNext w:val="0"/>
                    <w:keepLines w:val="0"/>
                    <w:pageBreakBefore w:val="0"/>
                    <w:widowControl/>
                    <w:kinsoku/>
                    <w:wordWrap/>
                    <w:overflowPunct/>
                    <w:topLinePunct w:val="0"/>
                    <w:autoSpaceDE/>
                    <w:autoSpaceDN/>
                    <w:bidi w:val="0"/>
                    <w:adjustRightInd/>
                    <w:snapToGrid/>
                    <w:spacing w:after="0" w:afterLines="0" w:line="240" w:lineRule="auto"/>
                    <w:ind w:firstLine="0" w:firstLineChars="0"/>
                    <w:jc w:val="center"/>
                    <w:textAlignment w:val="center"/>
                    <w:rPr>
                      <w:rFonts w:hint="eastAsia" w:ascii="Times New Roman" w:hAnsi="Times New Roman" w:eastAsia="宋体" w:cs="Arial"/>
                      <w:color w:val="auto"/>
                      <w:kern w:val="2"/>
                      <w:sz w:val="21"/>
                      <w:szCs w:val="21"/>
                      <w:lang w:val="en-US" w:eastAsia="zh-CN" w:bidi="ar-SA"/>
                    </w:rPr>
                  </w:pPr>
                  <w:r>
                    <w:rPr>
                      <w:rFonts w:hint="eastAsia" w:ascii="Times New Roman" w:hAnsi="Times New Roman" w:cs="Times New Roman"/>
                      <w:bCs w:val="0"/>
                      <w:color w:val="auto"/>
                      <w:sz w:val="21"/>
                      <w:szCs w:val="21"/>
                    </w:rPr>
                    <w:t>激光切割机</w:t>
                  </w:r>
                </w:p>
              </w:tc>
              <w:tc>
                <w:tcPr>
                  <w:tcW w:w="1742" w:type="dxa"/>
                  <w:noWrap w:val="0"/>
                  <w:vAlign w:val="center"/>
                </w:tcPr>
                <w:p w14:paraId="6D6628B8">
                  <w:pPr>
                    <w:keepNext w:val="0"/>
                    <w:keepLines w:val="0"/>
                    <w:pageBreakBefore w:val="0"/>
                    <w:kinsoku/>
                    <w:wordWrap/>
                    <w:overflowPunct/>
                    <w:topLinePunct w:val="0"/>
                    <w:autoSpaceDE/>
                    <w:autoSpaceDN/>
                    <w:bidi w:val="0"/>
                    <w:adjustRightInd/>
                    <w:snapToGrid/>
                    <w:spacing w:line="240" w:lineRule="auto"/>
                    <w:jc w:val="center"/>
                    <w:rPr>
                      <w:rFonts w:hint="eastAsia"/>
                      <w:color w:val="auto"/>
                      <w:sz w:val="21"/>
                      <w:szCs w:val="21"/>
                    </w:rPr>
                  </w:pPr>
                  <w:r>
                    <w:rPr>
                      <w:rFonts w:hint="eastAsia" w:eastAsia="宋体"/>
                      <w:color w:val="auto"/>
                      <w:sz w:val="21"/>
                      <w:szCs w:val="21"/>
                      <w:lang w:val="en-US" w:eastAsia="zh-CN"/>
                    </w:rPr>
                    <w:t>台</w:t>
                  </w:r>
                </w:p>
              </w:tc>
              <w:tc>
                <w:tcPr>
                  <w:tcW w:w="1742" w:type="dxa"/>
                  <w:noWrap w:val="0"/>
                  <w:vAlign w:val="center"/>
                </w:tcPr>
                <w:p w14:paraId="1E79B3BD">
                  <w:pPr>
                    <w:pStyle w:val="87"/>
                    <w:keepNext w:val="0"/>
                    <w:keepLines w:val="0"/>
                    <w:pageBreakBefore w:val="0"/>
                    <w:widowControl/>
                    <w:kinsoku/>
                    <w:wordWrap/>
                    <w:overflowPunct/>
                    <w:topLinePunct w:val="0"/>
                    <w:autoSpaceDE/>
                    <w:autoSpaceDN/>
                    <w:bidi w:val="0"/>
                    <w:adjustRightInd/>
                    <w:snapToGrid/>
                    <w:spacing w:after="0" w:afterLines="0" w:line="240" w:lineRule="auto"/>
                    <w:ind w:firstLine="0" w:firstLineChars="0"/>
                    <w:jc w:val="center"/>
                    <w:textAlignment w:val="center"/>
                    <w:rPr>
                      <w:rFonts w:ascii="Times New Roman" w:hAnsi="Times New Roman" w:eastAsia="宋体" w:cs="Arial"/>
                      <w:color w:val="auto"/>
                      <w:kern w:val="2"/>
                      <w:sz w:val="21"/>
                      <w:szCs w:val="21"/>
                      <w:lang w:val="en-US" w:eastAsia="zh-CN" w:bidi="ar-SA"/>
                    </w:rPr>
                  </w:pPr>
                  <w:r>
                    <w:rPr>
                      <w:rFonts w:hint="eastAsia" w:ascii="Times New Roman" w:hAnsi="Times New Roman" w:cs="Times New Roman"/>
                      <w:bCs w:val="0"/>
                      <w:color w:val="auto"/>
                      <w:sz w:val="21"/>
                      <w:szCs w:val="21"/>
                    </w:rPr>
                    <w:t>LFS8025-30000</w:t>
                  </w:r>
                </w:p>
              </w:tc>
              <w:tc>
                <w:tcPr>
                  <w:tcW w:w="1740" w:type="dxa"/>
                  <w:noWrap w:val="0"/>
                  <w:vAlign w:val="center"/>
                </w:tcPr>
                <w:p w14:paraId="78AE2720">
                  <w:pPr>
                    <w:pStyle w:val="87"/>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eastAsia="宋体"/>
                      <w:color w:val="auto"/>
                      <w:sz w:val="21"/>
                      <w:szCs w:val="21"/>
                      <w:lang w:val="en-US" w:eastAsia="zh-CN"/>
                    </w:rPr>
                  </w:pPr>
                  <w:r>
                    <w:rPr>
                      <w:rFonts w:hint="eastAsia" w:cs="Times New Roman"/>
                      <w:bCs w:val="0"/>
                      <w:color w:val="auto"/>
                      <w:szCs w:val="21"/>
                      <w:lang w:val="en-US" w:eastAsia="zh-CN"/>
                    </w:rPr>
                    <w:t>4</w:t>
                  </w:r>
                </w:p>
              </w:tc>
              <w:tc>
                <w:tcPr>
                  <w:tcW w:w="1737" w:type="dxa"/>
                  <w:noWrap w:val="0"/>
                  <w:vAlign w:val="center"/>
                </w:tcPr>
                <w:p w14:paraId="360D478D">
                  <w:pPr>
                    <w:keepNext w:val="0"/>
                    <w:keepLines w:val="0"/>
                    <w:pageBreakBefore w:val="0"/>
                    <w:kinsoku/>
                    <w:wordWrap/>
                    <w:overflowPunct/>
                    <w:topLinePunct w:val="0"/>
                    <w:autoSpaceDE/>
                    <w:autoSpaceDN/>
                    <w:bidi w:val="0"/>
                    <w:adjustRightInd/>
                    <w:snapToGrid/>
                    <w:spacing w:line="240" w:lineRule="auto"/>
                    <w:jc w:val="center"/>
                    <w:rPr>
                      <w:rFonts w:hint="eastAsia" w:eastAsia="宋体"/>
                      <w:color w:val="auto"/>
                      <w:sz w:val="21"/>
                      <w:szCs w:val="21"/>
                      <w:lang w:val="en-US" w:eastAsia="zh-CN"/>
                    </w:rPr>
                  </w:pPr>
                  <w:r>
                    <w:rPr>
                      <w:rFonts w:hint="default" w:ascii="Times New Roman" w:hAnsi="Times New Roman" w:eastAsia="宋体" w:cs="Times New Roman"/>
                      <w:color w:val="auto"/>
                      <w:sz w:val="21"/>
                      <w:szCs w:val="21"/>
                      <w:lang w:val="en-US" w:eastAsia="zh-CN"/>
                    </w:rPr>
                    <w:t>1#生产车间</w:t>
                  </w:r>
                </w:p>
              </w:tc>
            </w:tr>
            <w:tr w14:paraId="47051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1" w:type="dxa"/>
                  <w:noWrap w:val="0"/>
                  <w:vAlign w:val="center"/>
                </w:tcPr>
                <w:p w14:paraId="1EC7E850">
                  <w:pPr>
                    <w:pStyle w:val="87"/>
                    <w:keepNext w:val="0"/>
                    <w:keepLines w:val="0"/>
                    <w:pageBreakBefore w:val="0"/>
                    <w:widowControl/>
                    <w:kinsoku/>
                    <w:wordWrap/>
                    <w:overflowPunct/>
                    <w:topLinePunct w:val="0"/>
                    <w:autoSpaceDE/>
                    <w:autoSpaceDN/>
                    <w:bidi w:val="0"/>
                    <w:adjustRightInd/>
                    <w:snapToGrid/>
                    <w:spacing w:after="0" w:afterLines="0" w:line="240" w:lineRule="auto"/>
                    <w:ind w:firstLine="0" w:firstLineChars="0"/>
                    <w:jc w:val="center"/>
                    <w:textAlignment w:val="center"/>
                    <w:rPr>
                      <w:rFonts w:hint="eastAsia" w:ascii="Times New Roman" w:hAnsi="Times New Roman" w:eastAsia="宋体" w:cs="Arial"/>
                      <w:color w:val="auto"/>
                      <w:kern w:val="2"/>
                      <w:sz w:val="21"/>
                      <w:szCs w:val="21"/>
                      <w:lang w:val="en-US" w:eastAsia="zh-CN" w:bidi="ar-SA"/>
                    </w:rPr>
                  </w:pPr>
                  <w:r>
                    <w:rPr>
                      <w:rFonts w:hint="eastAsia" w:ascii="Times New Roman" w:hAnsi="Times New Roman" w:cs="Times New Roman"/>
                      <w:bCs w:val="0"/>
                      <w:color w:val="auto"/>
                      <w:sz w:val="21"/>
                      <w:szCs w:val="21"/>
                    </w:rPr>
                    <w:t>液压板料折弯机</w:t>
                  </w:r>
                </w:p>
              </w:tc>
              <w:tc>
                <w:tcPr>
                  <w:tcW w:w="1742" w:type="dxa"/>
                  <w:noWrap w:val="0"/>
                  <w:vAlign w:val="center"/>
                </w:tcPr>
                <w:p w14:paraId="7504978C">
                  <w:pPr>
                    <w:keepNext w:val="0"/>
                    <w:keepLines w:val="0"/>
                    <w:pageBreakBefore w:val="0"/>
                    <w:kinsoku/>
                    <w:wordWrap/>
                    <w:overflowPunct/>
                    <w:topLinePunct w:val="0"/>
                    <w:autoSpaceDE/>
                    <w:autoSpaceDN/>
                    <w:bidi w:val="0"/>
                    <w:adjustRightInd/>
                    <w:snapToGrid/>
                    <w:spacing w:line="240" w:lineRule="auto"/>
                    <w:jc w:val="center"/>
                    <w:rPr>
                      <w:rFonts w:hint="eastAsia"/>
                      <w:color w:val="auto"/>
                      <w:sz w:val="21"/>
                      <w:szCs w:val="21"/>
                    </w:rPr>
                  </w:pPr>
                  <w:r>
                    <w:rPr>
                      <w:rFonts w:hint="eastAsia" w:eastAsia="宋体"/>
                      <w:color w:val="auto"/>
                      <w:sz w:val="21"/>
                      <w:szCs w:val="21"/>
                      <w:lang w:val="en-US" w:eastAsia="zh-CN"/>
                    </w:rPr>
                    <w:t>台</w:t>
                  </w:r>
                </w:p>
              </w:tc>
              <w:tc>
                <w:tcPr>
                  <w:tcW w:w="1742" w:type="dxa"/>
                  <w:noWrap w:val="0"/>
                  <w:vAlign w:val="center"/>
                </w:tcPr>
                <w:p w14:paraId="70558FE5">
                  <w:pPr>
                    <w:pStyle w:val="87"/>
                    <w:keepNext w:val="0"/>
                    <w:keepLines w:val="0"/>
                    <w:pageBreakBefore w:val="0"/>
                    <w:widowControl/>
                    <w:kinsoku/>
                    <w:wordWrap/>
                    <w:overflowPunct/>
                    <w:topLinePunct w:val="0"/>
                    <w:autoSpaceDE/>
                    <w:autoSpaceDN/>
                    <w:bidi w:val="0"/>
                    <w:adjustRightInd/>
                    <w:snapToGrid/>
                    <w:spacing w:after="0" w:afterLines="0" w:line="240" w:lineRule="auto"/>
                    <w:ind w:firstLine="0" w:firstLineChars="0"/>
                    <w:jc w:val="center"/>
                    <w:textAlignment w:val="center"/>
                    <w:rPr>
                      <w:rFonts w:ascii="Times New Roman" w:hAnsi="Times New Roman" w:eastAsia="宋体" w:cs="Arial"/>
                      <w:color w:val="auto"/>
                      <w:kern w:val="2"/>
                      <w:sz w:val="21"/>
                      <w:szCs w:val="21"/>
                      <w:lang w:val="en-US" w:eastAsia="zh-CN" w:bidi="ar-SA"/>
                    </w:rPr>
                  </w:pPr>
                  <w:r>
                    <w:rPr>
                      <w:rFonts w:hint="eastAsia" w:ascii="Times New Roman" w:hAnsi="Times New Roman" w:cs="Times New Roman"/>
                      <w:bCs w:val="0"/>
                      <w:color w:val="auto"/>
                      <w:sz w:val="21"/>
                      <w:szCs w:val="21"/>
                    </w:rPr>
                    <w:t>功率30KW</w:t>
                  </w:r>
                </w:p>
              </w:tc>
              <w:tc>
                <w:tcPr>
                  <w:tcW w:w="1740" w:type="dxa"/>
                  <w:noWrap w:val="0"/>
                  <w:vAlign w:val="center"/>
                </w:tcPr>
                <w:p w14:paraId="49EF74DF">
                  <w:pPr>
                    <w:pStyle w:val="87"/>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eastAsia="宋体"/>
                      <w:color w:val="auto"/>
                      <w:sz w:val="21"/>
                      <w:szCs w:val="21"/>
                      <w:lang w:val="en-US" w:eastAsia="zh-CN"/>
                    </w:rPr>
                  </w:pPr>
                  <w:r>
                    <w:rPr>
                      <w:rFonts w:hint="eastAsia" w:cs="Times New Roman"/>
                      <w:bCs w:val="0"/>
                      <w:color w:val="auto"/>
                      <w:szCs w:val="21"/>
                      <w:lang w:val="en-US" w:eastAsia="zh-CN"/>
                    </w:rPr>
                    <w:t>1</w:t>
                  </w:r>
                </w:p>
              </w:tc>
              <w:tc>
                <w:tcPr>
                  <w:tcW w:w="1737" w:type="dxa"/>
                  <w:noWrap w:val="0"/>
                  <w:vAlign w:val="center"/>
                </w:tcPr>
                <w:p w14:paraId="5EDBFD95">
                  <w:pPr>
                    <w:keepNext w:val="0"/>
                    <w:keepLines w:val="0"/>
                    <w:pageBreakBefore w:val="0"/>
                    <w:kinsoku/>
                    <w:wordWrap/>
                    <w:overflowPunct/>
                    <w:topLinePunct w:val="0"/>
                    <w:autoSpaceDE/>
                    <w:autoSpaceDN/>
                    <w:bidi w:val="0"/>
                    <w:adjustRightInd/>
                    <w:snapToGrid/>
                    <w:spacing w:line="240" w:lineRule="auto"/>
                    <w:jc w:val="center"/>
                    <w:rPr>
                      <w:rFonts w:hint="eastAsia" w:eastAsia="宋体"/>
                      <w:color w:val="auto"/>
                      <w:sz w:val="21"/>
                      <w:szCs w:val="21"/>
                      <w:lang w:val="en-US" w:eastAsia="zh-CN"/>
                    </w:rPr>
                  </w:pPr>
                  <w:r>
                    <w:rPr>
                      <w:rFonts w:hint="default" w:ascii="Times New Roman" w:hAnsi="Times New Roman" w:eastAsia="宋体" w:cs="Times New Roman"/>
                      <w:color w:val="auto"/>
                      <w:sz w:val="21"/>
                      <w:szCs w:val="21"/>
                      <w:lang w:val="en-US" w:eastAsia="zh-CN"/>
                    </w:rPr>
                    <w:t>1#生产车间</w:t>
                  </w:r>
                </w:p>
              </w:tc>
            </w:tr>
            <w:tr w14:paraId="35336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1" w:type="dxa"/>
                  <w:noWrap w:val="0"/>
                  <w:vAlign w:val="center"/>
                </w:tcPr>
                <w:p w14:paraId="312BFDC8">
                  <w:pPr>
                    <w:pStyle w:val="87"/>
                    <w:keepNext w:val="0"/>
                    <w:keepLines w:val="0"/>
                    <w:pageBreakBefore w:val="0"/>
                    <w:widowControl/>
                    <w:kinsoku/>
                    <w:wordWrap/>
                    <w:overflowPunct/>
                    <w:topLinePunct w:val="0"/>
                    <w:autoSpaceDE/>
                    <w:autoSpaceDN/>
                    <w:bidi w:val="0"/>
                    <w:adjustRightInd/>
                    <w:snapToGrid/>
                    <w:spacing w:after="0" w:afterLines="0" w:line="240" w:lineRule="auto"/>
                    <w:ind w:firstLine="0" w:firstLineChars="0"/>
                    <w:jc w:val="center"/>
                    <w:textAlignment w:val="center"/>
                    <w:rPr>
                      <w:rFonts w:ascii="Times New Roman" w:hAnsi="Times New Roman" w:eastAsia="宋体" w:cs="Arial"/>
                      <w:color w:val="auto"/>
                      <w:kern w:val="2"/>
                      <w:sz w:val="21"/>
                      <w:szCs w:val="21"/>
                      <w:lang w:val="en-US" w:eastAsia="zh-CN" w:bidi="ar-SA"/>
                    </w:rPr>
                  </w:pPr>
                  <w:r>
                    <w:rPr>
                      <w:rFonts w:hint="eastAsia" w:ascii="Times New Roman" w:hAnsi="Times New Roman" w:cs="Times New Roman"/>
                      <w:bCs w:val="0"/>
                      <w:color w:val="auto"/>
                      <w:sz w:val="21"/>
                      <w:szCs w:val="21"/>
                    </w:rPr>
                    <w:t>液压闸式剪板机</w:t>
                  </w:r>
                </w:p>
              </w:tc>
              <w:tc>
                <w:tcPr>
                  <w:tcW w:w="1742" w:type="dxa"/>
                  <w:noWrap w:val="0"/>
                  <w:vAlign w:val="center"/>
                </w:tcPr>
                <w:p w14:paraId="4F234A87">
                  <w:pPr>
                    <w:keepNext w:val="0"/>
                    <w:keepLines w:val="0"/>
                    <w:pageBreakBefore w:val="0"/>
                    <w:kinsoku/>
                    <w:wordWrap/>
                    <w:overflowPunct/>
                    <w:topLinePunct w:val="0"/>
                    <w:autoSpaceDE/>
                    <w:autoSpaceDN/>
                    <w:bidi w:val="0"/>
                    <w:adjustRightInd/>
                    <w:snapToGrid/>
                    <w:spacing w:line="240" w:lineRule="auto"/>
                    <w:jc w:val="center"/>
                    <w:rPr>
                      <w:rFonts w:hint="default" w:eastAsia="宋体"/>
                      <w:color w:val="auto"/>
                      <w:sz w:val="21"/>
                      <w:szCs w:val="21"/>
                      <w:lang w:val="en-US" w:eastAsia="zh-CN"/>
                    </w:rPr>
                  </w:pPr>
                  <w:r>
                    <w:rPr>
                      <w:rFonts w:hint="eastAsia" w:eastAsia="宋体"/>
                      <w:color w:val="auto"/>
                      <w:sz w:val="21"/>
                      <w:szCs w:val="21"/>
                      <w:lang w:val="en-US" w:eastAsia="zh-CN"/>
                    </w:rPr>
                    <w:t>台</w:t>
                  </w:r>
                </w:p>
              </w:tc>
              <w:tc>
                <w:tcPr>
                  <w:tcW w:w="1742" w:type="dxa"/>
                  <w:noWrap w:val="0"/>
                  <w:vAlign w:val="center"/>
                </w:tcPr>
                <w:p w14:paraId="1A979ECC">
                  <w:pPr>
                    <w:pStyle w:val="87"/>
                    <w:keepNext w:val="0"/>
                    <w:keepLines w:val="0"/>
                    <w:pageBreakBefore w:val="0"/>
                    <w:widowControl/>
                    <w:kinsoku/>
                    <w:wordWrap/>
                    <w:overflowPunct/>
                    <w:topLinePunct w:val="0"/>
                    <w:autoSpaceDE/>
                    <w:autoSpaceDN/>
                    <w:bidi w:val="0"/>
                    <w:adjustRightInd/>
                    <w:snapToGrid/>
                    <w:spacing w:after="0" w:afterLines="0" w:line="240" w:lineRule="auto"/>
                    <w:ind w:firstLine="0" w:firstLineChars="0"/>
                    <w:jc w:val="center"/>
                    <w:textAlignment w:val="center"/>
                    <w:rPr>
                      <w:rFonts w:hint="eastAsia" w:ascii="Times New Roman" w:hAnsi="Times New Roman" w:eastAsia="宋体" w:cs="Arial"/>
                      <w:color w:val="auto"/>
                      <w:kern w:val="2"/>
                      <w:sz w:val="21"/>
                      <w:szCs w:val="21"/>
                      <w:lang w:val="en-US" w:eastAsia="zh-CN" w:bidi="ar-SA"/>
                    </w:rPr>
                  </w:pPr>
                  <w:r>
                    <w:rPr>
                      <w:rFonts w:hint="eastAsia" w:ascii="Times New Roman" w:hAnsi="Times New Roman" w:cs="Times New Roman"/>
                      <w:bCs w:val="0"/>
                      <w:color w:val="auto"/>
                      <w:sz w:val="21"/>
                      <w:szCs w:val="21"/>
                    </w:rPr>
                    <w:t>功率25KW</w:t>
                  </w:r>
                </w:p>
              </w:tc>
              <w:tc>
                <w:tcPr>
                  <w:tcW w:w="1740" w:type="dxa"/>
                  <w:noWrap w:val="0"/>
                  <w:vAlign w:val="center"/>
                </w:tcPr>
                <w:p w14:paraId="48CA16C2">
                  <w:pPr>
                    <w:pStyle w:val="87"/>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eastAsia="宋体"/>
                      <w:color w:val="auto"/>
                      <w:sz w:val="21"/>
                      <w:szCs w:val="21"/>
                      <w:lang w:val="en-US" w:eastAsia="zh-CN"/>
                    </w:rPr>
                  </w:pPr>
                  <w:r>
                    <w:rPr>
                      <w:rFonts w:hint="eastAsia" w:cs="Times New Roman"/>
                      <w:bCs w:val="0"/>
                      <w:color w:val="auto"/>
                      <w:szCs w:val="21"/>
                      <w:lang w:val="en-US" w:eastAsia="zh-CN"/>
                    </w:rPr>
                    <w:t>1</w:t>
                  </w:r>
                </w:p>
              </w:tc>
              <w:tc>
                <w:tcPr>
                  <w:tcW w:w="1737" w:type="dxa"/>
                  <w:noWrap w:val="0"/>
                  <w:vAlign w:val="center"/>
                </w:tcPr>
                <w:p w14:paraId="24C766FD">
                  <w:pPr>
                    <w:keepNext w:val="0"/>
                    <w:keepLines w:val="0"/>
                    <w:pageBreakBefore w:val="0"/>
                    <w:kinsoku/>
                    <w:wordWrap/>
                    <w:overflowPunct/>
                    <w:topLinePunct w:val="0"/>
                    <w:autoSpaceDE/>
                    <w:autoSpaceDN/>
                    <w:bidi w:val="0"/>
                    <w:adjustRightInd/>
                    <w:snapToGrid/>
                    <w:spacing w:line="240" w:lineRule="auto"/>
                    <w:jc w:val="center"/>
                    <w:rPr>
                      <w:rFonts w:hint="eastAsia" w:eastAsia="宋体"/>
                      <w:color w:val="auto"/>
                      <w:sz w:val="21"/>
                      <w:szCs w:val="21"/>
                      <w:lang w:val="en-US" w:eastAsia="zh-CN"/>
                    </w:rPr>
                  </w:pPr>
                  <w:r>
                    <w:rPr>
                      <w:rFonts w:hint="default" w:ascii="Times New Roman" w:hAnsi="Times New Roman" w:eastAsia="宋体" w:cs="Times New Roman"/>
                      <w:color w:val="auto"/>
                      <w:sz w:val="21"/>
                      <w:szCs w:val="21"/>
                      <w:lang w:val="en-US" w:eastAsia="zh-CN"/>
                    </w:rPr>
                    <w:t>1#生产车间</w:t>
                  </w:r>
                </w:p>
              </w:tc>
            </w:tr>
            <w:tr w14:paraId="48D7F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1" w:type="dxa"/>
                  <w:noWrap w:val="0"/>
                  <w:vAlign w:val="center"/>
                </w:tcPr>
                <w:p w14:paraId="53DD32BC">
                  <w:pPr>
                    <w:pStyle w:val="87"/>
                    <w:keepNext w:val="0"/>
                    <w:keepLines w:val="0"/>
                    <w:pageBreakBefore w:val="0"/>
                    <w:widowControl/>
                    <w:kinsoku/>
                    <w:wordWrap/>
                    <w:overflowPunct/>
                    <w:topLinePunct w:val="0"/>
                    <w:autoSpaceDE/>
                    <w:autoSpaceDN/>
                    <w:bidi w:val="0"/>
                    <w:adjustRightInd/>
                    <w:snapToGrid/>
                    <w:spacing w:after="0" w:afterLines="0"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
                    </w:rPr>
                  </w:pPr>
                  <w:r>
                    <w:rPr>
                      <w:rFonts w:hint="eastAsia" w:cs="Times New Roman"/>
                      <w:color w:val="auto"/>
                      <w:kern w:val="2"/>
                      <w:sz w:val="21"/>
                      <w:szCs w:val="21"/>
                      <w:lang w:val="en-US" w:eastAsia="zh-CN" w:bidi="ar"/>
                    </w:rPr>
                    <w:t>卷板机</w:t>
                  </w:r>
                </w:p>
              </w:tc>
              <w:tc>
                <w:tcPr>
                  <w:tcW w:w="1742" w:type="dxa"/>
                  <w:noWrap w:val="0"/>
                  <w:vAlign w:val="center"/>
                </w:tcPr>
                <w:p w14:paraId="7E98F345">
                  <w:pPr>
                    <w:keepNext w:val="0"/>
                    <w:keepLines w:val="0"/>
                    <w:pageBreakBefore w:val="0"/>
                    <w:kinsoku/>
                    <w:wordWrap/>
                    <w:overflowPunct/>
                    <w:topLinePunct w:val="0"/>
                    <w:autoSpaceDE/>
                    <w:autoSpaceDN/>
                    <w:bidi w:val="0"/>
                    <w:adjustRightInd/>
                    <w:snapToGrid/>
                    <w:spacing w:line="240" w:lineRule="auto"/>
                    <w:jc w:val="center"/>
                    <w:rPr>
                      <w:rFonts w:hint="default" w:eastAsia="宋体"/>
                      <w:color w:val="auto"/>
                      <w:sz w:val="21"/>
                      <w:szCs w:val="21"/>
                      <w:lang w:val="en-US" w:eastAsia="zh-CN"/>
                    </w:rPr>
                  </w:pPr>
                  <w:r>
                    <w:rPr>
                      <w:rFonts w:hint="eastAsia" w:eastAsia="宋体"/>
                      <w:color w:val="auto"/>
                      <w:sz w:val="21"/>
                      <w:szCs w:val="21"/>
                      <w:lang w:val="en-US" w:eastAsia="zh-CN"/>
                    </w:rPr>
                    <w:t>台</w:t>
                  </w:r>
                </w:p>
              </w:tc>
              <w:tc>
                <w:tcPr>
                  <w:tcW w:w="1742" w:type="dxa"/>
                  <w:noWrap w:val="0"/>
                  <w:vAlign w:val="center"/>
                </w:tcPr>
                <w:p w14:paraId="48BD0140">
                  <w:pPr>
                    <w:pStyle w:val="87"/>
                    <w:keepNext w:val="0"/>
                    <w:keepLines w:val="0"/>
                    <w:pageBreakBefore w:val="0"/>
                    <w:kinsoku/>
                    <w:wordWrap/>
                    <w:overflowPunct/>
                    <w:topLinePunct w:val="0"/>
                    <w:autoSpaceDE/>
                    <w:autoSpaceDN/>
                    <w:bidi w:val="0"/>
                    <w:adjustRightInd/>
                    <w:snapToGrid/>
                    <w:spacing w:after="0" w:afterLines="0" w:line="240" w:lineRule="auto"/>
                    <w:ind w:firstLine="0" w:firstLineChars="0"/>
                    <w:jc w:val="center"/>
                    <w:rPr>
                      <w:rFonts w:hint="default" w:ascii="Times New Roman" w:hAnsi="Times New Roman" w:eastAsia="宋体" w:cs="Times New Roman"/>
                      <w:color w:val="auto"/>
                      <w:kern w:val="2"/>
                      <w:sz w:val="21"/>
                      <w:szCs w:val="21"/>
                      <w:lang w:val="en-US" w:eastAsia="zh-CN" w:bidi="ar"/>
                    </w:rPr>
                  </w:pPr>
                  <w:r>
                    <w:rPr>
                      <w:rFonts w:hint="eastAsia" w:cs="Times New Roman"/>
                      <w:color w:val="auto"/>
                      <w:kern w:val="2"/>
                      <w:sz w:val="21"/>
                      <w:szCs w:val="21"/>
                      <w:lang w:val="en-US" w:eastAsia="zh-CN" w:bidi="ar"/>
                    </w:rPr>
                    <w:t>16*2000mm</w:t>
                  </w:r>
                </w:p>
              </w:tc>
              <w:tc>
                <w:tcPr>
                  <w:tcW w:w="1740" w:type="dxa"/>
                  <w:noWrap w:val="0"/>
                  <w:vAlign w:val="center"/>
                </w:tcPr>
                <w:p w14:paraId="7DF386A4">
                  <w:pPr>
                    <w:pStyle w:val="87"/>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2"/>
                      <w:szCs w:val="21"/>
                      <w:lang w:val="en-US" w:eastAsia="zh-CN" w:bidi="ar"/>
                    </w:rPr>
                  </w:pPr>
                  <w:r>
                    <w:rPr>
                      <w:rFonts w:hint="eastAsia" w:cs="Times New Roman"/>
                      <w:color w:val="auto"/>
                      <w:kern w:val="2"/>
                      <w:szCs w:val="21"/>
                      <w:lang w:val="en-US" w:eastAsia="zh-CN" w:bidi="ar"/>
                    </w:rPr>
                    <w:t>1</w:t>
                  </w:r>
                </w:p>
              </w:tc>
              <w:tc>
                <w:tcPr>
                  <w:tcW w:w="1737" w:type="dxa"/>
                  <w:noWrap w:val="0"/>
                  <w:vAlign w:val="center"/>
                </w:tcPr>
                <w:p w14:paraId="38EFC873">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1#生产车间</w:t>
                  </w:r>
                </w:p>
              </w:tc>
            </w:tr>
            <w:tr w14:paraId="6FCA9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1" w:type="dxa"/>
                  <w:noWrap w:val="0"/>
                  <w:vAlign w:val="center"/>
                </w:tcPr>
                <w:p w14:paraId="2CE80607">
                  <w:pPr>
                    <w:pStyle w:val="87"/>
                    <w:keepNext w:val="0"/>
                    <w:keepLines w:val="0"/>
                    <w:pageBreakBefore w:val="0"/>
                    <w:widowControl/>
                    <w:kinsoku/>
                    <w:wordWrap/>
                    <w:overflowPunct/>
                    <w:topLinePunct w:val="0"/>
                    <w:autoSpaceDE/>
                    <w:autoSpaceDN/>
                    <w:bidi w:val="0"/>
                    <w:adjustRightInd/>
                    <w:snapToGrid/>
                    <w:spacing w:after="0" w:afterLines="0" w:line="240" w:lineRule="auto"/>
                    <w:ind w:firstLine="0" w:firstLineChars="0"/>
                    <w:jc w:val="center"/>
                    <w:textAlignment w:val="center"/>
                    <w:rPr>
                      <w:rFonts w:hint="eastAsia" w:ascii="Times New Roman" w:hAnsi="Times New Roman" w:eastAsia="宋体" w:cs="Arial"/>
                      <w:color w:val="auto"/>
                      <w:kern w:val="2"/>
                      <w:sz w:val="21"/>
                      <w:szCs w:val="21"/>
                      <w:lang w:val="en-US" w:eastAsia="zh-CN" w:bidi="ar-SA"/>
                    </w:rPr>
                  </w:pPr>
                  <w:r>
                    <w:rPr>
                      <w:rFonts w:hint="eastAsia" w:ascii="Times New Roman" w:hAnsi="Times New Roman" w:cs="Times New Roman"/>
                      <w:color w:val="auto"/>
                      <w:kern w:val="2"/>
                      <w:sz w:val="21"/>
                      <w:szCs w:val="21"/>
                      <w:lang w:bidi="ar"/>
                    </w:rPr>
                    <w:t>焊接机</w:t>
                  </w:r>
                </w:p>
              </w:tc>
              <w:tc>
                <w:tcPr>
                  <w:tcW w:w="1742" w:type="dxa"/>
                  <w:noWrap w:val="0"/>
                  <w:vAlign w:val="center"/>
                </w:tcPr>
                <w:p w14:paraId="172A5342">
                  <w:pPr>
                    <w:keepNext w:val="0"/>
                    <w:keepLines w:val="0"/>
                    <w:pageBreakBefore w:val="0"/>
                    <w:kinsoku/>
                    <w:wordWrap/>
                    <w:overflowPunct/>
                    <w:topLinePunct w:val="0"/>
                    <w:autoSpaceDE/>
                    <w:autoSpaceDN/>
                    <w:bidi w:val="0"/>
                    <w:adjustRightInd/>
                    <w:snapToGrid/>
                    <w:spacing w:line="240" w:lineRule="auto"/>
                    <w:jc w:val="center"/>
                    <w:rPr>
                      <w:rFonts w:hint="default" w:eastAsia="宋体"/>
                      <w:color w:val="auto"/>
                      <w:sz w:val="21"/>
                      <w:szCs w:val="21"/>
                      <w:lang w:val="en-US" w:eastAsia="zh-CN"/>
                    </w:rPr>
                  </w:pPr>
                  <w:r>
                    <w:rPr>
                      <w:rFonts w:hint="eastAsia" w:eastAsia="宋体"/>
                      <w:color w:val="auto"/>
                      <w:sz w:val="21"/>
                      <w:szCs w:val="21"/>
                      <w:lang w:val="en-US" w:eastAsia="zh-CN"/>
                    </w:rPr>
                    <w:t>台</w:t>
                  </w:r>
                </w:p>
              </w:tc>
              <w:tc>
                <w:tcPr>
                  <w:tcW w:w="1742" w:type="dxa"/>
                  <w:noWrap w:val="0"/>
                  <w:vAlign w:val="center"/>
                </w:tcPr>
                <w:p w14:paraId="7B398AF1">
                  <w:pPr>
                    <w:pStyle w:val="87"/>
                    <w:keepNext w:val="0"/>
                    <w:keepLines w:val="0"/>
                    <w:pageBreakBefore w:val="0"/>
                    <w:kinsoku/>
                    <w:wordWrap/>
                    <w:overflowPunct/>
                    <w:topLinePunct w:val="0"/>
                    <w:autoSpaceDE/>
                    <w:autoSpaceDN/>
                    <w:bidi w:val="0"/>
                    <w:adjustRightInd/>
                    <w:snapToGrid/>
                    <w:spacing w:after="0" w:afterLines="0" w:line="240" w:lineRule="auto"/>
                    <w:ind w:firstLine="0" w:firstLineChars="0"/>
                    <w:jc w:val="center"/>
                    <w:rPr>
                      <w:rFonts w:hint="eastAsia" w:ascii="Times New Roman" w:hAnsi="Times New Roman" w:eastAsia="宋体" w:cs="Arial"/>
                      <w:color w:val="auto"/>
                      <w:kern w:val="2"/>
                      <w:sz w:val="21"/>
                      <w:szCs w:val="21"/>
                      <w:lang w:val="en-US" w:eastAsia="zh-CN" w:bidi="ar-SA"/>
                    </w:rPr>
                  </w:pPr>
                  <w:r>
                    <w:rPr>
                      <w:rFonts w:hint="eastAsia" w:ascii="Times New Roman" w:hAnsi="Times New Roman" w:cs="Times New Roman"/>
                      <w:color w:val="auto"/>
                      <w:kern w:val="2"/>
                      <w:sz w:val="21"/>
                      <w:szCs w:val="21"/>
                      <w:lang w:bidi="ar"/>
                    </w:rPr>
                    <w:t>功率0.75</w:t>
                  </w:r>
                  <w:r>
                    <w:rPr>
                      <w:rFonts w:hint="eastAsia" w:ascii="Times New Roman" w:hAnsi="Times New Roman" w:cs="Times New Roman"/>
                      <w:bCs w:val="0"/>
                      <w:color w:val="auto"/>
                      <w:sz w:val="21"/>
                      <w:szCs w:val="21"/>
                    </w:rPr>
                    <w:t>KW</w:t>
                  </w:r>
                </w:p>
              </w:tc>
              <w:tc>
                <w:tcPr>
                  <w:tcW w:w="1740" w:type="dxa"/>
                  <w:noWrap w:val="0"/>
                  <w:vAlign w:val="center"/>
                </w:tcPr>
                <w:p w14:paraId="1A0729E5">
                  <w:pPr>
                    <w:pStyle w:val="87"/>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eastAsia="宋体"/>
                      <w:color w:val="auto"/>
                      <w:sz w:val="21"/>
                      <w:szCs w:val="21"/>
                      <w:lang w:val="en-US" w:eastAsia="zh-CN"/>
                    </w:rPr>
                  </w:pPr>
                  <w:r>
                    <w:rPr>
                      <w:rFonts w:hint="eastAsia" w:cs="Times New Roman"/>
                      <w:color w:val="auto"/>
                      <w:kern w:val="2"/>
                      <w:szCs w:val="21"/>
                      <w:lang w:val="en-US" w:eastAsia="zh-CN" w:bidi="ar"/>
                    </w:rPr>
                    <w:t>10</w:t>
                  </w:r>
                </w:p>
              </w:tc>
              <w:tc>
                <w:tcPr>
                  <w:tcW w:w="1737" w:type="dxa"/>
                  <w:noWrap w:val="0"/>
                  <w:vAlign w:val="center"/>
                </w:tcPr>
                <w:p w14:paraId="26C0F9DA">
                  <w:pPr>
                    <w:keepNext w:val="0"/>
                    <w:keepLines w:val="0"/>
                    <w:pageBreakBefore w:val="0"/>
                    <w:kinsoku/>
                    <w:wordWrap/>
                    <w:overflowPunct/>
                    <w:topLinePunct w:val="0"/>
                    <w:autoSpaceDE/>
                    <w:autoSpaceDN/>
                    <w:bidi w:val="0"/>
                    <w:adjustRightInd/>
                    <w:snapToGrid/>
                    <w:spacing w:line="240" w:lineRule="auto"/>
                    <w:jc w:val="center"/>
                    <w:rPr>
                      <w:rFonts w:hint="eastAsia" w:eastAsia="宋体"/>
                      <w:color w:val="auto"/>
                      <w:sz w:val="21"/>
                      <w:szCs w:val="21"/>
                      <w:lang w:val="en-US" w:eastAsia="zh-CN"/>
                    </w:rPr>
                  </w:pPr>
                  <w:r>
                    <w:rPr>
                      <w:rFonts w:hint="default" w:ascii="Times New Roman" w:hAnsi="Times New Roman" w:eastAsia="宋体" w:cs="Times New Roman"/>
                      <w:color w:val="auto"/>
                      <w:sz w:val="21"/>
                      <w:szCs w:val="21"/>
                      <w:lang w:val="en-US" w:eastAsia="zh-CN"/>
                    </w:rPr>
                    <w:t>1#生产车间</w:t>
                  </w:r>
                </w:p>
              </w:tc>
            </w:tr>
            <w:tr w14:paraId="74060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741" w:type="dxa"/>
                  <w:noWrap w:val="0"/>
                  <w:vAlign w:val="center"/>
                </w:tcPr>
                <w:p w14:paraId="1EAAA3E1">
                  <w:pPr>
                    <w:pStyle w:val="87"/>
                    <w:keepNext w:val="0"/>
                    <w:keepLines w:val="0"/>
                    <w:pageBreakBefore w:val="0"/>
                    <w:widowControl/>
                    <w:kinsoku/>
                    <w:wordWrap/>
                    <w:overflowPunct/>
                    <w:topLinePunct w:val="0"/>
                    <w:autoSpaceDE/>
                    <w:autoSpaceDN/>
                    <w:bidi w:val="0"/>
                    <w:adjustRightInd/>
                    <w:snapToGrid/>
                    <w:spacing w:after="0" w:afterLines="0" w:line="240" w:lineRule="auto"/>
                    <w:ind w:firstLine="0" w:firstLineChars="0"/>
                    <w:jc w:val="center"/>
                    <w:textAlignment w:val="center"/>
                    <w:rPr>
                      <w:rFonts w:hint="default" w:ascii="Times New Roman" w:hAnsi="Times New Roman" w:eastAsia="宋体" w:cs="Arial"/>
                      <w:color w:val="auto"/>
                      <w:kern w:val="2"/>
                      <w:sz w:val="21"/>
                      <w:szCs w:val="21"/>
                      <w:lang w:val="en-US" w:eastAsia="zh-CN" w:bidi="ar-SA"/>
                    </w:rPr>
                  </w:pPr>
                  <w:r>
                    <w:rPr>
                      <w:rFonts w:hint="eastAsia" w:ascii="Times New Roman" w:hAnsi="Times New Roman" w:cs="Times New Roman"/>
                      <w:color w:val="auto"/>
                      <w:kern w:val="2"/>
                      <w:sz w:val="21"/>
                      <w:szCs w:val="21"/>
                      <w:lang w:bidi="ar"/>
                    </w:rPr>
                    <w:t>数控车床</w:t>
                  </w:r>
                </w:p>
              </w:tc>
              <w:tc>
                <w:tcPr>
                  <w:tcW w:w="1742" w:type="dxa"/>
                  <w:noWrap w:val="0"/>
                  <w:vAlign w:val="center"/>
                </w:tcPr>
                <w:p w14:paraId="718CD780">
                  <w:pPr>
                    <w:keepNext w:val="0"/>
                    <w:keepLines w:val="0"/>
                    <w:pageBreakBefore w:val="0"/>
                    <w:kinsoku/>
                    <w:wordWrap/>
                    <w:overflowPunct/>
                    <w:topLinePunct w:val="0"/>
                    <w:autoSpaceDE/>
                    <w:autoSpaceDN/>
                    <w:bidi w:val="0"/>
                    <w:adjustRightInd/>
                    <w:snapToGrid/>
                    <w:spacing w:line="240" w:lineRule="auto"/>
                    <w:jc w:val="center"/>
                    <w:rPr>
                      <w:rFonts w:hint="default" w:eastAsia="宋体"/>
                      <w:color w:val="auto"/>
                      <w:sz w:val="21"/>
                      <w:szCs w:val="21"/>
                      <w:lang w:val="en-US" w:eastAsia="zh-CN"/>
                    </w:rPr>
                  </w:pPr>
                  <w:r>
                    <w:rPr>
                      <w:rFonts w:hint="eastAsia" w:eastAsia="宋体"/>
                      <w:color w:val="auto"/>
                      <w:sz w:val="21"/>
                      <w:szCs w:val="21"/>
                      <w:lang w:val="en-US" w:eastAsia="zh-CN"/>
                    </w:rPr>
                    <w:t>台</w:t>
                  </w:r>
                </w:p>
              </w:tc>
              <w:tc>
                <w:tcPr>
                  <w:tcW w:w="1742" w:type="dxa"/>
                  <w:noWrap w:val="0"/>
                  <w:vAlign w:val="center"/>
                </w:tcPr>
                <w:p w14:paraId="373797E6">
                  <w:pPr>
                    <w:pStyle w:val="87"/>
                    <w:keepNext w:val="0"/>
                    <w:keepLines w:val="0"/>
                    <w:pageBreakBefore w:val="0"/>
                    <w:kinsoku/>
                    <w:wordWrap/>
                    <w:overflowPunct/>
                    <w:topLinePunct w:val="0"/>
                    <w:autoSpaceDE/>
                    <w:autoSpaceDN/>
                    <w:bidi w:val="0"/>
                    <w:adjustRightInd/>
                    <w:snapToGrid/>
                    <w:spacing w:after="0" w:afterLines="0" w:line="240" w:lineRule="auto"/>
                    <w:ind w:firstLine="0" w:firstLineChars="0"/>
                    <w:jc w:val="center"/>
                    <w:rPr>
                      <w:rFonts w:ascii="Times New Roman" w:hAnsi="Times New Roman" w:eastAsia="宋体" w:cs="Arial"/>
                      <w:color w:val="auto"/>
                      <w:kern w:val="2"/>
                      <w:sz w:val="21"/>
                      <w:szCs w:val="21"/>
                      <w:lang w:val="en-US" w:eastAsia="zh-CN" w:bidi="ar-SA"/>
                    </w:rPr>
                  </w:pPr>
                  <w:r>
                    <w:rPr>
                      <w:rFonts w:hint="eastAsia" w:ascii="Times New Roman" w:hAnsi="Times New Roman" w:cs="Times New Roman"/>
                      <w:color w:val="auto"/>
                      <w:kern w:val="2"/>
                      <w:sz w:val="21"/>
                      <w:szCs w:val="21"/>
                      <w:lang w:bidi="ar"/>
                    </w:rPr>
                    <w:t>功率11</w:t>
                  </w:r>
                  <w:r>
                    <w:rPr>
                      <w:rFonts w:hint="eastAsia" w:ascii="Times New Roman" w:hAnsi="Times New Roman" w:cs="Times New Roman"/>
                      <w:bCs w:val="0"/>
                      <w:color w:val="auto"/>
                      <w:sz w:val="21"/>
                      <w:szCs w:val="21"/>
                    </w:rPr>
                    <w:t>KW</w:t>
                  </w:r>
                </w:p>
              </w:tc>
              <w:tc>
                <w:tcPr>
                  <w:tcW w:w="1740" w:type="dxa"/>
                  <w:noWrap w:val="0"/>
                  <w:vAlign w:val="center"/>
                </w:tcPr>
                <w:p w14:paraId="71618B15">
                  <w:pPr>
                    <w:pStyle w:val="87"/>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eastAsia="宋体"/>
                      <w:color w:val="auto"/>
                      <w:sz w:val="21"/>
                      <w:szCs w:val="21"/>
                      <w:lang w:val="en-US" w:eastAsia="zh-CN"/>
                    </w:rPr>
                  </w:pPr>
                  <w:r>
                    <w:rPr>
                      <w:rFonts w:hint="eastAsia" w:ascii="Times New Roman" w:hAnsi="Times New Roman" w:cs="Times New Roman"/>
                      <w:color w:val="auto"/>
                      <w:kern w:val="2"/>
                      <w:szCs w:val="21"/>
                      <w:lang w:bidi="ar"/>
                    </w:rPr>
                    <w:t>4</w:t>
                  </w:r>
                </w:p>
              </w:tc>
              <w:tc>
                <w:tcPr>
                  <w:tcW w:w="1737" w:type="dxa"/>
                  <w:noWrap w:val="0"/>
                  <w:vAlign w:val="center"/>
                </w:tcPr>
                <w:p w14:paraId="46C78AA9">
                  <w:pPr>
                    <w:keepNext w:val="0"/>
                    <w:keepLines w:val="0"/>
                    <w:pageBreakBefore w:val="0"/>
                    <w:kinsoku/>
                    <w:wordWrap/>
                    <w:overflowPunct/>
                    <w:topLinePunct w:val="0"/>
                    <w:autoSpaceDE/>
                    <w:autoSpaceDN/>
                    <w:bidi w:val="0"/>
                    <w:adjustRightInd/>
                    <w:snapToGrid/>
                    <w:spacing w:line="240" w:lineRule="auto"/>
                    <w:jc w:val="center"/>
                    <w:rPr>
                      <w:rFonts w:hint="eastAsia" w:eastAsia="宋体"/>
                      <w:color w:val="auto"/>
                      <w:sz w:val="21"/>
                      <w:szCs w:val="21"/>
                      <w:lang w:val="en-US" w:eastAsia="zh-CN"/>
                    </w:rPr>
                  </w:pPr>
                  <w:r>
                    <w:rPr>
                      <w:rFonts w:hint="default" w:ascii="Times New Roman" w:hAnsi="Times New Roman" w:eastAsia="宋体" w:cs="Times New Roman"/>
                      <w:color w:val="auto"/>
                      <w:sz w:val="21"/>
                      <w:szCs w:val="21"/>
                      <w:lang w:val="en-US" w:eastAsia="zh-CN"/>
                    </w:rPr>
                    <w:t>1#生产车间</w:t>
                  </w:r>
                </w:p>
              </w:tc>
            </w:tr>
            <w:tr w14:paraId="34842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741" w:type="dxa"/>
                  <w:noWrap w:val="0"/>
                  <w:vAlign w:val="center"/>
                </w:tcPr>
                <w:p w14:paraId="4E574736">
                  <w:pPr>
                    <w:pStyle w:val="87"/>
                    <w:keepNext w:val="0"/>
                    <w:keepLines w:val="0"/>
                    <w:pageBreakBefore w:val="0"/>
                    <w:widowControl/>
                    <w:kinsoku/>
                    <w:wordWrap/>
                    <w:overflowPunct/>
                    <w:topLinePunct w:val="0"/>
                    <w:autoSpaceDE/>
                    <w:autoSpaceDN/>
                    <w:bidi w:val="0"/>
                    <w:adjustRightInd/>
                    <w:snapToGrid/>
                    <w:spacing w:after="0" w:afterLines="0" w:line="240" w:lineRule="auto"/>
                    <w:ind w:firstLine="0" w:firstLineChars="0"/>
                    <w:jc w:val="center"/>
                    <w:textAlignment w:val="center"/>
                    <w:rPr>
                      <w:rFonts w:hint="eastAsia" w:ascii="Times New Roman" w:hAnsi="Times New Roman" w:eastAsia="宋体" w:cs="Arial"/>
                      <w:color w:val="auto"/>
                      <w:kern w:val="2"/>
                      <w:sz w:val="21"/>
                      <w:szCs w:val="21"/>
                      <w:lang w:val="en-US" w:eastAsia="zh-CN" w:bidi="ar-SA"/>
                    </w:rPr>
                  </w:pPr>
                  <w:r>
                    <w:rPr>
                      <w:rFonts w:hint="eastAsia" w:ascii="Times New Roman" w:hAnsi="Times New Roman" w:cs="Times New Roman"/>
                      <w:bCs w:val="0"/>
                      <w:color w:val="auto"/>
                      <w:sz w:val="21"/>
                      <w:szCs w:val="21"/>
                    </w:rPr>
                    <w:t>钻床</w:t>
                  </w:r>
                </w:p>
              </w:tc>
              <w:tc>
                <w:tcPr>
                  <w:tcW w:w="1742" w:type="dxa"/>
                  <w:noWrap w:val="0"/>
                  <w:vAlign w:val="center"/>
                </w:tcPr>
                <w:p w14:paraId="2BCD61C2">
                  <w:pPr>
                    <w:keepNext w:val="0"/>
                    <w:keepLines w:val="0"/>
                    <w:pageBreakBefore w:val="0"/>
                    <w:kinsoku/>
                    <w:wordWrap/>
                    <w:overflowPunct/>
                    <w:topLinePunct w:val="0"/>
                    <w:autoSpaceDE/>
                    <w:autoSpaceDN/>
                    <w:bidi w:val="0"/>
                    <w:adjustRightInd/>
                    <w:snapToGrid/>
                    <w:spacing w:line="240" w:lineRule="auto"/>
                    <w:jc w:val="center"/>
                    <w:rPr>
                      <w:rFonts w:hint="default" w:eastAsia="宋体"/>
                      <w:color w:val="auto"/>
                      <w:sz w:val="21"/>
                      <w:szCs w:val="21"/>
                      <w:lang w:val="en-US" w:eastAsia="zh-CN"/>
                    </w:rPr>
                  </w:pPr>
                  <w:r>
                    <w:rPr>
                      <w:rFonts w:hint="eastAsia" w:eastAsia="宋体"/>
                      <w:color w:val="auto"/>
                      <w:sz w:val="21"/>
                      <w:szCs w:val="21"/>
                      <w:lang w:val="en-US" w:eastAsia="zh-CN"/>
                    </w:rPr>
                    <w:t>台</w:t>
                  </w:r>
                </w:p>
              </w:tc>
              <w:tc>
                <w:tcPr>
                  <w:tcW w:w="1742" w:type="dxa"/>
                  <w:noWrap w:val="0"/>
                  <w:vAlign w:val="center"/>
                </w:tcPr>
                <w:p w14:paraId="68E4AFDF">
                  <w:pPr>
                    <w:pStyle w:val="87"/>
                    <w:keepNext w:val="0"/>
                    <w:keepLines w:val="0"/>
                    <w:pageBreakBefore w:val="0"/>
                    <w:kinsoku/>
                    <w:wordWrap/>
                    <w:overflowPunct/>
                    <w:topLinePunct w:val="0"/>
                    <w:autoSpaceDE/>
                    <w:autoSpaceDN/>
                    <w:bidi w:val="0"/>
                    <w:adjustRightInd/>
                    <w:snapToGrid/>
                    <w:spacing w:after="0" w:afterLines="0" w:line="240" w:lineRule="auto"/>
                    <w:ind w:firstLine="0" w:firstLineChars="0"/>
                    <w:jc w:val="center"/>
                    <w:rPr>
                      <w:rFonts w:ascii="Times New Roman" w:hAnsi="Times New Roman" w:eastAsia="宋体" w:cs="Arial"/>
                      <w:color w:val="auto"/>
                      <w:kern w:val="2"/>
                      <w:sz w:val="21"/>
                      <w:szCs w:val="21"/>
                      <w:lang w:val="en-US" w:eastAsia="zh-CN" w:bidi="ar-SA"/>
                    </w:rPr>
                  </w:pPr>
                  <w:r>
                    <w:rPr>
                      <w:rFonts w:hint="eastAsia" w:ascii="Times New Roman" w:hAnsi="Times New Roman" w:cs="Times New Roman"/>
                      <w:color w:val="auto"/>
                      <w:kern w:val="2"/>
                      <w:sz w:val="21"/>
                      <w:szCs w:val="21"/>
                      <w:lang w:bidi="ar"/>
                    </w:rPr>
                    <w:t>功率6</w:t>
                  </w:r>
                  <w:r>
                    <w:rPr>
                      <w:rFonts w:hint="eastAsia" w:ascii="Times New Roman" w:hAnsi="Times New Roman" w:cs="Times New Roman"/>
                      <w:bCs w:val="0"/>
                      <w:color w:val="auto"/>
                      <w:sz w:val="21"/>
                      <w:szCs w:val="21"/>
                    </w:rPr>
                    <w:t>KW</w:t>
                  </w:r>
                </w:p>
              </w:tc>
              <w:tc>
                <w:tcPr>
                  <w:tcW w:w="1740" w:type="dxa"/>
                  <w:noWrap w:val="0"/>
                  <w:vAlign w:val="center"/>
                </w:tcPr>
                <w:p w14:paraId="18476E62">
                  <w:pPr>
                    <w:pStyle w:val="87"/>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eastAsia="宋体"/>
                      <w:color w:val="auto"/>
                      <w:sz w:val="21"/>
                      <w:szCs w:val="21"/>
                      <w:lang w:val="en-US" w:eastAsia="zh-CN"/>
                    </w:rPr>
                  </w:pPr>
                  <w:r>
                    <w:rPr>
                      <w:rFonts w:hint="eastAsia" w:ascii="Times New Roman" w:hAnsi="Times New Roman" w:cs="Times New Roman"/>
                      <w:bCs w:val="0"/>
                      <w:color w:val="auto"/>
                      <w:szCs w:val="21"/>
                    </w:rPr>
                    <w:t>2</w:t>
                  </w:r>
                </w:p>
              </w:tc>
              <w:tc>
                <w:tcPr>
                  <w:tcW w:w="1737" w:type="dxa"/>
                  <w:noWrap w:val="0"/>
                  <w:vAlign w:val="center"/>
                </w:tcPr>
                <w:p w14:paraId="1135C324">
                  <w:pPr>
                    <w:keepNext w:val="0"/>
                    <w:keepLines w:val="0"/>
                    <w:pageBreakBefore w:val="0"/>
                    <w:kinsoku/>
                    <w:wordWrap/>
                    <w:overflowPunct/>
                    <w:topLinePunct w:val="0"/>
                    <w:autoSpaceDE/>
                    <w:autoSpaceDN/>
                    <w:bidi w:val="0"/>
                    <w:adjustRightInd/>
                    <w:snapToGrid/>
                    <w:spacing w:line="240" w:lineRule="auto"/>
                    <w:jc w:val="center"/>
                    <w:rPr>
                      <w:rFonts w:hint="eastAsia" w:eastAsia="宋体"/>
                      <w:color w:val="auto"/>
                      <w:sz w:val="21"/>
                      <w:szCs w:val="21"/>
                      <w:lang w:val="en-US" w:eastAsia="zh-CN"/>
                    </w:rPr>
                  </w:pPr>
                  <w:r>
                    <w:rPr>
                      <w:rFonts w:hint="default" w:ascii="Times New Roman" w:hAnsi="Times New Roman" w:eastAsia="宋体" w:cs="Times New Roman"/>
                      <w:color w:val="auto"/>
                      <w:sz w:val="21"/>
                      <w:szCs w:val="21"/>
                      <w:lang w:val="en-US" w:eastAsia="zh-CN"/>
                    </w:rPr>
                    <w:t>1#生产车间</w:t>
                  </w:r>
                </w:p>
              </w:tc>
            </w:tr>
            <w:tr w14:paraId="4AE00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741" w:type="dxa"/>
                  <w:noWrap w:val="0"/>
                  <w:vAlign w:val="center"/>
                </w:tcPr>
                <w:p w14:paraId="462E08A1">
                  <w:pPr>
                    <w:pStyle w:val="87"/>
                    <w:keepNext w:val="0"/>
                    <w:keepLines w:val="0"/>
                    <w:pageBreakBefore w:val="0"/>
                    <w:widowControl/>
                    <w:kinsoku/>
                    <w:wordWrap/>
                    <w:overflowPunct/>
                    <w:topLinePunct w:val="0"/>
                    <w:autoSpaceDE/>
                    <w:autoSpaceDN/>
                    <w:bidi w:val="0"/>
                    <w:adjustRightInd/>
                    <w:snapToGrid/>
                    <w:spacing w:after="0" w:afterLines="0" w:line="240" w:lineRule="auto"/>
                    <w:ind w:firstLine="0" w:firstLineChars="0"/>
                    <w:jc w:val="center"/>
                    <w:textAlignment w:val="center"/>
                    <w:rPr>
                      <w:rFonts w:hint="eastAsia" w:ascii="Times New Roman" w:hAnsi="Times New Roman" w:eastAsia="宋体" w:cs="Arial"/>
                      <w:color w:val="auto"/>
                      <w:kern w:val="2"/>
                      <w:sz w:val="21"/>
                      <w:szCs w:val="21"/>
                      <w:lang w:val="en-US" w:eastAsia="zh-CN" w:bidi="ar-SA"/>
                    </w:rPr>
                  </w:pPr>
                  <w:r>
                    <w:rPr>
                      <w:rFonts w:hint="eastAsia" w:ascii="Times New Roman" w:hAnsi="Times New Roman" w:cs="Times New Roman"/>
                      <w:bCs w:val="0"/>
                      <w:color w:val="auto"/>
                      <w:sz w:val="21"/>
                      <w:szCs w:val="21"/>
                    </w:rPr>
                    <w:t>铣床</w:t>
                  </w:r>
                </w:p>
              </w:tc>
              <w:tc>
                <w:tcPr>
                  <w:tcW w:w="1742" w:type="dxa"/>
                  <w:noWrap w:val="0"/>
                  <w:vAlign w:val="center"/>
                </w:tcPr>
                <w:p w14:paraId="26417F09">
                  <w:pPr>
                    <w:keepNext w:val="0"/>
                    <w:keepLines w:val="0"/>
                    <w:pageBreakBefore w:val="0"/>
                    <w:kinsoku/>
                    <w:wordWrap/>
                    <w:overflowPunct/>
                    <w:topLinePunct w:val="0"/>
                    <w:autoSpaceDE/>
                    <w:autoSpaceDN/>
                    <w:bidi w:val="0"/>
                    <w:adjustRightInd/>
                    <w:snapToGrid/>
                    <w:spacing w:line="240" w:lineRule="auto"/>
                    <w:jc w:val="center"/>
                    <w:rPr>
                      <w:rFonts w:hint="default" w:eastAsia="宋体"/>
                      <w:color w:val="auto"/>
                      <w:sz w:val="21"/>
                      <w:szCs w:val="21"/>
                      <w:lang w:val="en-US" w:eastAsia="zh-CN"/>
                    </w:rPr>
                  </w:pPr>
                  <w:r>
                    <w:rPr>
                      <w:rFonts w:hint="eastAsia" w:eastAsia="宋体"/>
                      <w:color w:val="auto"/>
                      <w:sz w:val="21"/>
                      <w:szCs w:val="21"/>
                      <w:lang w:val="en-US" w:eastAsia="zh-CN"/>
                    </w:rPr>
                    <w:t>台</w:t>
                  </w:r>
                </w:p>
              </w:tc>
              <w:tc>
                <w:tcPr>
                  <w:tcW w:w="1742" w:type="dxa"/>
                  <w:noWrap w:val="0"/>
                  <w:vAlign w:val="center"/>
                </w:tcPr>
                <w:p w14:paraId="767AE11B">
                  <w:pPr>
                    <w:pStyle w:val="87"/>
                    <w:keepNext w:val="0"/>
                    <w:keepLines w:val="0"/>
                    <w:pageBreakBefore w:val="0"/>
                    <w:kinsoku/>
                    <w:wordWrap/>
                    <w:overflowPunct/>
                    <w:topLinePunct w:val="0"/>
                    <w:autoSpaceDE/>
                    <w:autoSpaceDN/>
                    <w:bidi w:val="0"/>
                    <w:adjustRightInd/>
                    <w:snapToGrid/>
                    <w:spacing w:after="0" w:afterLines="0" w:line="240" w:lineRule="auto"/>
                    <w:ind w:firstLine="0" w:firstLineChars="0"/>
                    <w:jc w:val="center"/>
                    <w:rPr>
                      <w:rFonts w:ascii="Times New Roman" w:hAnsi="Times New Roman" w:eastAsia="宋体" w:cs="Arial"/>
                      <w:color w:val="auto"/>
                      <w:kern w:val="2"/>
                      <w:sz w:val="21"/>
                      <w:szCs w:val="21"/>
                      <w:lang w:val="en-US" w:eastAsia="zh-CN" w:bidi="ar-SA"/>
                    </w:rPr>
                  </w:pPr>
                  <w:r>
                    <w:rPr>
                      <w:rFonts w:hint="eastAsia" w:ascii="Times New Roman" w:hAnsi="Times New Roman" w:cs="Times New Roman"/>
                      <w:color w:val="auto"/>
                      <w:kern w:val="2"/>
                      <w:sz w:val="21"/>
                      <w:szCs w:val="21"/>
                      <w:lang w:bidi="ar"/>
                    </w:rPr>
                    <w:t>功率7</w:t>
                  </w:r>
                  <w:r>
                    <w:rPr>
                      <w:rFonts w:hint="eastAsia" w:ascii="Times New Roman" w:hAnsi="Times New Roman" w:cs="Times New Roman"/>
                      <w:bCs w:val="0"/>
                      <w:color w:val="auto"/>
                      <w:sz w:val="21"/>
                      <w:szCs w:val="21"/>
                    </w:rPr>
                    <w:t>KW</w:t>
                  </w:r>
                </w:p>
              </w:tc>
              <w:tc>
                <w:tcPr>
                  <w:tcW w:w="1740" w:type="dxa"/>
                  <w:noWrap w:val="0"/>
                  <w:vAlign w:val="center"/>
                </w:tcPr>
                <w:p w14:paraId="36E99BA0">
                  <w:pPr>
                    <w:pStyle w:val="87"/>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eastAsia="宋体"/>
                      <w:color w:val="auto"/>
                      <w:sz w:val="21"/>
                      <w:szCs w:val="21"/>
                      <w:lang w:val="en-US" w:eastAsia="zh-CN"/>
                    </w:rPr>
                  </w:pPr>
                  <w:r>
                    <w:rPr>
                      <w:rFonts w:hint="eastAsia" w:ascii="Times New Roman" w:hAnsi="Times New Roman" w:cs="Times New Roman"/>
                      <w:bCs w:val="0"/>
                      <w:color w:val="auto"/>
                      <w:szCs w:val="21"/>
                    </w:rPr>
                    <w:t>2</w:t>
                  </w:r>
                </w:p>
              </w:tc>
              <w:tc>
                <w:tcPr>
                  <w:tcW w:w="1737" w:type="dxa"/>
                  <w:noWrap w:val="0"/>
                  <w:vAlign w:val="center"/>
                </w:tcPr>
                <w:p w14:paraId="1783D1A7">
                  <w:pPr>
                    <w:keepNext w:val="0"/>
                    <w:keepLines w:val="0"/>
                    <w:pageBreakBefore w:val="0"/>
                    <w:kinsoku/>
                    <w:wordWrap/>
                    <w:overflowPunct/>
                    <w:topLinePunct w:val="0"/>
                    <w:autoSpaceDE/>
                    <w:autoSpaceDN/>
                    <w:bidi w:val="0"/>
                    <w:adjustRightInd/>
                    <w:snapToGrid/>
                    <w:spacing w:line="240" w:lineRule="auto"/>
                    <w:jc w:val="center"/>
                    <w:rPr>
                      <w:rFonts w:hint="default" w:eastAsia="宋体"/>
                      <w:color w:val="auto"/>
                      <w:sz w:val="21"/>
                      <w:szCs w:val="21"/>
                      <w:lang w:val="en-US" w:eastAsia="zh-CN"/>
                    </w:rPr>
                  </w:pPr>
                  <w:r>
                    <w:rPr>
                      <w:rFonts w:hint="default" w:ascii="Times New Roman" w:hAnsi="Times New Roman" w:eastAsia="宋体" w:cs="Times New Roman"/>
                      <w:color w:val="auto"/>
                      <w:sz w:val="21"/>
                      <w:szCs w:val="21"/>
                      <w:lang w:val="en-US" w:eastAsia="zh-CN"/>
                    </w:rPr>
                    <w:t>1#生产车间</w:t>
                  </w:r>
                </w:p>
              </w:tc>
            </w:tr>
            <w:tr w14:paraId="00FE9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741" w:type="dxa"/>
                  <w:noWrap w:val="0"/>
                  <w:vAlign w:val="center"/>
                </w:tcPr>
                <w:p w14:paraId="63B3A768">
                  <w:pPr>
                    <w:pStyle w:val="87"/>
                    <w:keepNext w:val="0"/>
                    <w:keepLines w:val="0"/>
                    <w:pageBreakBefore w:val="0"/>
                    <w:widowControl/>
                    <w:kinsoku/>
                    <w:wordWrap/>
                    <w:overflowPunct/>
                    <w:topLinePunct w:val="0"/>
                    <w:autoSpaceDE/>
                    <w:autoSpaceDN/>
                    <w:bidi w:val="0"/>
                    <w:adjustRightInd/>
                    <w:snapToGrid/>
                    <w:spacing w:after="0" w:afterLines="0" w:line="240" w:lineRule="auto"/>
                    <w:ind w:firstLine="0" w:firstLineChars="0"/>
                    <w:jc w:val="center"/>
                    <w:textAlignment w:val="center"/>
                    <w:rPr>
                      <w:rFonts w:hint="eastAsia" w:ascii="Times New Roman" w:hAnsi="Times New Roman" w:eastAsia="宋体" w:cs="Arial"/>
                      <w:color w:val="auto"/>
                      <w:kern w:val="2"/>
                      <w:sz w:val="21"/>
                      <w:szCs w:val="21"/>
                      <w:lang w:val="en-US" w:eastAsia="zh-CN" w:bidi="ar-SA"/>
                    </w:rPr>
                  </w:pPr>
                  <w:r>
                    <w:rPr>
                      <w:rFonts w:hint="eastAsia" w:ascii="Times New Roman" w:hAnsi="Times New Roman" w:cs="Times New Roman"/>
                      <w:bCs w:val="0"/>
                      <w:color w:val="auto"/>
                      <w:sz w:val="21"/>
                      <w:szCs w:val="21"/>
                    </w:rPr>
                    <w:t>焊接机</w:t>
                  </w:r>
                </w:p>
              </w:tc>
              <w:tc>
                <w:tcPr>
                  <w:tcW w:w="1742" w:type="dxa"/>
                  <w:noWrap w:val="0"/>
                  <w:vAlign w:val="center"/>
                </w:tcPr>
                <w:p w14:paraId="110180FF">
                  <w:pPr>
                    <w:keepNext w:val="0"/>
                    <w:keepLines w:val="0"/>
                    <w:pageBreakBefore w:val="0"/>
                    <w:kinsoku/>
                    <w:wordWrap/>
                    <w:overflowPunct/>
                    <w:topLinePunct w:val="0"/>
                    <w:autoSpaceDE/>
                    <w:autoSpaceDN/>
                    <w:bidi w:val="0"/>
                    <w:adjustRightInd/>
                    <w:snapToGrid/>
                    <w:spacing w:line="240" w:lineRule="auto"/>
                    <w:jc w:val="center"/>
                    <w:rPr>
                      <w:rFonts w:hint="eastAsia"/>
                      <w:color w:val="auto"/>
                      <w:sz w:val="21"/>
                      <w:szCs w:val="21"/>
                    </w:rPr>
                  </w:pPr>
                  <w:r>
                    <w:rPr>
                      <w:rFonts w:hint="eastAsia" w:eastAsia="宋体"/>
                      <w:color w:val="auto"/>
                      <w:sz w:val="21"/>
                      <w:szCs w:val="21"/>
                      <w:lang w:val="en-US" w:eastAsia="zh-CN"/>
                    </w:rPr>
                    <w:t>台</w:t>
                  </w:r>
                </w:p>
              </w:tc>
              <w:tc>
                <w:tcPr>
                  <w:tcW w:w="1742" w:type="dxa"/>
                  <w:noWrap w:val="0"/>
                  <w:vAlign w:val="center"/>
                </w:tcPr>
                <w:p w14:paraId="6767B28B">
                  <w:pPr>
                    <w:pStyle w:val="87"/>
                    <w:keepNext w:val="0"/>
                    <w:keepLines w:val="0"/>
                    <w:pageBreakBefore w:val="0"/>
                    <w:kinsoku/>
                    <w:wordWrap/>
                    <w:overflowPunct/>
                    <w:topLinePunct w:val="0"/>
                    <w:autoSpaceDE/>
                    <w:autoSpaceDN/>
                    <w:bidi w:val="0"/>
                    <w:adjustRightInd/>
                    <w:snapToGrid/>
                    <w:spacing w:after="0" w:afterLines="0" w:line="240" w:lineRule="auto"/>
                    <w:ind w:firstLine="0" w:firstLineChars="0"/>
                    <w:jc w:val="center"/>
                    <w:rPr>
                      <w:rFonts w:ascii="Times New Roman" w:hAnsi="Times New Roman" w:eastAsia="宋体" w:cs="Arial"/>
                      <w:color w:val="auto"/>
                      <w:kern w:val="2"/>
                      <w:sz w:val="21"/>
                      <w:szCs w:val="21"/>
                      <w:lang w:val="en-US" w:eastAsia="zh-CN" w:bidi="ar-SA"/>
                    </w:rPr>
                  </w:pPr>
                  <w:r>
                    <w:rPr>
                      <w:rFonts w:hint="eastAsia" w:ascii="Times New Roman" w:hAnsi="Times New Roman" w:cs="Times New Roman"/>
                      <w:color w:val="auto"/>
                      <w:kern w:val="2"/>
                      <w:sz w:val="21"/>
                      <w:szCs w:val="21"/>
                      <w:lang w:bidi="ar"/>
                    </w:rPr>
                    <w:t>功率0.5KW</w:t>
                  </w:r>
                </w:p>
              </w:tc>
              <w:tc>
                <w:tcPr>
                  <w:tcW w:w="1740" w:type="dxa"/>
                  <w:noWrap w:val="0"/>
                  <w:vAlign w:val="center"/>
                </w:tcPr>
                <w:p w14:paraId="24CEBC75">
                  <w:pPr>
                    <w:pStyle w:val="87"/>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color w:val="auto"/>
                      <w:sz w:val="21"/>
                      <w:szCs w:val="21"/>
                    </w:rPr>
                  </w:pPr>
                  <w:r>
                    <w:rPr>
                      <w:rFonts w:hint="eastAsia" w:ascii="Times New Roman" w:hAnsi="Times New Roman" w:cs="Times New Roman"/>
                      <w:bCs w:val="0"/>
                      <w:color w:val="auto"/>
                      <w:szCs w:val="21"/>
                    </w:rPr>
                    <w:t>6</w:t>
                  </w:r>
                </w:p>
              </w:tc>
              <w:tc>
                <w:tcPr>
                  <w:tcW w:w="1737" w:type="dxa"/>
                  <w:noWrap w:val="0"/>
                  <w:vAlign w:val="center"/>
                </w:tcPr>
                <w:p w14:paraId="27C65E8C">
                  <w:pPr>
                    <w:keepNext w:val="0"/>
                    <w:keepLines w:val="0"/>
                    <w:pageBreakBefore w:val="0"/>
                    <w:kinsoku/>
                    <w:wordWrap/>
                    <w:overflowPunct/>
                    <w:topLinePunct w:val="0"/>
                    <w:autoSpaceDE/>
                    <w:autoSpaceDN/>
                    <w:bidi w:val="0"/>
                    <w:adjustRightInd/>
                    <w:snapToGrid/>
                    <w:spacing w:line="240" w:lineRule="auto"/>
                    <w:jc w:val="center"/>
                    <w:rPr>
                      <w:color w:val="auto"/>
                      <w:sz w:val="21"/>
                      <w:szCs w:val="21"/>
                    </w:rPr>
                  </w:pPr>
                  <w:r>
                    <w:rPr>
                      <w:rFonts w:hint="default" w:ascii="Times New Roman" w:hAnsi="Times New Roman" w:eastAsia="宋体" w:cs="Times New Roman"/>
                      <w:color w:val="auto"/>
                      <w:sz w:val="21"/>
                      <w:szCs w:val="21"/>
                      <w:lang w:val="en-US" w:eastAsia="zh-CN"/>
                    </w:rPr>
                    <w:t>1#生产车间</w:t>
                  </w:r>
                </w:p>
              </w:tc>
            </w:tr>
            <w:tr w14:paraId="5F18E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741" w:type="dxa"/>
                  <w:noWrap w:val="0"/>
                  <w:vAlign w:val="center"/>
                </w:tcPr>
                <w:p w14:paraId="554AE950">
                  <w:pPr>
                    <w:pStyle w:val="87"/>
                    <w:keepNext w:val="0"/>
                    <w:keepLines w:val="0"/>
                    <w:pageBreakBefore w:val="0"/>
                    <w:widowControl/>
                    <w:kinsoku/>
                    <w:wordWrap/>
                    <w:overflowPunct/>
                    <w:topLinePunct w:val="0"/>
                    <w:autoSpaceDE/>
                    <w:autoSpaceDN/>
                    <w:bidi w:val="0"/>
                    <w:adjustRightInd/>
                    <w:snapToGrid/>
                    <w:spacing w:after="0" w:afterLines="0" w:line="240" w:lineRule="auto"/>
                    <w:ind w:firstLine="0" w:firstLineChars="0"/>
                    <w:jc w:val="center"/>
                    <w:textAlignment w:val="center"/>
                    <w:rPr>
                      <w:rFonts w:hint="default" w:ascii="Times New Roman" w:hAnsi="Times New Roman" w:eastAsia="宋体" w:cs="Times New Roman"/>
                      <w:bCs w:val="0"/>
                      <w:color w:val="auto"/>
                      <w:sz w:val="21"/>
                      <w:szCs w:val="21"/>
                      <w:lang w:val="en-US" w:eastAsia="zh-CN"/>
                    </w:rPr>
                  </w:pPr>
                  <w:r>
                    <w:rPr>
                      <w:rFonts w:hint="eastAsia" w:cs="Times New Roman"/>
                      <w:bCs w:val="0"/>
                      <w:color w:val="auto"/>
                      <w:sz w:val="21"/>
                      <w:szCs w:val="21"/>
                      <w:lang w:val="en-US" w:eastAsia="zh-CN"/>
                    </w:rPr>
                    <w:t>空压机</w:t>
                  </w:r>
                </w:p>
              </w:tc>
              <w:tc>
                <w:tcPr>
                  <w:tcW w:w="1742" w:type="dxa"/>
                  <w:noWrap w:val="0"/>
                  <w:vAlign w:val="center"/>
                </w:tcPr>
                <w:p w14:paraId="7B9DAEA0">
                  <w:pPr>
                    <w:keepNext w:val="0"/>
                    <w:keepLines w:val="0"/>
                    <w:pageBreakBefore w:val="0"/>
                    <w:kinsoku/>
                    <w:wordWrap/>
                    <w:overflowPunct/>
                    <w:topLinePunct w:val="0"/>
                    <w:autoSpaceDE/>
                    <w:autoSpaceDN/>
                    <w:bidi w:val="0"/>
                    <w:adjustRightInd/>
                    <w:snapToGrid/>
                    <w:spacing w:line="240" w:lineRule="auto"/>
                    <w:jc w:val="center"/>
                    <w:rPr>
                      <w:rFonts w:hint="eastAsia" w:eastAsia="宋体"/>
                      <w:color w:val="auto"/>
                      <w:sz w:val="21"/>
                      <w:szCs w:val="21"/>
                      <w:lang w:val="en-US" w:eastAsia="zh-CN"/>
                    </w:rPr>
                  </w:pPr>
                  <w:r>
                    <w:rPr>
                      <w:rFonts w:hint="eastAsia"/>
                      <w:color w:val="auto"/>
                      <w:sz w:val="21"/>
                      <w:szCs w:val="21"/>
                      <w:lang w:val="en-US" w:eastAsia="zh-CN"/>
                    </w:rPr>
                    <w:t>台</w:t>
                  </w:r>
                </w:p>
              </w:tc>
              <w:tc>
                <w:tcPr>
                  <w:tcW w:w="1742" w:type="dxa"/>
                  <w:noWrap w:val="0"/>
                  <w:vAlign w:val="center"/>
                </w:tcPr>
                <w:p w14:paraId="40E47C09">
                  <w:pPr>
                    <w:keepNext w:val="0"/>
                    <w:keepLines w:val="0"/>
                    <w:pageBreakBefore w:val="0"/>
                    <w:kinsoku/>
                    <w:wordWrap/>
                    <w:overflowPunct/>
                    <w:topLinePunct w:val="0"/>
                    <w:autoSpaceDE/>
                    <w:autoSpaceDN/>
                    <w:bidi w:val="0"/>
                    <w:adjustRightInd/>
                    <w:snapToGrid/>
                    <w:spacing w:line="240" w:lineRule="auto"/>
                    <w:jc w:val="center"/>
                    <w:rPr>
                      <w:rFonts w:hint="default" w:eastAsia="宋体"/>
                      <w:color w:val="auto"/>
                      <w:sz w:val="21"/>
                      <w:szCs w:val="21"/>
                      <w:lang w:val="en-US" w:eastAsia="zh-CN"/>
                    </w:rPr>
                  </w:pPr>
                  <w:r>
                    <w:rPr>
                      <w:rFonts w:hint="eastAsia"/>
                      <w:color w:val="auto"/>
                      <w:sz w:val="21"/>
                      <w:szCs w:val="21"/>
                      <w:lang w:val="en-US" w:eastAsia="zh-CN"/>
                    </w:rPr>
                    <w:t>功率16KW</w:t>
                  </w:r>
                </w:p>
              </w:tc>
              <w:tc>
                <w:tcPr>
                  <w:tcW w:w="1740" w:type="dxa"/>
                  <w:noWrap w:val="0"/>
                  <w:vAlign w:val="center"/>
                </w:tcPr>
                <w:p w14:paraId="4A8B7F73">
                  <w:pPr>
                    <w:keepNext w:val="0"/>
                    <w:keepLines w:val="0"/>
                    <w:pageBreakBefore w:val="0"/>
                    <w:kinsoku/>
                    <w:wordWrap/>
                    <w:overflowPunct/>
                    <w:topLinePunct w:val="0"/>
                    <w:autoSpaceDE/>
                    <w:autoSpaceDN/>
                    <w:bidi w:val="0"/>
                    <w:adjustRightInd/>
                    <w:snapToGrid/>
                    <w:spacing w:line="240" w:lineRule="auto"/>
                    <w:jc w:val="center"/>
                    <w:rPr>
                      <w:rFonts w:hint="eastAsia" w:eastAsia="宋体"/>
                      <w:color w:val="auto"/>
                      <w:sz w:val="21"/>
                      <w:szCs w:val="21"/>
                      <w:lang w:val="en-US" w:eastAsia="zh-CN"/>
                    </w:rPr>
                  </w:pPr>
                  <w:r>
                    <w:rPr>
                      <w:rFonts w:hint="eastAsia"/>
                      <w:color w:val="auto"/>
                      <w:sz w:val="21"/>
                      <w:szCs w:val="21"/>
                      <w:lang w:val="en-US" w:eastAsia="zh-CN"/>
                    </w:rPr>
                    <w:t>6</w:t>
                  </w:r>
                </w:p>
              </w:tc>
              <w:tc>
                <w:tcPr>
                  <w:tcW w:w="1737" w:type="dxa"/>
                  <w:noWrap w:val="0"/>
                  <w:vAlign w:val="center"/>
                </w:tcPr>
                <w:p w14:paraId="175BBFA2">
                  <w:pPr>
                    <w:keepNext w:val="0"/>
                    <w:keepLines w:val="0"/>
                    <w:pageBreakBefore w:val="0"/>
                    <w:kinsoku/>
                    <w:wordWrap/>
                    <w:overflowPunct/>
                    <w:topLinePunct w:val="0"/>
                    <w:autoSpaceDE/>
                    <w:autoSpaceDN/>
                    <w:bidi w:val="0"/>
                    <w:adjustRightInd/>
                    <w:snapToGrid/>
                    <w:spacing w:line="240" w:lineRule="auto"/>
                    <w:jc w:val="center"/>
                    <w:rPr>
                      <w:color w:val="auto"/>
                      <w:sz w:val="21"/>
                      <w:szCs w:val="21"/>
                    </w:rPr>
                  </w:pPr>
                  <w:r>
                    <w:rPr>
                      <w:rFonts w:hint="default" w:ascii="Times New Roman" w:hAnsi="Times New Roman" w:eastAsia="宋体" w:cs="Times New Roman"/>
                      <w:color w:val="auto"/>
                      <w:sz w:val="21"/>
                      <w:szCs w:val="21"/>
                      <w:lang w:val="en-US" w:eastAsia="zh-CN"/>
                    </w:rPr>
                    <w:t>1#生产车间</w:t>
                  </w:r>
                </w:p>
              </w:tc>
            </w:tr>
            <w:tr w14:paraId="3B254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741" w:type="dxa"/>
                  <w:noWrap w:val="0"/>
                  <w:vAlign w:val="center"/>
                </w:tcPr>
                <w:p w14:paraId="4B7C1923">
                  <w:pPr>
                    <w:pStyle w:val="87"/>
                    <w:keepNext w:val="0"/>
                    <w:keepLines w:val="0"/>
                    <w:pageBreakBefore w:val="0"/>
                    <w:widowControl/>
                    <w:kinsoku/>
                    <w:wordWrap/>
                    <w:overflowPunct/>
                    <w:topLinePunct w:val="0"/>
                    <w:autoSpaceDE/>
                    <w:autoSpaceDN/>
                    <w:bidi w:val="0"/>
                    <w:adjustRightInd/>
                    <w:snapToGrid/>
                    <w:spacing w:after="0" w:afterLines="0" w:line="240" w:lineRule="auto"/>
                    <w:ind w:firstLine="0" w:firstLineChars="0"/>
                    <w:jc w:val="center"/>
                    <w:textAlignment w:val="center"/>
                    <w:rPr>
                      <w:rFonts w:hint="eastAsia" w:ascii="Times New Roman" w:hAnsi="Times New Roman" w:cs="Times New Roman"/>
                      <w:bCs w:val="0"/>
                      <w:color w:val="auto"/>
                      <w:sz w:val="21"/>
                      <w:szCs w:val="21"/>
                    </w:rPr>
                  </w:pPr>
                  <w:r>
                    <w:rPr>
                      <w:rFonts w:hint="eastAsia" w:ascii="Times New Roman" w:hAnsi="Times New Roman" w:cs="Times New Roman"/>
                      <w:bCs w:val="0"/>
                      <w:color w:val="auto"/>
                      <w:sz w:val="21"/>
                      <w:szCs w:val="21"/>
                    </w:rPr>
                    <w:t>线切割机床</w:t>
                  </w:r>
                </w:p>
              </w:tc>
              <w:tc>
                <w:tcPr>
                  <w:tcW w:w="1742" w:type="dxa"/>
                  <w:noWrap w:val="0"/>
                  <w:vAlign w:val="center"/>
                </w:tcPr>
                <w:p w14:paraId="6F6F766D">
                  <w:pPr>
                    <w:keepNext w:val="0"/>
                    <w:keepLines w:val="0"/>
                    <w:pageBreakBefore w:val="0"/>
                    <w:kinsoku/>
                    <w:wordWrap/>
                    <w:overflowPunct/>
                    <w:topLinePunct w:val="0"/>
                    <w:autoSpaceDE/>
                    <w:autoSpaceDN/>
                    <w:bidi w:val="0"/>
                    <w:adjustRightInd/>
                    <w:snapToGrid/>
                    <w:spacing w:line="240" w:lineRule="auto"/>
                    <w:jc w:val="center"/>
                    <w:rPr>
                      <w:rFonts w:hint="eastAsia" w:eastAsia="宋体"/>
                      <w:color w:val="auto"/>
                      <w:sz w:val="21"/>
                      <w:szCs w:val="21"/>
                      <w:lang w:val="en-US" w:eastAsia="zh-CN"/>
                    </w:rPr>
                  </w:pPr>
                  <w:r>
                    <w:rPr>
                      <w:rFonts w:hint="eastAsia"/>
                      <w:color w:val="auto"/>
                      <w:sz w:val="21"/>
                      <w:szCs w:val="21"/>
                      <w:lang w:val="en-US" w:eastAsia="zh-CN"/>
                    </w:rPr>
                    <w:t>台</w:t>
                  </w:r>
                </w:p>
              </w:tc>
              <w:tc>
                <w:tcPr>
                  <w:tcW w:w="1742" w:type="dxa"/>
                  <w:noWrap w:val="0"/>
                  <w:vAlign w:val="center"/>
                </w:tcPr>
                <w:p w14:paraId="23529EBE">
                  <w:pPr>
                    <w:keepNext w:val="0"/>
                    <w:keepLines w:val="0"/>
                    <w:pageBreakBefore w:val="0"/>
                    <w:kinsoku/>
                    <w:wordWrap/>
                    <w:overflowPunct/>
                    <w:topLinePunct w:val="0"/>
                    <w:autoSpaceDE/>
                    <w:autoSpaceDN/>
                    <w:bidi w:val="0"/>
                    <w:adjustRightInd/>
                    <w:snapToGrid/>
                    <w:spacing w:line="240" w:lineRule="auto"/>
                    <w:jc w:val="center"/>
                    <w:rPr>
                      <w:color w:val="auto"/>
                      <w:sz w:val="21"/>
                      <w:szCs w:val="21"/>
                    </w:rPr>
                  </w:pPr>
                  <w:r>
                    <w:rPr>
                      <w:rFonts w:hint="eastAsia"/>
                      <w:color w:val="auto"/>
                      <w:sz w:val="21"/>
                      <w:szCs w:val="21"/>
                    </w:rPr>
                    <w:t>DK7720</w:t>
                  </w:r>
                </w:p>
              </w:tc>
              <w:tc>
                <w:tcPr>
                  <w:tcW w:w="1740" w:type="dxa"/>
                  <w:noWrap w:val="0"/>
                  <w:vAlign w:val="center"/>
                </w:tcPr>
                <w:p w14:paraId="1CA18E45">
                  <w:pPr>
                    <w:keepNext w:val="0"/>
                    <w:keepLines w:val="0"/>
                    <w:pageBreakBefore w:val="0"/>
                    <w:kinsoku/>
                    <w:wordWrap/>
                    <w:overflowPunct/>
                    <w:topLinePunct w:val="0"/>
                    <w:autoSpaceDE/>
                    <w:autoSpaceDN/>
                    <w:bidi w:val="0"/>
                    <w:adjustRightInd/>
                    <w:snapToGrid/>
                    <w:spacing w:line="240" w:lineRule="auto"/>
                    <w:jc w:val="center"/>
                    <w:rPr>
                      <w:rFonts w:hint="eastAsia" w:eastAsia="宋体"/>
                      <w:color w:val="auto"/>
                      <w:sz w:val="21"/>
                      <w:szCs w:val="21"/>
                      <w:lang w:val="en-US" w:eastAsia="zh-CN"/>
                    </w:rPr>
                  </w:pPr>
                  <w:r>
                    <w:rPr>
                      <w:rFonts w:hint="eastAsia"/>
                      <w:color w:val="auto"/>
                      <w:sz w:val="21"/>
                      <w:szCs w:val="21"/>
                      <w:lang w:val="en-US" w:eastAsia="zh-CN"/>
                    </w:rPr>
                    <w:t>1</w:t>
                  </w:r>
                </w:p>
              </w:tc>
              <w:tc>
                <w:tcPr>
                  <w:tcW w:w="1737" w:type="dxa"/>
                  <w:noWrap w:val="0"/>
                  <w:vAlign w:val="center"/>
                </w:tcPr>
                <w:p w14:paraId="4F4CB11A">
                  <w:pPr>
                    <w:keepNext w:val="0"/>
                    <w:keepLines w:val="0"/>
                    <w:pageBreakBefore w:val="0"/>
                    <w:kinsoku/>
                    <w:wordWrap/>
                    <w:overflowPunct/>
                    <w:topLinePunct w:val="0"/>
                    <w:autoSpaceDE/>
                    <w:autoSpaceDN/>
                    <w:bidi w:val="0"/>
                    <w:adjustRightInd/>
                    <w:snapToGrid/>
                    <w:spacing w:line="240" w:lineRule="auto"/>
                    <w:jc w:val="center"/>
                    <w:rPr>
                      <w:color w:val="auto"/>
                      <w:sz w:val="21"/>
                      <w:szCs w:val="21"/>
                    </w:rPr>
                  </w:pPr>
                  <w:r>
                    <w:rPr>
                      <w:rFonts w:hint="default" w:ascii="Times New Roman" w:hAnsi="Times New Roman" w:eastAsia="宋体" w:cs="Times New Roman"/>
                      <w:color w:val="auto"/>
                      <w:sz w:val="21"/>
                      <w:szCs w:val="21"/>
                      <w:lang w:val="en-US" w:eastAsia="zh-CN"/>
                    </w:rPr>
                    <w:t>1#生产车间</w:t>
                  </w:r>
                </w:p>
              </w:tc>
            </w:tr>
            <w:tr w14:paraId="75035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741" w:type="dxa"/>
                  <w:noWrap w:val="0"/>
                  <w:vAlign w:val="center"/>
                </w:tcPr>
                <w:p w14:paraId="4404DEF0">
                  <w:pPr>
                    <w:pStyle w:val="87"/>
                    <w:keepNext w:val="0"/>
                    <w:keepLines w:val="0"/>
                    <w:pageBreakBefore w:val="0"/>
                    <w:widowControl/>
                    <w:kinsoku/>
                    <w:wordWrap/>
                    <w:overflowPunct/>
                    <w:topLinePunct w:val="0"/>
                    <w:autoSpaceDE/>
                    <w:autoSpaceDN/>
                    <w:bidi w:val="0"/>
                    <w:adjustRightInd/>
                    <w:snapToGrid/>
                    <w:spacing w:after="0" w:afterLines="0" w:line="240" w:lineRule="auto"/>
                    <w:ind w:firstLine="0" w:firstLineChars="0"/>
                    <w:jc w:val="center"/>
                    <w:textAlignment w:val="center"/>
                    <w:rPr>
                      <w:rFonts w:hint="eastAsia" w:ascii="Times New Roman" w:hAnsi="Times New Roman" w:cs="Times New Roman"/>
                      <w:bCs w:val="0"/>
                      <w:color w:val="auto"/>
                      <w:sz w:val="21"/>
                      <w:szCs w:val="21"/>
                    </w:rPr>
                  </w:pPr>
                  <w:r>
                    <w:rPr>
                      <w:rFonts w:hint="eastAsia" w:ascii="Times New Roman" w:hAnsi="Times New Roman" w:cs="Times New Roman"/>
                      <w:bCs w:val="0"/>
                      <w:color w:val="auto"/>
                      <w:sz w:val="21"/>
                      <w:szCs w:val="21"/>
                    </w:rPr>
                    <w:t>摇臂钻</w:t>
                  </w:r>
                </w:p>
              </w:tc>
              <w:tc>
                <w:tcPr>
                  <w:tcW w:w="1742" w:type="dxa"/>
                  <w:noWrap w:val="0"/>
                  <w:vAlign w:val="center"/>
                </w:tcPr>
                <w:p w14:paraId="2DB9B042">
                  <w:pPr>
                    <w:keepNext w:val="0"/>
                    <w:keepLines w:val="0"/>
                    <w:pageBreakBefore w:val="0"/>
                    <w:kinsoku/>
                    <w:wordWrap/>
                    <w:overflowPunct/>
                    <w:topLinePunct w:val="0"/>
                    <w:autoSpaceDE/>
                    <w:autoSpaceDN/>
                    <w:bidi w:val="0"/>
                    <w:adjustRightInd/>
                    <w:snapToGrid/>
                    <w:spacing w:line="240" w:lineRule="auto"/>
                    <w:jc w:val="center"/>
                    <w:rPr>
                      <w:rFonts w:hint="eastAsia" w:eastAsia="宋体"/>
                      <w:color w:val="auto"/>
                      <w:sz w:val="21"/>
                      <w:szCs w:val="21"/>
                      <w:lang w:val="en-US" w:eastAsia="zh-CN"/>
                    </w:rPr>
                  </w:pPr>
                  <w:r>
                    <w:rPr>
                      <w:rFonts w:hint="eastAsia"/>
                      <w:color w:val="auto"/>
                      <w:sz w:val="21"/>
                      <w:szCs w:val="21"/>
                      <w:lang w:val="en-US" w:eastAsia="zh-CN"/>
                    </w:rPr>
                    <w:t>台</w:t>
                  </w:r>
                </w:p>
              </w:tc>
              <w:tc>
                <w:tcPr>
                  <w:tcW w:w="1742" w:type="dxa"/>
                  <w:noWrap w:val="0"/>
                  <w:vAlign w:val="center"/>
                </w:tcPr>
                <w:p w14:paraId="2C2F2CED">
                  <w:pPr>
                    <w:keepNext w:val="0"/>
                    <w:keepLines w:val="0"/>
                    <w:pageBreakBefore w:val="0"/>
                    <w:kinsoku/>
                    <w:wordWrap/>
                    <w:overflowPunct/>
                    <w:topLinePunct w:val="0"/>
                    <w:autoSpaceDE/>
                    <w:autoSpaceDN/>
                    <w:bidi w:val="0"/>
                    <w:adjustRightInd/>
                    <w:snapToGrid/>
                    <w:spacing w:line="240" w:lineRule="auto"/>
                    <w:jc w:val="center"/>
                    <w:rPr>
                      <w:rFonts w:hint="eastAsia" w:eastAsia="宋体"/>
                      <w:color w:val="auto"/>
                      <w:sz w:val="21"/>
                      <w:szCs w:val="21"/>
                      <w:lang w:val="en-US" w:eastAsia="zh-CN"/>
                    </w:rPr>
                  </w:pPr>
                  <w:r>
                    <w:rPr>
                      <w:rFonts w:hint="eastAsia"/>
                      <w:color w:val="auto"/>
                      <w:sz w:val="21"/>
                      <w:szCs w:val="21"/>
                      <w:lang w:val="en-US" w:eastAsia="zh-CN"/>
                    </w:rPr>
                    <w:t>/</w:t>
                  </w:r>
                </w:p>
              </w:tc>
              <w:tc>
                <w:tcPr>
                  <w:tcW w:w="1740" w:type="dxa"/>
                  <w:noWrap w:val="0"/>
                  <w:vAlign w:val="center"/>
                </w:tcPr>
                <w:p w14:paraId="4A45CF62">
                  <w:pPr>
                    <w:keepNext w:val="0"/>
                    <w:keepLines w:val="0"/>
                    <w:pageBreakBefore w:val="0"/>
                    <w:kinsoku/>
                    <w:wordWrap/>
                    <w:overflowPunct/>
                    <w:topLinePunct w:val="0"/>
                    <w:autoSpaceDE/>
                    <w:autoSpaceDN/>
                    <w:bidi w:val="0"/>
                    <w:adjustRightInd/>
                    <w:snapToGrid/>
                    <w:spacing w:line="240" w:lineRule="auto"/>
                    <w:jc w:val="center"/>
                    <w:rPr>
                      <w:rFonts w:hint="eastAsia" w:eastAsia="宋体"/>
                      <w:color w:val="auto"/>
                      <w:sz w:val="21"/>
                      <w:szCs w:val="21"/>
                      <w:lang w:val="en-US" w:eastAsia="zh-CN"/>
                    </w:rPr>
                  </w:pPr>
                  <w:r>
                    <w:rPr>
                      <w:rFonts w:hint="eastAsia"/>
                      <w:color w:val="auto"/>
                      <w:sz w:val="21"/>
                      <w:szCs w:val="21"/>
                      <w:lang w:val="en-US" w:eastAsia="zh-CN"/>
                    </w:rPr>
                    <w:t>1</w:t>
                  </w:r>
                </w:p>
              </w:tc>
              <w:tc>
                <w:tcPr>
                  <w:tcW w:w="1737" w:type="dxa"/>
                  <w:noWrap w:val="0"/>
                  <w:vAlign w:val="center"/>
                </w:tcPr>
                <w:p w14:paraId="741D098B">
                  <w:pPr>
                    <w:keepNext w:val="0"/>
                    <w:keepLines w:val="0"/>
                    <w:pageBreakBefore w:val="0"/>
                    <w:kinsoku/>
                    <w:wordWrap/>
                    <w:overflowPunct/>
                    <w:topLinePunct w:val="0"/>
                    <w:autoSpaceDE/>
                    <w:autoSpaceDN/>
                    <w:bidi w:val="0"/>
                    <w:adjustRightInd/>
                    <w:snapToGrid/>
                    <w:spacing w:line="240" w:lineRule="auto"/>
                    <w:jc w:val="center"/>
                    <w:rPr>
                      <w:color w:val="auto"/>
                      <w:sz w:val="21"/>
                      <w:szCs w:val="21"/>
                    </w:rPr>
                  </w:pPr>
                  <w:r>
                    <w:rPr>
                      <w:rFonts w:hint="default" w:ascii="Times New Roman" w:hAnsi="Times New Roman" w:eastAsia="宋体" w:cs="Times New Roman"/>
                      <w:color w:val="auto"/>
                      <w:sz w:val="21"/>
                      <w:szCs w:val="21"/>
                      <w:lang w:val="en-US" w:eastAsia="zh-CN"/>
                    </w:rPr>
                    <w:t>1#生产车间</w:t>
                  </w:r>
                </w:p>
              </w:tc>
            </w:tr>
            <w:tr w14:paraId="59625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741" w:type="dxa"/>
                  <w:noWrap w:val="0"/>
                  <w:vAlign w:val="center"/>
                </w:tcPr>
                <w:p w14:paraId="3F93C600">
                  <w:pPr>
                    <w:pStyle w:val="87"/>
                    <w:keepNext w:val="0"/>
                    <w:keepLines w:val="0"/>
                    <w:pageBreakBefore w:val="0"/>
                    <w:widowControl/>
                    <w:kinsoku/>
                    <w:wordWrap/>
                    <w:overflowPunct/>
                    <w:topLinePunct w:val="0"/>
                    <w:autoSpaceDE/>
                    <w:autoSpaceDN/>
                    <w:bidi w:val="0"/>
                    <w:adjustRightInd/>
                    <w:snapToGrid/>
                    <w:spacing w:after="0" w:afterLines="0" w:line="240" w:lineRule="auto"/>
                    <w:ind w:firstLine="0" w:firstLineChars="0"/>
                    <w:jc w:val="center"/>
                    <w:textAlignment w:val="center"/>
                    <w:rPr>
                      <w:rFonts w:hint="default" w:ascii="Times New Roman" w:hAnsi="Times New Roman" w:eastAsia="宋体" w:cs="Times New Roman"/>
                      <w:bCs w:val="0"/>
                      <w:color w:val="auto"/>
                      <w:sz w:val="21"/>
                      <w:szCs w:val="21"/>
                      <w:lang w:val="en-US" w:eastAsia="zh-CN"/>
                    </w:rPr>
                  </w:pPr>
                  <w:r>
                    <w:rPr>
                      <w:rFonts w:hint="eastAsia" w:cs="Times New Roman"/>
                      <w:bCs w:val="0"/>
                      <w:color w:val="auto"/>
                      <w:sz w:val="21"/>
                      <w:szCs w:val="21"/>
                      <w:lang w:val="en-US" w:eastAsia="zh-CN"/>
                    </w:rPr>
                    <w:t>折弯机</w:t>
                  </w:r>
                </w:p>
              </w:tc>
              <w:tc>
                <w:tcPr>
                  <w:tcW w:w="1742" w:type="dxa"/>
                  <w:noWrap w:val="0"/>
                  <w:vAlign w:val="center"/>
                </w:tcPr>
                <w:p w14:paraId="2C0FE98A">
                  <w:pPr>
                    <w:keepNext w:val="0"/>
                    <w:keepLines w:val="0"/>
                    <w:pageBreakBefore w:val="0"/>
                    <w:kinsoku/>
                    <w:wordWrap/>
                    <w:overflowPunct/>
                    <w:topLinePunct w:val="0"/>
                    <w:autoSpaceDE/>
                    <w:autoSpaceDN/>
                    <w:bidi w:val="0"/>
                    <w:adjustRightInd/>
                    <w:snapToGrid/>
                    <w:spacing w:line="240" w:lineRule="auto"/>
                    <w:jc w:val="center"/>
                    <w:rPr>
                      <w:rFonts w:hint="default"/>
                      <w:color w:val="auto"/>
                      <w:sz w:val="21"/>
                      <w:szCs w:val="21"/>
                      <w:lang w:val="en-US" w:eastAsia="zh-CN"/>
                    </w:rPr>
                  </w:pPr>
                  <w:r>
                    <w:rPr>
                      <w:rFonts w:hint="eastAsia"/>
                      <w:color w:val="auto"/>
                      <w:sz w:val="21"/>
                      <w:szCs w:val="21"/>
                      <w:lang w:val="en-US" w:eastAsia="zh-CN"/>
                    </w:rPr>
                    <w:t>台</w:t>
                  </w:r>
                </w:p>
              </w:tc>
              <w:tc>
                <w:tcPr>
                  <w:tcW w:w="1742" w:type="dxa"/>
                  <w:noWrap w:val="0"/>
                  <w:vAlign w:val="center"/>
                </w:tcPr>
                <w:p w14:paraId="4388C0CC">
                  <w:pPr>
                    <w:keepNext w:val="0"/>
                    <w:keepLines w:val="0"/>
                    <w:pageBreakBefore w:val="0"/>
                    <w:kinsoku/>
                    <w:wordWrap/>
                    <w:overflowPunct/>
                    <w:topLinePunct w:val="0"/>
                    <w:autoSpaceDE/>
                    <w:autoSpaceDN/>
                    <w:bidi w:val="0"/>
                    <w:adjustRightInd/>
                    <w:snapToGrid/>
                    <w:spacing w:line="240" w:lineRule="auto"/>
                    <w:jc w:val="center"/>
                    <w:rPr>
                      <w:color w:val="auto"/>
                      <w:sz w:val="21"/>
                      <w:szCs w:val="21"/>
                    </w:rPr>
                  </w:pPr>
                  <w:r>
                    <w:rPr>
                      <w:rFonts w:hint="eastAsia"/>
                      <w:b/>
                      <w:bCs/>
                      <w:sz w:val="21"/>
                      <w:szCs w:val="21"/>
                      <w:lang w:val="en-US" w:eastAsia="zh-CN"/>
                    </w:rPr>
                    <w:t>/</w:t>
                  </w:r>
                </w:p>
              </w:tc>
              <w:tc>
                <w:tcPr>
                  <w:tcW w:w="1740" w:type="dxa"/>
                  <w:noWrap w:val="0"/>
                  <w:vAlign w:val="center"/>
                </w:tcPr>
                <w:p w14:paraId="2F6D202C">
                  <w:pPr>
                    <w:keepNext w:val="0"/>
                    <w:keepLines w:val="0"/>
                    <w:pageBreakBefore w:val="0"/>
                    <w:kinsoku/>
                    <w:wordWrap/>
                    <w:overflowPunct/>
                    <w:topLinePunct w:val="0"/>
                    <w:autoSpaceDE/>
                    <w:autoSpaceDN/>
                    <w:bidi w:val="0"/>
                    <w:adjustRightInd/>
                    <w:snapToGrid/>
                    <w:spacing w:line="240" w:lineRule="auto"/>
                    <w:jc w:val="center"/>
                    <w:rPr>
                      <w:rFonts w:hint="default"/>
                      <w:color w:val="auto"/>
                      <w:sz w:val="21"/>
                      <w:szCs w:val="21"/>
                      <w:lang w:val="en-US" w:eastAsia="zh-CN"/>
                    </w:rPr>
                  </w:pPr>
                  <w:r>
                    <w:rPr>
                      <w:rFonts w:hint="eastAsia"/>
                      <w:color w:val="auto"/>
                      <w:sz w:val="21"/>
                      <w:szCs w:val="21"/>
                      <w:lang w:val="en-US" w:eastAsia="zh-CN"/>
                    </w:rPr>
                    <w:t>1</w:t>
                  </w:r>
                </w:p>
              </w:tc>
              <w:tc>
                <w:tcPr>
                  <w:tcW w:w="1737" w:type="dxa"/>
                  <w:noWrap w:val="0"/>
                  <w:vAlign w:val="center"/>
                </w:tcPr>
                <w:p w14:paraId="3F65B461">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1#生产车间</w:t>
                  </w:r>
                </w:p>
              </w:tc>
            </w:tr>
            <w:tr w14:paraId="56751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741" w:type="dxa"/>
                  <w:noWrap w:val="0"/>
                  <w:vAlign w:val="center"/>
                </w:tcPr>
                <w:p w14:paraId="4D24A162">
                  <w:pPr>
                    <w:pStyle w:val="87"/>
                    <w:keepNext w:val="0"/>
                    <w:keepLines w:val="0"/>
                    <w:pageBreakBefore w:val="0"/>
                    <w:widowControl/>
                    <w:kinsoku/>
                    <w:wordWrap/>
                    <w:overflowPunct/>
                    <w:topLinePunct w:val="0"/>
                    <w:autoSpaceDE/>
                    <w:autoSpaceDN/>
                    <w:bidi w:val="0"/>
                    <w:adjustRightInd/>
                    <w:snapToGrid/>
                    <w:spacing w:after="0" w:afterLines="0" w:line="240" w:lineRule="auto"/>
                    <w:ind w:firstLine="0" w:firstLineChars="0"/>
                    <w:jc w:val="center"/>
                    <w:textAlignment w:val="center"/>
                    <w:rPr>
                      <w:rFonts w:hint="eastAsia" w:cs="Times New Roman"/>
                      <w:bCs w:val="0"/>
                      <w:color w:val="auto"/>
                      <w:sz w:val="21"/>
                      <w:szCs w:val="21"/>
                      <w:lang w:val="en-US" w:eastAsia="zh-CN"/>
                    </w:rPr>
                  </w:pPr>
                  <w:r>
                    <w:rPr>
                      <w:rFonts w:hint="eastAsia" w:cs="Times New Roman"/>
                      <w:bCs w:val="0"/>
                      <w:color w:val="auto"/>
                      <w:sz w:val="21"/>
                      <w:szCs w:val="21"/>
                      <w:lang w:val="en-US" w:eastAsia="zh-CN"/>
                    </w:rPr>
                    <w:t>喷漆设备</w:t>
                  </w:r>
                </w:p>
              </w:tc>
              <w:tc>
                <w:tcPr>
                  <w:tcW w:w="1742" w:type="dxa"/>
                  <w:noWrap w:val="0"/>
                  <w:vAlign w:val="center"/>
                </w:tcPr>
                <w:p w14:paraId="5FC85316">
                  <w:pPr>
                    <w:keepNext w:val="0"/>
                    <w:keepLines w:val="0"/>
                    <w:pageBreakBefore w:val="0"/>
                    <w:kinsoku/>
                    <w:wordWrap/>
                    <w:overflowPunct/>
                    <w:topLinePunct w:val="0"/>
                    <w:autoSpaceDE/>
                    <w:autoSpaceDN/>
                    <w:bidi w:val="0"/>
                    <w:adjustRightInd/>
                    <w:snapToGrid/>
                    <w:spacing w:line="240" w:lineRule="auto"/>
                    <w:jc w:val="center"/>
                    <w:rPr>
                      <w:rFonts w:hint="eastAsia"/>
                      <w:color w:val="auto"/>
                      <w:sz w:val="21"/>
                      <w:szCs w:val="21"/>
                      <w:lang w:val="en-US" w:eastAsia="zh-CN"/>
                    </w:rPr>
                  </w:pPr>
                  <w:r>
                    <w:rPr>
                      <w:rFonts w:hint="eastAsia"/>
                      <w:color w:val="auto"/>
                      <w:sz w:val="21"/>
                      <w:szCs w:val="21"/>
                      <w:lang w:val="en-US" w:eastAsia="zh-CN"/>
                    </w:rPr>
                    <w:t>套</w:t>
                  </w:r>
                </w:p>
              </w:tc>
              <w:tc>
                <w:tcPr>
                  <w:tcW w:w="1742" w:type="dxa"/>
                  <w:noWrap w:val="0"/>
                  <w:vAlign w:val="center"/>
                </w:tcPr>
                <w:p w14:paraId="402852A9">
                  <w:pPr>
                    <w:keepNext w:val="0"/>
                    <w:keepLines w:val="0"/>
                    <w:pageBreakBefore w:val="0"/>
                    <w:kinsoku/>
                    <w:wordWrap/>
                    <w:overflowPunct/>
                    <w:topLinePunct w:val="0"/>
                    <w:autoSpaceDE/>
                    <w:autoSpaceDN/>
                    <w:bidi w:val="0"/>
                    <w:adjustRightInd/>
                    <w:snapToGrid/>
                    <w:spacing w:line="240" w:lineRule="auto"/>
                    <w:jc w:val="center"/>
                    <w:rPr>
                      <w:rFonts w:hint="default"/>
                      <w:b/>
                      <w:bCs/>
                      <w:sz w:val="21"/>
                      <w:szCs w:val="21"/>
                      <w:lang w:val="en-US" w:eastAsia="zh-CN"/>
                    </w:rPr>
                  </w:pPr>
                  <w:r>
                    <w:rPr>
                      <w:rFonts w:hint="eastAsia"/>
                      <w:b/>
                      <w:bCs/>
                      <w:sz w:val="21"/>
                      <w:szCs w:val="21"/>
                      <w:lang w:val="en-US" w:eastAsia="zh-CN"/>
                    </w:rPr>
                    <w:t>/</w:t>
                  </w:r>
                </w:p>
              </w:tc>
              <w:tc>
                <w:tcPr>
                  <w:tcW w:w="1740" w:type="dxa"/>
                  <w:noWrap w:val="0"/>
                  <w:vAlign w:val="center"/>
                </w:tcPr>
                <w:p w14:paraId="70BB5C35">
                  <w:pPr>
                    <w:keepNext w:val="0"/>
                    <w:keepLines w:val="0"/>
                    <w:pageBreakBefore w:val="0"/>
                    <w:kinsoku/>
                    <w:wordWrap/>
                    <w:overflowPunct/>
                    <w:topLinePunct w:val="0"/>
                    <w:autoSpaceDE/>
                    <w:autoSpaceDN/>
                    <w:bidi w:val="0"/>
                    <w:adjustRightInd/>
                    <w:snapToGrid/>
                    <w:spacing w:line="240" w:lineRule="auto"/>
                    <w:jc w:val="center"/>
                    <w:rPr>
                      <w:rFonts w:hint="default"/>
                      <w:color w:val="auto"/>
                      <w:sz w:val="21"/>
                      <w:szCs w:val="21"/>
                      <w:lang w:val="en-US" w:eastAsia="zh-CN"/>
                    </w:rPr>
                  </w:pPr>
                  <w:r>
                    <w:rPr>
                      <w:rFonts w:hint="eastAsia"/>
                      <w:color w:val="auto"/>
                      <w:sz w:val="21"/>
                      <w:szCs w:val="21"/>
                      <w:lang w:val="en-US" w:eastAsia="zh-CN"/>
                    </w:rPr>
                    <w:t>2</w:t>
                  </w:r>
                </w:p>
              </w:tc>
              <w:tc>
                <w:tcPr>
                  <w:tcW w:w="1737" w:type="dxa"/>
                  <w:noWrap w:val="0"/>
                  <w:vAlign w:val="center"/>
                </w:tcPr>
                <w:p w14:paraId="4C40B89F">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1#生产车间</w:t>
                  </w:r>
                </w:p>
              </w:tc>
            </w:tr>
            <w:tr w14:paraId="16D00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741" w:type="dxa"/>
                  <w:noWrap w:val="0"/>
                  <w:vAlign w:val="center"/>
                </w:tcPr>
                <w:p w14:paraId="35EF62EE">
                  <w:pPr>
                    <w:pStyle w:val="87"/>
                    <w:keepNext w:val="0"/>
                    <w:keepLines w:val="0"/>
                    <w:pageBreakBefore w:val="0"/>
                    <w:widowControl/>
                    <w:kinsoku/>
                    <w:wordWrap/>
                    <w:overflowPunct/>
                    <w:topLinePunct w:val="0"/>
                    <w:autoSpaceDE/>
                    <w:autoSpaceDN/>
                    <w:bidi w:val="0"/>
                    <w:adjustRightInd/>
                    <w:snapToGrid/>
                    <w:spacing w:after="0" w:afterLines="0" w:line="240" w:lineRule="auto"/>
                    <w:ind w:firstLine="0" w:firstLineChars="0"/>
                    <w:jc w:val="center"/>
                    <w:textAlignment w:val="center"/>
                    <w:rPr>
                      <w:rFonts w:hint="eastAsia" w:cs="Times New Roman"/>
                      <w:bCs w:val="0"/>
                      <w:color w:val="auto"/>
                      <w:sz w:val="21"/>
                      <w:szCs w:val="21"/>
                      <w:lang w:val="en-US" w:eastAsia="zh-CN"/>
                    </w:rPr>
                  </w:pPr>
                  <w:r>
                    <w:rPr>
                      <w:rFonts w:hint="eastAsia" w:cs="Times New Roman"/>
                      <w:bCs w:val="0"/>
                      <w:color w:val="auto"/>
                      <w:sz w:val="21"/>
                      <w:szCs w:val="21"/>
                      <w:lang w:val="en-US" w:eastAsia="zh-CN"/>
                    </w:rPr>
                    <w:t>循环冷却系统</w:t>
                  </w:r>
                </w:p>
              </w:tc>
              <w:tc>
                <w:tcPr>
                  <w:tcW w:w="1742" w:type="dxa"/>
                  <w:noWrap w:val="0"/>
                  <w:vAlign w:val="center"/>
                </w:tcPr>
                <w:p w14:paraId="2BE71D04">
                  <w:pPr>
                    <w:keepNext w:val="0"/>
                    <w:keepLines w:val="0"/>
                    <w:pageBreakBefore w:val="0"/>
                    <w:kinsoku/>
                    <w:wordWrap/>
                    <w:overflowPunct/>
                    <w:topLinePunct w:val="0"/>
                    <w:autoSpaceDE/>
                    <w:autoSpaceDN/>
                    <w:bidi w:val="0"/>
                    <w:adjustRightInd/>
                    <w:snapToGrid/>
                    <w:spacing w:line="240" w:lineRule="auto"/>
                    <w:jc w:val="center"/>
                    <w:rPr>
                      <w:rFonts w:hint="eastAsia"/>
                      <w:color w:val="auto"/>
                      <w:sz w:val="21"/>
                      <w:szCs w:val="21"/>
                      <w:lang w:val="en-US" w:eastAsia="zh-CN"/>
                    </w:rPr>
                  </w:pPr>
                  <w:r>
                    <w:rPr>
                      <w:rFonts w:hint="eastAsia"/>
                      <w:color w:val="auto"/>
                      <w:sz w:val="21"/>
                      <w:szCs w:val="21"/>
                      <w:lang w:val="en-US" w:eastAsia="zh-CN"/>
                    </w:rPr>
                    <w:t>套</w:t>
                  </w:r>
                </w:p>
              </w:tc>
              <w:tc>
                <w:tcPr>
                  <w:tcW w:w="1742" w:type="dxa"/>
                  <w:noWrap w:val="0"/>
                  <w:vAlign w:val="center"/>
                </w:tcPr>
                <w:p w14:paraId="0B45521E">
                  <w:pPr>
                    <w:keepNext w:val="0"/>
                    <w:keepLines w:val="0"/>
                    <w:pageBreakBefore w:val="0"/>
                    <w:kinsoku/>
                    <w:wordWrap/>
                    <w:overflowPunct/>
                    <w:topLinePunct w:val="0"/>
                    <w:autoSpaceDE/>
                    <w:autoSpaceDN/>
                    <w:bidi w:val="0"/>
                    <w:adjustRightInd/>
                    <w:snapToGrid/>
                    <w:spacing w:line="240" w:lineRule="auto"/>
                    <w:jc w:val="center"/>
                    <w:rPr>
                      <w:rFonts w:hint="eastAsia"/>
                      <w:b/>
                      <w:bCs/>
                      <w:sz w:val="21"/>
                      <w:szCs w:val="21"/>
                      <w:lang w:val="en-US" w:eastAsia="zh-CN"/>
                    </w:rPr>
                  </w:pPr>
                  <w:r>
                    <w:rPr>
                      <w:rFonts w:hint="eastAsia"/>
                      <w:sz w:val="21"/>
                      <w:szCs w:val="21"/>
                      <w:lang w:val="en-US" w:eastAsia="zh-CN"/>
                    </w:rPr>
                    <w:t>50</w:t>
                  </w:r>
                  <w:r>
                    <w:rPr>
                      <w:sz w:val="21"/>
                      <w:szCs w:val="21"/>
                    </w:rPr>
                    <w:t>m</w:t>
                  </w:r>
                  <w:r>
                    <w:rPr>
                      <w:sz w:val="21"/>
                      <w:szCs w:val="21"/>
                      <w:vertAlign w:val="superscript"/>
                    </w:rPr>
                    <w:t>3</w:t>
                  </w:r>
                  <w:r>
                    <w:rPr>
                      <w:sz w:val="21"/>
                      <w:szCs w:val="21"/>
                    </w:rPr>
                    <w:t>/h</w:t>
                  </w:r>
                </w:p>
              </w:tc>
              <w:tc>
                <w:tcPr>
                  <w:tcW w:w="1740" w:type="dxa"/>
                  <w:noWrap w:val="0"/>
                  <w:vAlign w:val="center"/>
                </w:tcPr>
                <w:p w14:paraId="6D8C0909">
                  <w:pPr>
                    <w:keepNext w:val="0"/>
                    <w:keepLines w:val="0"/>
                    <w:pageBreakBefore w:val="0"/>
                    <w:kinsoku/>
                    <w:wordWrap/>
                    <w:overflowPunct/>
                    <w:topLinePunct w:val="0"/>
                    <w:autoSpaceDE/>
                    <w:autoSpaceDN/>
                    <w:bidi w:val="0"/>
                    <w:adjustRightInd/>
                    <w:snapToGrid/>
                    <w:spacing w:line="240" w:lineRule="auto"/>
                    <w:jc w:val="center"/>
                    <w:rPr>
                      <w:rFonts w:hint="default"/>
                      <w:color w:val="auto"/>
                      <w:sz w:val="21"/>
                      <w:szCs w:val="21"/>
                      <w:lang w:val="en-US" w:eastAsia="zh-CN"/>
                    </w:rPr>
                  </w:pPr>
                  <w:r>
                    <w:rPr>
                      <w:rFonts w:hint="eastAsia"/>
                      <w:color w:val="auto"/>
                      <w:sz w:val="21"/>
                      <w:szCs w:val="21"/>
                      <w:lang w:val="en-US" w:eastAsia="zh-CN"/>
                    </w:rPr>
                    <w:t>1</w:t>
                  </w:r>
                </w:p>
              </w:tc>
              <w:tc>
                <w:tcPr>
                  <w:tcW w:w="1737" w:type="dxa"/>
                  <w:noWrap w:val="0"/>
                  <w:vAlign w:val="center"/>
                </w:tcPr>
                <w:p w14:paraId="6D8E3B17">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厂区北侧</w:t>
                  </w:r>
                </w:p>
              </w:tc>
            </w:tr>
          </w:tbl>
          <w:p w14:paraId="71FAE49F">
            <w:pPr>
              <w:widowControl/>
              <w:adjustRightInd w:val="0"/>
              <w:snapToGrid w:val="0"/>
              <w:spacing w:line="360" w:lineRule="auto"/>
              <w:ind w:firstLine="482" w:firstLineChars="200"/>
              <w:rPr>
                <w:rFonts w:hint="eastAsia" w:eastAsia="宋体"/>
                <w:b/>
                <w:bCs/>
                <w:sz w:val="24"/>
                <w:lang w:val="en-US" w:eastAsia="zh-CN"/>
              </w:rPr>
            </w:pPr>
            <w:r>
              <w:rPr>
                <w:rFonts w:hint="eastAsia"/>
                <w:b/>
                <w:bCs/>
                <w:sz w:val="24"/>
              </w:rPr>
              <w:t>（</w:t>
            </w:r>
            <w:r>
              <w:rPr>
                <w:rFonts w:hint="eastAsia"/>
                <w:b/>
                <w:bCs/>
                <w:sz w:val="24"/>
                <w:lang w:eastAsia="zh-CN"/>
              </w:rPr>
              <w:t>七</w:t>
            </w:r>
            <w:r>
              <w:rPr>
                <w:rFonts w:hint="eastAsia"/>
                <w:b/>
                <w:bCs/>
                <w:sz w:val="24"/>
              </w:rPr>
              <w:t>）水平衡分析</w:t>
            </w:r>
          </w:p>
          <w:p w14:paraId="7F301478">
            <w:pPr>
              <w:widowControl/>
              <w:spacing w:line="360" w:lineRule="auto"/>
              <w:ind w:firstLine="480" w:firstLineChars="200"/>
              <w:rPr>
                <w:sz w:val="24"/>
              </w:rPr>
            </w:pPr>
            <w:r>
              <w:rPr>
                <w:rFonts w:hint="eastAsia"/>
                <w:sz w:val="24"/>
              </w:rPr>
              <w:t>本</w:t>
            </w:r>
            <w:r>
              <w:rPr>
                <w:sz w:val="24"/>
              </w:rPr>
              <w:t>项目用水主要为</w:t>
            </w:r>
            <w:r>
              <w:rPr>
                <w:rFonts w:hint="eastAsia"/>
                <w:sz w:val="24"/>
              </w:rPr>
              <w:t>职工生活用水、食堂用水；项目废水主要为职工生活污水及食堂餐饮废水。</w:t>
            </w:r>
          </w:p>
          <w:p w14:paraId="2B3D1F6F">
            <w:pPr>
              <w:widowControl/>
              <w:spacing w:line="360" w:lineRule="auto"/>
              <w:ind w:firstLine="480" w:firstLineChars="200"/>
              <w:rPr>
                <w:kern w:val="0"/>
                <w:sz w:val="24"/>
                <w:lang w:bidi="ar"/>
              </w:rPr>
            </w:pPr>
            <w:r>
              <w:rPr>
                <w:rFonts w:hint="eastAsia" w:ascii="宋体" w:hAnsi="宋体" w:cs="宋体"/>
                <w:kern w:val="0"/>
                <w:sz w:val="24"/>
                <w:lang w:bidi="ar"/>
              </w:rPr>
              <w:t>①职工生活用水</w:t>
            </w:r>
          </w:p>
          <w:p w14:paraId="04178183">
            <w:pPr>
              <w:widowControl/>
              <w:spacing w:line="360" w:lineRule="auto"/>
              <w:ind w:firstLine="480" w:firstLineChars="200"/>
              <w:rPr>
                <w:sz w:val="24"/>
              </w:rPr>
            </w:pPr>
            <w:r>
              <w:rPr>
                <w:rFonts w:hint="eastAsia"/>
                <w:sz w:val="24"/>
              </w:rPr>
              <w:t>本项目员工</w:t>
            </w:r>
            <w:r>
              <w:rPr>
                <w:rFonts w:hint="eastAsia"/>
                <w:sz w:val="24"/>
                <w:lang w:val="en-US" w:eastAsia="zh-CN"/>
              </w:rPr>
              <w:t>80</w:t>
            </w:r>
            <w:r>
              <w:rPr>
                <w:rFonts w:hint="eastAsia"/>
                <w:sz w:val="24"/>
              </w:rPr>
              <w:t>人，年工作时间3</w:t>
            </w:r>
            <w:r>
              <w:rPr>
                <w:rFonts w:hint="eastAsia"/>
                <w:sz w:val="24"/>
                <w:lang w:val="en-US" w:eastAsia="zh-CN"/>
              </w:rPr>
              <w:t>00</w:t>
            </w:r>
            <w:r>
              <w:rPr>
                <w:rFonts w:hint="eastAsia"/>
                <w:sz w:val="24"/>
              </w:rPr>
              <w:t>天，其中50人提供住宿。根据《安徽省行业用水定额》（DB34T679-2025），</w:t>
            </w:r>
            <w:r>
              <w:rPr>
                <w:rFonts w:hint="eastAsia"/>
                <w:kern w:val="0"/>
                <w:sz w:val="24"/>
                <w:lang w:bidi="ar"/>
              </w:rPr>
              <w:t>不住宿</w:t>
            </w:r>
            <w:r>
              <w:rPr>
                <w:rFonts w:hint="eastAsia"/>
                <w:kern w:val="0"/>
                <w:sz w:val="24"/>
                <w:lang w:val="zh-CN" w:bidi="ar"/>
              </w:rPr>
              <w:t>用水以</w:t>
            </w:r>
            <w:r>
              <w:rPr>
                <w:rFonts w:hint="eastAsia"/>
                <w:kern w:val="0"/>
                <w:sz w:val="24"/>
                <w:lang w:bidi="ar"/>
              </w:rPr>
              <w:t>60</w:t>
            </w:r>
            <w:r>
              <w:rPr>
                <w:rFonts w:hint="eastAsia"/>
                <w:kern w:val="0"/>
                <w:sz w:val="24"/>
                <w:lang w:val="zh-CN" w:bidi="ar"/>
              </w:rPr>
              <w:t>L/（人·d）计，住宿用水以</w:t>
            </w:r>
            <w:r>
              <w:rPr>
                <w:rFonts w:hint="eastAsia"/>
                <w:kern w:val="0"/>
                <w:sz w:val="24"/>
                <w:lang w:bidi="ar"/>
              </w:rPr>
              <w:t>150</w:t>
            </w:r>
            <w:r>
              <w:rPr>
                <w:rFonts w:hint="eastAsia"/>
                <w:kern w:val="0"/>
                <w:sz w:val="24"/>
                <w:lang w:val="zh-CN" w:bidi="ar"/>
              </w:rPr>
              <w:t>L/（人·d）计</w:t>
            </w:r>
            <w:r>
              <w:rPr>
                <w:rFonts w:hint="eastAsia"/>
                <w:sz w:val="24"/>
                <w:lang w:val="zh-CN"/>
              </w:rPr>
              <w:t>，</w:t>
            </w:r>
            <w:r>
              <w:rPr>
                <w:rFonts w:hint="eastAsia"/>
                <w:sz w:val="24"/>
              </w:rPr>
              <w:t>则</w:t>
            </w:r>
            <w:r>
              <w:rPr>
                <w:rFonts w:hint="eastAsia"/>
                <w:sz w:val="24"/>
                <w:lang w:val="zh-CN"/>
              </w:rPr>
              <w:t>职工生活用水为</w:t>
            </w:r>
            <w:r>
              <w:rPr>
                <w:rFonts w:hint="eastAsia"/>
                <w:sz w:val="24"/>
                <w:lang w:val="en-US" w:eastAsia="zh-CN"/>
              </w:rPr>
              <w:t>9.3</w:t>
            </w:r>
            <w:r>
              <w:rPr>
                <w:rFonts w:hint="eastAsia"/>
                <w:sz w:val="24"/>
              </w:rPr>
              <w:t>m</w:t>
            </w:r>
            <w:r>
              <w:rPr>
                <w:rFonts w:hint="eastAsia"/>
                <w:sz w:val="24"/>
                <w:vertAlign w:val="superscript"/>
              </w:rPr>
              <w:t>3</w:t>
            </w:r>
            <w:r>
              <w:rPr>
                <w:rFonts w:hint="eastAsia"/>
                <w:sz w:val="24"/>
                <w:lang w:val="zh-CN"/>
              </w:rPr>
              <w:t>/</w:t>
            </w:r>
            <w:r>
              <w:rPr>
                <w:rFonts w:hint="eastAsia"/>
                <w:sz w:val="24"/>
              </w:rPr>
              <w:t>d（</w:t>
            </w:r>
            <w:r>
              <w:rPr>
                <w:rFonts w:hint="eastAsia"/>
                <w:sz w:val="24"/>
                <w:lang w:val="en-US" w:eastAsia="zh-CN"/>
              </w:rPr>
              <w:t>2790</w:t>
            </w:r>
            <w:r>
              <w:rPr>
                <w:rFonts w:hint="eastAsia"/>
                <w:sz w:val="24"/>
              </w:rPr>
              <w:t>m</w:t>
            </w:r>
            <w:r>
              <w:rPr>
                <w:rFonts w:hint="eastAsia"/>
                <w:sz w:val="24"/>
                <w:vertAlign w:val="superscript"/>
              </w:rPr>
              <w:t>3</w:t>
            </w:r>
            <w:r>
              <w:rPr>
                <w:rFonts w:hint="eastAsia"/>
                <w:sz w:val="24"/>
                <w:lang w:val="zh-CN"/>
              </w:rPr>
              <w:t>/a</w:t>
            </w:r>
            <w:r>
              <w:rPr>
                <w:rFonts w:hint="eastAsia"/>
                <w:sz w:val="24"/>
              </w:rPr>
              <w:t>）</w:t>
            </w:r>
            <w:r>
              <w:rPr>
                <w:rFonts w:hint="eastAsia"/>
                <w:sz w:val="24"/>
                <w:lang w:val="zh-CN"/>
              </w:rPr>
              <w:t>，</w:t>
            </w:r>
            <w:r>
              <w:rPr>
                <w:rFonts w:hint="eastAsia"/>
                <w:sz w:val="24"/>
              </w:rPr>
              <w:t>员工职工生活污水</w:t>
            </w:r>
            <w:r>
              <w:rPr>
                <w:rFonts w:hint="eastAsia"/>
                <w:sz w:val="24"/>
                <w:lang w:val="zh-CN"/>
              </w:rPr>
              <w:t>产污系数以0.8</w:t>
            </w:r>
            <w:r>
              <w:rPr>
                <w:rFonts w:hint="eastAsia"/>
                <w:sz w:val="24"/>
              </w:rPr>
              <w:t>5</w:t>
            </w:r>
            <w:r>
              <w:rPr>
                <w:rFonts w:hint="eastAsia"/>
                <w:sz w:val="24"/>
                <w:lang w:val="zh-CN"/>
              </w:rPr>
              <w:t>计，职工生活污水产生量为</w:t>
            </w:r>
            <w:r>
              <w:rPr>
                <w:rFonts w:hint="eastAsia"/>
                <w:sz w:val="24"/>
                <w:lang w:val="en-US" w:eastAsia="zh-CN"/>
              </w:rPr>
              <w:t>7.905</w:t>
            </w:r>
            <w:r>
              <w:rPr>
                <w:rFonts w:hint="eastAsia"/>
                <w:sz w:val="24"/>
              </w:rPr>
              <w:t>m</w:t>
            </w:r>
            <w:r>
              <w:rPr>
                <w:rFonts w:hint="eastAsia"/>
                <w:sz w:val="24"/>
                <w:vertAlign w:val="superscript"/>
              </w:rPr>
              <w:t>3</w:t>
            </w:r>
            <w:r>
              <w:rPr>
                <w:rFonts w:hint="eastAsia"/>
                <w:sz w:val="24"/>
                <w:lang w:val="zh-CN"/>
              </w:rPr>
              <w:t>/</w:t>
            </w:r>
            <w:r>
              <w:rPr>
                <w:rFonts w:hint="eastAsia"/>
                <w:sz w:val="24"/>
              </w:rPr>
              <w:t>d</w:t>
            </w:r>
            <w:r>
              <w:rPr>
                <w:rFonts w:hint="eastAsia"/>
                <w:sz w:val="24"/>
                <w:lang w:val="zh-CN"/>
              </w:rPr>
              <w:t>，</w:t>
            </w:r>
            <w:r>
              <w:rPr>
                <w:rFonts w:hint="eastAsia"/>
                <w:sz w:val="24"/>
                <w:lang w:val="en-US" w:eastAsia="zh-CN"/>
              </w:rPr>
              <w:t>2371.5</w:t>
            </w:r>
            <w:r>
              <w:rPr>
                <w:rFonts w:hint="eastAsia"/>
                <w:sz w:val="24"/>
              </w:rPr>
              <w:t>m</w:t>
            </w:r>
            <w:r>
              <w:rPr>
                <w:rFonts w:hint="eastAsia"/>
                <w:sz w:val="24"/>
                <w:vertAlign w:val="superscript"/>
              </w:rPr>
              <w:t>3</w:t>
            </w:r>
            <w:r>
              <w:rPr>
                <w:rFonts w:hint="eastAsia"/>
                <w:sz w:val="24"/>
                <w:lang w:val="zh-CN"/>
              </w:rPr>
              <w:t>/a</w:t>
            </w:r>
            <w:r>
              <w:rPr>
                <w:rFonts w:hint="eastAsia"/>
                <w:sz w:val="24"/>
              </w:rPr>
              <w:t>。</w:t>
            </w:r>
          </w:p>
          <w:p w14:paraId="46D0B935">
            <w:pPr>
              <w:widowControl/>
              <w:spacing w:line="360" w:lineRule="auto"/>
              <w:ind w:firstLine="480" w:firstLineChars="200"/>
              <w:rPr>
                <w:bCs/>
                <w:sz w:val="24"/>
                <w:lang w:bidi="ar"/>
              </w:rPr>
            </w:pPr>
            <w:r>
              <w:rPr>
                <w:rFonts w:hint="eastAsia"/>
                <w:kern w:val="0"/>
                <w:sz w:val="24"/>
                <w:lang w:bidi="ar"/>
              </w:rPr>
              <w:t>②</w:t>
            </w:r>
            <w:r>
              <w:rPr>
                <w:rFonts w:hint="eastAsia"/>
                <w:bCs/>
                <w:sz w:val="24"/>
                <w:lang w:bidi="ar"/>
              </w:rPr>
              <w:t>食堂用水</w:t>
            </w:r>
          </w:p>
          <w:p w14:paraId="6537D15A">
            <w:pPr>
              <w:spacing w:line="360" w:lineRule="auto"/>
              <w:ind w:firstLine="480" w:firstLineChars="200"/>
              <w:rPr>
                <w:rFonts w:hint="eastAsia" w:eastAsia="宋体"/>
                <w:sz w:val="24"/>
                <w:lang w:eastAsia="zh-CN"/>
              </w:rPr>
            </w:pPr>
            <w:r>
              <w:rPr>
                <w:sz w:val="24"/>
              </w:rPr>
              <w:t>本项目劳动定员</w:t>
            </w:r>
            <w:r>
              <w:rPr>
                <w:rFonts w:hint="eastAsia"/>
                <w:sz w:val="24"/>
                <w:lang w:val="en-US" w:eastAsia="zh-CN"/>
              </w:rPr>
              <w:t>80</w:t>
            </w:r>
            <w:r>
              <w:rPr>
                <w:sz w:val="24"/>
              </w:rPr>
              <w:t>人</w:t>
            </w:r>
            <w:r>
              <w:rPr>
                <w:rFonts w:hint="eastAsia"/>
                <w:sz w:val="24"/>
                <w:szCs w:val="21"/>
              </w:rPr>
              <w:t>，食堂用水以20L/（人·d）计，</w:t>
            </w:r>
            <w:r>
              <w:rPr>
                <w:bCs/>
                <w:sz w:val="24"/>
              </w:rPr>
              <w:t>项目最大年工作日</w:t>
            </w:r>
            <w:r>
              <w:rPr>
                <w:rFonts w:hint="eastAsia"/>
                <w:bCs/>
                <w:sz w:val="24"/>
              </w:rPr>
              <w:t>为</w:t>
            </w:r>
            <w:r>
              <w:rPr>
                <w:bCs/>
                <w:sz w:val="24"/>
              </w:rPr>
              <w:t>3</w:t>
            </w:r>
            <w:r>
              <w:rPr>
                <w:rFonts w:hint="eastAsia"/>
                <w:bCs/>
                <w:sz w:val="24"/>
                <w:lang w:val="en-US" w:eastAsia="zh-CN"/>
              </w:rPr>
              <w:t>00</w:t>
            </w:r>
            <w:r>
              <w:rPr>
                <w:bCs/>
                <w:sz w:val="24"/>
              </w:rPr>
              <w:t>d，</w:t>
            </w:r>
            <w:r>
              <w:rPr>
                <w:rFonts w:hint="eastAsia"/>
                <w:bCs/>
                <w:sz w:val="24"/>
              </w:rPr>
              <w:t>则食堂</w:t>
            </w:r>
            <w:r>
              <w:rPr>
                <w:bCs/>
                <w:sz w:val="24"/>
              </w:rPr>
              <w:t>用水量为</w:t>
            </w:r>
            <w:r>
              <w:rPr>
                <w:rFonts w:hint="eastAsia"/>
                <w:bCs/>
                <w:sz w:val="24"/>
                <w:lang w:val="en-US" w:eastAsia="zh-CN"/>
              </w:rPr>
              <w:t>1.</w:t>
            </w:r>
            <w:r>
              <w:rPr>
                <w:rFonts w:hint="eastAsia"/>
                <w:bCs/>
                <w:sz w:val="24"/>
              </w:rPr>
              <w:t>6</w:t>
            </w:r>
            <w:r>
              <w:rPr>
                <w:sz w:val="24"/>
              </w:rPr>
              <w:t>m</w:t>
            </w:r>
            <w:r>
              <w:rPr>
                <w:sz w:val="24"/>
                <w:vertAlign w:val="superscript"/>
              </w:rPr>
              <w:t>3</w:t>
            </w:r>
            <w:r>
              <w:rPr>
                <w:sz w:val="24"/>
              </w:rPr>
              <w:t>/d</w:t>
            </w:r>
            <w:r>
              <w:rPr>
                <w:rFonts w:hint="eastAsia"/>
                <w:sz w:val="24"/>
              </w:rPr>
              <w:t>（</w:t>
            </w:r>
            <w:r>
              <w:rPr>
                <w:rFonts w:hint="eastAsia"/>
                <w:sz w:val="24"/>
                <w:lang w:val="en-US" w:eastAsia="zh-CN"/>
              </w:rPr>
              <w:t>48</w:t>
            </w:r>
            <w:r>
              <w:rPr>
                <w:rFonts w:hint="eastAsia"/>
                <w:sz w:val="24"/>
              </w:rPr>
              <w:t>0</w:t>
            </w:r>
            <w:r>
              <w:rPr>
                <w:sz w:val="24"/>
              </w:rPr>
              <w:t>m</w:t>
            </w:r>
            <w:r>
              <w:rPr>
                <w:sz w:val="24"/>
                <w:vertAlign w:val="superscript"/>
              </w:rPr>
              <w:t>3</w:t>
            </w:r>
            <w:r>
              <w:rPr>
                <w:sz w:val="24"/>
              </w:rPr>
              <w:t>/</w:t>
            </w:r>
            <w:r>
              <w:rPr>
                <w:rFonts w:hint="eastAsia"/>
                <w:sz w:val="24"/>
              </w:rPr>
              <w:t>a）</w:t>
            </w:r>
            <w:r>
              <w:rPr>
                <w:sz w:val="24"/>
              </w:rPr>
              <w:t>，排污系数以0.8计，</w:t>
            </w:r>
            <w:r>
              <w:rPr>
                <w:rFonts w:hint="eastAsia"/>
                <w:sz w:val="24"/>
              </w:rPr>
              <w:t>食堂餐饮废水</w:t>
            </w:r>
            <w:r>
              <w:rPr>
                <w:sz w:val="24"/>
              </w:rPr>
              <w:t>产生量为</w:t>
            </w:r>
            <w:r>
              <w:rPr>
                <w:rFonts w:hint="eastAsia"/>
                <w:sz w:val="24"/>
                <w:lang w:val="en-US" w:eastAsia="zh-CN"/>
              </w:rPr>
              <w:t>1.28</w:t>
            </w:r>
            <w:r>
              <w:rPr>
                <w:sz w:val="24"/>
              </w:rPr>
              <w:t>m</w:t>
            </w:r>
            <w:r>
              <w:rPr>
                <w:sz w:val="24"/>
                <w:vertAlign w:val="superscript"/>
              </w:rPr>
              <w:t>3</w:t>
            </w:r>
            <w:r>
              <w:rPr>
                <w:sz w:val="24"/>
              </w:rPr>
              <w:t>/d</w:t>
            </w:r>
            <w:r>
              <w:rPr>
                <w:rFonts w:hint="eastAsia"/>
                <w:sz w:val="24"/>
              </w:rPr>
              <w:t>（</w:t>
            </w:r>
            <w:r>
              <w:rPr>
                <w:rFonts w:hint="eastAsia"/>
                <w:sz w:val="24"/>
                <w:lang w:val="en-US" w:eastAsia="zh-CN"/>
              </w:rPr>
              <w:t>384</w:t>
            </w:r>
            <w:r>
              <w:rPr>
                <w:sz w:val="24"/>
              </w:rPr>
              <w:t>m</w:t>
            </w:r>
            <w:r>
              <w:rPr>
                <w:sz w:val="24"/>
                <w:vertAlign w:val="superscript"/>
              </w:rPr>
              <w:t>3</w:t>
            </w:r>
            <w:r>
              <w:rPr>
                <w:sz w:val="24"/>
              </w:rPr>
              <w:t>/</w:t>
            </w:r>
            <w:r>
              <w:rPr>
                <w:rFonts w:hint="eastAsia"/>
                <w:sz w:val="24"/>
              </w:rPr>
              <w:t>a）</w:t>
            </w:r>
            <w:r>
              <w:rPr>
                <w:rFonts w:hint="eastAsia"/>
                <w:sz w:val="24"/>
                <w:lang w:eastAsia="zh-CN"/>
              </w:rPr>
              <w:t>。</w:t>
            </w:r>
          </w:p>
          <w:p w14:paraId="6C91D262">
            <w:pPr>
              <w:spacing w:line="360" w:lineRule="auto"/>
              <w:ind w:firstLine="480" w:firstLineChars="200"/>
              <w:rPr>
                <w:rFonts w:ascii="宋体" w:hAnsi="宋体" w:cs="宋体"/>
                <w:sz w:val="24"/>
              </w:rPr>
            </w:pPr>
            <w:r>
              <w:rPr>
                <w:rFonts w:hint="eastAsia" w:ascii="宋体" w:hAnsi="宋体" w:eastAsia="宋体" w:cs="宋体"/>
                <w:sz w:val="24"/>
              </w:rPr>
              <w:t>③</w:t>
            </w:r>
            <w:r>
              <w:rPr>
                <w:rFonts w:hint="eastAsia" w:ascii="宋体" w:hAnsi="宋体" w:cs="宋体"/>
                <w:sz w:val="24"/>
              </w:rPr>
              <w:t>循环冷却用水</w:t>
            </w:r>
          </w:p>
          <w:p w14:paraId="519BD2FC">
            <w:pPr>
              <w:spacing w:line="360" w:lineRule="auto"/>
              <w:ind w:firstLine="480" w:firstLineChars="200"/>
              <w:rPr>
                <w:sz w:val="24"/>
              </w:rPr>
            </w:pPr>
            <w:r>
              <w:rPr>
                <w:rFonts w:hint="eastAsia" w:ascii="宋体" w:hAnsi="宋体" w:cs="宋体"/>
                <w:sz w:val="24"/>
              </w:rPr>
              <w:t>根据企业提供资料，本项目厂区北</w:t>
            </w:r>
            <w:r>
              <w:rPr>
                <w:rFonts w:hint="eastAsia" w:ascii="宋体" w:hAnsi="宋体" w:cs="宋体"/>
                <w:sz w:val="24"/>
                <w:lang w:eastAsia="zh-CN"/>
              </w:rPr>
              <w:t>侧</w:t>
            </w:r>
            <w:r>
              <w:rPr>
                <w:rFonts w:hint="eastAsia" w:ascii="宋体" w:hAnsi="宋体" w:cs="宋体"/>
                <w:sz w:val="24"/>
              </w:rPr>
              <w:t>有</w:t>
            </w:r>
            <w:r>
              <w:rPr>
                <w:rFonts w:hint="eastAsia"/>
                <w:sz w:val="24"/>
                <w:lang w:val="en-US" w:eastAsia="zh-CN"/>
              </w:rPr>
              <w:t>1</w:t>
            </w:r>
            <w:r>
              <w:rPr>
                <w:sz w:val="24"/>
              </w:rPr>
              <w:t>台循环量</w:t>
            </w:r>
            <w:r>
              <w:rPr>
                <w:rFonts w:hint="eastAsia"/>
                <w:sz w:val="24"/>
                <w:lang w:val="en-US" w:eastAsia="zh-CN"/>
              </w:rPr>
              <w:t>50</w:t>
            </w:r>
            <w:r>
              <w:rPr>
                <w:sz w:val="24"/>
              </w:rPr>
              <w:t>m</w:t>
            </w:r>
            <w:r>
              <w:rPr>
                <w:sz w:val="24"/>
                <w:vertAlign w:val="superscript"/>
              </w:rPr>
              <w:t>3</w:t>
            </w:r>
            <w:r>
              <w:rPr>
                <w:sz w:val="24"/>
              </w:rPr>
              <w:t>/h的冷却塔，蒸发损耗量按2%计（每天工作</w:t>
            </w:r>
            <w:r>
              <w:rPr>
                <w:rFonts w:hint="eastAsia"/>
                <w:sz w:val="24"/>
                <w:lang w:val="en-US" w:eastAsia="zh-CN"/>
              </w:rPr>
              <w:t>8</w:t>
            </w:r>
            <w:r>
              <w:rPr>
                <w:sz w:val="24"/>
              </w:rPr>
              <w:t>小时，故循环水蒸发损耗量为8m</w:t>
            </w:r>
            <w:r>
              <w:rPr>
                <w:sz w:val="24"/>
                <w:vertAlign w:val="superscript"/>
              </w:rPr>
              <w:t>3</w:t>
            </w:r>
            <w:r>
              <w:rPr>
                <w:sz w:val="24"/>
              </w:rPr>
              <w:t>/d），</w:t>
            </w:r>
            <w:r>
              <w:rPr>
                <w:rFonts w:hint="eastAsia"/>
                <w:sz w:val="24"/>
              </w:rPr>
              <w:t>则</w:t>
            </w:r>
            <w:r>
              <w:rPr>
                <w:sz w:val="24"/>
              </w:rPr>
              <w:t>补水量为8m</w:t>
            </w:r>
            <w:r>
              <w:rPr>
                <w:sz w:val="24"/>
                <w:vertAlign w:val="superscript"/>
              </w:rPr>
              <w:t>3</w:t>
            </w:r>
            <w:r>
              <w:rPr>
                <w:rFonts w:hint="eastAsia"/>
                <w:sz w:val="24"/>
              </w:rPr>
              <w:t>/d（</w:t>
            </w:r>
            <w:r>
              <w:rPr>
                <w:rFonts w:hint="eastAsia"/>
                <w:sz w:val="24"/>
                <w:lang w:val="en-US" w:eastAsia="zh-CN"/>
              </w:rPr>
              <w:t>2400</w:t>
            </w:r>
            <w:r>
              <w:rPr>
                <w:rFonts w:hint="eastAsia"/>
                <w:sz w:val="24"/>
              </w:rPr>
              <w:t>m</w:t>
            </w:r>
            <w:r>
              <w:rPr>
                <w:rFonts w:hint="eastAsia"/>
                <w:sz w:val="24"/>
                <w:vertAlign w:val="superscript"/>
              </w:rPr>
              <w:t>3</w:t>
            </w:r>
            <w:r>
              <w:rPr>
                <w:rFonts w:hint="eastAsia"/>
                <w:sz w:val="24"/>
              </w:rPr>
              <w:t>/a）</w:t>
            </w:r>
            <w:r>
              <w:rPr>
                <w:rFonts w:hint="eastAsia"/>
                <w:color w:val="auto"/>
                <w:sz w:val="24"/>
              </w:rPr>
              <w:t>，冷却水不外排</w:t>
            </w:r>
            <w:r>
              <w:rPr>
                <w:color w:val="auto"/>
                <w:sz w:val="24"/>
              </w:rPr>
              <w:t>。</w:t>
            </w:r>
          </w:p>
          <w:p w14:paraId="43D095BE">
            <w:pPr>
              <w:widowControl/>
              <w:numPr>
                <w:ilvl w:val="0"/>
                <w:numId w:val="2"/>
              </w:numPr>
              <w:jc w:val="center"/>
              <w:rPr>
                <w:b/>
                <w:kern w:val="0"/>
                <w:szCs w:val="21"/>
              </w:rPr>
            </w:pPr>
            <w:r>
              <w:rPr>
                <w:b/>
                <w:kern w:val="0"/>
                <w:szCs w:val="21"/>
              </w:rPr>
              <w:t>用排水情况一览表</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0"/>
              <w:gridCol w:w="1618"/>
              <w:gridCol w:w="1892"/>
              <w:gridCol w:w="1020"/>
              <w:gridCol w:w="945"/>
              <w:gridCol w:w="660"/>
              <w:gridCol w:w="1136"/>
              <w:gridCol w:w="904"/>
            </w:tblGrid>
            <w:tr w14:paraId="15754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460" w:type="dxa"/>
                  <w:vMerge w:val="restart"/>
                  <w:tcBorders>
                    <w:top w:val="single" w:color="auto" w:sz="4" w:space="0"/>
                    <w:left w:val="single" w:color="auto" w:sz="4" w:space="0"/>
                    <w:right w:val="single" w:color="auto" w:sz="4" w:space="0"/>
                  </w:tcBorders>
                  <w:vAlign w:val="center"/>
                </w:tcPr>
                <w:p w14:paraId="17B9BC16">
                  <w:pPr>
                    <w:jc w:val="center"/>
                    <w:rPr>
                      <w:b/>
                      <w:bCs/>
                      <w:szCs w:val="21"/>
                    </w:rPr>
                  </w:pPr>
                  <w:r>
                    <w:rPr>
                      <w:b/>
                      <w:bCs/>
                      <w:kern w:val="0"/>
                      <w:szCs w:val="21"/>
                      <w:lang w:bidi="ar"/>
                    </w:rPr>
                    <w:t>序号</w:t>
                  </w:r>
                </w:p>
              </w:tc>
              <w:tc>
                <w:tcPr>
                  <w:tcW w:w="1618" w:type="dxa"/>
                  <w:vMerge w:val="restart"/>
                  <w:tcBorders>
                    <w:top w:val="single" w:color="auto" w:sz="4" w:space="0"/>
                    <w:left w:val="single" w:color="auto" w:sz="4" w:space="0"/>
                    <w:right w:val="single" w:color="auto" w:sz="4" w:space="0"/>
                  </w:tcBorders>
                  <w:vAlign w:val="center"/>
                </w:tcPr>
                <w:p w14:paraId="531C7907">
                  <w:pPr>
                    <w:jc w:val="center"/>
                    <w:rPr>
                      <w:b/>
                      <w:bCs/>
                      <w:szCs w:val="21"/>
                    </w:rPr>
                  </w:pPr>
                  <w:r>
                    <w:rPr>
                      <w:b/>
                      <w:bCs/>
                      <w:kern w:val="0"/>
                      <w:szCs w:val="21"/>
                      <w:lang w:bidi="ar"/>
                    </w:rPr>
                    <w:t>名称</w:t>
                  </w:r>
                </w:p>
              </w:tc>
              <w:tc>
                <w:tcPr>
                  <w:tcW w:w="1892" w:type="dxa"/>
                  <w:vMerge w:val="restart"/>
                  <w:tcBorders>
                    <w:top w:val="single" w:color="auto" w:sz="4" w:space="0"/>
                    <w:left w:val="single" w:color="auto" w:sz="4" w:space="0"/>
                    <w:right w:val="single" w:color="auto" w:sz="4" w:space="0"/>
                  </w:tcBorders>
                  <w:vAlign w:val="center"/>
                </w:tcPr>
                <w:p w14:paraId="74FC2D00">
                  <w:pPr>
                    <w:jc w:val="center"/>
                    <w:rPr>
                      <w:b/>
                      <w:bCs/>
                      <w:szCs w:val="21"/>
                    </w:rPr>
                  </w:pPr>
                  <w:r>
                    <w:rPr>
                      <w:b/>
                      <w:bCs/>
                      <w:kern w:val="0"/>
                      <w:szCs w:val="21"/>
                      <w:lang w:bidi="ar"/>
                    </w:rPr>
                    <w:t>用水标准</w:t>
                  </w:r>
                </w:p>
              </w:tc>
              <w:tc>
                <w:tcPr>
                  <w:tcW w:w="1965" w:type="dxa"/>
                  <w:gridSpan w:val="2"/>
                  <w:tcBorders>
                    <w:top w:val="single" w:color="auto" w:sz="4" w:space="0"/>
                    <w:left w:val="single" w:color="auto" w:sz="4" w:space="0"/>
                    <w:right w:val="single" w:color="auto" w:sz="4" w:space="0"/>
                  </w:tcBorders>
                  <w:vAlign w:val="center"/>
                </w:tcPr>
                <w:p w14:paraId="60CC61FF">
                  <w:pPr>
                    <w:jc w:val="center"/>
                    <w:rPr>
                      <w:b/>
                      <w:bCs/>
                      <w:kern w:val="0"/>
                      <w:szCs w:val="21"/>
                      <w:lang w:bidi="ar"/>
                    </w:rPr>
                  </w:pPr>
                  <w:r>
                    <w:rPr>
                      <w:b/>
                      <w:bCs/>
                      <w:kern w:val="0"/>
                      <w:szCs w:val="21"/>
                      <w:lang w:bidi="ar"/>
                    </w:rPr>
                    <w:t>用水量</w:t>
                  </w:r>
                </w:p>
              </w:tc>
              <w:tc>
                <w:tcPr>
                  <w:tcW w:w="660" w:type="dxa"/>
                  <w:vMerge w:val="restart"/>
                  <w:tcBorders>
                    <w:top w:val="single" w:color="auto" w:sz="4" w:space="0"/>
                    <w:left w:val="single" w:color="auto" w:sz="4" w:space="0"/>
                    <w:right w:val="single" w:color="auto" w:sz="4" w:space="0"/>
                  </w:tcBorders>
                  <w:vAlign w:val="center"/>
                </w:tcPr>
                <w:p w14:paraId="157C98F5">
                  <w:pPr>
                    <w:jc w:val="center"/>
                    <w:rPr>
                      <w:b/>
                      <w:bCs/>
                      <w:szCs w:val="21"/>
                    </w:rPr>
                  </w:pPr>
                  <w:r>
                    <w:rPr>
                      <w:b/>
                      <w:bCs/>
                      <w:kern w:val="0"/>
                      <w:szCs w:val="21"/>
                      <w:lang w:bidi="ar"/>
                    </w:rPr>
                    <w:t>排水系数</w:t>
                  </w:r>
                </w:p>
              </w:tc>
              <w:tc>
                <w:tcPr>
                  <w:tcW w:w="2040" w:type="dxa"/>
                  <w:gridSpan w:val="2"/>
                  <w:tcBorders>
                    <w:top w:val="single" w:color="auto" w:sz="4" w:space="0"/>
                    <w:left w:val="single" w:color="auto" w:sz="4" w:space="0"/>
                    <w:bottom w:val="single" w:color="auto" w:sz="4" w:space="0"/>
                    <w:right w:val="single" w:color="auto" w:sz="4" w:space="0"/>
                  </w:tcBorders>
                  <w:vAlign w:val="center"/>
                </w:tcPr>
                <w:p w14:paraId="0D6EAC55">
                  <w:pPr>
                    <w:jc w:val="center"/>
                    <w:rPr>
                      <w:b/>
                      <w:bCs/>
                      <w:kern w:val="0"/>
                      <w:szCs w:val="21"/>
                      <w:lang w:bidi="ar"/>
                    </w:rPr>
                  </w:pPr>
                  <w:r>
                    <w:rPr>
                      <w:b/>
                      <w:bCs/>
                      <w:kern w:val="0"/>
                      <w:szCs w:val="21"/>
                      <w:lang w:bidi="ar"/>
                    </w:rPr>
                    <w:t>废水量</w:t>
                  </w:r>
                </w:p>
              </w:tc>
            </w:tr>
            <w:tr w14:paraId="12261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460" w:type="dxa"/>
                  <w:vMerge w:val="continue"/>
                  <w:tcBorders>
                    <w:left w:val="single" w:color="auto" w:sz="4" w:space="0"/>
                    <w:right w:val="single" w:color="auto" w:sz="4" w:space="0"/>
                  </w:tcBorders>
                  <w:vAlign w:val="center"/>
                </w:tcPr>
                <w:p w14:paraId="48F793DC">
                  <w:pPr>
                    <w:jc w:val="center"/>
                    <w:rPr>
                      <w:szCs w:val="21"/>
                    </w:rPr>
                  </w:pPr>
                </w:p>
              </w:tc>
              <w:tc>
                <w:tcPr>
                  <w:tcW w:w="1618" w:type="dxa"/>
                  <w:vMerge w:val="continue"/>
                  <w:tcBorders>
                    <w:left w:val="single" w:color="auto" w:sz="4" w:space="0"/>
                    <w:right w:val="single" w:color="auto" w:sz="4" w:space="0"/>
                  </w:tcBorders>
                  <w:vAlign w:val="center"/>
                </w:tcPr>
                <w:p w14:paraId="440985A9">
                  <w:pPr>
                    <w:jc w:val="center"/>
                    <w:rPr>
                      <w:szCs w:val="21"/>
                    </w:rPr>
                  </w:pPr>
                </w:p>
              </w:tc>
              <w:tc>
                <w:tcPr>
                  <w:tcW w:w="1892" w:type="dxa"/>
                  <w:vMerge w:val="continue"/>
                  <w:tcBorders>
                    <w:left w:val="single" w:color="auto" w:sz="4" w:space="0"/>
                    <w:right w:val="single" w:color="auto" w:sz="4" w:space="0"/>
                  </w:tcBorders>
                  <w:vAlign w:val="center"/>
                </w:tcPr>
                <w:p w14:paraId="2A07AFE1">
                  <w:pPr>
                    <w:jc w:val="center"/>
                    <w:rPr>
                      <w:szCs w:val="21"/>
                    </w:rPr>
                  </w:pPr>
                </w:p>
              </w:tc>
              <w:tc>
                <w:tcPr>
                  <w:tcW w:w="1020" w:type="dxa"/>
                  <w:tcBorders>
                    <w:left w:val="single" w:color="auto" w:sz="4" w:space="0"/>
                    <w:right w:val="single" w:color="auto" w:sz="4" w:space="0"/>
                  </w:tcBorders>
                  <w:vAlign w:val="center"/>
                </w:tcPr>
                <w:p w14:paraId="31AE60B5">
                  <w:pPr>
                    <w:jc w:val="center"/>
                    <w:rPr>
                      <w:b/>
                      <w:bCs/>
                      <w:szCs w:val="21"/>
                    </w:rPr>
                  </w:pPr>
                  <w:r>
                    <w:rPr>
                      <w:b/>
                      <w:bCs/>
                      <w:szCs w:val="21"/>
                    </w:rPr>
                    <w:t>t/a</w:t>
                  </w:r>
                </w:p>
              </w:tc>
              <w:tc>
                <w:tcPr>
                  <w:tcW w:w="945" w:type="dxa"/>
                  <w:tcBorders>
                    <w:left w:val="single" w:color="auto" w:sz="4" w:space="0"/>
                    <w:right w:val="single" w:color="auto" w:sz="4" w:space="0"/>
                  </w:tcBorders>
                  <w:vAlign w:val="center"/>
                </w:tcPr>
                <w:p w14:paraId="3874544F">
                  <w:pPr>
                    <w:jc w:val="center"/>
                    <w:rPr>
                      <w:b/>
                      <w:bCs/>
                      <w:szCs w:val="21"/>
                    </w:rPr>
                  </w:pPr>
                  <w:r>
                    <w:rPr>
                      <w:b/>
                      <w:bCs/>
                      <w:szCs w:val="21"/>
                    </w:rPr>
                    <w:t>t/d</w:t>
                  </w:r>
                </w:p>
              </w:tc>
              <w:tc>
                <w:tcPr>
                  <w:tcW w:w="660" w:type="dxa"/>
                  <w:vMerge w:val="continue"/>
                  <w:tcBorders>
                    <w:left w:val="single" w:color="auto" w:sz="4" w:space="0"/>
                    <w:right w:val="single" w:color="auto" w:sz="4" w:space="0"/>
                  </w:tcBorders>
                  <w:vAlign w:val="center"/>
                </w:tcPr>
                <w:p w14:paraId="4CDBEA7A">
                  <w:pPr>
                    <w:jc w:val="center"/>
                    <w:rPr>
                      <w:szCs w:val="21"/>
                    </w:rPr>
                  </w:pPr>
                </w:p>
              </w:tc>
              <w:tc>
                <w:tcPr>
                  <w:tcW w:w="1136" w:type="dxa"/>
                  <w:tcBorders>
                    <w:top w:val="single" w:color="auto" w:sz="4" w:space="0"/>
                    <w:left w:val="single" w:color="auto" w:sz="4" w:space="0"/>
                    <w:bottom w:val="single" w:color="auto" w:sz="4" w:space="0"/>
                    <w:right w:val="single" w:color="auto" w:sz="4" w:space="0"/>
                  </w:tcBorders>
                  <w:vAlign w:val="center"/>
                </w:tcPr>
                <w:p w14:paraId="081D7A09">
                  <w:pPr>
                    <w:jc w:val="center"/>
                    <w:rPr>
                      <w:b/>
                      <w:bCs/>
                      <w:kern w:val="0"/>
                      <w:szCs w:val="21"/>
                      <w:lang w:bidi="ar"/>
                    </w:rPr>
                  </w:pPr>
                  <w:r>
                    <w:rPr>
                      <w:b/>
                      <w:bCs/>
                      <w:kern w:val="0"/>
                      <w:szCs w:val="21"/>
                      <w:lang w:bidi="ar"/>
                    </w:rPr>
                    <w:t>t/a</w:t>
                  </w:r>
                </w:p>
              </w:tc>
              <w:tc>
                <w:tcPr>
                  <w:tcW w:w="904" w:type="dxa"/>
                  <w:tcBorders>
                    <w:top w:val="single" w:color="auto" w:sz="4" w:space="0"/>
                    <w:left w:val="single" w:color="auto" w:sz="4" w:space="0"/>
                    <w:bottom w:val="single" w:color="auto" w:sz="4" w:space="0"/>
                    <w:right w:val="single" w:color="auto" w:sz="4" w:space="0"/>
                  </w:tcBorders>
                  <w:vAlign w:val="center"/>
                </w:tcPr>
                <w:p w14:paraId="7AFA8951">
                  <w:pPr>
                    <w:jc w:val="center"/>
                    <w:rPr>
                      <w:b/>
                      <w:bCs/>
                      <w:kern w:val="0"/>
                      <w:szCs w:val="21"/>
                      <w:lang w:bidi="ar"/>
                    </w:rPr>
                  </w:pPr>
                  <w:r>
                    <w:rPr>
                      <w:b/>
                      <w:bCs/>
                      <w:kern w:val="0"/>
                      <w:szCs w:val="21"/>
                      <w:lang w:bidi="ar"/>
                    </w:rPr>
                    <w:t>t/d</w:t>
                  </w:r>
                </w:p>
              </w:tc>
            </w:tr>
            <w:tr w14:paraId="3C4FF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0" w:type="dxa"/>
                  <w:tcBorders>
                    <w:top w:val="single" w:color="auto" w:sz="4" w:space="0"/>
                    <w:left w:val="single" w:color="auto" w:sz="4" w:space="0"/>
                    <w:bottom w:val="single" w:color="auto" w:sz="4" w:space="0"/>
                    <w:right w:val="single" w:color="auto" w:sz="4" w:space="0"/>
                  </w:tcBorders>
                  <w:vAlign w:val="center"/>
                </w:tcPr>
                <w:p w14:paraId="2E7B2149">
                  <w:pPr>
                    <w:jc w:val="center"/>
                    <w:rPr>
                      <w:szCs w:val="21"/>
                    </w:rPr>
                  </w:pPr>
                  <w:r>
                    <w:rPr>
                      <w:szCs w:val="21"/>
                    </w:rPr>
                    <w:t>1</w:t>
                  </w:r>
                </w:p>
              </w:tc>
              <w:tc>
                <w:tcPr>
                  <w:tcW w:w="1618" w:type="dxa"/>
                  <w:tcBorders>
                    <w:top w:val="single" w:color="auto" w:sz="4" w:space="0"/>
                    <w:left w:val="single" w:color="auto" w:sz="4" w:space="0"/>
                    <w:bottom w:val="single" w:color="auto" w:sz="4" w:space="0"/>
                    <w:right w:val="single" w:color="auto" w:sz="4" w:space="0"/>
                  </w:tcBorders>
                  <w:vAlign w:val="center"/>
                </w:tcPr>
                <w:p w14:paraId="0882DD65">
                  <w:pPr>
                    <w:jc w:val="center"/>
                    <w:rPr>
                      <w:szCs w:val="21"/>
                    </w:rPr>
                  </w:pPr>
                  <w:r>
                    <w:rPr>
                      <w:szCs w:val="21"/>
                    </w:rPr>
                    <w:t>职工生活用水</w:t>
                  </w:r>
                </w:p>
              </w:tc>
              <w:tc>
                <w:tcPr>
                  <w:tcW w:w="1892" w:type="dxa"/>
                  <w:tcBorders>
                    <w:top w:val="single" w:color="auto" w:sz="4" w:space="0"/>
                    <w:left w:val="single" w:color="auto" w:sz="4" w:space="0"/>
                    <w:bottom w:val="single" w:color="auto" w:sz="4" w:space="0"/>
                    <w:right w:val="single" w:color="auto" w:sz="4" w:space="0"/>
                  </w:tcBorders>
                  <w:vAlign w:val="center"/>
                </w:tcPr>
                <w:p w14:paraId="6B0D0235">
                  <w:pPr>
                    <w:jc w:val="center"/>
                    <w:rPr>
                      <w:szCs w:val="21"/>
                    </w:rPr>
                  </w:pPr>
                  <w:r>
                    <w:rPr>
                      <w:rFonts w:hint="eastAsia"/>
                      <w:szCs w:val="21"/>
                      <w:lang w:eastAsia="zh-CN"/>
                    </w:rPr>
                    <w:t>住宿：</w:t>
                  </w:r>
                  <w:r>
                    <w:rPr>
                      <w:rFonts w:hint="eastAsia"/>
                      <w:szCs w:val="21"/>
                    </w:rPr>
                    <w:t>150L/（人·d）</w:t>
                  </w:r>
                  <w:r>
                    <w:rPr>
                      <w:rFonts w:hint="eastAsia"/>
                      <w:szCs w:val="21"/>
                      <w:lang w:eastAsia="zh-CN"/>
                    </w:rPr>
                    <w:t>不住宿：</w:t>
                  </w:r>
                  <w:r>
                    <w:rPr>
                      <w:szCs w:val="21"/>
                    </w:rPr>
                    <w:t>60</w:t>
                  </w:r>
                  <w:r>
                    <w:rPr>
                      <w:szCs w:val="21"/>
                      <w:lang w:val="zh-CN"/>
                    </w:rPr>
                    <w:t>L/人</w:t>
                  </w:r>
                  <w:r>
                    <w:rPr>
                      <w:szCs w:val="21"/>
                    </w:rPr>
                    <w:t>·</w:t>
                  </w:r>
                  <w:r>
                    <w:rPr>
                      <w:szCs w:val="21"/>
                      <w:lang w:val="zh-CN"/>
                    </w:rPr>
                    <w:t>d</w:t>
                  </w:r>
                </w:p>
              </w:tc>
              <w:tc>
                <w:tcPr>
                  <w:tcW w:w="1020" w:type="dxa"/>
                  <w:tcBorders>
                    <w:top w:val="single" w:color="auto" w:sz="4" w:space="0"/>
                    <w:left w:val="single" w:color="auto" w:sz="4" w:space="0"/>
                    <w:bottom w:val="single" w:color="auto" w:sz="4" w:space="0"/>
                    <w:right w:val="single" w:color="auto" w:sz="4" w:space="0"/>
                  </w:tcBorders>
                  <w:vAlign w:val="center"/>
                </w:tcPr>
                <w:p w14:paraId="3F914C13">
                  <w:pPr>
                    <w:jc w:val="center"/>
                    <w:rPr>
                      <w:rFonts w:hint="default" w:eastAsia="宋体"/>
                      <w:szCs w:val="21"/>
                      <w:lang w:val="en-US" w:eastAsia="zh-CN"/>
                    </w:rPr>
                  </w:pPr>
                  <w:r>
                    <w:rPr>
                      <w:rFonts w:hint="eastAsia"/>
                      <w:szCs w:val="21"/>
                      <w:lang w:val="en-US" w:eastAsia="zh-CN"/>
                    </w:rPr>
                    <w:t>2790</w:t>
                  </w:r>
                </w:p>
              </w:tc>
              <w:tc>
                <w:tcPr>
                  <w:tcW w:w="945" w:type="dxa"/>
                  <w:tcBorders>
                    <w:top w:val="single" w:color="auto" w:sz="4" w:space="0"/>
                    <w:left w:val="single" w:color="auto" w:sz="4" w:space="0"/>
                    <w:bottom w:val="single" w:color="auto" w:sz="4" w:space="0"/>
                    <w:right w:val="single" w:color="auto" w:sz="4" w:space="0"/>
                  </w:tcBorders>
                  <w:vAlign w:val="center"/>
                </w:tcPr>
                <w:p w14:paraId="4B133AE8">
                  <w:pPr>
                    <w:jc w:val="center"/>
                    <w:rPr>
                      <w:rFonts w:hint="default" w:eastAsia="宋体"/>
                      <w:szCs w:val="21"/>
                      <w:lang w:val="en-US" w:eastAsia="zh-CN"/>
                    </w:rPr>
                  </w:pPr>
                  <w:r>
                    <w:rPr>
                      <w:rFonts w:hint="eastAsia"/>
                      <w:szCs w:val="21"/>
                      <w:lang w:val="en-US" w:eastAsia="zh-CN"/>
                    </w:rPr>
                    <w:t>9.3</w:t>
                  </w:r>
                </w:p>
              </w:tc>
              <w:tc>
                <w:tcPr>
                  <w:tcW w:w="660" w:type="dxa"/>
                  <w:tcBorders>
                    <w:top w:val="single" w:color="auto" w:sz="4" w:space="0"/>
                    <w:left w:val="single" w:color="auto" w:sz="4" w:space="0"/>
                    <w:bottom w:val="single" w:color="auto" w:sz="4" w:space="0"/>
                    <w:right w:val="single" w:color="auto" w:sz="4" w:space="0"/>
                  </w:tcBorders>
                  <w:vAlign w:val="center"/>
                </w:tcPr>
                <w:p w14:paraId="24A8999F">
                  <w:pPr>
                    <w:jc w:val="center"/>
                    <w:rPr>
                      <w:szCs w:val="21"/>
                    </w:rPr>
                  </w:pPr>
                  <w:r>
                    <w:rPr>
                      <w:szCs w:val="21"/>
                    </w:rPr>
                    <w:t>0.85</w:t>
                  </w:r>
                </w:p>
              </w:tc>
              <w:tc>
                <w:tcPr>
                  <w:tcW w:w="1136" w:type="dxa"/>
                  <w:tcBorders>
                    <w:top w:val="single" w:color="auto" w:sz="4" w:space="0"/>
                    <w:left w:val="single" w:color="auto" w:sz="4" w:space="0"/>
                    <w:bottom w:val="single" w:color="auto" w:sz="4" w:space="0"/>
                    <w:right w:val="single" w:color="auto" w:sz="4" w:space="0"/>
                  </w:tcBorders>
                  <w:vAlign w:val="center"/>
                </w:tcPr>
                <w:p w14:paraId="0A0B3289">
                  <w:pPr>
                    <w:jc w:val="center"/>
                    <w:rPr>
                      <w:rFonts w:hint="default" w:eastAsia="宋体"/>
                      <w:szCs w:val="21"/>
                      <w:lang w:val="en-US" w:eastAsia="zh-CN"/>
                    </w:rPr>
                  </w:pPr>
                  <w:r>
                    <w:rPr>
                      <w:rFonts w:hint="eastAsia"/>
                      <w:szCs w:val="21"/>
                      <w:lang w:val="en-US" w:eastAsia="zh-CN"/>
                    </w:rPr>
                    <w:t>2371.5</w:t>
                  </w:r>
                </w:p>
              </w:tc>
              <w:tc>
                <w:tcPr>
                  <w:tcW w:w="904" w:type="dxa"/>
                  <w:tcBorders>
                    <w:top w:val="single" w:color="auto" w:sz="4" w:space="0"/>
                    <w:left w:val="single" w:color="auto" w:sz="4" w:space="0"/>
                    <w:bottom w:val="single" w:color="auto" w:sz="4" w:space="0"/>
                    <w:right w:val="single" w:color="auto" w:sz="4" w:space="0"/>
                  </w:tcBorders>
                  <w:vAlign w:val="center"/>
                </w:tcPr>
                <w:p w14:paraId="2B40FBED">
                  <w:pPr>
                    <w:jc w:val="center"/>
                    <w:rPr>
                      <w:rFonts w:hint="default" w:eastAsia="宋体"/>
                      <w:szCs w:val="21"/>
                      <w:lang w:val="en-US" w:eastAsia="zh-CN"/>
                    </w:rPr>
                  </w:pPr>
                  <w:r>
                    <w:rPr>
                      <w:rFonts w:hint="eastAsia"/>
                      <w:szCs w:val="21"/>
                      <w:lang w:val="en-US" w:eastAsia="zh-CN"/>
                    </w:rPr>
                    <w:t>7.905</w:t>
                  </w:r>
                </w:p>
              </w:tc>
            </w:tr>
            <w:tr w14:paraId="00046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460" w:type="dxa"/>
                  <w:tcBorders>
                    <w:top w:val="single" w:color="auto" w:sz="4" w:space="0"/>
                    <w:left w:val="single" w:color="auto" w:sz="4" w:space="0"/>
                    <w:right w:val="single" w:color="auto" w:sz="4" w:space="0"/>
                  </w:tcBorders>
                  <w:vAlign w:val="center"/>
                </w:tcPr>
                <w:p w14:paraId="420321AF">
                  <w:pPr>
                    <w:jc w:val="center"/>
                    <w:rPr>
                      <w:rFonts w:hint="eastAsia" w:eastAsia="宋体"/>
                      <w:szCs w:val="21"/>
                      <w:lang w:eastAsia="zh-CN"/>
                    </w:rPr>
                  </w:pPr>
                  <w:r>
                    <w:rPr>
                      <w:rFonts w:hint="eastAsia"/>
                      <w:szCs w:val="21"/>
                      <w:lang w:val="en-US" w:eastAsia="zh-CN"/>
                    </w:rPr>
                    <w:t>2</w:t>
                  </w:r>
                </w:p>
              </w:tc>
              <w:tc>
                <w:tcPr>
                  <w:tcW w:w="1618" w:type="dxa"/>
                  <w:tcBorders>
                    <w:top w:val="single" w:color="auto" w:sz="4" w:space="0"/>
                    <w:left w:val="single" w:color="auto" w:sz="4" w:space="0"/>
                    <w:right w:val="single" w:color="auto" w:sz="4" w:space="0"/>
                  </w:tcBorders>
                  <w:vAlign w:val="center"/>
                </w:tcPr>
                <w:p w14:paraId="0738C30B">
                  <w:pPr>
                    <w:jc w:val="center"/>
                    <w:rPr>
                      <w:szCs w:val="21"/>
                    </w:rPr>
                  </w:pPr>
                  <w:r>
                    <w:rPr>
                      <w:szCs w:val="21"/>
                    </w:rPr>
                    <w:t>食堂用水</w:t>
                  </w:r>
                </w:p>
              </w:tc>
              <w:tc>
                <w:tcPr>
                  <w:tcW w:w="1892" w:type="dxa"/>
                  <w:tcBorders>
                    <w:top w:val="single" w:color="auto" w:sz="4" w:space="0"/>
                    <w:left w:val="single" w:color="auto" w:sz="4" w:space="0"/>
                    <w:bottom w:val="single" w:color="auto" w:sz="4" w:space="0"/>
                    <w:right w:val="single" w:color="auto" w:sz="4" w:space="0"/>
                  </w:tcBorders>
                  <w:vAlign w:val="center"/>
                </w:tcPr>
                <w:p w14:paraId="662D077A">
                  <w:pPr>
                    <w:jc w:val="center"/>
                    <w:rPr>
                      <w:szCs w:val="21"/>
                    </w:rPr>
                  </w:pPr>
                  <w:r>
                    <w:rPr>
                      <w:szCs w:val="21"/>
                    </w:rPr>
                    <w:t>10L/（人·d）</w:t>
                  </w:r>
                </w:p>
              </w:tc>
              <w:tc>
                <w:tcPr>
                  <w:tcW w:w="1020" w:type="dxa"/>
                  <w:tcBorders>
                    <w:top w:val="single" w:color="auto" w:sz="4" w:space="0"/>
                    <w:left w:val="single" w:color="auto" w:sz="4" w:space="0"/>
                    <w:bottom w:val="single" w:color="auto" w:sz="4" w:space="0"/>
                    <w:right w:val="single" w:color="auto" w:sz="4" w:space="0"/>
                  </w:tcBorders>
                  <w:vAlign w:val="center"/>
                </w:tcPr>
                <w:p w14:paraId="0038A5AD">
                  <w:pPr>
                    <w:jc w:val="center"/>
                    <w:rPr>
                      <w:rFonts w:hint="default" w:eastAsia="宋体"/>
                      <w:szCs w:val="21"/>
                      <w:lang w:val="en-US" w:eastAsia="zh-CN"/>
                    </w:rPr>
                  </w:pPr>
                  <w:r>
                    <w:rPr>
                      <w:rFonts w:hint="eastAsia"/>
                      <w:szCs w:val="21"/>
                      <w:lang w:val="en-US" w:eastAsia="zh-CN"/>
                    </w:rPr>
                    <w:t>480</w:t>
                  </w:r>
                </w:p>
              </w:tc>
              <w:tc>
                <w:tcPr>
                  <w:tcW w:w="945" w:type="dxa"/>
                  <w:tcBorders>
                    <w:top w:val="single" w:color="auto" w:sz="4" w:space="0"/>
                    <w:left w:val="single" w:color="auto" w:sz="4" w:space="0"/>
                    <w:bottom w:val="single" w:color="auto" w:sz="4" w:space="0"/>
                    <w:right w:val="single" w:color="auto" w:sz="4" w:space="0"/>
                  </w:tcBorders>
                  <w:vAlign w:val="center"/>
                </w:tcPr>
                <w:p w14:paraId="17ECF101">
                  <w:pPr>
                    <w:jc w:val="center"/>
                    <w:rPr>
                      <w:szCs w:val="21"/>
                    </w:rPr>
                  </w:pPr>
                  <w:r>
                    <w:rPr>
                      <w:rFonts w:hint="eastAsia"/>
                      <w:szCs w:val="21"/>
                      <w:lang w:val="en-US" w:eastAsia="zh-CN"/>
                    </w:rPr>
                    <w:t>1.</w:t>
                  </w:r>
                  <w:r>
                    <w:rPr>
                      <w:szCs w:val="21"/>
                    </w:rPr>
                    <w:t>6</w:t>
                  </w:r>
                </w:p>
              </w:tc>
              <w:tc>
                <w:tcPr>
                  <w:tcW w:w="660" w:type="dxa"/>
                  <w:tcBorders>
                    <w:top w:val="single" w:color="auto" w:sz="4" w:space="0"/>
                    <w:left w:val="single" w:color="auto" w:sz="4" w:space="0"/>
                    <w:bottom w:val="single" w:color="auto" w:sz="4" w:space="0"/>
                    <w:right w:val="single" w:color="auto" w:sz="4" w:space="0"/>
                  </w:tcBorders>
                  <w:vAlign w:val="center"/>
                </w:tcPr>
                <w:p w14:paraId="471F875F">
                  <w:pPr>
                    <w:jc w:val="center"/>
                    <w:rPr>
                      <w:szCs w:val="21"/>
                    </w:rPr>
                  </w:pPr>
                  <w:r>
                    <w:rPr>
                      <w:szCs w:val="21"/>
                    </w:rPr>
                    <w:t>0.8</w:t>
                  </w:r>
                </w:p>
              </w:tc>
              <w:tc>
                <w:tcPr>
                  <w:tcW w:w="1136" w:type="dxa"/>
                  <w:tcBorders>
                    <w:top w:val="single" w:color="auto" w:sz="4" w:space="0"/>
                    <w:left w:val="single" w:color="auto" w:sz="4" w:space="0"/>
                    <w:bottom w:val="single" w:color="auto" w:sz="4" w:space="0"/>
                    <w:right w:val="single" w:color="auto" w:sz="4" w:space="0"/>
                  </w:tcBorders>
                  <w:vAlign w:val="center"/>
                </w:tcPr>
                <w:p w14:paraId="3474095E">
                  <w:pPr>
                    <w:jc w:val="center"/>
                    <w:rPr>
                      <w:rFonts w:hint="default" w:eastAsia="宋体"/>
                      <w:szCs w:val="21"/>
                      <w:lang w:val="en-US" w:eastAsia="zh-CN"/>
                    </w:rPr>
                  </w:pPr>
                  <w:r>
                    <w:rPr>
                      <w:rFonts w:hint="eastAsia"/>
                      <w:szCs w:val="21"/>
                      <w:lang w:val="en-US" w:eastAsia="zh-CN"/>
                    </w:rPr>
                    <w:t>384</w:t>
                  </w:r>
                </w:p>
              </w:tc>
              <w:tc>
                <w:tcPr>
                  <w:tcW w:w="904" w:type="dxa"/>
                  <w:tcBorders>
                    <w:top w:val="single" w:color="auto" w:sz="4" w:space="0"/>
                    <w:left w:val="single" w:color="auto" w:sz="4" w:space="0"/>
                    <w:bottom w:val="single" w:color="auto" w:sz="4" w:space="0"/>
                    <w:right w:val="single" w:color="auto" w:sz="4" w:space="0"/>
                  </w:tcBorders>
                  <w:vAlign w:val="center"/>
                </w:tcPr>
                <w:p w14:paraId="0A23E7A6">
                  <w:pPr>
                    <w:jc w:val="center"/>
                    <w:rPr>
                      <w:szCs w:val="21"/>
                    </w:rPr>
                  </w:pPr>
                  <w:r>
                    <w:rPr>
                      <w:rFonts w:hint="eastAsia"/>
                      <w:szCs w:val="21"/>
                      <w:lang w:val="en-US" w:eastAsia="zh-CN"/>
                    </w:rPr>
                    <w:t>1.2</w:t>
                  </w:r>
                  <w:r>
                    <w:rPr>
                      <w:szCs w:val="21"/>
                    </w:rPr>
                    <w:t>8</w:t>
                  </w:r>
                </w:p>
              </w:tc>
            </w:tr>
            <w:tr w14:paraId="3487E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460" w:type="dxa"/>
                  <w:tcBorders>
                    <w:top w:val="single" w:color="auto" w:sz="4" w:space="0"/>
                    <w:left w:val="single" w:color="auto" w:sz="4" w:space="0"/>
                    <w:right w:val="single" w:color="auto" w:sz="4" w:space="0"/>
                  </w:tcBorders>
                  <w:vAlign w:val="center"/>
                </w:tcPr>
                <w:p w14:paraId="3770D902">
                  <w:pPr>
                    <w:jc w:val="center"/>
                    <w:rPr>
                      <w:rFonts w:hint="eastAsia" w:eastAsia="宋体"/>
                      <w:szCs w:val="21"/>
                      <w:lang w:eastAsia="zh-CN"/>
                    </w:rPr>
                  </w:pPr>
                  <w:r>
                    <w:rPr>
                      <w:rFonts w:hint="eastAsia"/>
                      <w:szCs w:val="21"/>
                      <w:lang w:val="en-US" w:eastAsia="zh-CN"/>
                    </w:rPr>
                    <w:t>3</w:t>
                  </w:r>
                </w:p>
              </w:tc>
              <w:tc>
                <w:tcPr>
                  <w:tcW w:w="1618" w:type="dxa"/>
                  <w:tcBorders>
                    <w:top w:val="single" w:color="auto" w:sz="4" w:space="0"/>
                    <w:left w:val="single" w:color="auto" w:sz="4" w:space="0"/>
                    <w:right w:val="single" w:color="auto" w:sz="4" w:space="0"/>
                  </w:tcBorders>
                  <w:vAlign w:val="center"/>
                </w:tcPr>
                <w:p w14:paraId="077E7FA3">
                  <w:pPr>
                    <w:jc w:val="center"/>
                    <w:rPr>
                      <w:szCs w:val="21"/>
                    </w:rPr>
                  </w:pPr>
                  <w:r>
                    <w:rPr>
                      <w:rFonts w:hint="eastAsia"/>
                      <w:szCs w:val="21"/>
                    </w:rPr>
                    <w:t>循环冷却用水</w:t>
                  </w:r>
                </w:p>
              </w:tc>
              <w:tc>
                <w:tcPr>
                  <w:tcW w:w="1892" w:type="dxa"/>
                  <w:tcBorders>
                    <w:top w:val="single" w:color="auto" w:sz="4" w:space="0"/>
                    <w:left w:val="single" w:color="auto" w:sz="4" w:space="0"/>
                    <w:bottom w:val="single" w:color="auto" w:sz="4" w:space="0"/>
                    <w:right w:val="single" w:color="auto" w:sz="4" w:space="0"/>
                  </w:tcBorders>
                  <w:vAlign w:val="center"/>
                </w:tcPr>
                <w:p w14:paraId="142641B1">
                  <w:pPr>
                    <w:jc w:val="center"/>
                    <w:rPr>
                      <w:szCs w:val="21"/>
                    </w:rPr>
                  </w:pPr>
                  <w:r>
                    <w:rPr>
                      <w:rFonts w:hint="eastAsia"/>
                      <w:szCs w:val="21"/>
                    </w:rPr>
                    <w:t>/</w:t>
                  </w:r>
                </w:p>
              </w:tc>
              <w:tc>
                <w:tcPr>
                  <w:tcW w:w="1020" w:type="dxa"/>
                  <w:tcBorders>
                    <w:top w:val="single" w:color="auto" w:sz="4" w:space="0"/>
                    <w:left w:val="single" w:color="auto" w:sz="4" w:space="0"/>
                    <w:bottom w:val="single" w:color="auto" w:sz="4" w:space="0"/>
                    <w:right w:val="single" w:color="auto" w:sz="4" w:space="0"/>
                  </w:tcBorders>
                  <w:vAlign w:val="center"/>
                </w:tcPr>
                <w:p w14:paraId="32FFC3A2">
                  <w:pPr>
                    <w:jc w:val="center"/>
                    <w:rPr>
                      <w:rFonts w:hint="default" w:eastAsia="宋体"/>
                      <w:szCs w:val="21"/>
                      <w:lang w:val="en-US" w:eastAsia="zh-CN"/>
                    </w:rPr>
                  </w:pPr>
                  <w:r>
                    <w:rPr>
                      <w:rFonts w:hint="eastAsia"/>
                      <w:szCs w:val="21"/>
                      <w:lang w:val="en-US" w:eastAsia="zh-CN"/>
                    </w:rPr>
                    <w:t>2400</w:t>
                  </w:r>
                </w:p>
              </w:tc>
              <w:tc>
                <w:tcPr>
                  <w:tcW w:w="945" w:type="dxa"/>
                  <w:tcBorders>
                    <w:top w:val="single" w:color="auto" w:sz="4" w:space="0"/>
                    <w:left w:val="single" w:color="auto" w:sz="4" w:space="0"/>
                    <w:bottom w:val="single" w:color="auto" w:sz="4" w:space="0"/>
                    <w:right w:val="single" w:color="auto" w:sz="4" w:space="0"/>
                  </w:tcBorders>
                  <w:vAlign w:val="center"/>
                </w:tcPr>
                <w:p w14:paraId="332F40B6">
                  <w:pPr>
                    <w:jc w:val="center"/>
                    <w:rPr>
                      <w:rFonts w:hint="eastAsia" w:eastAsia="宋体"/>
                      <w:szCs w:val="21"/>
                      <w:lang w:eastAsia="zh-CN"/>
                    </w:rPr>
                  </w:pPr>
                  <w:r>
                    <w:rPr>
                      <w:rFonts w:hint="eastAsia"/>
                      <w:szCs w:val="21"/>
                      <w:lang w:val="en-US" w:eastAsia="zh-CN"/>
                    </w:rPr>
                    <w:t>8</w:t>
                  </w:r>
                </w:p>
              </w:tc>
              <w:tc>
                <w:tcPr>
                  <w:tcW w:w="660" w:type="dxa"/>
                  <w:tcBorders>
                    <w:top w:val="single" w:color="auto" w:sz="4" w:space="0"/>
                    <w:left w:val="single" w:color="auto" w:sz="4" w:space="0"/>
                    <w:bottom w:val="single" w:color="auto" w:sz="4" w:space="0"/>
                    <w:right w:val="single" w:color="auto" w:sz="4" w:space="0"/>
                  </w:tcBorders>
                  <w:vAlign w:val="center"/>
                </w:tcPr>
                <w:p w14:paraId="7BC4D704">
                  <w:pPr>
                    <w:jc w:val="center"/>
                    <w:rPr>
                      <w:szCs w:val="21"/>
                    </w:rPr>
                  </w:pPr>
                  <w:r>
                    <w:rPr>
                      <w:rFonts w:hint="eastAsia"/>
                      <w:szCs w:val="21"/>
                    </w:rPr>
                    <w:t>/</w:t>
                  </w:r>
                </w:p>
              </w:tc>
              <w:tc>
                <w:tcPr>
                  <w:tcW w:w="1136" w:type="dxa"/>
                  <w:tcBorders>
                    <w:top w:val="single" w:color="auto" w:sz="4" w:space="0"/>
                    <w:left w:val="single" w:color="auto" w:sz="4" w:space="0"/>
                    <w:bottom w:val="single" w:color="auto" w:sz="4" w:space="0"/>
                    <w:right w:val="single" w:color="auto" w:sz="4" w:space="0"/>
                  </w:tcBorders>
                  <w:vAlign w:val="center"/>
                </w:tcPr>
                <w:p w14:paraId="19F0804E">
                  <w:pPr>
                    <w:jc w:val="center"/>
                    <w:rPr>
                      <w:szCs w:val="21"/>
                    </w:rPr>
                  </w:pPr>
                  <w:r>
                    <w:rPr>
                      <w:rFonts w:hint="eastAsia"/>
                      <w:szCs w:val="21"/>
                    </w:rPr>
                    <w:t>/</w:t>
                  </w:r>
                </w:p>
              </w:tc>
              <w:tc>
                <w:tcPr>
                  <w:tcW w:w="904" w:type="dxa"/>
                  <w:tcBorders>
                    <w:top w:val="single" w:color="auto" w:sz="4" w:space="0"/>
                    <w:left w:val="single" w:color="auto" w:sz="4" w:space="0"/>
                    <w:bottom w:val="single" w:color="auto" w:sz="4" w:space="0"/>
                    <w:right w:val="single" w:color="auto" w:sz="4" w:space="0"/>
                  </w:tcBorders>
                  <w:vAlign w:val="center"/>
                </w:tcPr>
                <w:p w14:paraId="66A7D3CD">
                  <w:pPr>
                    <w:jc w:val="center"/>
                    <w:rPr>
                      <w:szCs w:val="21"/>
                    </w:rPr>
                  </w:pPr>
                  <w:r>
                    <w:rPr>
                      <w:rFonts w:hint="eastAsia"/>
                      <w:szCs w:val="21"/>
                    </w:rPr>
                    <w:t>/</w:t>
                  </w:r>
                </w:p>
              </w:tc>
            </w:tr>
            <w:tr w14:paraId="4622F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0" w:type="dxa"/>
                  <w:gridSpan w:val="3"/>
                  <w:tcBorders>
                    <w:top w:val="single" w:color="auto" w:sz="4" w:space="0"/>
                    <w:left w:val="single" w:color="auto" w:sz="4" w:space="0"/>
                    <w:bottom w:val="single" w:color="auto" w:sz="4" w:space="0"/>
                    <w:right w:val="single" w:color="auto" w:sz="4" w:space="0"/>
                  </w:tcBorders>
                  <w:vAlign w:val="center"/>
                </w:tcPr>
                <w:p w14:paraId="4EF635F1">
                  <w:pPr>
                    <w:jc w:val="center"/>
                    <w:rPr>
                      <w:szCs w:val="21"/>
                    </w:rPr>
                  </w:pPr>
                  <w:r>
                    <w:rPr>
                      <w:szCs w:val="21"/>
                    </w:rPr>
                    <w:t>合计</w:t>
                  </w:r>
                </w:p>
              </w:tc>
              <w:tc>
                <w:tcPr>
                  <w:tcW w:w="1020" w:type="dxa"/>
                  <w:tcBorders>
                    <w:top w:val="single" w:color="auto" w:sz="4" w:space="0"/>
                    <w:left w:val="single" w:color="auto" w:sz="4" w:space="0"/>
                    <w:bottom w:val="single" w:color="auto" w:sz="4" w:space="0"/>
                    <w:right w:val="single" w:color="auto" w:sz="4" w:space="0"/>
                  </w:tcBorders>
                  <w:vAlign w:val="center"/>
                </w:tcPr>
                <w:p w14:paraId="62B9DD12">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5670</w:t>
                  </w:r>
                </w:p>
              </w:tc>
              <w:tc>
                <w:tcPr>
                  <w:tcW w:w="945" w:type="dxa"/>
                  <w:tcBorders>
                    <w:top w:val="single" w:color="auto" w:sz="4" w:space="0"/>
                    <w:left w:val="single" w:color="auto" w:sz="4" w:space="0"/>
                    <w:bottom w:val="single" w:color="auto" w:sz="4" w:space="0"/>
                    <w:right w:val="single" w:color="auto" w:sz="4" w:space="0"/>
                  </w:tcBorders>
                  <w:vAlign w:val="center"/>
                </w:tcPr>
                <w:p w14:paraId="01A2F8C4">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18.9</w:t>
                  </w:r>
                </w:p>
              </w:tc>
              <w:tc>
                <w:tcPr>
                  <w:tcW w:w="660" w:type="dxa"/>
                  <w:tcBorders>
                    <w:top w:val="single" w:color="auto" w:sz="4" w:space="0"/>
                    <w:left w:val="single" w:color="auto" w:sz="4" w:space="0"/>
                    <w:bottom w:val="single" w:color="auto" w:sz="4" w:space="0"/>
                    <w:right w:val="single" w:color="auto" w:sz="4" w:space="0"/>
                  </w:tcBorders>
                  <w:vAlign w:val="center"/>
                </w:tcPr>
                <w:p w14:paraId="20539C51">
                  <w:pPr>
                    <w:widowControl/>
                    <w:jc w:val="center"/>
                    <w:textAlignment w:val="center"/>
                    <w:rPr>
                      <w:rFonts w:hint="default" w:ascii="Times New Roman" w:hAnsi="Times New Roman" w:cs="Times New Roman"/>
                      <w:sz w:val="21"/>
                      <w:szCs w:val="21"/>
                    </w:rPr>
                  </w:pPr>
                  <w:r>
                    <w:rPr>
                      <w:rFonts w:hint="default" w:ascii="Times New Roman" w:hAnsi="Times New Roman" w:cs="Times New Roman"/>
                      <w:color w:val="000000"/>
                      <w:kern w:val="0"/>
                      <w:sz w:val="21"/>
                      <w:szCs w:val="21"/>
                      <w:lang w:bidi="ar"/>
                    </w:rPr>
                    <w:t>/</w:t>
                  </w:r>
                </w:p>
              </w:tc>
              <w:tc>
                <w:tcPr>
                  <w:tcW w:w="1136" w:type="dxa"/>
                  <w:tcBorders>
                    <w:top w:val="single" w:color="auto" w:sz="4" w:space="0"/>
                    <w:left w:val="single" w:color="auto" w:sz="4" w:space="0"/>
                    <w:bottom w:val="single" w:color="auto" w:sz="4" w:space="0"/>
                    <w:right w:val="single" w:color="auto" w:sz="4" w:space="0"/>
                  </w:tcBorders>
                  <w:vAlign w:val="center"/>
                </w:tcPr>
                <w:p w14:paraId="59B84675">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2755.5</w:t>
                  </w:r>
                </w:p>
              </w:tc>
              <w:tc>
                <w:tcPr>
                  <w:tcW w:w="904" w:type="dxa"/>
                  <w:tcBorders>
                    <w:top w:val="single" w:color="auto" w:sz="4" w:space="0"/>
                    <w:left w:val="single" w:color="auto" w:sz="4" w:space="0"/>
                    <w:bottom w:val="single" w:color="auto" w:sz="4" w:space="0"/>
                    <w:right w:val="single" w:color="auto" w:sz="4" w:space="0"/>
                  </w:tcBorders>
                  <w:vAlign w:val="center"/>
                </w:tcPr>
                <w:p w14:paraId="388DD71A">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9.185</w:t>
                  </w:r>
                </w:p>
              </w:tc>
            </w:tr>
          </w:tbl>
          <w:p w14:paraId="244E9B65">
            <w:pPr>
              <w:widowControl/>
              <w:spacing w:line="360" w:lineRule="auto"/>
              <w:ind w:firstLine="480" w:firstLineChars="200"/>
              <w:rPr>
                <w:sz w:val="24"/>
              </w:rPr>
            </w:pPr>
            <w:r>
              <w:rPr>
                <w:rFonts w:hint="eastAsia" w:ascii="宋体" w:hAnsi="宋体" w:cs="宋体"/>
                <w:kern w:val="0"/>
                <w:sz w:val="24"/>
                <w:lang w:bidi="ar"/>
              </w:rPr>
              <w:t>本项目用、排水平衡图如下：</w:t>
            </w:r>
          </w:p>
          <w:p w14:paraId="3984BA31">
            <w:pPr>
              <w:autoSpaceDE w:val="0"/>
              <w:autoSpaceDN w:val="0"/>
              <w:spacing w:line="360" w:lineRule="auto"/>
              <w:jc w:val="center"/>
              <w:rPr>
                <w:sz w:val="24"/>
              </w:rPr>
            </w:pPr>
            <w:r>
              <w:rPr>
                <w:spacing w:val="4"/>
                <w:sz w:val="24"/>
              </w:rPr>
              <w:object>
                <v:shape id="_x0000_i1026" o:spt="75" type="#_x0000_t75" style="height:188.15pt;width:427.4pt;" o:ole="t" filled="f" o:preferrelative="t" stroked="f" coordsize="21600,21600">
                  <v:path/>
                  <v:fill on="f" focussize="0,0"/>
                  <v:stroke on="f"/>
                  <v:imagedata r:id="rId16" o:title=""/>
                  <o:lock v:ext="edit" aspectratio="f"/>
                  <w10:wrap type="none"/>
                  <w10:anchorlock/>
                </v:shape>
                <o:OLEObject Type="Embed" ProgID="Visio.Drawing.15" ShapeID="_x0000_i1026" DrawAspect="Content" ObjectID="_1468075726" r:id="rId15">
                  <o:LockedField>false</o:LockedField>
                </o:OLEObject>
              </w:object>
            </w:r>
          </w:p>
          <w:p w14:paraId="0AD4A260">
            <w:pPr>
              <w:autoSpaceDE w:val="0"/>
              <w:autoSpaceDN w:val="0"/>
              <w:spacing w:line="360" w:lineRule="auto"/>
              <w:ind w:firstLine="482" w:firstLineChars="200"/>
              <w:jc w:val="center"/>
              <w:rPr>
                <w:b/>
                <w:bCs/>
                <w:sz w:val="24"/>
              </w:rPr>
            </w:pPr>
            <w:r>
              <w:rPr>
                <w:rFonts w:hint="eastAsia"/>
                <w:b/>
                <w:bCs/>
                <w:sz w:val="24"/>
              </w:rPr>
              <w:t>图</w:t>
            </w:r>
            <w:r>
              <w:rPr>
                <w:rFonts w:hint="eastAsia"/>
                <w:b/>
                <w:bCs/>
                <w:sz w:val="24"/>
                <w:lang w:val="en-US" w:eastAsia="zh-CN"/>
              </w:rPr>
              <w:t>2-2</w:t>
            </w:r>
            <w:r>
              <w:rPr>
                <w:rFonts w:hint="eastAsia"/>
                <w:b/>
                <w:bCs/>
                <w:sz w:val="24"/>
              </w:rPr>
              <w:t xml:space="preserve">  本项目用排水平衡图（t/d）</w:t>
            </w:r>
          </w:p>
          <w:p w14:paraId="3BE2C2B8">
            <w:pPr>
              <w:widowControl/>
              <w:adjustRightInd w:val="0"/>
              <w:snapToGrid w:val="0"/>
              <w:spacing w:line="360" w:lineRule="auto"/>
              <w:ind w:firstLine="482" w:firstLineChars="200"/>
              <w:rPr>
                <w:b/>
                <w:bCs/>
                <w:sz w:val="24"/>
              </w:rPr>
            </w:pPr>
            <w:r>
              <w:rPr>
                <w:rFonts w:hint="eastAsia"/>
                <w:b/>
                <w:bCs/>
                <w:sz w:val="24"/>
              </w:rPr>
              <w:t>（</w:t>
            </w:r>
            <w:r>
              <w:rPr>
                <w:rFonts w:hint="eastAsia"/>
                <w:b/>
                <w:bCs/>
                <w:sz w:val="24"/>
                <w:lang w:eastAsia="zh-CN"/>
              </w:rPr>
              <w:t>八</w:t>
            </w:r>
            <w:r>
              <w:rPr>
                <w:rFonts w:hint="eastAsia"/>
                <w:b/>
                <w:bCs/>
                <w:sz w:val="24"/>
              </w:rPr>
              <w:t>）劳动定员及工作制度</w:t>
            </w:r>
          </w:p>
          <w:p w14:paraId="293F9F56">
            <w:pPr>
              <w:spacing w:line="360" w:lineRule="auto"/>
              <w:ind w:firstLine="480" w:firstLineChars="200"/>
              <w:rPr>
                <w:sz w:val="24"/>
              </w:rPr>
            </w:pPr>
            <w:r>
              <w:rPr>
                <w:sz w:val="24"/>
              </w:rPr>
              <w:t>本项目劳动定员</w:t>
            </w:r>
            <w:r>
              <w:rPr>
                <w:rFonts w:hint="eastAsia"/>
                <w:sz w:val="24"/>
                <w:lang w:val="en-US" w:eastAsia="zh-CN"/>
              </w:rPr>
              <w:t>8</w:t>
            </w:r>
            <w:r>
              <w:rPr>
                <w:rFonts w:hint="eastAsia"/>
                <w:sz w:val="24"/>
              </w:rPr>
              <w:t>0人</w:t>
            </w:r>
            <w:r>
              <w:rPr>
                <w:sz w:val="24"/>
              </w:rPr>
              <w:t>，年工作日</w:t>
            </w:r>
            <w:r>
              <w:rPr>
                <w:rFonts w:hint="eastAsia"/>
                <w:sz w:val="24"/>
              </w:rPr>
              <w:t>3</w:t>
            </w:r>
            <w:r>
              <w:rPr>
                <w:rFonts w:hint="eastAsia"/>
                <w:sz w:val="24"/>
                <w:lang w:val="en-US" w:eastAsia="zh-CN"/>
              </w:rPr>
              <w:t>00</w:t>
            </w:r>
            <w:r>
              <w:rPr>
                <w:sz w:val="24"/>
              </w:rPr>
              <w:t>天，采用8小时</w:t>
            </w:r>
            <w:r>
              <w:rPr>
                <w:rFonts w:hint="eastAsia"/>
                <w:sz w:val="24"/>
                <w:lang w:eastAsia="zh-CN"/>
              </w:rPr>
              <w:t>一</w:t>
            </w:r>
            <w:r>
              <w:rPr>
                <w:sz w:val="24"/>
              </w:rPr>
              <w:t>班制。</w:t>
            </w:r>
          </w:p>
          <w:p w14:paraId="06787F1B">
            <w:pPr>
              <w:widowControl/>
              <w:adjustRightInd w:val="0"/>
              <w:snapToGrid w:val="0"/>
              <w:spacing w:line="360" w:lineRule="auto"/>
              <w:ind w:firstLine="482" w:firstLineChars="200"/>
              <w:rPr>
                <w:b/>
                <w:bCs/>
                <w:sz w:val="24"/>
              </w:rPr>
            </w:pPr>
            <w:r>
              <w:rPr>
                <w:rFonts w:hint="eastAsia"/>
                <w:b/>
                <w:bCs/>
                <w:sz w:val="24"/>
              </w:rPr>
              <w:t>（</w:t>
            </w:r>
            <w:r>
              <w:rPr>
                <w:rFonts w:hint="eastAsia"/>
                <w:b/>
                <w:bCs/>
                <w:sz w:val="24"/>
                <w:lang w:eastAsia="zh-CN"/>
              </w:rPr>
              <w:t>九</w:t>
            </w:r>
            <w:r>
              <w:rPr>
                <w:rFonts w:hint="eastAsia"/>
                <w:b/>
                <w:bCs/>
                <w:sz w:val="24"/>
              </w:rPr>
              <w:t>）厂区平面布置</w:t>
            </w:r>
          </w:p>
          <w:p w14:paraId="04FC3AB8">
            <w:pPr>
              <w:pStyle w:val="15"/>
              <w:spacing w:line="360" w:lineRule="auto"/>
              <w:ind w:left="0" w:leftChars="0" w:firstLine="480"/>
            </w:pPr>
            <w:r>
              <w:rPr>
                <w:rFonts w:hint="eastAsia"/>
                <w:sz w:val="24"/>
              </w:rPr>
              <w:t>本项目位于安徽省</w:t>
            </w:r>
            <w:r>
              <w:rPr>
                <w:rFonts w:hint="eastAsia"/>
                <w:sz w:val="24"/>
                <w:lang w:eastAsia="zh-CN"/>
              </w:rPr>
              <w:t>淮北杜集经济开发区238省道西、山河大道南</w:t>
            </w:r>
            <w:r>
              <w:rPr>
                <w:rFonts w:hint="eastAsia"/>
                <w:sz w:val="24"/>
              </w:rPr>
              <w:t>，项目规划占地面积86亩，主要建设内容包括</w:t>
            </w:r>
            <w:r>
              <w:rPr>
                <w:rFonts w:hint="eastAsia"/>
                <w:sz w:val="24"/>
                <w:lang w:eastAsia="zh-CN"/>
              </w:rPr>
              <w:t>新建</w:t>
            </w:r>
            <w:r>
              <w:rPr>
                <w:rFonts w:hint="eastAsia"/>
                <w:sz w:val="24"/>
                <w:lang w:val="en-US" w:eastAsia="zh-CN"/>
              </w:rPr>
              <w:t>2</w:t>
            </w:r>
            <w:r>
              <w:rPr>
                <w:rFonts w:hint="eastAsia"/>
                <w:sz w:val="24"/>
                <w:lang w:eastAsia="zh-CN"/>
              </w:rPr>
              <w:t>栋</w:t>
            </w:r>
            <w:r>
              <w:rPr>
                <w:rFonts w:hint="eastAsia"/>
                <w:sz w:val="24"/>
              </w:rPr>
              <w:t>生产厂房，厂区内西侧是1#厂房</w:t>
            </w:r>
            <w:r>
              <w:rPr>
                <w:rFonts w:hint="eastAsia"/>
                <w:sz w:val="24"/>
                <w:lang w:eastAsia="zh-CN"/>
              </w:rPr>
              <w:t>，东侧为</w:t>
            </w:r>
            <w:r>
              <w:rPr>
                <w:rFonts w:hint="eastAsia"/>
                <w:sz w:val="24"/>
              </w:rPr>
              <w:t>2#厂房，厂区外南侧为</w:t>
            </w:r>
            <w:r>
              <w:rPr>
                <w:rFonts w:hint="eastAsia"/>
                <w:sz w:val="24"/>
                <w:lang w:eastAsia="zh-CN"/>
              </w:rPr>
              <w:t>天柱液化石油气</w:t>
            </w:r>
            <w:r>
              <w:rPr>
                <w:rFonts w:hint="eastAsia"/>
                <w:sz w:val="24"/>
              </w:rPr>
              <w:t>有限</w:t>
            </w:r>
            <w:r>
              <w:rPr>
                <w:rFonts w:hint="eastAsia"/>
                <w:sz w:val="24"/>
                <w:lang w:eastAsia="zh-CN"/>
              </w:rPr>
              <w:t>责任</w:t>
            </w:r>
            <w:r>
              <w:rPr>
                <w:rFonts w:hint="eastAsia"/>
                <w:sz w:val="24"/>
              </w:rPr>
              <w:t>公司</w:t>
            </w:r>
            <w:r>
              <w:rPr>
                <w:rFonts w:hint="eastAsia"/>
                <w:sz w:val="24"/>
                <w:lang w:eastAsia="zh-CN"/>
              </w:rPr>
              <w:t>、皖邦文天然</w:t>
            </w:r>
            <w:bookmarkStart w:id="6" w:name="_GoBack"/>
            <w:bookmarkEnd w:id="6"/>
            <w:r>
              <w:rPr>
                <w:rFonts w:hint="eastAsia"/>
                <w:sz w:val="24"/>
                <w:lang w:eastAsia="zh-CN"/>
              </w:rPr>
              <w:t>气有限公司</w:t>
            </w:r>
            <w:r>
              <w:rPr>
                <w:rFonts w:hint="eastAsia"/>
                <w:sz w:val="24"/>
              </w:rPr>
              <w:t>，北侧为</w:t>
            </w:r>
            <w:r>
              <w:rPr>
                <w:rFonts w:hint="eastAsia"/>
                <w:sz w:val="24"/>
                <w:lang w:eastAsia="zh-CN"/>
              </w:rPr>
              <w:t>山河安徽矿业装备产业园</w:t>
            </w:r>
            <w:r>
              <w:rPr>
                <w:rFonts w:hint="eastAsia"/>
                <w:sz w:val="24"/>
              </w:rPr>
              <w:t>，西侧为空地，东侧为</w:t>
            </w:r>
            <w:r>
              <w:rPr>
                <w:rFonts w:hint="eastAsia"/>
                <w:sz w:val="24"/>
                <w:lang w:eastAsia="zh-CN"/>
              </w:rPr>
              <w:t>238省道</w:t>
            </w:r>
            <w:r>
              <w:rPr>
                <w:rFonts w:hint="eastAsia"/>
                <w:sz w:val="24"/>
              </w:rPr>
              <w:t>，</w:t>
            </w:r>
            <w:r>
              <w:rPr>
                <w:sz w:val="24"/>
              </w:rPr>
              <w:t>厂区</w:t>
            </w:r>
            <w:r>
              <w:rPr>
                <w:rFonts w:hint="eastAsia"/>
                <w:sz w:val="24"/>
              </w:rPr>
              <w:t>出</w:t>
            </w:r>
            <w:r>
              <w:rPr>
                <w:sz w:val="24"/>
              </w:rPr>
              <w:t>入口位于厂区</w:t>
            </w:r>
            <w:r>
              <w:rPr>
                <w:rFonts w:hint="eastAsia"/>
                <w:sz w:val="24"/>
                <w:lang w:eastAsia="zh-CN"/>
              </w:rPr>
              <w:t>北</w:t>
            </w:r>
            <w:r>
              <w:rPr>
                <w:sz w:val="24"/>
              </w:rPr>
              <w:t>部，项目总平面布置合理，分区明确，交通便捷，空间利用合理有序。具体厂区</w:t>
            </w:r>
            <w:r>
              <w:rPr>
                <w:rFonts w:hint="eastAsia"/>
                <w:sz w:val="24"/>
              </w:rPr>
              <w:t>总平</w:t>
            </w:r>
            <w:r>
              <w:rPr>
                <w:sz w:val="24"/>
              </w:rPr>
              <w:t>图见附图2、</w:t>
            </w:r>
            <w:r>
              <w:rPr>
                <w:rFonts w:hint="eastAsia"/>
                <w:sz w:val="24"/>
              </w:rPr>
              <w:t>车间内部布局图见附图5。</w:t>
            </w:r>
          </w:p>
        </w:tc>
      </w:tr>
      <w:tr w14:paraId="2EB3DF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4" w:type="dxa"/>
            <w:vAlign w:val="center"/>
          </w:tcPr>
          <w:p w14:paraId="4567A7BB">
            <w:pPr>
              <w:pStyle w:val="23"/>
              <w:adjustRightInd w:val="0"/>
              <w:snapToGrid w:val="0"/>
              <w:spacing w:before="0" w:beforeAutospacing="0" w:after="0" w:afterAutospacing="0"/>
              <w:jc w:val="center"/>
              <w:rPr>
                <w:rFonts w:cs="宋体"/>
                <w:b/>
                <w:sz w:val="21"/>
                <w:szCs w:val="21"/>
              </w:rPr>
            </w:pPr>
            <w:r>
              <w:rPr>
                <w:rFonts w:hint="eastAsia" w:cs="宋体"/>
                <w:b/>
                <w:sz w:val="21"/>
                <w:szCs w:val="21"/>
              </w:rPr>
              <w:t>工艺流程和产排污环节</w:t>
            </w:r>
          </w:p>
        </w:tc>
        <w:tc>
          <w:tcPr>
            <w:tcW w:w="8862" w:type="dxa"/>
            <w:gridSpan w:val="3"/>
          </w:tcPr>
          <w:p w14:paraId="6F4D6794">
            <w:pPr>
              <w:numPr>
                <w:ilvl w:val="0"/>
                <w:numId w:val="4"/>
              </w:numPr>
              <w:spacing w:line="360" w:lineRule="auto"/>
              <w:ind w:firstLine="482" w:firstLineChars="200"/>
              <w:rPr>
                <w:b/>
                <w:sz w:val="24"/>
              </w:rPr>
            </w:pPr>
            <w:r>
              <w:rPr>
                <w:rFonts w:hint="eastAsia"/>
                <w:b/>
                <w:sz w:val="24"/>
              </w:rPr>
              <w:t>施工期工艺流程及产污环节：</w:t>
            </w:r>
          </w:p>
          <w:p w14:paraId="18D602C4">
            <w:pPr>
              <w:spacing w:line="360" w:lineRule="auto"/>
              <w:ind w:firstLine="480" w:firstLineChars="200"/>
              <w:rPr>
                <w:sz w:val="24"/>
              </w:rPr>
            </w:pPr>
            <w:r>
              <w:rPr>
                <w:sz w:val="24"/>
              </w:rPr>
              <w:t>本项目</w:t>
            </w:r>
            <w:r>
              <w:rPr>
                <w:rFonts w:hint="eastAsia"/>
                <w:sz w:val="24"/>
              </w:rPr>
              <w:t>施工场地位于安徽省</w:t>
            </w:r>
            <w:r>
              <w:rPr>
                <w:rFonts w:hint="eastAsia"/>
                <w:sz w:val="24"/>
                <w:lang w:eastAsia="zh-CN"/>
              </w:rPr>
              <w:t>淮北杜集经济开发区238省道西、山河大道南</w:t>
            </w:r>
            <w:r>
              <w:rPr>
                <w:rFonts w:hint="eastAsia"/>
                <w:sz w:val="24"/>
              </w:rPr>
              <w:t>，</w:t>
            </w:r>
            <w:r>
              <w:rPr>
                <w:sz w:val="24"/>
              </w:rPr>
              <w:t>新建</w:t>
            </w:r>
            <w:r>
              <w:rPr>
                <w:rFonts w:hint="eastAsia"/>
                <w:sz w:val="24"/>
              </w:rPr>
              <w:t>生产车间和配套设施</w:t>
            </w:r>
            <w:r>
              <w:rPr>
                <w:sz w:val="24"/>
              </w:rPr>
              <w:t>，涉及土建工程，施工期的主要工作是基础工程、主体工程、装饰工程、设备安装、工程验收等。施工期产生的污染物主要为作业期间产生的扬尘及车辆废气、施工垃圾、施工人员生活污水及设备安装、调试产生的噪声等。从污染角度分析，可将本工程施工期的工艺流程图示如下：</w:t>
            </w:r>
          </w:p>
          <w:p w14:paraId="0641B9CB">
            <w:pPr>
              <w:jc w:val="center"/>
              <w:rPr>
                <w:szCs w:val="21"/>
              </w:rPr>
            </w:pPr>
            <w:r>
              <w:rPr>
                <w:szCs w:val="21"/>
              </w:rPr>
              <w:drawing>
                <wp:inline distT="0" distB="0" distL="114300" distR="114300">
                  <wp:extent cx="5607685" cy="3005455"/>
                  <wp:effectExtent l="0" t="0" r="0" b="0"/>
                  <wp:docPr id="7" name="ECB019B1-382A-4266-B25C-5B523AA43C14-3" descr="C:/Users/wyy/AppData/Local/Temp/wps.oNIuuF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CB019B1-382A-4266-B25C-5B523AA43C14-3" descr="C:/Users/wyy/AppData/Local/Temp/wps.oNIuuFwps"/>
                          <pic:cNvPicPr>
                            <a:picLocks noChangeAspect="1"/>
                          </pic:cNvPicPr>
                        </pic:nvPicPr>
                        <pic:blipFill>
                          <a:blip r:embed="rId17"/>
                          <a:stretch>
                            <a:fillRect/>
                          </a:stretch>
                        </pic:blipFill>
                        <pic:spPr>
                          <a:xfrm>
                            <a:off x="0" y="0"/>
                            <a:ext cx="5607685" cy="3005455"/>
                          </a:xfrm>
                          <a:prstGeom prst="rect">
                            <a:avLst/>
                          </a:prstGeom>
                        </pic:spPr>
                      </pic:pic>
                    </a:graphicData>
                  </a:graphic>
                </wp:inline>
              </w:drawing>
            </w:r>
          </w:p>
          <w:p w14:paraId="3D360139">
            <w:pPr>
              <w:jc w:val="center"/>
              <w:rPr>
                <w:szCs w:val="21"/>
              </w:rPr>
            </w:pPr>
            <w:r>
              <w:rPr>
                <w:szCs w:val="21"/>
              </w:rPr>
              <w:t>图2-2 施工期工艺流程及产污节点图</w:t>
            </w:r>
          </w:p>
          <w:p w14:paraId="7771D333">
            <w:pPr>
              <w:autoSpaceDE w:val="0"/>
              <w:autoSpaceDN w:val="0"/>
              <w:snapToGrid w:val="0"/>
              <w:spacing w:before="120" w:line="360" w:lineRule="auto"/>
              <w:ind w:firstLine="482" w:firstLineChars="200"/>
              <w:rPr>
                <w:b/>
                <w:bCs/>
                <w:sz w:val="24"/>
              </w:rPr>
            </w:pPr>
            <w:r>
              <w:rPr>
                <w:b/>
                <w:bCs/>
                <w:sz w:val="24"/>
              </w:rPr>
              <w:t>施工工艺流程简述：</w:t>
            </w:r>
          </w:p>
          <w:p w14:paraId="1A0B396F">
            <w:pPr>
              <w:snapToGrid w:val="0"/>
              <w:spacing w:line="360" w:lineRule="auto"/>
              <w:ind w:firstLine="480" w:firstLineChars="200"/>
              <w:rPr>
                <w:sz w:val="24"/>
              </w:rPr>
            </w:pPr>
            <w:r>
              <w:rPr>
                <w:sz w:val="24"/>
              </w:rPr>
              <w:t>1、基础工程</w:t>
            </w:r>
          </w:p>
          <w:p w14:paraId="704E4627">
            <w:pPr>
              <w:snapToGrid w:val="0"/>
              <w:spacing w:line="360" w:lineRule="auto"/>
              <w:ind w:firstLine="480" w:firstLineChars="200"/>
              <w:rPr>
                <w:sz w:val="24"/>
              </w:rPr>
            </w:pPr>
            <w:r>
              <w:rPr>
                <w:rFonts w:hint="eastAsia"/>
                <w:sz w:val="24"/>
              </w:rPr>
              <w:t>本</w:t>
            </w:r>
            <w:r>
              <w:rPr>
                <w:sz w:val="24"/>
              </w:rPr>
              <w:t>项目基础工程主要为静压预应力混凝土管桩。该工段主要污染物为施工机械产生的噪声、粉尘和排放的尾气。由于作业时间较短，粉尘和噪声只是对周围局部环境影响，从整个施工期来看，对周围环境影响较小。</w:t>
            </w:r>
          </w:p>
          <w:p w14:paraId="6D1AB1A2">
            <w:pPr>
              <w:snapToGrid w:val="0"/>
              <w:spacing w:line="360" w:lineRule="auto"/>
              <w:ind w:firstLine="480" w:firstLineChars="200"/>
              <w:rPr>
                <w:sz w:val="24"/>
              </w:rPr>
            </w:pPr>
            <w:r>
              <w:rPr>
                <w:sz w:val="24"/>
              </w:rPr>
              <w:t>2、主体工程</w:t>
            </w:r>
          </w:p>
          <w:p w14:paraId="7DE2E0BD">
            <w:pPr>
              <w:snapToGrid w:val="0"/>
              <w:spacing w:line="360" w:lineRule="auto"/>
              <w:ind w:firstLine="480" w:firstLineChars="200"/>
              <w:rPr>
                <w:sz w:val="24"/>
              </w:rPr>
            </w:pPr>
            <w:r>
              <w:rPr>
                <w:rFonts w:hint="eastAsia"/>
                <w:sz w:val="24"/>
              </w:rPr>
              <w:t>本</w:t>
            </w:r>
            <w:r>
              <w:rPr>
                <w:sz w:val="24"/>
              </w:rPr>
              <w:t>项目主体工程主要为现浇钢砼柱、梁，砖墙砌筑。根据施工图纸，进行钢筋的配料和加工，安装与架好的模板之处，及时连续灌筑混凝土，并捣实使混凝土成型。</w:t>
            </w:r>
            <w:r>
              <w:rPr>
                <w:rFonts w:hint="eastAsia"/>
                <w:sz w:val="24"/>
              </w:rPr>
              <w:t>本</w:t>
            </w:r>
            <w:r>
              <w:rPr>
                <w:sz w:val="24"/>
              </w:rPr>
              <w:t>项目在砖墙砌筑时，首先进行水泥砂浆的调配，然后再挂线砌筑。该工段工期较长，主要污染物为搅拌机产生的噪声、尾气，搅拌砂浆时的砂浆水，碎砖和废砂等固废。</w:t>
            </w:r>
          </w:p>
          <w:p w14:paraId="0153B112">
            <w:pPr>
              <w:snapToGrid w:val="0"/>
              <w:spacing w:line="360" w:lineRule="auto"/>
              <w:ind w:firstLine="480" w:firstLineChars="200"/>
              <w:rPr>
                <w:sz w:val="24"/>
              </w:rPr>
            </w:pPr>
            <w:r>
              <w:rPr>
                <w:sz w:val="24"/>
              </w:rPr>
              <w:t>3、装饰工程</w:t>
            </w:r>
          </w:p>
          <w:p w14:paraId="49DBAD7A">
            <w:pPr>
              <w:snapToGrid w:val="0"/>
              <w:spacing w:line="360" w:lineRule="auto"/>
              <w:ind w:firstLine="480" w:firstLineChars="200"/>
              <w:rPr>
                <w:sz w:val="24"/>
              </w:rPr>
            </w:pPr>
            <w:r>
              <w:rPr>
                <w:sz w:val="24"/>
              </w:rPr>
              <w:t>利用各种加工机械对木材、铝合金等按图纸进行加工，同时进行屋面制作外墙面砖，然后对外露的铁件进行油漆施工，本工段时间较短，且使用的涂料和油漆量较少，有少量的有机废气挥发。为防止减少施工的污染，建筑方应做到以下几个方面：</w:t>
            </w:r>
          </w:p>
          <w:p w14:paraId="19D1D43F">
            <w:pPr>
              <w:snapToGrid w:val="0"/>
              <w:spacing w:line="360" w:lineRule="auto"/>
              <w:ind w:firstLine="480" w:firstLineChars="200"/>
              <w:rPr>
                <w:sz w:val="24"/>
              </w:rPr>
            </w:pPr>
            <w:r>
              <w:rPr>
                <w:sz w:val="24"/>
              </w:rPr>
              <w:t>施工阶段采用砂、石、砖、水泥、商品混凝土、预制构件和新型墙体材料等，其放射性指标限量应符合标准要求。涂料胶粘剂、阻燃剂、防水剂、防腐剂等的总挥发性有机化合物（TVOC）含量应符合规定的要求。</w:t>
            </w:r>
          </w:p>
          <w:p w14:paraId="256A8FB7">
            <w:pPr>
              <w:snapToGrid w:val="0"/>
              <w:spacing w:line="360" w:lineRule="auto"/>
              <w:ind w:firstLine="480" w:firstLineChars="200"/>
              <w:rPr>
                <w:sz w:val="24"/>
              </w:rPr>
            </w:pPr>
            <w:r>
              <w:rPr>
                <w:sz w:val="24"/>
              </w:rPr>
              <w:t>4、</w:t>
            </w:r>
            <w:r>
              <w:rPr>
                <w:rFonts w:hint="eastAsia"/>
                <w:sz w:val="24"/>
              </w:rPr>
              <w:t>公辅设施</w:t>
            </w:r>
            <w:r>
              <w:rPr>
                <w:sz w:val="24"/>
              </w:rPr>
              <w:t>安装</w:t>
            </w:r>
          </w:p>
          <w:p w14:paraId="609D1C53">
            <w:pPr>
              <w:spacing w:line="360" w:lineRule="auto"/>
              <w:ind w:firstLine="480" w:firstLineChars="200"/>
              <w:rPr>
                <w:sz w:val="24"/>
              </w:rPr>
            </w:pPr>
            <w:r>
              <w:rPr>
                <w:sz w:val="24"/>
              </w:rPr>
              <w:t>包括电梯、道路、化粪池、污水雨水管网铺设等施工，主要污染物是施工机械产生的噪声、尾气等。</w:t>
            </w:r>
          </w:p>
          <w:p w14:paraId="43B0AB9D">
            <w:pPr>
              <w:spacing w:line="360" w:lineRule="auto"/>
              <w:ind w:firstLine="482" w:firstLineChars="200"/>
              <w:rPr>
                <w:b/>
                <w:sz w:val="24"/>
              </w:rPr>
            </w:pPr>
            <w:r>
              <w:rPr>
                <w:rFonts w:hint="eastAsia"/>
                <w:b/>
                <w:sz w:val="24"/>
              </w:rPr>
              <w:t>（二）运营期工艺流程及产污环节：</w:t>
            </w:r>
          </w:p>
          <w:p w14:paraId="2393D62F">
            <w:pPr>
              <w:widowControl/>
              <w:spacing w:line="360" w:lineRule="auto"/>
              <w:ind w:firstLine="482" w:firstLineChars="200"/>
              <w:jc w:val="left"/>
              <w:rPr>
                <w:b/>
                <w:bCs/>
                <w:sz w:val="24"/>
                <w:szCs w:val="32"/>
              </w:rPr>
            </w:pPr>
            <w:r>
              <w:rPr>
                <w:rFonts w:hint="eastAsia"/>
                <w:b/>
                <w:bCs/>
                <w:sz w:val="24"/>
                <w:szCs w:val="32"/>
              </w:rPr>
              <w:t>1、生产工艺流程及产污环节</w:t>
            </w:r>
          </w:p>
          <w:p w14:paraId="0E8B3F71">
            <w:pPr>
              <w:widowControl/>
              <w:spacing w:line="360" w:lineRule="auto"/>
              <w:jc w:val="center"/>
              <w:rPr>
                <w:b/>
                <w:sz w:val="24"/>
              </w:rPr>
            </w:pPr>
            <w:r>
              <w:rPr>
                <w:rFonts w:hint="default" w:ascii="Times New Roman" w:hAnsi="Times New Roman" w:cs="Times New Roman"/>
              </w:rPr>
              <w:object>
                <v:shape id="_x0000_i1027" o:spt="75" type="#_x0000_t75" style="height:214.7pt;width:430.8pt;" o:ole="t" filled="f" o:preferrelative="t" stroked="f" coordsize="21600,21600">
                  <v:path/>
                  <v:fill on="f" focussize="0,0"/>
                  <v:stroke on="f"/>
                  <v:imagedata r:id="rId19" o:title=""/>
                  <o:lock v:ext="edit" aspectratio="t"/>
                  <w10:wrap type="none"/>
                  <w10:anchorlock/>
                </v:shape>
                <o:OLEObject Type="Embed" ProgID="Visio.Drawing.15" ShapeID="_x0000_i1027" DrawAspect="Content" ObjectID="_1468075727" r:id="rId18">
                  <o:LockedField>false</o:LockedField>
                </o:OLEObject>
              </w:object>
            </w:r>
          </w:p>
          <w:p w14:paraId="6AF72088">
            <w:pPr>
              <w:pStyle w:val="77"/>
              <w:spacing w:line="360" w:lineRule="auto"/>
              <w:jc w:val="center"/>
              <w:rPr>
                <w:b/>
                <w:bCs/>
                <w:color w:val="auto"/>
              </w:rPr>
            </w:pPr>
            <w:r>
              <w:rPr>
                <w:rFonts w:hint="eastAsia"/>
                <w:b/>
                <w:bCs/>
                <w:color w:val="auto"/>
                <w:sz w:val="21"/>
                <w:szCs w:val="21"/>
              </w:rPr>
              <w:t xml:space="preserve">图2 </w:t>
            </w:r>
            <w:r>
              <w:rPr>
                <w:b/>
                <w:bCs/>
                <w:color w:val="auto"/>
                <w:sz w:val="21"/>
                <w:szCs w:val="21"/>
              </w:rPr>
              <w:t>项目生产工艺流程及产污节点图</w:t>
            </w:r>
          </w:p>
          <w:p w14:paraId="798DDBD8">
            <w:pPr>
              <w:spacing w:line="360" w:lineRule="auto"/>
              <w:ind w:firstLine="482" w:firstLineChars="200"/>
              <w:rPr>
                <w:b/>
                <w:bCs/>
                <w:sz w:val="24"/>
              </w:rPr>
            </w:pPr>
            <w:r>
              <w:rPr>
                <w:b/>
                <w:bCs/>
                <w:sz w:val="24"/>
              </w:rPr>
              <w:t>工艺流程简述：</w:t>
            </w:r>
          </w:p>
          <w:p w14:paraId="6C5AF112">
            <w:pPr>
              <w:widowControl/>
              <w:numPr>
                <w:ilvl w:val="0"/>
                <w:numId w:val="5"/>
              </w:numPr>
              <w:spacing w:line="360" w:lineRule="auto"/>
              <w:ind w:firstLine="480" w:firstLineChars="200"/>
              <w:jc w:val="left"/>
              <w:rPr>
                <w:rFonts w:hint="eastAsia"/>
                <w:bCs/>
                <w:sz w:val="24"/>
              </w:rPr>
            </w:pPr>
            <w:r>
              <w:rPr>
                <w:rFonts w:hint="eastAsia"/>
                <w:bCs/>
                <w:sz w:val="24"/>
              </w:rPr>
              <w:t>下料：按尺寸要求调整定尺挡板，利用等离子切割机、数控切割机将原材料不锈钢刚才切割成符合工艺要求的规格。该过程会产生</w:t>
            </w:r>
            <w:r>
              <w:rPr>
                <w:rFonts w:hint="eastAsia"/>
                <w:bCs/>
                <w:sz w:val="24"/>
                <w:lang w:eastAsia="zh-CN"/>
              </w:rPr>
              <w:t>切割粉尘（</w:t>
            </w:r>
            <w:r>
              <w:rPr>
                <w:rFonts w:hint="eastAsia"/>
                <w:bCs/>
                <w:sz w:val="24"/>
                <w:lang w:val="en-US" w:eastAsia="zh-CN"/>
              </w:rPr>
              <w:t>G1</w:t>
            </w:r>
            <w:r>
              <w:rPr>
                <w:rFonts w:hint="eastAsia"/>
                <w:bCs/>
                <w:sz w:val="24"/>
                <w:lang w:eastAsia="zh-CN"/>
              </w:rPr>
              <w:t>）</w:t>
            </w:r>
            <w:r>
              <w:rPr>
                <w:rFonts w:hint="eastAsia"/>
                <w:bCs/>
                <w:sz w:val="24"/>
              </w:rPr>
              <w:t>、废边角料（S1）。</w:t>
            </w:r>
          </w:p>
          <w:p w14:paraId="4EFD21DD">
            <w:pPr>
              <w:widowControl/>
              <w:numPr>
                <w:ilvl w:val="0"/>
                <w:numId w:val="5"/>
              </w:numPr>
              <w:spacing w:line="360" w:lineRule="auto"/>
              <w:ind w:firstLine="480" w:firstLineChars="200"/>
              <w:jc w:val="left"/>
              <w:rPr>
                <w:rFonts w:hint="eastAsia"/>
                <w:bCs/>
                <w:sz w:val="24"/>
              </w:rPr>
            </w:pPr>
            <w:r>
              <w:rPr>
                <w:rFonts w:hint="eastAsia"/>
                <w:bCs/>
                <w:sz w:val="24"/>
              </w:rPr>
              <w:t>机加工：将工件置于车床、钻床、铣床利用专用工具固定牢固，根据工件图纸要求进行机械加工。该过程会产生废边角料（S1）和设备维保过程产生</w:t>
            </w:r>
            <w:r>
              <w:rPr>
                <w:rFonts w:hint="eastAsia"/>
                <w:bCs/>
                <w:sz w:val="24"/>
                <w:lang w:eastAsia="zh-CN"/>
              </w:rPr>
              <w:t>的废润滑油</w:t>
            </w:r>
            <w:r>
              <w:rPr>
                <w:rFonts w:hint="eastAsia"/>
                <w:bCs/>
                <w:sz w:val="24"/>
              </w:rPr>
              <w:t>（S2）</w:t>
            </w:r>
            <w:r>
              <w:rPr>
                <w:rFonts w:hint="eastAsia"/>
                <w:bCs/>
                <w:sz w:val="24"/>
                <w:lang w:eastAsia="zh-CN"/>
              </w:rPr>
              <w:t>。</w:t>
            </w:r>
          </w:p>
          <w:p w14:paraId="02461B97">
            <w:pPr>
              <w:widowControl/>
              <w:numPr>
                <w:ilvl w:val="0"/>
                <w:numId w:val="5"/>
              </w:numPr>
              <w:spacing w:line="360" w:lineRule="auto"/>
              <w:ind w:firstLine="480" w:firstLineChars="200"/>
              <w:jc w:val="left"/>
              <w:rPr>
                <w:rFonts w:hint="eastAsia"/>
                <w:bCs/>
                <w:sz w:val="24"/>
              </w:rPr>
            </w:pPr>
            <w:r>
              <w:rPr>
                <w:rFonts w:hint="eastAsia"/>
                <w:bCs/>
                <w:sz w:val="24"/>
              </w:rPr>
              <w:t>焊接：利用二氧化碳保护焊将机加工后的工件进行焊接，该过程会产生废焊渣（S3）和焊接烟尘（G</w:t>
            </w:r>
            <w:r>
              <w:rPr>
                <w:rFonts w:hint="eastAsia"/>
                <w:bCs/>
                <w:sz w:val="24"/>
                <w:lang w:val="en-US" w:eastAsia="zh-CN"/>
              </w:rPr>
              <w:t>2</w:t>
            </w:r>
            <w:r>
              <w:rPr>
                <w:rFonts w:hint="eastAsia"/>
                <w:bCs/>
                <w:sz w:val="24"/>
              </w:rPr>
              <w:t>）；</w:t>
            </w:r>
          </w:p>
          <w:p w14:paraId="786C3643">
            <w:pPr>
              <w:widowControl/>
              <w:numPr>
                <w:ilvl w:val="0"/>
                <w:numId w:val="5"/>
              </w:numPr>
              <w:spacing w:line="360" w:lineRule="auto"/>
              <w:ind w:firstLine="480" w:firstLineChars="200"/>
              <w:jc w:val="left"/>
              <w:rPr>
                <w:rFonts w:hint="eastAsia"/>
                <w:bCs/>
                <w:sz w:val="24"/>
              </w:rPr>
            </w:pPr>
            <w:r>
              <w:rPr>
                <w:rFonts w:hint="eastAsia"/>
                <w:bCs/>
                <w:sz w:val="24"/>
                <w:lang w:eastAsia="zh-CN"/>
              </w:rPr>
              <w:t>喷漆</w:t>
            </w:r>
            <w:r>
              <w:rPr>
                <w:rFonts w:hint="eastAsia"/>
                <w:bCs/>
                <w:sz w:val="24"/>
              </w:rPr>
              <w:t>：利用</w:t>
            </w:r>
            <w:r>
              <w:rPr>
                <w:rFonts w:hint="eastAsia"/>
                <w:bCs/>
                <w:sz w:val="24"/>
                <w:lang w:eastAsia="zh-CN"/>
              </w:rPr>
              <w:t>智能化喷漆设备辅助人</w:t>
            </w:r>
            <w:r>
              <w:rPr>
                <w:rFonts w:hint="eastAsia"/>
                <w:bCs/>
                <w:sz w:val="24"/>
              </w:rPr>
              <w:t>工将水性金属防锈漆</w:t>
            </w:r>
            <w:r>
              <w:rPr>
                <w:rFonts w:hint="eastAsia"/>
                <w:bCs/>
                <w:sz w:val="24"/>
                <w:lang w:eastAsia="zh-CN"/>
              </w:rPr>
              <w:t>和油漆</w:t>
            </w:r>
            <w:r>
              <w:rPr>
                <w:rFonts w:hint="eastAsia"/>
                <w:bCs/>
                <w:sz w:val="24"/>
              </w:rPr>
              <w:t>涂于部分工件表面上，</w:t>
            </w:r>
            <w:r>
              <w:rPr>
                <w:rFonts w:hint="eastAsia"/>
                <w:bCs/>
                <w:sz w:val="24"/>
                <w:lang w:eastAsia="zh-CN"/>
              </w:rPr>
              <w:t>喷漆</w:t>
            </w:r>
            <w:r>
              <w:rPr>
                <w:rFonts w:hint="eastAsia"/>
                <w:bCs/>
                <w:sz w:val="24"/>
              </w:rPr>
              <w:t>作业在</w:t>
            </w:r>
            <w:r>
              <w:rPr>
                <w:rFonts w:hint="eastAsia"/>
                <w:bCs/>
                <w:sz w:val="24"/>
                <w:lang w:eastAsia="zh-CN"/>
              </w:rPr>
              <w:t>喷漆房</w:t>
            </w:r>
            <w:r>
              <w:rPr>
                <w:rFonts w:hint="eastAsia"/>
                <w:bCs/>
                <w:sz w:val="24"/>
              </w:rPr>
              <w:t>中进行，</w:t>
            </w:r>
            <w:r>
              <w:rPr>
                <w:rFonts w:hint="eastAsia"/>
                <w:bCs/>
                <w:sz w:val="24"/>
                <w:lang w:eastAsia="zh-CN"/>
              </w:rPr>
              <w:t>喷漆</w:t>
            </w:r>
            <w:r>
              <w:rPr>
                <w:rFonts w:hint="eastAsia"/>
                <w:bCs/>
                <w:sz w:val="24"/>
              </w:rPr>
              <w:t>完成后在</w:t>
            </w:r>
            <w:r>
              <w:rPr>
                <w:rFonts w:hint="eastAsia"/>
                <w:bCs/>
                <w:sz w:val="24"/>
                <w:lang w:eastAsia="zh-CN"/>
              </w:rPr>
              <w:t>喷漆房</w:t>
            </w:r>
            <w:r>
              <w:rPr>
                <w:rFonts w:hint="eastAsia"/>
                <w:bCs/>
                <w:sz w:val="24"/>
              </w:rPr>
              <w:t>自然晾干24小时。该过程会产生废漆包装桶</w:t>
            </w:r>
            <w:r>
              <w:rPr>
                <w:rFonts w:hint="eastAsia"/>
                <w:bCs/>
                <w:sz w:val="24"/>
                <w:lang w:eastAsia="zh-CN"/>
              </w:rPr>
              <w:t>及漆渣</w:t>
            </w:r>
            <w:r>
              <w:rPr>
                <w:rFonts w:hint="eastAsia"/>
                <w:bCs/>
                <w:sz w:val="24"/>
              </w:rPr>
              <w:t>（S4）和</w:t>
            </w:r>
            <w:r>
              <w:rPr>
                <w:rFonts w:hint="eastAsia"/>
                <w:bCs/>
                <w:sz w:val="24"/>
                <w:lang w:eastAsia="zh-CN"/>
              </w:rPr>
              <w:t>喷漆</w:t>
            </w:r>
            <w:r>
              <w:rPr>
                <w:rFonts w:hint="eastAsia"/>
                <w:bCs/>
                <w:sz w:val="24"/>
              </w:rPr>
              <w:t>和晾干废气（G</w:t>
            </w:r>
            <w:r>
              <w:rPr>
                <w:rFonts w:hint="eastAsia"/>
                <w:bCs/>
                <w:sz w:val="24"/>
                <w:lang w:val="en-US" w:eastAsia="zh-CN"/>
              </w:rPr>
              <w:t>3</w:t>
            </w:r>
            <w:r>
              <w:rPr>
                <w:rFonts w:hint="eastAsia"/>
                <w:bCs/>
                <w:sz w:val="24"/>
              </w:rPr>
              <w:t>）；</w:t>
            </w:r>
          </w:p>
          <w:p w14:paraId="770486F7">
            <w:pPr>
              <w:widowControl/>
              <w:numPr>
                <w:ilvl w:val="0"/>
                <w:numId w:val="5"/>
              </w:numPr>
              <w:spacing w:line="360" w:lineRule="auto"/>
              <w:ind w:firstLine="480" w:firstLineChars="200"/>
              <w:jc w:val="left"/>
              <w:rPr>
                <w:b/>
                <w:sz w:val="24"/>
              </w:rPr>
            </w:pPr>
            <w:r>
              <w:rPr>
                <w:rFonts w:hint="eastAsia"/>
                <w:bCs/>
                <w:sz w:val="24"/>
              </w:rPr>
              <w:t>组装：将加工好的半成品与其他气动元件、气缸、电气元件等进行组装，检验合格后暂存于成品区进行打包发货</w:t>
            </w:r>
            <w:r>
              <w:rPr>
                <w:rFonts w:hint="eastAsia"/>
                <w:bCs/>
                <w:sz w:val="24"/>
                <w:lang w:eastAsia="zh-CN"/>
              </w:rPr>
              <w:t>。</w:t>
            </w:r>
            <w:r>
              <w:rPr>
                <w:rFonts w:hint="eastAsia"/>
                <w:bCs/>
                <w:sz w:val="24"/>
              </w:rPr>
              <w:t>该过程会产生废边角料（S1）</w:t>
            </w:r>
            <w:r>
              <w:rPr>
                <w:rFonts w:hint="eastAsia"/>
                <w:bCs/>
                <w:sz w:val="24"/>
                <w:lang w:eastAsia="zh-CN"/>
              </w:rPr>
              <w:t>。</w:t>
            </w:r>
          </w:p>
          <w:p w14:paraId="79FDFBB3">
            <w:pPr>
              <w:widowControl/>
              <w:spacing w:line="360" w:lineRule="auto"/>
              <w:ind w:firstLine="482" w:firstLineChars="200"/>
              <w:jc w:val="left"/>
              <w:rPr>
                <w:b/>
                <w:sz w:val="24"/>
              </w:rPr>
            </w:pPr>
            <w:r>
              <w:rPr>
                <w:rFonts w:hint="eastAsia"/>
                <w:b/>
                <w:sz w:val="24"/>
              </w:rPr>
              <w:t>2、项目产污节点和处理措施：</w:t>
            </w:r>
          </w:p>
          <w:p w14:paraId="12EA344C">
            <w:pPr>
              <w:widowControl/>
              <w:numPr>
                <w:ilvl w:val="0"/>
                <w:numId w:val="2"/>
              </w:numPr>
              <w:jc w:val="center"/>
              <w:rPr>
                <w:b/>
                <w:kern w:val="0"/>
                <w:szCs w:val="21"/>
              </w:rPr>
            </w:pPr>
            <w:r>
              <w:rPr>
                <w:b/>
                <w:kern w:val="0"/>
                <w:szCs w:val="21"/>
              </w:rPr>
              <w:t xml:space="preserve">  污染物产生及处理情况一览表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3"/>
              <w:gridCol w:w="2437"/>
              <w:gridCol w:w="1701"/>
              <w:gridCol w:w="902"/>
              <w:gridCol w:w="2891"/>
            </w:tblGrid>
            <w:tr w14:paraId="3FC27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atLeast"/>
                <w:tblHeader/>
                <w:jc w:val="center"/>
              </w:trPr>
              <w:tc>
                <w:tcPr>
                  <w:tcW w:w="407" w:type="pct"/>
                  <w:tcBorders>
                    <w:top w:val="single" w:color="auto" w:sz="4" w:space="0"/>
                    <w:left w:val="single" w:color="auto" w:sz="4" w:space="0"/>
                    <w:bottom w:val="single" w:color="auto" w:sz="4" w:space="0"/>
                    <w:right w:val="single" w:color="auto" w:sz="4" w:space="0"/>
                  </w:tcBorders>
                  <w:noWrap w:val="0"/>
                  <w:vAlign w:val="center"/>
                </w:tcPr>
                <w:p w14:paraId="6D696873">
                  <w:pPr>
                    <w:pStyle w:val="87"/>
                    <w:widowControl/>
                    <w:spacing w:line="240" w:lineRule="auto"/>
                    <w:ind w:firstLine="0" w:firstLineChars="0"/>
                    <w:jc w:val="center"/>
                    <w:textAlignment w:val="center"/>
                    <w:rPr>
                      <w:rFonts w:hint="default" w:ascii="Times New Roman" w:hAnsi="Times New Roman" w:eastAsia="宋体" w:cs="Times New Roman"/>
                      <w:b w:val="0"/>
                      <w:kern w:val="2"/>
                      <w:sz w:val="21"/>
                      <w:szCs w:val="21"/>
                    </w:rPr>
                  </w:pPr>
                  <w:r>
                    <w:rPr>
                      <w:rFonts w:hint="default" w:ascii="Times New Roman" w:hAnsi="Times New Roman" w:eastAsia="宋体" w:cs="Times New Roman"/>
                      <w:b w:val="0"/>
                      <w:kern w:val="2"/>
                      <w:sz w:val="21"/>
                      <w:szCs w:val="21"/>
                    </w:rPr>
                    <w:t>类别</w:t>
                  </w:r>
                </w:p>
              </w:tc>
              <w:tc>
                <w:tcPr>
                  <w:tcW w:w="1411" w:type="pct"/>
                  <w:tcBorders>
                    <w:top w:val="single" w:color="auto" w:sz="4" w:space="0"/>
                    <w:left w:val="single" w:color="auto" w:sz="4" w:space="0"/>
                    <w:bottom w:val="single" w:color="auto" w:sz="4" w:space="0"/>
                    <w:right w:val="single" w:color="auto" w:sz="4" w:space="0"/>
                  </w:tcBorders>
                  <w:noWrap w:val="0"/>
                  <w:vAlign w:val="center"/>
                </w:tcPr>
                <w:p w14:paraId="77BE683B">
                  <w:pPr>
                    <w:pStyle w:val="87"/>
                    <w:widowControl/>
                    <w:spacing w:line="240" w:lineRule="auto"/>
                    <w:ind w:firstLine="0" w:firstLineChars="0"/>
                    <w:jc w:val="center"/>
                    <w:textAlignment w:val="center"/>
                    <w:rPr>
                      <w:rFonts w:hint="default" w:ascii="Times New Roman" w:hAnsi="Times New Roman" w:eastAsia="宋体" w:cs="Times New Roman"/>
                      <w:b w:val="0"/>
                      <w:kern w:val="2"/>
                      <w:sz w:val="21"/>
                      <w:szCs w:val="21"/>
                    </w:rPr>
                  </w:pPr>
                  <w:r>
                    <w:rPr>
                      <w:rFonts w:hint="default" w:ascii="Times New Roman" w:hAnsi="Times New Roman" w:eastAsia="宋体" w:cs="Times New Roman"/>
                      <w:b w:val="0"/>
                      <w:kern w:val="2"/>
                      <w:sz w:val="21"/>
                      <w:szCs w:val="21"/>
                    </w:rPr>
                    <w:t>产生点</w:t>
                  </w:r>
                </w:p>
              </w:tc>
              <w:tc>
                <w:tcPr>
                  <w:tcW w:w="985" w:type="pct"/>
                  <w:tcBorders>
                    <w:top w:val="single" w:color="auto" w:sz="4" w:space="0"/>
                    <w:left w:val="single" w:color="auto" w:sz="4" w:space="0"/>
                    <w:bottom w:val="single" w:color="auto" w:sz="4" w:space="0"/>
                    <w:right w:val="single" w:color="auto" w:sz="4" w:space="0"/>
                  </w:tcBorders>
                  <w:noWrap w:val="0"/>
                  <w:vAlign w:val="center"/>
                </w:tcPr>
                <w:p w14:paraId="3F0F6DD2">
                  <w:pPr>
                    <w:pStyle w:val="87"/>
                    <w:widowControl/>
                    <w:spacing w:line="240" w:lineRule="auto"/>
                    <w:ind w:firstLine="0" w:firstLineChars="0"/>
                    <w:jc w:val="center"/>
                    <w:textAlignment w:val="center"/>
                    <w:rPr>
                      <w:rFonts w:hint="default" w:ascii="Times New Roman" w:hAnsi="Times New Roman" w:eastAsia="宋体" w:cs="Times New Roman"/>
                      <w:b w:val="0"/>
                      <w:kern w:val="2"/>
                      <w:sz w:val="21"/>
                      <w:szCs w:val="21"/>
                    </w:rPr>
                  </w:pPr>
                  <w:r>
                    <w:rPr>
                      <w:rFonts w:hint="default" w:ascii="Times New Roman" w:hAnsi="Times New Roman" w:eastAsia="宋体" w:cs="Times New Roman"/>
                      <w:b w:val="0"/>
                      <w:kern w:val="2"/>
                      <w:sz w:val="21"/>
                      <w:szCs w:val="21"/>
                    </w:rPr>
                    <w:t>污染物名称</w:t>
                  </w:r>
                </w:p>
              </w:tc>
              <w:tc>
                <w:tcPr>
                  <w:tcW w:w="522" w:type="pct"/>
                  <w:tcBorders>
                    <w:top w:val="single" w:color="auto" w:sz="4" w:space="0"/>
                    <w:left w:val="single" w:color="auto" w:sz="4" w:space="0"/>
                    <w:bottom w:val="single" w:color="auto" w:sz="4" w:space="0"/>
                    <w:right w:val="single" w:color="auto" w:sz="4" w:space="0"/>
                  </w:tcBorders>
                  <w:noWrap w:val="0"/>
                  <w:vAlign w:val="center"/>
                </w:tcPr>
                <w:p w14:paraId="6FCDF279">
                  <w:pPr>
                    <w:pStyle w:val="87"/>
                    <w:widowControl/>
                    <w:spacing w:line="240" w:lineRule="auto"/>
                    <w:ind w:firstLine="0" w:firstLineChars="0"/>
                    <w:jc w:val="center"/>
                    <w:textAlignment w:val="center"/>
                    <w:rPr>
                      <w:rFonts w:hint="default" w:ascii="Times New Roman" w:hAnsi="Times New Roman" w:eastAsia="宋体" w:cs="Times New Roman"/>
                      <w:b w:val="0"/>
                      <w:kern w:val="2"/>
                      <w:sz w:val="21"/>
                      <w:szCs w:val="21"/>
                    </w:rPr>
                  </w:pPr>
                  <w:r>
                    <w:rPr>
                      <w:rFonts w:hint="default" w:ascii="Times New Roman" w:hAnsi="Times New Roman" w:eastAsia="宋体" w:cs="Times New Roman"/>
                      <w:b w:val="0"/>
                      <w:kern w:val="2"/>
                      <w:sz w:val="21"/>
                      <w:szCs w:val="21"/>
                    </w:rPr>
                    <w:t>代号</w:t>
                  </w:r>
                </w:p>
              </w:tc>
              <w:tc>
                <w:tcPr>
                  <w:tcW w:w="1674" w:type="pct"/>
                  <w:tcBorders>
                    <w:top w:val="single" w:color="auto" w:sz="4" w:space="0"/>
                    <w:left w:val="single" w:color="auto" w:sz="4" w:space="0"/>
                    <w:bottom w:val="single" w:color="auto" w:sz="4" w:space="0"/>
                    <w:right w:val="single" w:color="auto" w:sz="4" w:space="0"/>
                  </w:tcBorders>
                  <w:noWrap w:val="0"/>
                  <w:vAlign w:val="center"/>
                </w:tcPr>
                <w:p w14:paraId="7E6DAB2E">
                  <w:pPr>
                    <w:pStyle w:val="87"/>
                    <w:widowControl/>
                    <w:spacing w:line="240" w:lineRule="auto"/>
                    <w:ind w:firstLine="0" w:firstLineChars="0"/>
                    <w:jc w:val="center"/>
                    <w:textAlignment w:val="center"/>
                    <w:rPr>
                      <w:rFonts w:hint="default" w:ascii="Times New Roman" w:hAnsi="Times New Roman" w:eastAsia="宋体" w:cs="Times New Roman"/>
                      <w:b w:val="0"/>
                      <w:sz w:val="21"/>
                      <w:szCs w:val="21"/>
                    </w:rPr>
                  </w:pPr>
                  <w:r>
                    <w:rPr>
                      <w:rFonts w:hint="default" w:ascii="Times New Roman" w:hAnsi="Times New Roman" w:eastAsia="宋体" w:cs="Times New Roman"/>
                      <w:b w:val="0"/>
                      <w:kern w:val="2"/>
                      <w:sz w:val="21"/>
                      <w:szCs w:val="21"/>
                    </w:rPr>
                    <w:t>主要成分</w:t>
                  </w:r>
                </w:p>
              </w:tc>
            </w:tr>
            <w:tr w14:paraId="358F4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atLeast"/>
                <w:jc w:val="center"/>
              </w:trPr>
              <w:tc>
                <w:tcPr>
                  <w:tcW w:w="407" w:type="pct"/>
                  <w:vMerge w:val="restart"/>
                  <w:tcBorders>
                    <w:top w:val="single" w:color="auto" w:sz="4" w:space="0"/>
                    <w:left w:val="single" w:color="auto" w:sz="4" w:space="0"/>
                    <w:right w:val="single" w:color="auto" w:sz="4" w:space="0"/>
                  </w:tcBorders>
                  <w:noWrap w:val="0"/>
                  <w:vAlign w:val="center"/>
                </w:tcPr>
                <w:p w14:paraId="493B7EF2">
                  <w:pPr>
                    <w:pStyle w:val="87"/>
                    <w:widowControl/>
                    <w:spacing w:line="240" w:lineRule="auto"/>
                    <w:ind w:firstLine="0" w:firstLineChars="0"/>
                    <w:jc w:val="center"/>
                    <w:textAlignment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废气</w:t>
                  </w:r>
                </w:p>
              </w:tc>
              <w:tc>
                <w:tcPr>
                  <w:tcW w:w="1411" w:type="pct"/>
                  <w:tcBorders>
                    <w:top w:val="single" w:color="auto" w:sz="4" w:space="0"/>
                    <w:left w:val="single" w:color="auto" w:sz="4" w:space="0"/>
                    <w:bottom w:val="single" w:color="auto" w:sz="4" w:space="0"/>
                    <w:right w:val="single" w:color="auto" w:sz="4" w:space="0"/>
                  </w:tcBorders>
                  <w:noWrap w:val="0"/>
                  <w:vAlign w:val="center"/>
                </w:tcPr>
                <w:p w14:paraId="6604233D">
                  <w:pPr>
                    <w:pStyle w:val="87"/>
                    <w:widowControl/>
                    <w:spacing w:line="240" w:lineRule="auto"/>
                    <w:ind w:firstLine="0" w:firstLineChars="0"/>
                    <w:jc w:val="center"/>
                    <w:textAlignment w:val="center"/>
                    <w:rPr>
                      <w:rFonts w:hint="default" w:ascii="Times New Roman" w:hAnsi="Times New Roman" w:eastAsia="宋体" w:cs="Times New Roman"/>
                      <w:kern w:val="2"/>
                      <w:sz w:val="21"/>
                      <w:szCs w:val="21"/>
                    </w:rPr>
                  </w:pPr>
                  <w:r>
                    <w:rPr>
                      <w:rFonts w:hint="eastAsia" w:cs="Times New Roman"/>
                      <w:kern w:val="2"/>
                      <w:sz w:val="21"/>
                      <w:szCs w:val="21"/>
                      <w:lang w:eastAsia="zh-CN"/>
                    </w:rPr>
                    <w:t>下料</w:t>
                  </w:r>
                </w:p>
              </w:tc>
              <w:tc>
                <w:tcPr>
                  <w:tcW w:w="985" w:type="pct"/>
                  <w:tcBorders>
                    <w:top w:val="single" w:color="auto" w:sz="4" w:space="0"/>
                    <w:left w:val="single" w:color="auto" w:sz="4" w:space="0"/>
                    <w:bottom w:val="single" w:color="auto" w:sz="4" w:space="0"/>
                    <w:right w:val="single" w:color="auto" w:sz="4" w:space="0"/>
                  </w:tcBorders>
                  <w:noWrap w:val="0"/>
                  <w:vAlign w:val="center"/>
                </w:tcPr>
                <w:p w14:paraId="2090412F">
                  <w:pPr>
                    <w:pStyle w:val="87"/>
                    <w:widowControl/>
                    <w:spacing w:line="240" w:lineRule="auto"/>
                    <w:ind w:firstLine="0" w:firstLineChars="0"/>
                    <w:jc w:val="center"/>
                    <w:textAlignment w:val="center"/>
                    <w:rPr>
                      <w:rFonts w:hint="eastAsia" w:ascii="Times New Roman" w:hAnsi="Times New Roman" w:eastAsia="宋体" w:cs="Times New Roman"/>
                      <w:kern w:val="2"/>
                      <w:sz w:val="21"/>
                      <w:szCs w:val="21"/>
                      <w:lang w:eastAsia="zh-CN"/>
                    </w:rPr>
                  </w:pPr>
                  <w:r>
                    <w:rPr>
                      <w:rFonts w:hint="eastAsia" w:cs="Times New Roman"/>
                      <w:kern w:val="2"/>
                      <w:sz w:val="21"/>
                      <w:szCs w:val="21"/>
                      <w:lang w:eastAsia="zh-CN"/>
                    </w:rPr>
                    <w:t>切割粉尘</w:t>
                  </w:r>
                </w:p>
              </w:tc>
              <w:tc>
                <w:tcPr>
                  <w:tcW w:w="522" w:type="pct"/>
                  <w:tcBorders>
                    <w:top w:val="single" w:color="auto" w:sz="4" w:space="0"/>
                    <w:left w:val="single" w:color="auto" w:sz="4" w:space="0"/>
                    <w:bottom w:val="single" w:color="auto" w:sz="4" w:space="0"/>
                    <w:right w:val="single" w:color="auto" w:sz="4" w:space="0"/>
                  </w:tcBorders>
                  <w:noWrap w:val="0"/>
                  <w:vAlign w:val="center"/>
                </w:tcPr>
                <w:p w14:paraId="1ECBE4AA">
                  <w:pPr>
                    <w:pStyle w:val="87"/>
                    <w:widowControl/>
                    <w:spacing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G1</w:t>
                  </w:r>
                </w:p>
              </w:tc>
              <w:tc>
                <w:tcPr>
                  <w:tcW w:w="1674" w:type="pct"/>
                  <w:tcBorders>
                    <w:top w:val="single" w:color="auto" w:sz="4" w:space="0"/>
                    <w:left w:val="single" w:color="auto" w:sz="4" w:space="0"/>
                    <w:bottom w:val="single" w:color="auto" w:sz="4" w:space="0"/>
                    <w:right w:val="single" w:color="auto" w:sz="4" w:space="0"/>
                  </w:tcBorders>
                  <w:noWrap w:val="0"/>
                  <w:vAlign w:val="center"/>
                </w:tcPr>
                <w:p w14:paraId="20EA797E">
                  <w:pPr>
                    <w:pStyle w:val="87"/>
                    <w:widowControl/>
                    <w:spacing w:line="240" w:lineRule="auto"/>
                    <w:ind w:firstLine="0" w:firstLineChars="0"/>
                    <w:jc w:val="center"/>
                    <w:textAlignment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颗粒物</w:t>
                  </w:r>
                </w:p>
              </w:tc>
            </w:tr>
            <w:tr w14:paraId="5383D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atLeast"/>
                <w:jc w:val="center"/>
              </w:trPr>
              <w:tc>
                <w:tcPr>
                  <w:tcW w:w="407" w:type="pct"/>
                  <w:vMerge w:val="continue"/>
                  <w:tcBorders>
                    <w:left w:val="single" w:color="auto" w:sz="4" w:space="0"/>
                    <w:right w:val="single" w:color="auto" w:sz="4" w:space="0"/>
                  </w:tcBorders>
                  <w:noWrap w:val="0"/>
                  <w:vAlign w:val="center"/>
                </w:tcPr>
                <w:p w14:paraId="2816D03A">
                  <w:pPr>
                    <w:pStyle w:val="87"/>
                    <w:widowControl/>
                    <w:spacing w:line="240" w:lineRule="auto"/>
                    <w:ind w:firstLine="0" w:firstLineChars="0"/>
                    <w:jc w:val="center"/>
                    <w:textAlignment w:val="center"/>
                    <w:rPr>
                      <w:rFonts w:hint="default" w:ascii="Times New Roman" w:hAnsi="Times New Roman" w:eastAsia="宋体" w:cs="Times New Roman"/>
                      <w:kern w:val="2"/>
                      <w:sz w:val="21"/>
                      <w:szCs w:val="21"/>
                    </w:rPr>
                  </w:pPr>
                </w:p>
              </w:tc>
              <w:tc>
                <w:tcPr>
                  <w:tcW w:w="1411" w:type="pct"/>
                  <w:tcBorders>
                    <w:top w:val="single" w:color="auto" w:sz="4" w:space="0"/>
                    <w:left w:val="single" w:color="auto" w:sz="4" w:space="0"/>
                    <w:bottom w:val="single" w:color="auto" w:sz="4" w:space="0"/>
                    <w:right w:val="single" w:color="auto" w:sz="4" w:space="0"/>
                  </w:tcBorders>
                  <w:noWrap w:val="0"/>
                  <w:vAlign w:val="center"/>
                </w:tcPr>
                <w:p w14:paraId="1FE2297B">
                  <w:pPr>
                    <w:pStyle w:val="87"/>
                    <w:widowControl/>
                    <w:spacing w:line="240" w:lineRule="auto"/>
                    <w:ind w:firstLine="0" w:firstLineChars="0"/>
                    <w:jc w:val="center"/>
                    <w:textAlignment w:val="center"/>
                    <w:rPr>
                      <w:rFonts w:hint="eastAsia" w:ascii="Times New Roman" w:hAnsi="Times New Roman" w:eastAsia="宋体" w:cs="Times New Roman"/>
                      <w:kern w:val="2"/>
                      <w:sz w:val="21"/>
                      <w:szCs w:val="21"/>
                      <w:lang w:eastAsia="zh-CN"/>
                    </w:rPr>
                  </w:pPr>
                  <w:r>
                    <w:rPr>
                      <w:rFonts w:hint="eastAsia" w:cs="Times New Roman"/>
                      <w:kern w:val="2"/>
                      <w:sz w:val="21"/>
                      <w:szCs w:val="21"/>
                      <w:lang w:eastAsia="zh-CN"/>
                    </w:rPr>
                    <w:t>焊接</w:t>
                  </w:r>
                </w:p>
              </w:tc>
              <w:tc>
                <w:tcPr>
                  <w:tcW w:w="985" w:type="pct"/>
                  <w:tcBorders>
                    <w:top w:val="single" w:color="auto" w:sz="4" w:space="0"/>
                    <w:left w:val="single" w:color="auto" w:sz="4" w:space="0"/>
                    <w:bottom w:val="single" w:color="auto" w:sz="4" w:space="0"/>
                    <w:right w:val="single" w:color="auto" w:sz="4" w:space="0"/>
                  </w:tcBorders>
                  <w:noWrap w:val="0"/>
                  <w:vAlign w:val="center"/>
                </w:tcPr>
                <w:p w14:paraId="57C9A2E5">
                  <w:pPr>
                    <w:pStyle w:val="87"/>
                    <w:widowControl/>
                    <w:spacing w:line="240" w:lineRule="auto"/>
                    <w:ind w:firstLine="0" w:firstLineChars="0"/>
                    <w:jc w:val="center"/>
                    <w:textAlignment w:val="center"/>
                    <w:rPr>
                      <w:rFonts w:hint="eastAsia" w:ascii="Times New Roman" w:hAnsi="Times New Roman" w:eastAsia="宋体" w:cs="Times New Roman"/>
                      <w:kern w:val="2"/>
                      <w:sz w:val="21"/>
                      <w:szCs w:val="21"/>
                      <w:lang w:eastAsia="zh-CN"/>
                    </w:rPr>
                  </w:pPr>
                  <w:r>
                    <w:rPr>
                      <w:rFonts w:hint="eastAsia" w:cs="Times New Roman"/>
                      <w:kern w:val="2"/>
                      <w:sz w:val="21"/>
                      <w:szCs w:val="21"/>
                      <w:lang w:eastAsia="zh-CN"/>
                    </w:rPr>
                    <w:t>焊接烟尘</w:t>
                  </w:r>
                </w:p>
              </w:tc>
              <w:tc>
                <w:tcPr>
                  <w:tcW w:w="522" w:type="pct"/>
                  <w:tcBorders>
                    <w:top w:val="single" w:color="auto" w:sz="4" w:space="0"/>
                    <w:left w:val="single" w:color="auto" w:sz="4" w:space="0"/>
                    <w:bottom w:val="single" w:color="auto" w:sz="4" w:space="0"/>
                    <w:right w:val="single" w:color="auto" w:sz="4" w:space="0"/>
                  </w:tcBorders>
                  <w:noWrap w:val="0"/>
                  <w:vAlign w:val="center"/>
                </w:tcPr>
                <w:p w14:paraId="77EB1B35">
                  <w:pPr>
                    <w:pStyle w:val="87"/>
                    <w:widowControl/>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G2</w:t>
                  </w:r>
                </w:p>
              </w:tc>
              <w:tc>
                <w:tcPr>
                  <w:tcW w:w="1674" w:type="pct"/>
                  <w:tcBorders>
                    <w:top w:val="single" w:color="auto" w:sz="4" w:space="0"/>
                    <w:left w:val="single" w:color="auto" w:sz="4" w:space="0"/>
                    <w:bottom w:val="single" w:color="auto" w:sz="4" w:space="0"/>
                    <w:right w:val="single" w:color="auto" w:sz="4" w:space="0"/>
                  </w:tcBorders>
                  <w:noWrap w:val="0"/>
                  <w:vAlign w:val="center"/>
                </w:tcPr>
                <w:p w14:paraId="5E357C7E">
                  <w:pPr>
                    <w:pStyle w:val="87"/>
                    <w:widowControl/>
                    <w:spacing w:line="240" w:lineRule="auto"/>
                    <w:ind w:firstLine="0" w:firstLineChars="0"/>
                    <w:jc w:val="center"/>
                    <w:textAlignment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颗粒物</w:t>
                  </w:r>
                </w:p>
              </w:tc>
            </w:tr>
            <w:tr w14:paraId="1243F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atLeast"/>
                <w:jc w:val="center"/>
              </w:trPr>
              <w:tc>
                <w:tcPr>
                  <w:tcW w:w="407" w:type="pct"/>
                  <w:vMerge w:val="continue"/>
                  <w:tcBorders>
                    <w:left w:val="single" w:color="auto" w:sz="4" w:space="0"/>
                    <w:right w:val="single" w:color="auto" w:sz="4" w:space="0"/>
                  </w:tcBorders>
                  <w:noWrap w:val="0"/>
                  <w:vAlign w:val="center"/>
                </w:tcPr>
                <w:p w14:paraId="6E545223">
                  <w:pPr>
                    <w:pStyle w:val="87"/>
                    <w:widowControl/>
                    <w:spacing w:line="240" w:lineRule="auto"/>
                    <w:ind w:firstLine="0" w:firstLineChars="0"/>
                    <w:jc w:val="center"/>
                    <w:textAlignment w:val="center"/>
                    <w:rPr>
                      <w:rFonts w:hint="default" w:ascii="Times New Roman" w:hAnsi="Times New Roman" w:eastAsia="宋体" w:cs="Times New Roman"/>
                      <w:kern w:val="2"/>
                      <w:sz w:val="21"/>
                      <w:szCs w:val="21"/>
                    </w:rPr>
                  </w:pPr>
                </w:p>
              </w:tc>
              <w:tc>
                <w:tcPr>
                  <w:tcW w:w="1411" w:type="pct"/>
                  <w:tcBorders>
                    <w:top w:val="single" w:color="auto" w:sz="4" w:space="0"/>
                    <w:left w:val="single" w:color="auto" w:sz="4" w:space="0"/>
                    <w:bottom w:val="single" w:color="auto" w:sz="4" w:space="0"/>
                    <w:right w:val="single" w:color="auto" w:sz="4" w:space="0"/>
                  </w:tcBorders>
                  <w:noWrap w:val="0"/>
                  <w:vAlign w:val="center"/>
                </w:tcPr>
                <w:p w14:paraId="065B249F">
                  <w:pPr>
                    <w:pStyle w:val="87"/>
                    <w:widowControl/>
                    <w:spacing w:line="240" w:lineRule="auto"/>
                    <w:ind w:firstLine="0" w:firstLineChars="0"/>
                    <w:jc w:val="center"/>
                    <w:textAlignment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eastAsia="zh-CN"/>
                    </w:rPr>
                    <w:t>喷漆</w:t>
                  </w:r>
                  <w:r>
                    <w:rPr>
                      <w:rFonts w:hint="default" w:ascii="Times New Roman" w:hAnsi="Times New Roman" w:eastAsia="宋体" w:cs="Times New Roman"/>
                      <w:kern w:val="2"/>
                      <w:sz w:val="21"/>
                      <w:szCs w:val="21"/>
                    </w:rPr>
                    <w:t>、自然晾干</w:t>
                  </w:r>
                </w:p>
              </w:tc>
              <w:tc>
                <w:tcPr>
                  <w:tcW w:w="985" w:type="pct"/>
                  <w:tcBorders>
                    <w:top w:val="single" w:color="auto" w:sz="4" w:space="0"/>
                    <w:left w:val="single" w:color="auto" w:sz="4" w:space="0"/>
                    <w:bottom w:val="single" w:color="auto" w:sz="4" w:space="0"/>
                    <w:right w:val="single" w:color="auto" w:sz="4" w:space="0"/>
                  </w:tcBorders>
                  <w:noWrap w:val="0"/>
                  <w:vAlign w:val="center"/>
                </w:tcPr>
                <w:p w14:paraId="31A46377">
                  <w:pPr>
                    <w:pStyle w:val="87"/>
                    <w:widowControl/>
                    <w:spacing w:line="240" w:lineRule="auto"/>
                    <w:ind w:firstLine="0" w:firstLineChars="0"/>
                    <w:jc w:val="center"/>
                    <w:textAlignment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eastAsia="zh-CN"/>
                    </w:rPr>
                    <w:t>喷漆</w:t>
                  </w:r>
                  <w:r>
                    <w:rPr>
                      <w:rFonts w:hint="default" w:ascii="Times New Roman" w:hAnsi="Times New Roman" w:eastAsia="宋体" w:cs="Times New Roman"/>
                      <w:kern w:val="2"/>
                      <w:sz w:val="21"/>
                      <w:szCs w:val="21"/>
                    </w:rPr>
                    <w:t>、晾干废气</w:t>
                  </w:r>
                </w:p>
              </w:tc>
              <w:tc>
                <w:tcPr>
                  <w:tcW w:w="522" w:type="pct"/>
                  <w:tcBorders>
                    <w:top w:val="single" w:color="auto" w:sz="4" w:space="0"/>
                    <w:left w:val="single" w:color="auto" w:sz="4" w:space="0"/>
                    <w:bottom w:val="single" w:color="auto" w:sz="4" w:space="0"/>
                    <w:right w:val="single" w:color="auto" w:sz="4" w:space="0"/>
                  </w:tcBorders>
                  <w:noWrap w:val="0"/>
                  <w:vAlign w:val="center"/>
                </w:tcPr>
                <w:p w14:paraId="74A27663">
                  <w:pPr>
                    <w:pStyle w:val="87"/>
                    <w:widowControl/>
                    <w:spacing w:line="240" w:lineRule="auto"/>
                    <w:ind w:firstLine="0" w:firstLineChars="0"/>
                    <w:jc w:val="center"/>
                    <w:textAlignment w:val="center"/>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G</w:t>
                  </w:r>
                  <w:r>
                    <w:rPr>
                      <w:rFonts w:hint="eastAsia" w:cs="Times New Roman"/>
                      <w:sz w:val="21"/>
                      <w:szCs w:val="21"/>
                      <w:lang w:val="en-US" w:eastAsia="zh-CN"/>
                    </w:rPr>
                    <w:t>3</w:t>
                  </w:r>
                </w:p>
              </w:tc>
              <w:tc>
                <w:tcPr>
                  <w:tcW w:w="1674" w:type="pct"/>
                  <w:tcBorders>
                    <w:top w:val="single" w:color="auto" w:sz="4" w:space="0"/>
                    <w:left w:val="single" w:color="auto" w:sz="4" w:space="0"/>
                    <w:bottom w:val="single" w:color="auto" w:sz="4" w:space="0"/>
                    <w:right w:val="single" w:color="auto" w:sz="4" w:space="0"/>
                  </w:tcBorders>
                  <w:noWrap w:val="0"/>
                  <w:vAlign w:val="center"/>
                </w:tcPr>
                <w:p w14:paraId="1E3D110A">
                  <w:pPr>
                    <w:pStyle w:val="87"/>
                    <w:widowControl/>
                    <w:spacing w:line="240" w:lineRule="auto"/>
                    <w:ind w:firstLine="0" w:firstLineChars="0"/>
                    <w:jc w:val="center"/>
                    <w:textAlignment w:val="center"/>
                    <w:rPr>
                      <w:rFonts w:hint="eastAsia" w:ascii="Times New Roman" w:hAnsi="Times New Roman" w:eastAsia="宋体" w:cs="Times New Roman"/>
                      <w:kern w:val="2"/>
                      <w:sz w:val="21"/>
                      <w:szCs w:val="21"/>
                      <w:lang w:eastAsia="zh-CN"/>
                    </w:rPr>
                  </w:pPr>
                  <w:r>
                    <w:rPr>
                      <w:rFonts w:hint="default" w:ascii="Times New Roman" w:hAnsi="Times New Roman" w:eastAsia="宋体" w:cs="Times New Roman"/>
                      <w:kern w:val="2"/>
                      <w:sz w:val="21"/>
                      <w:szCs w:val="21"/>
                    </w:rPr>
                    <w:t>非甲烷总烃</w:t>
                  </w:r>
                  <w:r>
                    <w:rPr>
                      <w:rFonts w:hint="eastAsia"/>
                      <w:lang w:eastAsia="zh-CN"/>
                    </w:rPr>
                    <w:t>、二甲苯</w:t>
                  </w:r>
                </w:p>
              </w:tc>
            </w:tr>
            <w:tr w14:paraId="6C575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atLeast"/>
                <w:jc w:val="center"/>
              </w:trPr>
              <w:tc>
                <w:tcPr>
                  <w:tcW w:w="407" w:type="pct"/>
                  <w:tcBorders>
                    <w:top w:val="single" w:color="auto" w:sz="4" w:space="0"/>
                    <w:left w:val="single" w:color="auto" w:sz="4" w:space="0"/>
                    <w:right w:val="single" w:color="auto" w:sz="4" w:space="0"/>
                  </w:tcBorders>
                  <w:noWrap w:val="0"/>
                  <w:vAlign w:val="center"/>
                </w:tcPr>
                <w:p w14:paraId="4387A3FA">
                  <w:pPr>
                    <w:pStyle w:val="87"/>
                    <w:widowControl/>
                    <w:spacing w:line="240" w:lineRule="auto"/>
                    <w:ind w:firstLine="0" w:firstLineChars="0"/>
                    <w:jc w:val="center"/>
                    <w:textAlignment w:val="center"/>
                    <w:rPr>
                      <w:rFonts w:hint="default" w:ascii="Times New Roman" w:hAnsi="Times New Roman" w:eastAsia="宋体" w:cs="Times New Roman"/>
                      <w:b w:val="0"/>
                      <w:sz w:val="21"/>
                      <w:szCs w:val="21"/>
                    </w:rPr>
                  </w:pPr>
                  <w:r>
                    <w:rPr>
                      <w:rFonts w:hint="default" w:ascii="Times New Roman" w:hAnsi="Times New Roman" w:eastAsia="宋体" w:cs="Times New Roman"/>
                      <w:kern w:val="2"/>
                      <w:sz w:val="21"/>
                      <w:szCs w:val="21"/>
                    </w:rPr>
                    <w:t>废水</w:t>
                  </w:r>
                </w:p>
              </w:tc>
              <w:tc>
                <w:tcPr>
                  <w:tcW w:w="1411" w:type="pct"/>
                  <w:tcBorders>
                    <w:top w:val="single" w:color="auto" w:sz="4" w:space="0"/>
                    <w:left w:val="single" w:color="auto" w:sz="4" w:space="0"/>
                    <w:bottom w:val="single" w:color="auto" w:sz="4" w:space="0"/>
                    <w:right w:val="single" w:color="auto" w:sz="4" w:space="0"/>
                  </w:tcBorders>
                  <w:noWrap w:val="0"/>
                  <w:vAlign w:val="center"/>
                </w:tcPr>
                <w:p w14:paraId="49983D75">
                  <w:pPr>
                    <w:pStyle w:val="87"/>
                    <w:widowControl/>
                    <w:autoSpaceDE w:val="0"/>
                    <w:autoSpaceDN w:val="0"/>
                    <w:spacing w:line="240" w:lineRule="auto"/>
                    <w:ind w:firstLine="0" w:firstLineChars="0"/>
                    <w:jc w:val="center"/>
                    <w:textAlignment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员工生活</w:t>
                  </w:r>
                </w:p>
              </w:tc>
              <w:tc>
                <w:tcPr>
                  <w:tcW w:w="985" w:type="pct"/>
                  <w:tcBorders>
                    <w:top w:val="single" w:color="auto" w:sz="4" w:space="0"/>
                    <w:left w:val="single" w:color="auto" w:sz="4" w:space="0"/>
                    <w:bottom w:val="single" w:color="auto" w:sz="4" w:space="0"/>
                    <w:right w:val="single" w:color="auto" w:sz="4" w:space="0"/>
                  </w:tcBorders>
                  <w:noWrap w:val="0"/>
                  <w:vAlign w:val="center"/>
                </w:tcPr>
                <w:p w14:paraId="2BF60A09">
                  <w:pPr>
                    <w:pStyle w:val="87"/>
                    <w:widowControl/>
                    <w:autoSpaceDE w:val="0"/>
                    <w:autoSpaceDN w:val="0"/>
                    <w:spacing w:line="240" w:lineRule="auto"/>
                    <w:ind w:firstLine="0" w:firstLineChars="0"/>
                    <w:jc w:val="center"/>
                    <w:textAlignment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生活污水、食堂废水</w:t>
                  </w:r>
                </w:p>
              </w:tc>
              <w:tc>
                <w:tcPr>
                  <w:tcW w:w="522" w:type="pct"/>
                  <w:tcBorders>
                    <w:top w:val="single" w:color="auto" w:sz="4" w:space="0"/>
                    <w:left w:val="single" w:color="auto" w:sz="4" w:space="0"/>
                    <w:bottom w:val="single" w:color="auto" w:sz="4" w:space="0"/>
                    <w:right w:val="single" w:color="auto" w:sz="4" w:space="0"/>
                  </w:tcBorders>
                  <w:noWrap w:val="0"/>
                  <w:vAlign w:val="center"/>
                </w:tcPr>
                <w:p w14:paraId="780C9AD9">
                  <w:pPr>
                    <w:pStyle w:val="87"/>
                    <w:widowControl/>
                    <w:spacing w:line="240" w:lineRule="auto"/>
                    <w:ind w:firstLine="0" w:firstLineChars="0"/>
                    <w:jc w:val="center"/>
                    <w:textAlignment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W1</w:t>
                  </w:r>
                </w:p>
              </w:tc>
              <w:tc>
                <w:tcPr>
                  <w:tcW w:w="1674" w:type="pct"/>
                  <w:tcBorders>
                    <w:top w:val="single" w:color="auto" w:sz="4" w:space="0"/>
                    <w:left w:val="single" w:color="auto" w:sz="4" w:space="0"/>
                    <w:bottom w:val="single" w:color="auto" w:sz="4" w:space="0"/>
                    <w:right w:val="single" w:color="auto" w:sz="4" w:space="0"/>
                  </w:tcBorders>
                  <w:noWrap w:val="0"/>
                  <w:vAlign w:val="center"/>
                </w:tcPr>
                <w:p w14:paraId="64B5D7ED">
                  <w:pPr>
                    <w:pStyle w:val="87"/>
                    <w:widowControl/>
                    <w:adjustRightInd w:val="0"/>
                    <w:snapToGrid w:val="0"/>
                    <w:spacing w:line="240" w:lineRule="auto"/>
                    <w:ind w:firstLine="0" w:firstLineChars="0"/>
                    <w:jc w:val="center"/>
                    <w:textAlignment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COD、BOD、NH</w:t>
                  </w:r>
                  <w:r>
                    <w:rPr>
                      <w:rFonts w:hint="default" w:ascii="Times New Roman" w:hAnsi="Times New Roman" w:eastAsia="宋体" w:cs="Times New Roman"/>
                      <w:kern w:val="2"/>
                      <w:sz w:val="21"/>
                      <w:szCs w:val="21"/>
                      <w:vertAlign w:val="subscript"/>
                    </w:rPr>
                    <w:t>3</w:t>
                  </w:r>
                  <w:r>
                    <w:rPr>
                      <w:rFonts w:hint="default" w:ascii="Times New Roman" w:hAnsi="Times New Roman" w:eastAsia="宋体" w:cs="Times New Roman"/>
                      <w:kern w:val="2"/>
                      <w:sz w:val="21"/>
                      <w:szCs w:val="21"/>
                    </w:rPr>
                    <w:t>-N、SS等</w:t>
                  </w:r>
                </w:p>
              </w:tc>
            </w:tr>
            <w:tr w14:paraId="4EB45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07" w:type="pct"/>
                  <w:vMerge w:val="restart"/>
                  <w:tcBorders>
                    <w:top w:val="single" w:color="auto" w:sz="4" w:space="0"/>
                    <w:left w:val="single" w:color="auto" w:sz="4" w:space="0"/>
                    <w:right w:val="single" w:color="auto" w:sz="4" w:space="0"/>
                  </w:tcBorders>
                  <w:noWrap w:val="0"/>
                  <w:vAlign w:val="center"/>
                </w:tcPr>
                <w:p w14:paraId="3AE01905">
                  <w:pPr>
                    <w:pStyle w:val="87"/>
                    <w:widowControl/>
                    <w:spacing w:line="240" w:lineRule="auto"/>
                    <w:ind w:firstLine="0" w:firstLineChars="0"/>
                    <w:jc w:val="center"/>
                    <w:textAlignment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固体</w:t>
                  </w:r>
                </w:p>
                <w:p w14:paraId="66778530">
                  <w:pPr>
                    <w:pStyle w:val="87"/>
                    <w:widowControl/>
                    <w:spacing w:line="240" w:lineRule="auto"/>
                    <w:ind w:firstLine="0" w:firstLineChars="0"/>
                    <w:jc w:val="center"/>
                    <w:textAlignment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废物</w:t>
                  </w:r>
                </w:p>
              </w:tc>
              <w:tc>
                <w:tcPr>
                  <w:tcW w:w="1411" w:type="pct"/>
                  <w:tcBorders>
                    <w:top w:val="single" w:color="auto" w:sz="4" w:space="0"/>
                    <w:left w:val="single" w:color="auto" w:sz="4" w:space="0"/>
                    <w:bottom w:val="single" w:color="auto" w:sz="4" w:space="0"/>
                    <w:right w:val="single" w:color="auto" w:sz="4" w:space="0"/>
                  </w:tcBorders>
                  <w:noWrap w:val="0"/>
                  <w:vAlign w:val="center"/>
                </w:tcPr>
                <w:p w14:paraId="4AF7C2A2">
                  <w:pPr>
                    <w:pStyle w:val="87"/>
                    <w:widowControl/>
                    <w:spacing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下料、机加工、组装</w:t>
                  </w:r>
                </w:p>
              </w:tc>
              <w:tc>
                <w:tcPr>
                  <w:tcW w:w="985" w:type="pct"/>
                  <w:tcBorders>
                    <w:top w:val="single" w:color="auto" w:sz="4" w:space="0"/>
                    <w:left w:val="single" w:color="auto" w:sz="4" w:space="0"/>
                    <w:bottom w:val="single" w:color="auto" w:sz="4" w:space="0"/>
                    <w:right w:val="single" w:color="auto" w:sz="4" w:space="0"/>
                  </w:tcBorders>
                  <w:noWrap w:val="0"/>
                  <w:vAlign w:val="center"/>
                </w:tcPr>
                <w:p w14:paraId="65784477">
                  <w:pPr>
                    <w:pStyle w:val="87"/>
                    <w:widowControl/>
                    <w:autoSpaceDE w:val="0"/>
                    <w:autoSpaceDN w:val="0"/>
                    <w:spacing w:line="240" w:lineRule="auto"/>
                    <w:ind w:firstLine="0" w:firstLineChars="0"/>
                    <w:jc w:val="center"/>
                    <w:textAlignment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废边角料</w:t>
                  </w:r>
                </w:p>
              </w:tc>
              <w:tc>
                <w:tcPr>
                  <w:tcW w:w="522" w:type="pct"/>
                  <w:tcBorders>
                    <w:top w:val="single" w:color="auto" w:sz="4" w:space="0"/>
                    <w:left w:val="single" w:color="auto" w:sz="4" w:space="0"/>
                    <w:bottom w:val="single" w:color="auto" w:sz="4" w:space="0"/>
                    <w:right w:val="single" w:color="auto" w:sz="4" w:space="0"/>
                  </w:tcBorders>
                  <w:noWrap w:val="0"/>
                  <w:vAlign w:val="center"/>
                </w:tcPr>
                <w:p w14:paraId="2D04F3A5">
                  <w:pPr>
                    <w:pStyle w:val="87"/>
                    <w:widowControl/>
                    <w:spacing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S1</w:t>
                  </w:r>
                </w:p>
              </w:tc>
              <w:tc>
                <w:tcPr>
                  <w:tcW w:w="1674" w:type="pct"/>
                  <w:tcBorders>
                    <w:top w:val="single" w:color="auto" w:sz="4" w:space="0"/>
                    <w:left w:val="single" w:color="auto" w:sz="4" w:space="0"/>
                    <w:bottom w:val="single" w:color="auto" w:sz="4" w:space="0"/>
                    <w:right w:val="single" w:color="auto" w:sz="4" w:space="0"/>
                  </w:tcBorders>
                  <w:noWrap w:val="0"/>
                  <w:vAlign w:val="center"/>
                </w:tcPr>
                <w:p w14:paraId="4295AC0E">
                  <w:pPr>
                    <w:pStyle w:val="87"/>
                    <w:widowControl/>
                    <w:spacing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不锈钢</w:t>
                  </w:r>
                </w:p>
              </w:tc>
            </w:tr>
            <w:tr w14:paraId="1AB26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atLeast"/>
                <w:jc w:val="center"/>
              </w:trPr>
              <w:tc>
                <w:tcPr>
                  <w:tcW w:w="407" w:type="pct"/>
                  <w:vMerge w:val="continue"/>
                  <w:tcBorders>
                    <w:left w:val="single" w:color="auto" w:sz="4" w:space="0"/>
                    <w:right w:val="single" w:color="auto" w:sz="4" w:space="0"/>
                  </w:tcBorders>
                  <w:noWrap w:val="0"/>
                  <w:vAlign w:val="center"/>
                </w:tcPr>
                <w:p w14:paraId="3D120E0D">
                  <w:pPr>
                    <w:pStyle w:val="87"/>
                    <w:widowControl/>
                    <w:spacing w:line="240" w:lineRule="auto"/>
                    <w:ind w:firstLine="0" w:firstLineChars="0"/>
                    <w:jc w:val="center"/>
                    <w:textAlignment w:val="center"/>
                    <w:rPr>
                      <w:rFonts w:hint="default" w:ascii="Times New Roman" w:hAnsi="Times New Roman" w:eastAsia="宋体" w:cs="Times New Roman"/>
                      <w:kern w:val="2"/>
                      <w:sz w:val="21"/>
                      <w:szCs w:val="21"/>
                    </w:rPr>
                  </w:pPr>
                </w:p>
              </w:tc>
              <w:tc>
                <w:tcPr>
                  <w:tcW w:w="1411" w:type="pct"/>
                  <w:tcBorders>
                    <w:top w:val="single" w:color="auto" w:sz="4" w:space="0"/>
                    <w:left w:val="single" w:color="auto" w:sz="4" w:space="0"/>
                    <w:bottom w:val="single" w:color="auto" w:sz="4" w:space="0"/>
                    <w:right w:val="single" w:color="auto" w:sz="4" w:space="0"/>
                  </w:tcBorders>
                  <w:noWrap w:val="0"/>
                  <w:vAlign w:val="center"/>
                </w:tcPr>
                <w:p w14:paraId="35410D27">
                  <w:pPr>
                    <w:pStyle w:val="87"/>
                    <w:widowControl/>
                    <w:spacing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机加工</w:t>
                  </w:r>
                </w:p>
              </w:tc>
              <w:tc>
                <w:tcPr>
                  <w:tcW w:w="985" w:type="pct"/>
                  <w:tcBorders>
                    <w:top w:val="single" w:color="auto" w:sz="4" w:space="0"/>
                    <w:left w:val="single" w:color="auto" w:sz="4" w:space="0"/>
                    <w:bottom w:val="single" w:color="auto" w:sz="4" w:space="0"/>
                    <w:right w:val="single" w:color="auto" w:sz="4" w:space="0"/>
                  </w:tcBorders>
                  <w:noWrap w:val="0"/>
                  <w:vAlign w:val="center"/>
                </w:tcPr>
                <w:p w14:paraId="12727F19">
                  <w:pPr>
                    <w:pStyle w:val="87"/>
                    <w:widowControl/>
                    <w:spacing w:line="240" w:lineRule="auto"/>
                    <w:ind w:firstLine="0" w:firstLineChars="0"/>
                    <w:jc w:val="center"/>
                    <w:textAlignment w:val="center"/>
                    <w:rPr>
                      <w:rFonts w:hint="eastAsia" w:ascii="Times New Roman" w:hAnsi="Times New Roman" w:eastAsia="宋体" w:cs="Times New Roman"/>
                      <w:sz w:val="21"/>
                      <w:szCs w:val="21"/>
                      <w:lang w:eastAsia="zh-CN"/>
                    </w:rPr>
                  </w:pPr>
                  <w:r>
                    <w:rPr>
                      <w:rFonts w:hint="eastAsia" w:cs="Times New Roman"/>
                      <w:sz w:val="21"/>
                      <w:szCs w:val="21"/>
                      <w:lang w:eastAsia="zh-CN"/>
                    </w:rPr>
                    <w:t>废润滑油</w:t>
                  </w:r>
                </w:p>
              </w:tc>
              <w:tc>
                <w:tcPr>
                  <w:tcW w:w="522" w:type="pct"/>
                  <w:tcBorders>
                    <w:top w:val="single" w:color="auto" w:sz="4" w:space="0"/>
                    <w:left w:val="single" w:color="auto" w:sz="4" w:space="0"/>
                    <w:bottom w:val="single" w:color="auto" w:sz="4" w:space="0"/>
                    <w:right w:val="single" w:color="auto" w:sz="4" w:space="0"/>
                  </w:tcBorders>
                  <w:noWrap w:val="0"/>
                  <w:vAlign w:val="center"/>
                </w:tcPr>
                <w:p w14:paraId="200EC903">
                  <w:pPr>
                    <w:pStyle w:val="87"/>
                    <w:widowControl/>
                    <w:spacing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S2</w:t>
                  </w:r>
                </w:p>
              </w:tc>
              <w:tc>
                <w:tcPr>
                  <w:tcW w:w="1674" w:type="pct"/>
                  <w:tcBorders>
                    <w:top w:val="single" w:color="auto" w:sz="4" w:space="0"/>
                    <w:left w:val="single" w:color="auto" w:sz="4" w:space="0"/>
                    <w:bottom w:val="single" w:color="auto" w:sz="4" w:space="0"/>
                    <w:right w:val="single" w:color="auto" w:sz="4" w:space="0"/>
                  </w:tcBorders>
                  <w:noWrap w:val="0"/>
                  <w:vAlign w:val="center"/>
                </w:tcPr>
                <w:p w14:paraId="1FBC64D2">
                  <w:pPr>
                    <w:pStyle w:val="87"/>
                    <w:widowControl/>
                    <w:spacing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矿物油</w:t>
                  </w:r>
                </w:p>
              </w:tc>
            </w:tr>
            <w:tr w14:paraId="428AD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atLeast"/>
                <w:jc w:val="center"/>
              </w:trPr>
              <w:tc>
                <w:tcPr>
                  <w:tcW w:w="407" w:type="pct"/>
                  <w:vMerge w:val="continue"/>
                  <w:tcBorders>
                    <w:left w:val="single" w:color="auto" w:sz="4" w:space="0"/>
                    <w:right w:val="single" w:color="auto" w:sz="4" w:space="0"/>
                  </w:tcBorders>
                  <w:noWrap w:val="0"/>
                  <w:vAlign w:val="center"/>
                </w:tcPr>
                <w:p w14:paraId="64781527">
                  <w:pPr>
                    <w:pStyle w:val="87"/>
                    <w:widowControl/>
                    <w:spacing w:line="240" w:lineRule="auto"/>
                    <w:ind w:firstLine="0" w:firstLineChars="0"/>
                    <w:jc w:val="center"/>
                    <w:textAlignment w:val="center"/>
                    <w:rPr>
                      <w:rFonts w:hint="default" w:ascii="Times New Roman" w:hAnsi="Times New Roman" w:eastAsia="宋体" w:cs="Times New Roman"/>
                      <w:kern w:val="2"/>
                      <w:sz w:val="21"/>
                      <w:szCs w:val="21"/>
                    </w:rPr>
                  </w:pPr>
                </w:p>
              </w:tc>
              <w:tc>
                <w:tcPr>
                  <w:tcW w:w="1411" w:type="pct"/>
                  <w:tcBorders>
                    <w:top w:val="single" w:color="auto" w:sz="4" w:space="0"/>
                    <w:left w:val="single" w:color="auto" w:sz="4" w:space="0"/>
                    <w:bottom w:val="single" w:color="auto" w:sz="4" w:space="0"/>
                    <w:right w:val="single" w:color="auto" w:sz="4" w:space="0"/>
                  </w:tcBorders>
                  <w:noWrap w:val="0"/>
                  <w:vAlign w:val="center"/>
                </w:tcPr>
                <w:p w14:paraId="12D3B83C">
                  <w:pPr>
                    <w:pStyle w:val="87"/>
                    <w:widowControl/>
                    <w:spacing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焊接</w:t>
                  </w:r>
                </w:p>
              </w:tc>
              <w:tc>
                <w:tcPr>
                  <w:tcW w:w="985" w:type="pct"/>
                  <w:tcBorders>
                    <w:top w:val="single" w:color="auto" w:sz="4" w:space="0"/>
                    <w:left w:val="single" w:color="auto" w:sz="4" w:space="0"/>
                    <w:bottom w:val="single" w:color="auto" w:sz="4" w:space="0"/>
                    <w:right w:val="single" w:color="auto" w:sz="4" w:space="0"/>
                  </w:tcBorders>
                  <w:noWrap w:val="0"/>
                  <w:vAlign w:val="center"/>
                </w:tcPr>
                <w:p w14:paraId="4BC9DDF9">
                  <w:pPr>
                    <w:pStyle w:val="87"/>
                    <w:widowControl/>
                    <w:spacing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焊渣</w:t>
                  </w:r>
                </w:p>
              </w:tc>
              <w:tc>
                <w:tcPr>
                  <w:tcW w:w="522" w:type="pct"/>
                  <w:tcBorders>
                    <w:top w:val="single" w:color="auto" w:sz="4" w:space="0"/>
                    <w:left w:val="single" w:color="auto" w:sz="4" w:space="0"/>
                    <w:bottom w:val="single" w:color="auto" w:sz="4" w:space="0"/>
                    <w:right w:val="single" w:color="auto" w:sz="4" w:space="0"/>
                  </w:tcBorders>
                  <w:noWrap w:val="0"/>
                  <w:vAlign w:val="center"/>
                </w:tcPr>
                <w:p w14:paraId="4AD246B5">
                  <w:pPr>
                    <w:pStyle w:val="87"/>
                    <w:widowControl/>
                    <w:spacing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S3</w:t>
                  </w:r>
                </w:p>
              </w:tc>
              <w:tc>
                <w:tcPr>
                  <w:tcW w:w="1674" w:type="pct"/>
                  <w:tcBorders>
                    <w:top w:val="single" w:color="auto" w:sz="4" w:space="0"/>
                    <w:left w:val="single" w:color="auto" w:sz="4" w:space="0"/>
                    <w:bottom w:val="single" w:color="auto" w:sz="4" w:space="0"/>
                    <w:right w:val="single" w:color="auto" w:sz="4" w:space="0"/>
                  </w:tcBorders>
                  <w:noWrap w:val="0"/>
                  <w:vAlign w:val="center"/>
                </w:tcPr>
                <w:p w14:paraId="0E01C705">
                  <w:pPr>
                    <w:pStyle w:val="87"/>
                    <w:widowControl/>
                    <w:spacing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焊渣</w:t>
                  </w:r>
                </w:p>
              </w:tc>
            </w:tr>
            <w:tr w14:paraId="26A6F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atLeast"/>
                <w:jc w:val="center"/>
              </w:trPr>
              <w:tc>
                <w:tcPr>
                  <w:tcW w:w="407" w:type="pct"/>
                  <w:vMerge w:val="continue"/>
                  <w:tcBorders>
                    <w:left w:val="single" w:color="auto" w:sz="4" w:space="0"/>
                    <w:right w:val="single" w:color="auto" w:sz="4" w:space="0"/>
                  </w:tcBorders>
                  <w:noWrap w:val="0"/>
                  <w:vAlign w:val="center"/>
                </w:tcPr>
                <w:p w14:paraId="63E1FBCC">
                  <w:pPr>
                    <w:pStyle w:val="87"/>
                    <w:widowControl/>
                    <w:spacing w:line="240" w:lineRule="auto"/>
                    <w:ind w:firstLine="0" w:firstLineChars="0"/>
                    <w:jc w:val="center"/>
                    <w:textAlignment w:val="center"/>
                    <w:rPr>
                      <w:rFonts w:hint="default" w:ascii="Times New Roman" w:hAnsi="Times New Roman" w:eastAsia="宋体" w:cs="Times New Roman"/>
                      <w:kern w:val="2"/>
                      <w:sz w:val="21"/>
                      <w:szCs w:val="21"/>
                    </w:rPr>
                  </w:pPr>
                </w:p>
              </w:tc>
              <w:tc>
                <w:tcPr>
                  <w:tcW w:w="1411" w:type="pct"/>
                  <w:tcBorders>
                    <w:top w:val="single" w:color="auto" w:sz="4" w:space="0"/>
                    <w:left w:val="single" w:color="auto" w:sz="4" w:space="0"/>
                    <w:bottom w:val="single" w:color="auto" w:sz="4" w:space="0"/>
                    <w:right w:val="single" w:color="auto" w:sz="4" w:space="0"/>
                  </w:tcBorders>
                  <w:noWrap w:val="0"/>
                  <w:vAlign w:val="center"/>
                </w:tcPr>
                <w:p w14:paraId="17E34B18">
                  <w:pPr>
                    <w:pStyle w:val="87"/>
                    <w:widowControl/>
                    <w:spacing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喷漆</w:t>
                  </w:r>
                </w:p>
              </w:tc>
              <w:tc>
                <w:tcPr>
                  <w:tcW w:w="985" w:type="pct"/>
                  <w:tcBorders>
                    <w:top w:val="single" w:color="auto" w:sz="4" w:space="0"/>
                    <w:left w:val="single" w:color="auto" w:sz="4" w:space="0"/>
                    <w:bottom w:val="single" w:color="auto" w:sz="4" w:space="0"/>
                    <w:right w:val="single" w:color="auto" w:sz="4" w:space="0"/>
                  </w:tcBorders>
                  <w:noWrap w:val="0"/>
                  <w:vAlign w:val="center"/>
                </w:tcPr>
                <w:p w14:paraId="0DA4FCE0">
                  <w:pPr>
                    <w:pStyle w:val="87"/>
                    <w:widowControl/>
                    <w:spacing w:line="240" w:lineRule="auto"/>
                    <w:ind w:firstLine="0" w:firstLineChars="0"/>
                    <w:jc w:val="center"/>
                    <w:textAlignment w:val="center"/>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废包装桶</w:t>
                  </w:r>
                  <w:r>
                    <w:rPr>
                      <w:rFonts w:hint="eastAsia"/>
                      <w:lang w:eastAsia="zh-CN"/>
                    </w:rPr>
                    <w:t>及漆渣</w:t>
                  </w:r>
                </w:p>
              </w:tc>
              <w:tc>
                <w:tcPr>
                  <w:tcW w:w="522" w:type="pct"/>
                  <w:tcBorders>
                    <w:top w:val="single" w:color="auto" w:sz="4" w:space="0"/>
                    <w:left w:val="single" w:color="auto" w:sz="4" w:space="0"/>
                    <w:bottom w:val="single" w:color="auto" w:sz="4" w:space="0"/>
                    <w:right w:val="single" w:color="auto" w:sz="4" w:space="0"/>
                  </w:tcBorders>
                  <w:noWrap w:val="0"/>
                  <w:vAlign w:val="center"/>
                </w:tcPr>
                <w:p w14:paraId="250709D6">
                  <w:pPr>
                    <w:pStyle w:val="87"/>
                    <w:widowControl/>
                    <w:spacing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S4</w:t>
                  </w:r>
                </w:p>
              </w:tc>
              <w:tc>
                <w:tcPr>
                  <w:tcW w:w="1674" w:type="pct"/>
                  <w:tcBorders>
                    <w:top w:val="single" w:color="auto" w:sz="4" w:space="0"/>
                    <w:left w:val="single" w:color="auto" w:sz="4" w:space="0"/>
                    <w:bottom w:val="single" w:color="auto" w:sz="4" w:space="0"/>
                    <w:right w:val="single" w:color="auto" w:sz="4" w:space="0"/>
                  </w:tcBorders>
                  <w:noWrap w:val="0"/>
                  <w:vAlign w:val="center"/>
                </w:tcPr>
                <w:p w14:paraId="7B0D1279">
                  <w:pPr>
                    <w:pStyle w:val="87"/>
                    <w:widowControl/>
                    <w:spacing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有机物</w:t>
                  </w:r>
                </w:p>
              </w:tc>
            </w:tr>
            <w:tr w14:paraId="66643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atLeast"/>
                <w:jc w:val="center"/>
              </w:trPr>
              <w:tc>
                <w:tcPr>
                  <w:tcW w:w="407" w:type="pct"/>
                  <w:vMerge w:val="continue"/>
                  <w:tcBorders>
                    <w:left w:val="single" w:color="auto" w:sz="4" w:space="0"/>
                    <w:right w:val="single" w:color="auto" w:sz="4" w:space="0"/>
                  </w:tcBorders>
                  <w:noWrap w:val="0"/>
                  <w:vAlign w:val="center"/>
                </w:tcPr>
                <w:p w14:paraId="1812D4EF">
                  <w:pPr>
                    <w:pStyle w:val="87"/>
                    <w:widowControl/>
                    <w:spacing w:line="240" w:lineRule="auto"/>
                    <w:ind w:firstLine="0" w:firstLineChars="0"/>
                    <w:jc w:val="center"/>
                    <w:textAlignment w:val="center"/>
                    <w:rPr>
                      <w:rFonts w:hint="default" w:ascii="Times New Roman" w:hAnsi="Times New Roman" w:eastAsia="宋体" w:cs="Times New Roman"/>
                      <w:kern w:val="2"/>
                      <w:sz w:val="21"/>
                      <w:szCs w:val="21"/>
                    </w:rPr>
                  </w:pPr>
                </w:p>
              </w:tc>
              <w:tc>
                <w:tcPr>
                  <w:tcW w:w="1411" w:type="pct"/>
                  <w:vMerge w:val="restart"/>
                  <w:tcBorders>
                    <w:top w:val="single" w:color="auto" w:sz="4" w:space="0"/>
                    <w:left w:val="single" w:color="auto" w:sz="4" w:space="0"/>
                    <w:right w:val="single" w:color="auto" w:sz="4" w:space="0"/>
                  </w:tcBorders>
                  <w:noWrap w:val="0"/>
                  <w:vAlign w:val="center"/>
                </w:tcPr>
                <w:p w14:paraId="1A14FFF4">
                  <w:pPr>
                    <w:pStyle w:val="87"/>
                    <w:widowControl/>
                    <w:spacing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废气处理</w:t>
                  </w:r>
                </w:p>
              </w:tc>
              <w:tc>
                <w:tcPr>
                  <w:tcW w:w="985" w:type="pct"/>
                  <w:tcBorders>
                    <w:top w:val="single" w:color="auto" w:sz="4" w:space="0"/>
                    <w:left w:val="single" w:color="auto" w:sz="4" w:space="0"/>
                    <w:bottom w:val="single" w:color="auto" w:sz="4" w:space="0"/>
                    <w:right w:val="single" w:color="auto" w:sz="4" w:space="0"/>
                  </w:tcBorders>
                  <w:noWrap w:val="0"/>
                  <w:vAlign w:val="center"/>
                </w:tcPr>
                <w:p w14:paraId="582CF4AB">
                  <w:pPr>
                    <w:pStyle w:val="87"/>
                    <w:widowControl/>
                    <w:spacing w:line="240" w:lineRule="auto"/>
                    <w:ind w:firstLine="0" w:firstLineChars="0"/>
                    <w:jc w:val="center"/>
                    <w:textAlignment w:val="center"/>
                    <w:rPr>
                      <w:rFonts w:hint="eastAsia" w:ascii="Times New Roman" w:hAnsi="Times New Roman" w:eastAsia="宋体" w:cs="Times New Roman"/>
                      <w:sz w:val="21"/>
                      <w:szCs w:val="21"/>
                      <w:lang w:eastAsia="zh-CN"/>
                    </w:rPr>
                  </w:pPr>
                  <w:r>
                    <w:rPr>
                      <w:rFonts w:hint="eastAsia" w:cs="Times New Roman"/>
                      <w:sz w:val="21"/>
                      <w:szCs w:val="21"/>
                      <w:lang w:eastAsia="zh-CN"/>
                    </w:rPr>
                    <w:t>废过滤棉</w:t>
                  </w:r>
                </w:p>
              </w:tc>
              <w:tc>
                <w:tcPr>
                  <w:tcW w:w="522" w:type="pct"/>
                  <w:tcBorders>
                    <w:top w:val="single" w:color="auto" w:sz="4" w:space="0"/>
                    <w:left w:val="single" w:color="auto" w:sz="4" w:space="0"/>
                    <w:bottom w:val="single" w:color="auto" w:sz="4" w:space="0"/>
                    <w:right w:val="single" w:color="auto" w:sz="4" w:space="0"/>
                  </w:tcBorders>
                  <w:noWrap w:val="0"/>
                  <w:vAlign w:val="center"/>
                </w:tcPr>
                <w:p w14:paraId="2F9699A2">
                  <w:pPr>
                    <w:pStyle w:val="87"/>
                    <w:widowControl/>
                    <w:spacing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S5</w:t>
                  </w:r>
                </w:p>
              </w:tc>
              <w:tc>
                <w:tcPr>
                  <w:tcW w:w="1674" w:type="pct"/>
                  <w:tcBorders>
                    <w:top w:val="single" w:color="auto" w:sz="4" w:space="0"/>
                    <w:left w:val="single" w:color="auto" w:sz="4" w:space="0"/>
                    <w:bottom w:val="single" w:color="auto" w:sz="4" w:space="0"/>
                    <w:right w:val="single" w:color="auto" w:sz="4" w:space="0"/>
                  </w:tcBorders>
                  <w:noWrap w:val="0"/>
                  <w:vAlign w:val="center"/>
                </w:tcPr>
                <w:p w14:paraId="27AFD02E">
                  <w:pPr>
                    <w:pStyle w:val="87"/>
                    <w:widowControl/>
                    <w:spacing w:line="240" w:lineRule="auto"/>
                    <w:ind w:firstLine="0" w:firstLineChars="0"/>
                    <w:jc w:val="center"/>
                    <w:textAlignment w:val="center"/>
                    <w:rPr>
                      <w:rFonts w:hint="eastAsia" w:ascii="Times New Roman" w:hAnsi="Times New Roman" w:eastAsia="宋体" w:cs="Times New Roman"/>
                      <w:sz w:val="21"/>
                      <w:szCs w:val="21"/>
                      <w:lang w:eastAsia="zh-CN"/>
                    </w:rPr>
                  </w:pPr>
                  <w:r>
                    <w:rPr>
                      <w:rFonts w:hint="eastAsia" w:cs="Times New Roman"/>
                      <w:sz w:val="21"/>
                      <w:szCs w:val="21"/>
                      <w:lang w:eastAsia="zh-CN"/>
                    </w:rPr>
                    <w:t>过滤棉</w:t>
                  </w:r>
                </w:p>
              </w:tc>
            </w:tr>
            <w:tr w14:paraId="7AB22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407" w:type="pct"/>
                  <w:vMerge w:val="continue"/>
                  <w:tcBorders>
                    <w:left w:val="single" w:color="auto" w:sz="4" w:space="0"/>
                    <w:bottom w:val="single" w:color="auto" w:sz="4" w:space="0"/>
                    <w:right w:val="single" w:color="auto" w:sz="4" w:space="0"/>
                  </w:tcBorders>
                  <w:noWrap w:val="0"/>
                  <w:vAlign w:val="center"/>
                </w:tcPr>
                <w:p w14:paraId="27BFCB15">
                  <w:pPr>
                    <w:pStyle w:val="87"/>
                    <w:widowControl/>
                    <w:spacing w:line="240" w:lineRule="auto"/>
                    <w:ind w:firstLine="0" w:firstLineChars="0"/>
                    <w:jc w:val="center"/>
                    <w:textAlignment w:val="center"/>
                    <w:rPr>
                      <w:rFonts w:hint="default" w:ascii="Times New Roman" w:hAnsi="Times New Roman" w:eastAsia="宋体" w:cs="Times New Roman"/>
                      <w:kern w:val="2"/>
                      <w:sz w:val="21"/>
                      <w:szCs w:val="21"/>
                    </w:rPr>
                  </w:pPr>
                </w:p>
              </w:tc>
              <w:tc>
                <w:tcPr>
                  <w:tcW w:w="1411" w:type="pct"/>
                  <w:vMerge w:val="continue"/>
                  <w:tcBorders>
                    <w:left w:val="single" w:color="auto" w:sz="4" w:space="0"/>
                    <w:bottom w:val="single" w:color="auto" w:sz="4" w:space="0"/>
                    <w:right w:val="single" w:color="auto" w:sz="4" w:space="0"/>
                  </w:tcBorders>
                  <w:noWrap w:val="0"/>
                  <w:vAlign w:val="center"/>
                </w:tcPr>
                <w:p w14:paraId="6A6DE360">
                  <w:pPr>
                    <w:pStyle w:val="87"/>
                    <w:widowControl/>
                    <w:spacing w:line="240" w:lineRule="auto"/>
                    <w:ind w:firstLine="0" w:firstLineChars="0"/>
                    <w:jc w:val="center"/>
                    <w:textAlignment w:val="center"/>
                    <w:rPr>
                      <w:rFonts w:hint="default" w:ascii="Times New Roman" w:hAnsi="Times New Roman" w:eastAsia="宋体" w:cs="Times New Roman"/>
                      <w:sz w:val="21"/>
                      <w:szCs w:val="21"/>
                    </w:rPr>
                  </w:pPr>
                </w:p>
              </w:tc>
              <w:tc>
                <w:tcPr>
                  <w:tcW w:w="985" w:type="pct"/>
                  <w:tcBorders>
                    <w:top w:val="single" w:color="auto" w:sz="4" w:space="0"/>
                    <w:left w:val="single" w:color="auto" w:sz="4" w:space="0"/>
                    <w:bottom w:val="single" w:color="auto" w:sz="4" w:space="0"/>
                    <w:right w:val="single" w:color="auto" w:sz="4" w:space="0"/>
                  </w:tcBorders>
                  <w:noWrap w:val="0"/>
                  <w:vAlign w:val="center"/>
                </w:tcPr>
                <w:p w14:paraId="5E2A1519">
                  <w:pPr>
                    <w:pStyle w:val="87"/>
                    <w:widowControl/>
                    <w:spacing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废活性炭</w:t>
                  </w:r>
                </w:p>
              </w:tc>
              <w:tc>
                <w:tcPr>
                  <w:tcW w:w="522" w:type="pct"/>
                  <w:tcBorders>
                    <w:top w:val="single" w:color="auto" w:sz="4" w:space="0"/>
                    <w:left w:val="single" w:color="auto" w:sz="4" w:space="0"/>
                    <w:bottom w:val="single" w:color="auto" w:sz="4" w:space="0"/>
                    <w:right w:val="single" w:color="auto" w:sz="4" w:space="0"/>
                  </w:tcBorders>
                  <w:noWrap w:val="0"/>
                  <w:vAlign w:val="center"/>
                </w:tcPr>
                <w:p w14:paraId="3AF339CF">
                  <w:pPr>
                    <w:pStyle w:val="87"/>
                    <w:widowControl/>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S6</w:t>
                  </w:r>
                </w:p>
              </w:tc>
              <w:tc>
                <w:tcPr>
                  <w:tcW w:w="1674" w:type="pct"/>
                  <w:tcBorders>
                    <w:top w:val="single" w:color="auto" w:sz="4" w:space="0"/>
                    <w:left w:val="single" w:color="auto" w:sz="4" w:space="0"/>
                    <w:bottom w:val="single" w:color="auto" w:sz="4" w:space="0"/>
                    <w:right w:val="single" w:color="auto" w:sz="4" w:space="0"/>
                  </w:tcBorders>
                  <w:noWrap w:val="0"/>
                  <w:vAlign w:val="center"/>
                </w:tcPr>
                <w:p w14:paraId="619C93FD">
                  <w:pPr>
                    <w:pStyle w:val="87"/>
                    <w:widowControl/>
                    <w:spacing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活性炭</w:t>
                  </w:r>
                </w:p>
              </w:tc>
            </w:tr>
          </w:tbl>
          <w:p w14:paraId="5E16DEBC">
            <w:pPr>
              <w:widowControl/>
              <w:spacing w:line="360" w:lineRule="auto"/>
              <w:ind w:firstLine="482" w:firstLineChars="200"/>
              <w:jc w:val="left"/>
              <w:rPr>
                <w:b/>
                <w:sz w:val="24"/>
              </w:rPr>
            </w:pPr>
          </w:p>
        </w:tc>
      </w:tr>
      <w:tr w14:paraId="09B4BE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4" w:type="dxa"/>
            <w:vAlign w:val="center"/>
          </w:tcPr>
          <w:p w14:paraId="340278EC">
            <w:pPr>
              <w:pStyle w:val="23"/>
              <w:adjustRightInd w:val="0"/>
              <w:snapToGrid w:val="0"/>
              <w:spacing w:before="0" w:beforeAutospacing="0" w:after="0" w:afterAutospacing="0"/>
              <w:jc w:val="center"/>
              <w:rPr>
                <w:rFonts w:cs="宋体"/>
                <w:b/>
                <w:sz w:val="21"/>
                <w:szCs w:val="21"/>
              </w:rPr>
            </w:pPr>
            <w:r>
              <w:rPr>
                <w:rFonts w:hint="eastAsia" w:cs="宋体"/>
                <w:b/>
                <w:bCs/>
                <w:kern w:val="2"/>
                <w:sz w:val="21"/>
                <w:szCs w:val="21"/>
              </w:rPr>
              <w:t>与项目有关的原有环境污染问题</w:t>
            </w:r>
          </w:p>
        </w:tc>
        <w:tc>
          <w:tcPr>
            <w:tcW w:w="8862" w:type="dxa"/>
            <w:gridSpan w:val="3"/>
            <w:vAlign w:val="center"/>
          </w:tcPr>
          <w:p w14:paraId="6CD212C9">
            <w:pPr>
              <w:autoSpaceDE w:val="0"/>
              <w:autoSpaceDN w:val="0"/>
              <w:adjustRightInd w:val="0"/>
              <w:spacing w:line="360" w:lineRule="auto"/>
              <w:ind w:firstLine="480" w:firstLineChars="200"/>
              <w:jc w:val="center"/>
            </w:pPr>
            <w:r>
              <w:rPr>
                <w:sz w:val="24"/>
              </w:rPr>
              <w:t>本项目为新建项目，现有场地为空地，不存在原有环境污染问题。</w:t>
            </w:r>
          </w:p>
        </w:tc>
      </w:tr>
    </w:tbl>
    <w:p w14:paraId="4DAEBD87">
      <w:pPr>
        <w:pStyle w:val="23"/>
        <w:jc w:val="center"/>
        <w:rPr>
          <w:rFonts w:ascii="黑体" w:hAnsi="黑体" w:eastAsia="黑体"/>
          <w:snapToGrid w:val="0"/>
          <w:sz w:val="36"/>
          <w:szCs w:val="36"/>
        </w:rPr>
        <w:sectPr>
          <w:footerReference r:id="rId7" w:type="default"/>
          <w:pgSz w:w="11906" w:h="16838"/>
          <w:pgMar w:top="1418" w:right="1418" w:bottom="1418" w:left="1418" w:header="851" w:footer="851" w:gutter="0"/>
          <w:pgBorders>
            <w:top w:val="none" w:sz="0" w:space="0"/>
            <w:left w:val="none" w:sz="0" w:space="0"/>
            <w:bottom w:val="none" w:sz="0" w:space="0"/>
            <w:right w:val="none" w:sz="0" w:space="0"/>
          </w:pgBorders>
          <w:cols w:space="720" w:num="1"/>
          <w:docGrid w:linePitch="312" w:charSpace="0"/>
        </w:sectPr>
      </w:pPr>
    </w:p>
    <w:p w14:paraId="7E885E6E">
      <w:pPr>
        <w:pStyle w:val="23"/>
        <w:adjustRightInd w:val="0"/>
        <w:snapToGrid w:val="0"/>
        <w:spacing w:before="0" w:beforeAutospacing="0" w:after="0" w:afterAutospacing="0" w:line="14" w:lineRule="auto"/>
        <w:jc w:val="center"/>
        <w:rPr>
          <w:rFonts w:ascii="黑体" w:hAnsi="黑体" w:eastAsia="黑体"/>
          <w:snapToGrid w:val="0"/>
          <w:sz w:val="30"/>
          <w:szCs w:val="30"/>
        </w:rPr>
      </w:pPr>
    </w:p>
    <w:p w14:paraId="0CE2E0F1">
      <w:pPr>
        <w:pStyle w:val="23"/>
        <w:jc w:val="center"/>
        <w:outlineLvl w:val="0"/>
        <w:rPr>
          <w:rFonts w:ascii="黑体" w:hAnsi="黑体" w:eastAsia="黑体"/>
          <w:snapToGrid w:val="0"/>
          <w:sz w:val="30"/>
          <w:szCs w:val="30"/>
        </w:rPr>
      </w:pPr>
      <w:r>
        <w:rPr>
          <w:rFonts w:hint="eastAsia" w:ascii="黑体" w:hAnsi="黑体" w:eastAsia="黑体"/>
          <w:snapToGrid w:val="0"/>
          <w:sz w:val="30"/>
          <w:szCs w:val="30"/>
        </w:rPr>
        <w:t>三、区域环境质量现状、环境保护目标及评价标准</w:t>
      </w:r>
    </w:p>
    <w:tbl>
      <w:tblPr>
        <w:tblStyle w:val="26"/>
        <w:tblW w:w="904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8245"/>
      </w:tblGrid>
      <w:tr w14:paraId="14E8DA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58" w:hRule="atLeast"/>
          <w:jc w:val="center"/>
        </w:trPr>
        <w:tc>
          <w:tcPr>
            <w:tcW w:w="800" w:type="dxa"/>
            <w:vAlign w:val="center"/>
          </w:tcPr>
          <w:p w14:paraId="16C12372">
            <w:pPr>
              <w:adjustRightInd w:val="0"/>
              <w:snapToGrid w:val="0"/>
              <w:jc w:val="center"/>
              <w:rPr>
                <w:rFonts w:ascii="宋体" w:hAnsi="宋体" w:cs="宋体"/>
                <w:b/>
                <w:kern w:val="0"/>
                <w:szCs w:val="21"/>
              </w:rPr>
            </w:pPr>
            <w:r>
              <w:rPr>
                <w:rFonts w:hint="eastAsia" w:ascii="宋体" w:hAnsi="宋体" w:cs="宋体"/>
                <w:b/>
                <w:kern w:val="0"/>
                <w:szCs w:val="21"/>
              </w:rPr>
              <w:t>区域</w:t>
            </w:r>
          </w:p>
          <w:p w14:paraId="1124C6D4">
            <w:pPr>
              <w:adjustRightInd w:val="0"/>
              <w:snapToGrid w:val="0"/>
              <w:jc w:val="center"/>
              <w:rPr>
                <w:rFonts w:ascii="宋体" w:hAnsi="宋体" w:cs="宋体"/>
                <w:b/>
                <w:kern w:val="0"/>
                <w:szCs w:val="21"/>
              </w:rPr>
            </w:pPr>
            <w:r>
              <w:rPr>
                <w:rFonts w:hint="eastAsia" w:ascii="宋体" w:hAnsi="宋体" w:cs="宋体"/>
                <w:b/>
                <w:kern w:val="0"/>
                <w:szCs w:val="21"/>
              </w:rPr>
              <w:t>环境</w:t>
            </w:r>
          </w:p>
          <w:p w14:paraId="19F98489">
            <w:pPr>
              <w:adjustRightInd w:val="0"/>
              <w:snapToGrid w:val="0"/>
              <w:jc w:val="center"/>
              <w:rPr>
                <w:rFonts w:ascii="宋体" w:hAnsi="宋体" w:cs="宋体"/>
                <w:b/>
                <w:kern w:val="0"/>
                <w:szCs w:val="21"/>
              </w:rPr>
            </w:pPr>
            <w:r>
              <w:rPr>
                <w:rFonts w:hint="eastAsia" w:ascii="宋体" w:hAnsi="宋体" w:cs="宋体"/>
                <w:b/>
                <w:kern w:val="0"/>
                <w:szCs w:val="21"/>
              </w:rPr>
              <w:t>质量</w:t>
            </w:r>
          </w:p>
          <w:p w14:paraId="2B15F44E">
            <w:pPr>
              <w:adjustRightInd w:val="0"/>
              <w:snapToGrid w:val="0"/>
              <w:jc w:val="center"/>
              <w:rPr>
                <w:rFonts w:ascii="宋体" w:hAnsi="宋体" w:cs="宋体"/>
                <w:kern w:val="0"/>
                <w:szCs w:val="21"/>
              </w:rPr>
            </w:pPr>
            <w:r>
              <w:rPr>
                <w:rFonts w:hint="eastAsia" w:ascii="宋体" w:hAnsi="宋体" w:cs="宋体"/>
                <w:b/>
                <w:kern w:val="0"/>
                <w:szCs w:val="21"/>
              </w:rPr>
              <w:t>现状</w:t>
            </w:r>
          </w:p>
        </w:tc>
        <w:tc>
          <w:tcPr>
            <w:tcW w:w="8245" w:type="dxa"/>
            <w:vAlign w:val="center"/>
          </w:tcPr>
          <w:p w14:paraId="4AFD79AA">
            <w:pPr>
              <w:autoSpaceDE w:val="0"/>
              <w:autoSpaceDN w:val="0"/>
              <w:adjustRightInd w:val="0"/>
              <w:snapToGrid w:val="0"/>
              <w:spacing w:line="360" w:lineRule="auto"/>
              <w:ind w:firstLine="482" w:firstLineChars="200"/>
              <w:jc w:val="left"/>
              <w:rPr>
                <w:b/>
                <w:bCs/>
                <w:sz w:val="24"/>
              </w:rPr>
            </w:pPr>
            <w:r>
              <w:rPr>
                <w:rFonts w:hint="eastAsia"/>
                <w:b/>
                <w:bCs/>
                <w:sz w:val="24"/>
              </w:rPr>
              <w:t>（一）</w:t>
            </w:r>
            <w:r>
              <w:rPr>
                <w:b/>
                <w:bCs/>
                <w:sz w:val="24"/>
              </w:rPr>
              <w:t>环境空气质量现状</w:t>
            </w:r>
          </w:p>
          <w:p w14:paraId="02A68529">
            <w:pPr>
              <w:autoSpaceDE w:val="0"/>
              <w:autoSpaceDN w:val="0"/>
              <w:adjustRightInd w:val="0"/>
              <w:snapToGrid w:val="0"/>
              <w:spacing w:line="360" w:lineRule="auto"/>
              <w:ind w:firstLine="480" w:firstLineChars="200"/>
              <w:jc w:val="left"/>
              <w:rPr>
                <w:sz w:val="24"/>
              </w:rPr>
            </w:pPr>
            <w:r>
              <w:rPr>
                <w:sz w:val="24"/>
              </w:rPr>
              <w:t>1、基本污染物质量现状</w:t>
            </w:r>
          </w:p>
          <w:p w14:paraId="5AB05105">
            <w:pPr>
              <w:widowControl/>
              <w:adjustRightInd w:val="0"/>
              <w:snapToGrid w:val="0"/>
              <w:spacing w:line="440" w:lineRule="exact"/>
              <w:ind w:firstLine="480" w:firstLineChars="200"/>
              <w:jc w:val="both"/>
              <w:rPr>
                <w:rFonts w:ascii="Times New Roman" w:hAnsi="Times New Roman" w:eastAsia="宋体" w:cs="宋体"/>
                <w:color w:val="auto"/>
                <w:kern w:val="0"/>
                <w:sz w:val="24"/>
              </w:rPr>
            </w:pPr>
            <w:r>
              <w:rPr>
                <w:rFonts w:ascii="Times New Roman" w:hAnsi="Times New Roman" w:eastAsia="宋体" w:cs="宋体"/>
                <w:color w:val="auto"/>
                <w:kern w:val="0"/>
                <w:sz w:val="24"/>
              </w:rPr>
              <w:t>根据淮北市生态环境局发布的《淮北市202</w:t>
            </w:r>
            <w:r>
              <w:rPr>
                <w:rFonts w:hint="eastAsia" w:ascii="Times New Roman" w:hAnsi="Times New Roman" w:eastAsia="宋体" w:cs="宋体"/>
                <w:color w:val="auto"/>
                <w:kern w:val="0"/>
                <w:sz w:val="24"/>
              </w:rPr>
              <w:t>3</w:t>
            </w:r>
            <w:r>
              <w:rPr>
                <w:rFonts w:ascii="Times New Roman" w:hAnsi="Times New Roman" w:eastAsia="宋体" w:cs="宋体"/>
                <w:color w:val="auto"/>
                <w:kern w:val="0"/>
                <w:sz w:val="24"/>
              </w:rPr>
              <w:t>年度生态环境状况公报》中环境空气质量数据，项目区域环境空气基本污染物质量现状见下表：</w:t>
            </w:r>
          </w:p>
          <w:p w14:paraId="72F644B5">
            <w:pPr>
              <w:widowControl/>
              <w:numPr>
                <w:ilvl w:val="0"/>
                <w:numId w:val="2"/>
              </w:numPr>
              <w:ind w:left="420" w:hanging="420"/>
              <w:jc w:val="center"/>
              <w:rPr>
                <w:rFonts w:ascii="Times New Roman" w:hAnsi="Times New Roman" w:eastAsia="宋体" w:cs="Times New Roman"/>
                <w:b/>
                <w:szCs w:val="21"/>
              </w:rPr>
            </w:pPr>
            <w:r>
              <w:rPr>
                <w:rFonts w:ascii="Times New Roman" w:hAnsi="Times New Roman" w:eastAsia="宋体" w:cs="Times New Roman"/>
                <w:b/>
                <w:szCs w:val="21"/>
              </w:rPr>
              <w:t>区域空气质量现状评价表</w:t>
            </w:r>
          </w:p>
          <w:tbl>
            <w:tblPr>
              <w:tblStyle w:val="2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6"/>
              <w:gridCol w:w="2187"/>
              <w:gridCol w:w="1593"/>
              <w:gridCol w:w="1418"/>
              <w:gridCol w:w="969"/>
              <w:gridCol w:w="911"/>
            </w:tblGrid>
            <w:tr w14:paraId="22FCF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1" w:type="pct"/>
                  <w:noWrap w:val="0"/>
                  <w:vAlign w:val="center"/>
                </w:tcPr>
                <w:p w14:paraId="2AA33C1F">
                  <w:pPr>
                    <w:widowControl/>
                    <w:tabs>
                      <w:tab w:val="center" w:pos="4153"/>
                      <w:tab w:val="right" w:pos="8306"/>
                    </w:tabs>
                    <w:spacing w:line="240" w:lineRule="auto"/>
                    <w:jc w:val="center"/>
                    <w:rPr>
                      <w:rFonts w:ascii="Times New Roman" w:hAnsi="Times New Roman" w:eastAsia="宋体" w:cs="Times New Roman"/>
                      <w:b/>
                      <w:bCs/>
                      <w:color w:val="auto"/>
                      <w:kern w:val="0"/>
                      <w:sz w:val="21"/>
                      <w:szCs w:val="21"/>
                    </w:rPr>
                  </w:pPr>
                  <w:r>
                    <w:rPr>
                      <w:rFonts w:ascii="Times New Roman" w:hAnsi="Times New Roman" w:eastAsia="宋体" w:cs="Times New Roman"/>
                      <w:b/>
                      <w:bCs/>
                      <w:color w:val="auto"/>
                      <w:kern w:val="0"/>
                      <w:sz w:val="21"/>
                      <w:szCs w:val="21"/>
                    </w:rPr>
                    <w:t>污染物</w:t>
                  </w:r>
                </w:p>
              </w:tc>
              <w:tc>
                <w:tcPr>
                  <w:tcW w:w="1381" w:type="pct"/>
                  <w:noWrap w:val="0"/>
                  <w:vAlign w:val="center"/>
                </w:tcPr>
                <w:p w14:paraId="74B51923">
                  <w:pPr>
                    <w:widowControl/>
                    <w:tabs>
                      <w:tab w:val="center" w:pos="4153"/>
                      <w:tab w:val="right" w:pos="8306"/>
                    </w:tabs>
                    <w:spacing w:line="240" w:lineRule="auto"/>
                    <w:jc w:val="center"/>
                    <w:rPr>
                      <w:rFonts w:ascii="Times New Roman" w:hAnsi="Times New Roman" w:eastAsia="宋体" w:cs="Times New Roman"/>
                      <w:b/>
                      <w:bCs/>
                      <w:color w:val="auto"/>
                      <w:kern w:val="0"/>
                      <w:sz w:val="21"/>
                      <w:szCs w:val="21"/>
                    </w:rPr>
                  </w:pPr>
                  <w:r>
                    <w:rPr>
                      <w:rFonts w:ascii="Times New Roman" w:hAnsi="Times New Roman" w:eastAsia="宋体" w:cs="Times New Roman"/>
                      <w:b/>
                      <w:bCs/>
                      <w:color w:val="auto"/>
                      <w:kern w:val="0"/>
                      <w:sz w:val="21"/>
                      <w:szCs w:val="21"/>
                    </w:rPr>
                    <w:t>年评价指标</w:t>
                  </w:r>
                </w:p>
              </w:tc>
              <w:tc>
                <w:tcPr>
                  <w:tcW w:w="1010" w:type="pct"/>
                  <w:noWrap w:val="0"/>
                  <w:vAlign w:val="center"/>
                </w:tcPr>
                <w:p w14:paraId="01541965">
                  <w:pPr>
                    <w:widowControl/>
                    <w:tabs>
                      <w:tab w:val="center" w:pos="4153"/>
                      <w:tab w:val="right" w:pos="8306"/>
                    </w:tabs>
                    <w:spacing w:line="240" w:lineRule="auto"/>
                    <w:jc w:val="center"/>
                    <w:rPr>
                      <w:rFonts w:ascii="Times New Roman" w:hAnsi="Times New Roman" w:eastAsia="宋体" w:cs="Times New Roman"/>
                      <w:b/>
                      <w:bCs/>
                      <w:color w:val="auto"/>
                      <w:kern w:val="0"/>
                      <w:sz w:val="21"/>
                      <w:szCs w:val="21"/>
                    </w:rPr>
                  </w:pPr>
                  <w:r>
                    <w:rPr>
                      <w:rFonts w:ascii="Times New Roman" w:hAnsi="Times New Roman" w:eastAsia="宋体" w:cs="Times New Roman"/>
                      <w:b/>
                      <w:bCs/>
                      <w:color w:val="auto"/>
                      <w:kern w:val="0"/>
                      <w:sz w:val="21"/>
                      <w:szCs w:val="21"/>
                    </w:rPr>
                    <w:t>现状浓度（μg/m³）</w:t>
                  </w:r>
                </w:p>
              </w:tc>
              <w:tc>
                <w:tcPr>
                  <w:tcW w:w="901" w:type="pct"/>
                  <w:noWrap w:val="0"/>
                  <w:vAlign w:val="center"/>
                </w:tcPr>
                <w:p w14:paraId="134451AA">
                  <w:pPr>
                    <w:widowControl/>
                    <w:tabs>
                      <w:tab w:val="center" w:pos="4153"/>
                      <w:tab w:val="right" w:pos="8306"/>
                    </w:tabs>
                    <w:spacing w:line="240" w:lineRule="auto"/>
                    <w:jc w:val="center"/>
                    <w:rPr>
                      <w:rFonts w:ascii="Times New Roman" w:hAnsi="Times New Roman" w:eastAsia="宋体" w:cs="Times New Roman"/>
                      <w:b/>
                      <w:bCs/>
                      <w:color w:val="auto"/>
                      <w:kern w:val="0"/>
                      <w:sz w:val="21"/>
                      <w:szCs w:val="21"/>
                    </w:rPr>
                  </w:pPr>
                  <w:r>
                    <w:rPr>
                      <w:rFonts w:ascii="Times New Roman" w:hAnsi="Times New Roman" w:eastAsia="宋体" w:cs="Times New Roman"/>
                      <w:b/>
                      <w:bCs/>
                      <w:color w:val="auto"/>
                      <w:kern w:val="0"/>
                      <w:sz w:val="21"/>
                      <w:szCs w:val="21"/>
                    </w:rPr>
                    <w:t>标准值（μg/m³）</w:t>
                  </w:r>
                </w:p>
              </w:tc>
              <w:tc>
                <w:tcPr>
                  <w:tcW w:w="519" w:type="pct"/>
                  <w:noWrap w:val="0"/>
                  <w:vAlign w:val="center"/>
                </w:tcPr>
                <w:p w14:paraId="6025D536">
                  <w:pPr>
                    <w:widowControl/>
                    <w:tabs>
                      <w:tab w:val="center" w:pos="4153"/>
                      <w:tab w:val="right" w:pos="8306"/>
                    </w:tabs>
                    <w:spacing w:line="240" w:lineRule="auto"/>
                    <w:jc w:val="center"/>
                    <w:rPr>
                      <w:rFonts w:ascii="Times New Roman" w:hAnsi="Times New Roman" w:eastAsia="宋体" w:cs="Times New Roman"/>
                      <w:b/>
                      <w:bCs/>
                      <w:color w:val="auto"/>
                      <w:kern w:val="0"/>
                      <w:sz w:val="21"/>
                      <w:szCs w:val="21"/>
                    </w:rPr>
                  </w:pPr>
                  <w:r>
                    <w:rPr>
                      <w:rFonts w:ascii="Times New Roman" w:hAnsi="Times New Roman" w:eastAsia="宋体" w:cs="Times New Roman"/>
                      <w:b/>
                      <w:bCs/>
                      <w:color w:val="auto"/>
                      <w:kern w:val="0"/>
                      <w:sz w:val="21"/>
                      <w:szCs w:val="21"/>
                    </w:rPr>
                    <w:t>占标率</w:t>
                  </w:r>
                </w:p>
              </w:tc>
              <w:tc>
                <w:tcPr>
                  <w:tcW w:w="585" w:type="pct"/>
                  <w:noWrap w:val="0"/>
                  <w:vAlign w:val="center"/>
                </w:tcPr>
                <w:p w14:paraId="15436133">
                  <w:pPr>
                    <w:widowControl/>
                    <w:tabs>
                      <w:tab w:val="center" w:pos="4153"/>
                      <w:tab w:val="right" w:pos="8306"/>
                    </w:tabs>
                    <w:spacing w:line="240" w:lineRule="auto"/>
                    <w:jc w:val="center"/>
                    <w:rPr>
                      <w:rFonts w:ascii="Times New Roman" w:hAnsi="Times New Roman" w:eastAsia="宋体" w:cs="Times New Roman"/>
                      <w:b/>
                      <w:bCs/>
                      <w:color w:val="auto"/>
                      <w:kern w:val="0"/>
                      <w:sz w:val="21"/>
                      <w:szCs w:val="21"/>
                    </w:rPr>
                  </w:pPr>
                  <w:r>
                    <w:rPr>
                      <w:rFonts w:ascii="Times New Roman" w:hAnsi="Times New Roman" w:eastAsia="宋体" w:cs="Times New Roman"/>
                      <w:b/>
                      <w:bCs/>
                      <w:color w:val="auto"/>
                      <w:kern w:val="0"/>
                      <w:sz w:val="21"/>
                      <w:szCs w:val="21"/>
                    </w:rPr>
                    <w:t>达标情况</w:t>
                  </w:r>
                </w:p>
              </w:tc>
            </w:tr>
            <w:tr w14:paraId="0B538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1" w:type="pct"/>
                  <w:noWrap w:val="0"/>
                  <w:vAlign w:val="center"/>
                </w:tcPr>
                <w:p w14:paraId="4F061D7E">
                  <w:pPr>
                    <w:widowControl/>
                    <w:tabs>
                      <w:tab w:val="center" w:pos="4153"/>
                      <w:tab w:val="right" w:pos="8306"/>
                    </w:tabs>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SO</w:t>
                  </w:r>
                  <w:r>
                    <w:rPr>
                      <w:rFonts w:ascii="Times New Roman" w:hAnsi="Times New Roman" w:eastAsia="宋体" w:cs="Times New Roman"/>
                      <w:color w:val="auto"/>
                      <w:kern w:val="0"/>
                      <w:sz w:val="21"/>
                      <w:szCs w:val="21"/>
                      <w:vertAlign w:val="subscript"/>
                    </w:rPr>
                    <w:t>2</w:t>
                  </w:r>
                </w:p>
              </w:tc>
              <w:tc>
                <w:tcPr>
                  <w:tcW w:w="1381" w:type="pct"/>
                  <w:noWrap w:val="0"/>
                  <w:vAlign w:val="center"/>
                </w:tcPr>
                <w:p w14:paraId="2C563064">
                  <w:pPr>
                    <w:widowControl/>
                    <w:tabs>
                      <w:tab w:val="center" w:pos="4153"/>
                      <w:tab w:val="right" w:pos="8306"/>
                    </w:tabs>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年平均质量浓度</w:t>
                  </w:r>
                </w:p>
              </w:tc>
              <w:tc>
                <w:tcPr>
                  <w:tcW w:w="1010" w:type="pct"/>
                  <w:noWrap w:val="0"/>
                  <w:vAlign w:val="center"/>
                </w:tcPr>
                <w:p w14:paraId="5295D6AF">
                  <w:pPr>
                    <w:widowControl/>
                    <w:tabs>
                      <w:tab w:val="center" w:pos="4153"/>
                      <w:tab w:val="right" w:pos="8306"/>
                    </w:tabs>
                    <w:spacing w:line="240" w:lineRule="auto"/>
                    <w:jc w:val="center"/>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7</w:t>
                  </w:r>
                </w:p>
              </w:tc>
              <w:tc>
                <w:tcPr>
                  <w:tcW w:w="901" w:type="pct"/>
                  <w:noWrap w:val="0"/>
                  <w:vAlign w:val="center"/>
                </w:tcPr>
                <w:p w14:paraId="3C62E912">
                  <w:pPr>
                    <w:widowControl/>
                    <w:tabs>
                      <w:tab w:val="center" w:pos="4153"/>
                      <w:tab w:val="right" w:pos="8306"/>
                    </w:tabs>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60</w:t>
                  </w:r>
                </w:p>
              </w:tc>
              <w:tc>
                <w:tcPr>
                  <w:tcW w:w="519" w:type="pct"/>
                  <w:noWrap w:val="0"/>
                  <w:vAlign w:val="center"/>
                </w:tcPr>
                <w:p w14:paraId="4C8E6B5F">
                  <w:pPr>
                    <w:widowControl/>
                    <w:spacing w:line="240" w:lineRule="auto"/>
                    <w:jc w:val="center"/>
                    <w:rPr>
                      <w:rFonts w:ascii="Times New Roman" w:hAnsi="Times New Roman" w:eastAsia="宋体" w:cs="宋体"/>
                      <w:bCs/>
                      <w:color w:val="auto"/>
                      <w:kern w:val="0"/>
                      <w:sz w:val="21"/>
                      <w:szCs w:val="21"/>
                    </w:rPr>
                  </w:pPr>
                  <w:r>
                    <w:rPr>
                      <w:rFonts w:ascii="Times New Roman" w:hAnsi="Times New Roman" w:eastAsia="宋体" w:cs="宋体"/>
                      <w:bCs/>
                      <w:color w:val="auto"/>
                      <w:kern w:val="0"/>
                      <w:sz w:val="21"/>
                      <w:szCs w:val="21"/>
                    </w:rPr>
                    <w:t>11.67%</w:t>
                  </w:r>
                </w:p>
              </w:tc>
              <w:tc>
                <w:tcPr>
                  <w:tcW w:w="585" w:type="pct"/>
                  <w:noWrap w:val="0"/>
                  <w:vAlign w:val="center"/>
                </w:tcPr>
                <w:p w14:paraId="0BECBD92">
                  <w:pPr>
                    <w:widowControl/>
                    <w:spacing w:line="240" w:lineRule="auto"/>
                    <w:jc w:val="center"/>
                    <w:rPr>
                      <w:rFonts w:ascii="Times New Roman" w:hAnsi="Times New Roman" w:eastAsia="宋体" w:cs="宋体"/>
                      <w:bCs/>
                      <w:color w:val="auto"/>
                      <w:kern w:val="0"/>
                      <w:sz w:val="21"/>
                      <w:szCs w:val="21"/>
                    </w:rPr>
                  </w:pPr>
                  <w:r>
                    <w:rPr>
                      <w:rFonts w:ascii="Times New Roman" w:hAnsi="Times New Roman" w:eastAsia="宋体" w:cs="宋体"/>
                      <w:bCs/>
                      <w:color w:val="auto"/>
                      <w:kern w:val="0"/>
                      <w:sz w:val="21"/>
                      <w:szCs w:val="21"/>
                    </w:rPr>
                    <w:t>达标</w:t>
                  </w:r>
                </w:p>
              </w:tc>
            </w:tr>
            <w:tr w14:paraId="17A3A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1" w:type="pct"/>
                  <w:noWrap w:val="0"/>
                  <w:vAlign w:val="center"/>
                </w:tcPr>
                <w:p w14:paraId="273C259C">
                  <w:pPr>
                    <w:widowControl/>
                    <w:tabs>
                      <w:tab w:val="center" w:pos="4153"/>
                      <w:tab w:val="right" w:pos="8306"/>
                    </w:tabs>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NO</w:t>
                  </w:r>
                  <w:r>
                    <w:rPr>
                      <w:rFonts w:ascii="Times New Roman" w:hAnsi="Times New Roman" w:eastAsia="宋体" w:cs="Times New Roman"/>
                      <w:color w:val="auto"/>
                      <w:kern w:val="0"/>
                      <w:sz w:val="21"/>
                      <w:szCs w:val="21"/>
                      <w:vertAlign w:val="subscript"/>
                    </w:rPr>
                    <w:t>2</w:t>
                  </w:r>
                </w:p>
              </w:tc>
              <w:tc>
                <w:tcPr>
                  <w:tcW w:w="1381" w:type="pct"/>
                  <w:noWrap w:val="0"/>
                  <w:vAlign w:val="center"/>
                </w:tcPr>
                <w:p w14:paraId="6E27BC87">
                  <w:pPr>
                    <w:widowControl/>
                    <w:tabs>
                      <w:tab w:val="center" w:pos="4153"/>
                      <w:tab w:val="right" w:pos="8306"/>
                    </w:tabs>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年平均质量浓度</w:t>
                  </w:r>
                </w:p>
              </w:tc>
              <w:tc>
                <w:tcPr>
                  <w:tcW w:w="1010" w:type="pct"/>
                  <w:noWrap w:val="0"/>
                  <w:vAlign w:val="center"/>
                </w:tcPr>
                <w:p w14:paraId="01F47EA8">
                  <w:pPr>
                    <w:widowControl/>
                    <w:tabs>
                      <w:tab w:val="center" w:pos="4153"/>
                      <w:tab w:val="right" w:pos="8306"/>
                    </w:tabs>
                    <w:spacing w:line="240" w:lineRule="auto"/>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23</w:t>
                  </w:r>
                </w:p>
              </w:tc>
              <w:tc>
                <w:tcPr>
                  <w:tcW w:w="901" w:type="pct"/>
                  <w:noWrap w:val="0"/>
                  <w:vAlign w:val="center"/>
                </w:tcPr>
                <w:p w14:paraId="667B1F5A">
                  <w:pPr>
                    <w:widowControl/>
                    <w:tabs>
                      <w:tab w:val="center" w:pos="4153"/>
                      <w:tab w:val="right" w:pos="8306"/>
                    </w:tabs>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40</w:t>
                  </w:r>
                </w:p>
              </w:tc>
              <w:tc>
                <w:tcPr>
                  <w:tcW w:w="519" w:type="pct"/>
                  <w:noWrap w:val="0"/>
                  <w:vAlign w:val="center"/>
                </w:tcPr>
                <w:p w14:paraId="7C247823">
                  <w:pPr>
                    <w:widowControl/>
                    <w:spacing w:line="240" w:lineRule="auto"/>
                    <w:jc w:val="center"/>
                    <w:rPr>
                      <w:rFonts w:ascii="Times New Roman" w:hAnsi="Times New Roman" w:eastAsia="宋体" w:cs="宋体"/>
                      <w:bCs/>
                      <w:color w:val="auto"/>
                      <w:kern w:val="0"/>
                      <w:sz w:val="21"/>
                      <w:szCs w:val="21"/>
                    </w:rPr>
                  </w:pPr>
                  <w:r>
                    <w:rPr>
                      <w:rFonts w:ascii="Times New Roman" w:hAnsi="Times New Roman" w:eastAsia="宋体" w:cs="宋体"/>
                      <w:bCs/>
                      <w:color w:val="auto"/>
                      <w:kern w:val="0"/>
                      <w:sz w:val="21"/>
                      <w:szCs w:val="21"/>
                    </w:rPr>
                    <w:t>5</w:t>
                  </w:r>
                  <w:r>
                    <w:rPr>
                      <w:rFonts w:hint="eastAsia" w:ascii="Times New Roman" w:hAnsi="Times New Roman" w:eastAsia="宋体" w:cs="宋体"/>
                      <w:bCs/>
                      <w:color w:val="auto"/>
                      <w:kern w:val="0"/>
                      <w:sz w:val="21"/>
                      <w:szCs w:val="21"/>
                    </w:rPr>
                    <w:t>7</w:t>
                  </w:r>
                  <w:r>
                    <w:rPr>
                      <w:rFonts w:ascii="Times New Roman" w:hAnsi="Times New Roman" w:eastAsia="宋体" w:cs="宋体"/>
                      <w:bCs/>
                      <w:color w:val="auto"/>
                      <w:kern w:val="0"/>
                      <w:sz w:val="21"/>
                      <w:szCs w:val="21"/>
                    </w:rPr>
                    <w:t>.50%</w:t>
                  </w:r>
                </w:p>
              </w:tc>
              <w:tc>
                <w:tcPr>
                  <w:tcW w:w="585" w:type="pct"/>
                  <w:noWrap w:val="0"/>
                  <w:vAlign w:val="center"/>
                </w:tcPr>
                <w:p w14:paraId="77D1667E">
                  <w:pPr>
                    <w:widowControl/>
                    <w:spacing w:line="240" w:lineRule="auto"/>
                    <w:jc w:val="center"/>
                    <w:rPr>
                      <w:rFonts w:ascii="Times New Roman" w:hAnsi="Times New Roman" w:eastAsia="宋体" w:cs="宋体"/>
                      <w:bCs/>
                      <w:color w:val="auto"/>
                      <w:kern w:val="0"/>
                      <w:sz w:val="21"/>
                      <w:szCs w:val="21"/>
                    </w:rPr>
                  </w:pPr>
                  <w:r>
                    <w:rPr>
                      <w:rFonts w:ascii="Times New Roman" w:hAnsi="Times New Roman" w:eastAsia="宋体" w:cs="宋体"/>
                      <w:bCs/>
                      <w:color w:val="auto"/>
                      <w:kern w:val="0"/>
                      <w:sz w:val="21"/>
                      <w:szCs w:val="21"/>
                    </w:rPr>
                    <w:t>达标</w:t>
                  </w:r>
                </w:p>
              </w:tc>
            </w:tr>
            <w:tr w14:paraId="0D249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1" w:type="pct"/>
                  <w:noWrap w:val="0"/>
                  <w:vAlign w:val="center"/>
                </w:tcPr>
                <w:p w14:paraId="47FC5D5E">
                  <w:pPr>
                    <w:widowControl/>
                    <w:tabs>
                      <w:tab w:val="center" w:pos="4153"/>
                      <w:tab w:val="right" w:pos="8306"/>
                    </w:tabs>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PM</w:t>
                  </w:r>
                  <w:r>
                    <w:rPr>
                      <w:rFonts w:ascii="Times New Roman" w:hAnsi="Times New Roman" w:eastAsia="宋体" w:cs="Times New Roman"/>
                      <w:color w:val="auto"/>
                      <w:kern w:val="0"/>
                      <w:sz w:val="21"/>
                      <w:szCs w:val="21"/>
                      <w:vertAlign w:val="subscript"/>
                    </w:rPr>
                    <w:t>10</w:t>
                  </w:r>
                </w:p>
              </w:tc>
              <w:tc>
                <w:tcPr>
                  <w:tcW w:w="1381" w:type="pct"/>
                  <w:noWrap w:val="0"/>
                  <w:vAlign w:val="center"/>
                </w:tcPr>
                <w:p w14:paraId="79F1D74B">
                  <w:pPr>
                    <w:widowControl/>
                    <w:tabs>
                      <w:tab w:val="center" w:pos="4153"/>
                      <w:tab w:val="right" w:pos="8306"/>
                    </w:tabs>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年平均质量浓度</w:t>
                  </w:r>
                </w:p>
              </w:tc>
              <w:tc>
                <w:tcPr>
                  <w:tcW w:w="1010" w:type="pct"/>
                  <w:noWrap w:val="0"/>
                  <w:vAlign w:val="center"/>
                </w:tcPr>
                <w:p w14:paraId="482ACE33">
                  <w:pPr>
                    <w:widowControl/>
                    <w:tabs>
                      <w:tab w:val="center" w:pos="4153"/>
                      <w:tab w:val="right" w:pos="8306"/>
                    </w:tabs>
                    <w:spacing w:line="240" w:lineRule="auto"/>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70</w:t>
                  </w:r>
                </w:p>
              </w:tc>
              <w:tc>
                <w:tcPr>
                  <w:tcW w:w="901" w:type="pct"/>
                  <w:noWrap w:val="0"/>
                  <w:vAlign w:val="center"/>
                </w:tcPr>
                <w:p w14:paraId="4BCD0174">
                  <w:pPr>
                    <w:widowControl/>
                    <w:tabs>
                      <w:tab w:val="center" w:pos="4153"/>
                      <w:tab w:val="right" w:pos="8306"/>
                    </w:tabs>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70</w:t>
                  </w:r>
                </w:p>
              </w:tc>
              <w:tc>
                <w:tcPr>
                  <w:tcW w:w="519" w:type="pct"/>
                  <w:noWrap w:val="0"/>
                  <w:vAlign w:val="center"/>
                </w:tcPr>
                <w:p w14:paraId="212F02FE">
                  <w:pPr>
                    <w:widowControl/>
                    <w:spacing w:line="240" w:lineRule="auto"/>
                    <w:jc w:val="center"/>
                    <w:rPr>
                      <w:rFonts w:ascii="Times New Roman" w:hAnsi="Times New Roman" w:eastAsia="宋体" w:cs="宋体"/>
                      <w:bCs/>
                      <w:color w:val="auto"/>
                      <w:kern w:val="0"/>
                      <w:sz w:val="21"/>
                      <w:szCs w:val="21"/>
                    </w:rPr>
                  </w:pPr>
                  <w:r>
                    <w:rPr>
                      <w:rFonts w:ascii="Times New Roman" w:hAnsi="Times New Roman" w:eastAsia="宋体" w:cs="宋体"/>
                      <w:bCs/>
                      <w:color w:val="auto"/>
                      <w:kern w:val="0"/>
                      <w:sz w:val="21"/>
                      <w:szCs w:val="21"/>
                    </w:rPr>
                    <w:t>100.00%</w:t>
                  </w:r>
                </w:p>
              </w:tc>
              <w:tc>
                <w:tcPr>
                  <w:tcW w:w="585" w:type="pct"/>
                  <w:noWrap w:val="0"/>
                  <w:vAlign w:val="center"/>
                </w:tcPr>
                <w:p w14:paraId="3B1CC213">
                  <w:pPr>
                    <w:widowControl/>
                    <w:spacing w:line="240" w:lineRule="auto"/>
                    <w:jc w:val="center"/>
                    <w:rPr>
                      <w:rFonts w:ascii="Times New Roman" w:hAnsi="Times New Roman" w:eastAsia="宋体" w:cs="宋体"/>
                      <w:bCs/>
                      <w:color w:val="auto"/>
                      <w:kern w:val="0"/>
                      <w:sz w:val="21"/>
                      <w:szCs w:val="21"/>
                    </w:rPr>
                  </w:pPr>
                  <w:r>
                    <w:rPr>
                      <w:rFonts w:ascii="Times New Roman" w:hAnsi="Times New Roman" w:eastAsia="宋体" w:cs="宋体"/>
                      <w:bCs/>
                      <w:color w:val="auto"/>
                      <w:kern w:val="0"/>
                      <w:sz w:val="21"/>
                      <w:szCs w:val="21"/>
                    </w:rPr>
                    <w:t>达标</w:t>
                  </w:r>
                </w:p>
              </w:tc>
            </w:tr>
            <w:tr w14:paraId="5F4CE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1" w:type="pct"/>
                  <w:noWrap w:val="0"/>
                  <w:vAlign w:val="center"/>
                </w:tcPr>
                <w:p w14:paraId="445B3F90">
                  <w:pPr>
                    <w:widowControl/>
                    <w:tabs>
                      <w:tab w:val="center" w:pos="4153"/>
                      <w:tab w:val="right" w:pos="8306"/>
                    </w:tabs>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PM</w:t>
                  </w:r>
                  <w:r>
                    <w:rPr>
                      <w:rFonts w:ascii="Times New Roman" w:hAnsi="Times New Roman" w:eastAsia="宋体" w:cs="Times New Roman"/>
                      <w:color w:val="auto"/>
                      <w:kern w:val="0"/>
                      <w:sz w:val="21"/>
                      <w:szCs w:val="21"/>
                      <w:vertAlign w:val="subscript"/>
                    </w:rPr>
                    <w:t>2.5</w:t>
                  </w:r>
                </w:p>
              </w:tc>
              <w:tc>
                <w:tcPr>
                  <w:tcW w:w="1381" w:type="pct"/>
                  <w:noWrap w:val="0"/>
                  <w:vAlign w:val="center"/>
                </w:tcPr>
                <w:p w14:paraId="065B5A6A">
                  <w:pPr>
                    <w:widowControl/>
                    <w:tabs>
                      <w:tab w:val="center" w:pos="4153"/>
                      <w:tab w:val="right" w:pos="8306"/>
                    </w:tabs>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年平均质量浓度</w:t>
                  </w:r>
                </w:p>
              </w:tc>
              <w:tc>
                <w:tcPr>
                  <w:tcW w:w="1010" w:type="pct"/>
                  <w:noWrap w:val="0"/>
                  <w:vAlign w:val="center"/>
                </w:tcPr>
                <w:p w14:paraId="539BE06C">
                  <w:pPr>
                    <w:widowControl/>
                    <w:tabs>
                      <w:tab w:val="center" w:pos="4153"/>
                      <w:tab w:val="right" w:pos="8306"/>
                    </w:tabs>
                    <w:spacing w:line="240" w:lineRule="auto"/>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42</w:t>
                  </w:r>
                </w:p>
              </w:tc>
              <w:tc>
                <w:tcPr>
                  <w:tcW w:w="901" w:type="pct"/>
                  <w:noWrap w:val="0"/>
                  <w:vAlign w:val="center"/>
                </w:tcPr>
                <w:p w14:paraId="29FA3692">
                  <w:pPr>
                    <w:widowControl/>
                    <w:tabs>
                      <w:tab w:val="center" w:pos="4153"/>
                      <w:tab w:val="right" w:pos="8306"/>
                    </w:tabs>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35</w:t>
                  </w:r>
                </w:p>
              </w:tc>
              <w:tc>
                <w:tcPr>
                  <w:tcW w:w="519" w:type="pct"/>
                  <w:noWrap w:val="0"/>
                  <w:vAlign w:val="center"/>
                </w:tcPr>
                <w:p w14:paraId="661E492C">
                  <w:pPr>
                    <w:widowControl/>
                    <w:spacing w:line="240" w:lineRule="auto"/>
                    <w:jc w:val="center"/>
                    <w:rPr>
                      <w:rFonts w:ascii="Times New Roman" w:hAnsi="Times New Roman" w:eastAsia="宋体" w:cs="宋体"/>
                      <w:bCs/>
                      <w:color w:val="auto"/>
                      <w:kern w:val="0"/>
                      <w:sz w:val="21"/>
                      <w:szCs w:val="21"/>
                    </w:rPr>
                  </w:pPr>
                  <w:r>
                    <w:rPr>
                      <w:rFonts w:ascii="Times New Roman" w:hAnsi="Times New Roman" w:eastAsia="宋体" w:cs="宋体"/>
                      <w:bCs/>
                      <w:color w:val="auto"/>
                      <w:kern w:val="0"/>
                      <w:sz w:val="21"/>
                      <w:szCs w:val="21"/>
                    </w:rPr>
                    <w:t>120.00%</w:t>
                  </w:r>
                </w:p>
              </w:tc>
              <w:tc>
                <w:tcPr>
                  <w:tcW w:w="585" w:type="pct"/>
                  <w:noWrap w:val="0"/>
                  <w:vAlign w:val="center"/>
                </w:tcPr>
                <w:p w14:paraId="7ACDFA53">
                  <w:pPr>
                    <w:widowControl/>
                    <w:spacing w:line="240" w:lineRule="auto"/>
                    <w:jc w:val="center"/>
                    <w:rPr>
                      <w:rFonts w:ascii="Times New Roman" w:hAnsi="Times New Roman" w:eastAsia="宋体" w:cs="宋体"/>
                      <w:bCs/>
                      <w:color w:val="auto"/>
                      <w:kern w:val="0"/>
                      <w:sz w:val="21"/>
                      <w:szCs w:val="21"/>
                    </w:rPr>
                  </w:pPr>
                  <w:r>
                    <w:rPr>
                      <w:rFonts w:ascii="Times New Roman" w:hAnsi="Times New Roman" w:eastAsia="宋体" w:cs="宋体"/>
                      <w:bCs/>
                      <w:color w:val="auto"/>
                      <w:kern w:val="0"/>
                      <w:sz w:val="21"/>
                      <w:szCs w:val="21"/>
                    </w:rPr>
                    <w:t>不达标</w:t>
                  </w:r>
                </w:p>
              </w:tc>
            </w:tr>
            <w:tr w14:paraId="75E92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1" w:type="pct"/>
                  <w:noWrap w:val="0"/>
                  <w:vAlign w:val="center"/>
                </w:tcPr>
                <w:p w14:paraId="5B53F496">
                  <w:pPr>
                    <w:widowControl/>
                    <w:tabs>
                      <w:tab w:val="center" w:pos="4153"/>
                      <w:tab w:val="right" w:pos="8306"/>
                    </w:tabs>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CO</w:t>
                  </w:r>
                </w:p>
              </w:tc>
              <w:tc>
                <w:tcPr>
                  <w:tcW w:w="1381" w:type="pct"/>
                  <w:noWrap w:val="0"/>
                  <w:vAlign w:val="center"/>
                </w:tcPr>
                <w:p w14:paraId="459C5799">
                  <w:pPr>
                    <w:widowControl/>
                    <w:tabs>
                      <w:tab w:val="center" w:pos="4153"/>
                      <w:tab w:val="right" w:pos="8306"/>
                    </w:tabs>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95%日平均质量浓度</w:t>
                  </w:r>
                </w:p>
              </w:tc>
              <w:tc>
                <w:tcPr>
                  <w:tcW w:w="1010" w:type="pct"/>
                  <w:noWrap w:val="0"/>
                  <w:vAlign w:val="center"/>
                </w:tcPr>
                <w:p w14:paraId="6EA20764">
                  <w:pPr>
                    <w:widowControl/>
                    <w:tabs>
                      <w:tab w:val="center" w:pos="4153"/>
                      <w:tab w:val="right" w:pos="8306"/>
                    </w:tabs>
                    <w:spacing w:line="240" w:lineRule="auto"/>
                    <w:jc w:val="center"/>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0.9</w:t>
                  </w:r>
                  <w:r>
                    <w:rPr>
                      <w:rFonts w:ascii="Times New Roman" w:hAnsi="Times New Roman" w:eastAsia="宋体" w:cs="Times New Roman"/>
                      <w:color w:val="auto"/>
                      <w:kern w:val="0"/>
                      <w:sz w:val="21"/>
                      <w:szCs w:val="21"/>
                    </w:rPr>
                    <w:t>mg/m</w:t>
                  </w:r>
                  <w:r>
                    <w:rPr>
                      <w:rFonts w:ascii="Times New Roman" w:hAnsi="Times New Roman" w:eastAsia="宋体" w:cs="Times New Roman"/>
                      <w:color w:val="auto"/>
                      <w:kern w:val="0"/>
                      <w:sz w:val="21"/>
                      <w:szCs w:val="21"/>
                      <w:vertAlign w:val="superscript"/>
                    </w:rPr>
                    <w:t>3</w:t>
                  </w:r>
                </w:p>
              </w:tc>
              <w:tc>
                <w:tcPr>
                  <w:tcW w:w="901" w:type="pct"/>
                  <w:noWrap w:val="0"/>
                  <w:vAlign w:val="center"/>
                </w:tcPr>
                <w:p w14:paraId="6DCCA0F5">
                  <w:pPr>
                    <w:widowControl/>
                    <w:tabs>
                      <w:tab w:val="center" w:pos="4153"/>
                      <w:tab w:val="right" w:pos="8306"/>
                    </w:tabs>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4.0mg/m</w:t>
                  </w:r>
                  <w:r>
                    <w:rPr>
                      <w:rFonts w:ascii="Times New Roman" w:hAnsi="Times New Roman" w:eastAsia="宋体" w:cs="Times New Roman"/>
                      <w:color w:val="auto"/>
                      <w:kern w:val="0"/>
                      <w:sz w:val="21"/>
                      <w:szCs w:val="21"/>
                      <w:vertAlign w:val="superscript"/>
                    </w:rPr>
                    <w:t>3</w:t>
                  </w:r>
                </w:p>
              </w:tc>
              <w:tc>
                <w:tcPr>
                  <w:tcW w:w="519" w:type="pct"/>
                  <w:noWrap w:val="0"/>
                  <w:vAlign w:val="center"/>
                </w:tcPr>
                <w:p w14:paraId="334950D2">
                  <w:pPr>
                    <w:widowControl/>
                    <w:spacing w:line="240" w:lineRule="auto"/>
                    <w:jc w:val="center"/>
                    <w:rPr>
                      <w:rFonts w:ascii="Times New Roman" w:hAnsi="Times New Roman" w:eastAsia="宋体" w:cs="宋体"/>
                      <w:bCs/>
                      <w:color w:val="auto"/>
                      <w:kern w:val="0"/>
                      <w:sz w:val="21"/>
                      <w:szCs w:val="21"/>
                    </w:rPr>
                  </w:pPr>
                  <w:r>
                    <w:rPr>
                      <w:rFonts w:hint="eastAsia" w:ascii="Times New Roman" w:hAnsi="Times New Roman" w:eastAsia="宋体" w:cs="宋体"/>
                      <w:bCs/>
                      <w:color w:val="auto"/>
                      <w:kern w:val="0"/>
                      <w:sz w:val="21"/>
                      <w:szCs w:val="21"/>
                    </w:rPr>
                    <w:t>22.50</w:t>
                  </w:r>
                  <w:r>
                    <w:rPr>
                      <w:rFonts w:ascii="Times New Roman" w:hAnsi="Times New Roman" w:eastAsia="宋体" w:cs="宋体"/>
                      <w:bCs/>
                      <w:color w:val="auto"/>
                      <w:kern w:val="0"/>
                      <w:sz w:val="21"/>
                      <w:szCs w:val="21"/>
                    </w:rPr>
                    <w:t>%</w:t>
                  </w:r>
                </w:p>
              </w:tc>
              <w:tc>
                <w:tcPr>
                  <w:tcW w:w="585" w:type="pct"/>
                  <w:noWrap w:val="0"/>
                  <w:vAlign w:val="center"/>
                </w:tcPr>
                <w:p w14:paraId="2CF5C14A">
                  <w:pPr>
                    <w:widowControl/>
                    <w:spacing w:line="240" w:lineRule="auto"/>
                    <w:jc w:val="center"/>
                    <w:rPr>
                      <w:rFonts w:ascii="Times New Roman" w:hAnsi="Times New Roman" w:eastAsia="宋体" w:cs="宋体"/>
                      <w:bCs/>
                      <w:color w:val="auto"/>
                      <w:kern w:val="0"/>
                      <w:sz w:val="21"/>
                      <w:szCs w:val="21"/>
                    </w:rPr>
                  </w:pPr>
                  <w:r>
                    <w:rPr>
                      <w:rFonts w:ascii="Times New Roman" w:hAnsi="Times New Roman" w:eastAsia="宋体" w:cs="宋体"/>
                      <w:bCs/>
                      <w:color w:val="auto"/>
                      <w:kern w:val="0"/>
                      <w:sz w:val="21"/>
                      <w:szCs w:val="21"/>
                    </w:rPr>
                    <w:t>达标</w:t>
                  </w:r>
                </w:p>
              </w:tc>
            </w:tr>
            <w:tr w14:paraId="43AAE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1" w:type="pct"/>
                  <w:noWrap w:val="0"/>
                  <w:vAlign w:val="center"/>
                </w:tcPr>
                <w:p w14:paraId="4B6B9C92">
                  <w:pPr>
                    <w:widowControl/>
                    <w:tabs>
                      <w:tab w:val="center" w:pos="4153"/>
                      <w:tab w:val="right" w:pos="8306"/>
                    </w:tabs>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O</w:t>
                  </w:r>
                  <w:r>
                    <w:rPr>
                      <w:rFonts w:ascii="Times New Roman" w:hAnsi="Times New Roman" w:eastAsia="宋体" w:cs="Times New Roman"/>
                      <w:color w:val="auto"/>
                      <w:kern w:val="0"/>
                      <w:sz w:val="21"/>
                      <w:szCs w:val="21"/>
                      <w:vertAlign w:val="subscript"/>
                    </w:rPr>
                    <w:t>3</w:t>
                  </w:r>
                </w:p>
              </w:tc>
              <w:tc>
                <w:tcPr>
                  <w:tcW w:w="1381" w:type="pct"/>
                  <w:noWrap w:val="0"/>
                  <w:vAlign w:val="center"/>
                </w:tcPr>
                <w:p w14:paraId="3FA3C2A3">
                  <w:pPr>
                    <w:widowControl/>
                    <w:tabs>
                      <w:tab w:val="center" w:pos="4153"/>
                      <w:tab w:val="right" w:pos="8306"/>
                    </w:tabs>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90% 8h平均质量浓度</w:t>
                  </w:r>
                </w:p>
              </w:tc>
              <w:tc>
                <w:tcPr>
                  <w:tcW w:w="1010" w:type="pct"/>
                  <w:noWrap w:val="0"/>
                  <w:vAlign w:val="center"/>
                </w:tcPr>
                <w:p w14:paraId="548935E7">
                  <w:pPr>
                    <w:widowControl/>
                    <w:tabs>
                      <w:tab w:val="center" w:pos="4153"/>
                      <w:tab w:val="right" w:pos="8306"/>
                    </w:tabs>
                    <w:spacing w:line="240" w:lineRule="auto"/>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166</w:t>
                  </w:r>
                </w:p>
              </w:tc>
              <w:tc>
                <w:tcPr>
                  <w:tcW w:w="901" w:type="pct"/>
                  <w:noWrap w:val="0"/>
                  <w:vAlign w:val="center"/>
                </w:tcPr>
                <w:p w14:paraId="1E3CCC2D">
                  <w:pPr>
                    <w:widowControl/>
                    <w:tabs>
                      <w:tab w:val="center" w:pos="4153"/>
                      <w:tab w:val="right" w:pos="8306"/>
                    </w:tabs>
                    <w:spacing w:line="240" w:lineRule="auto"/>
                    <w:jc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160</w:t>
                  </w:r>
                </w:p>
              </w:tc>
              <w:tc>
                <w:tcPr>
                  <w:tcW w:w="519" w:type="pct"/>
                  <w:noWrap w:val="0"/>
                  <w:vAlign w:val="center"/>
                </w:tcPr>
                <w:p w14:paraId="674D3A31">
                  <w:pPr>
                    <w:widowControl/>
                    <w:spacing w:line="240" w:lineRule="auto"/>
                    <w:jc w:val="center"/>
                    <w:rPr>
                      <w:rFonts w:ascii="Times New Roman" w:hAnsi="Times New Roman" w:eastAsia="宋体" w:cs="宋体"/>
                      <w:bCs/>
                      <w:color w:val="auto"/>
                      <w:kern w:val="0"/>
                      <w:sz w:val="21"/>
                      <w:szCs w:val="21"/>
                    </w:rPr>
                  </w:pPr>
                  <w:r>
                    <w:rPr>
                      <w:rFonts w:ascii="Times New Roman" w:hAnsi="Times New Roman" w:eastAsia="宋体" w:cs="宋体"/>
                      <w:bCs/>
                      <w:color w:val="auto"/>
                      <w:kern w:val="0"/>
                      <w:sz w:val="21"/>
                      <w:szCs w:val="21"/>
                    </w:rPr>
                    <w:t>10</w:t>
                  </w:r>
                  <w:r>
                    <w:rPr>
                      <w:rFonts w:hint="eastAsia" w:ascii="Times New Roman" w:hAnsi="Times New Roman" w:eastAsia="宋体" w:cs="宋体"/>
                      <w:bCs/>
                      <w:color w:val="auto"/>
                      <w:kern w:val="0"/>
                      <w:sz w:val="21"/>
                      <w:szCs w:val="21"/>
                    </w:rPr>
                    <w:t>3.75</w:t>
                  </w:r>
                  <w:r>
                    <w:rPr>
                      <w:rFonts w:ascii="Times New Roman" w:hAnsi="Times New Roman" w:eastAsia="宋体" w:cs="宋体"/>
                      <w:bCs/>
                      <w:color w:val="auto"/>
                      <w:kern w:val="0"/>
                      <w:sz w:val="21"/>
                      <w:szCs w:val="21"/>
                    </w:rPr>
                    <w:t>%</w:t>
                  </w:r>
                </w:p>
              </w:tc>
              <w:tc>
                <w:tcPr>
                  <w:tcW w:w="585" w:type="pct"/>
                  <w:noWrap w:val="0"/>
                  <w:vAlign w:val="center"/>
                </w:tcPr>
                <w:p w14:paraId="7D8D8E25">
                  <w:pPr>
                    <w:widowControl/>
                    <w:spacing w:line="240" w:lineRule="auto"/>
                    <w:jc w:val="center"/>
                    <w:rPr>
                      <w:rFonts w:ascii="Times New Roman" w:hAnsi="Times New Roman" w:eastAsia="宋体" w:cs="宋体"/>
                      <w:bCs/>
                      <w:color w:val="auto"/>
                      <w:kern w:val="0"/>
                      <w:sz w:val="21"/>
                      <w:szCs w:val="21"/>
                    </w:rPr>
                  </w:pPr>
                  <w:r>
                    <w:rPr>
                      <w:rFonts w:ascii="Times New Roman" w:hAnsi="Times New Roman" w:eastAsia="宋体" w:cs="宋体"/>
                      <w:bCs/>
                      <w:color w:val="auto"/>
                      <w:kern w:val="0"/>
                      <w:sz w:val="21"/>
                      <w:szCs w:val="21"/>
                    </w:rPr>
                    <w:t>不达标</w:t>
                  </w:r>
                </w:p>
              </w:tc>
            </w:tr>
          </w:tbl>
          <w:p w14:paraId="649085A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rPr>
            </w:pPr>
            <w:r>
              <w:rPr>
                <w:rFonts w:ascii="Times New Roman" w:hAnsi="Times New Roman" w:eastAsia="宋体" w:cs="宋体"/>
                <w:color w:val="auto"/>
                <w:kern w:val="0"/>
                <w:sz w:val="24"/>
                <w:szCs w:val="32"/>
              </w:rPr>
              <w:t>由</w:t>
            </w:r>
            <w:r>
              <w:rPr>
                <w:rFonts w:hint="eastAsia" w:ascii="Times New Roman" w:hAnsi="Times New Roman" w:eastAsia="宋体" w:cs="宋体"/>
                <w:color w:val="auto"/>
                <w:kern w:val="0"/>
                <w:sz w:val="24"/>
                <w:szCs w:val="32"/>
                <w:lang w:val="en-US" w:eastAsia="zh-CN"/>
              </w:rPr>
              <w:t>上表</w:t>
            </w:r>
            <w:r>
              <w:rPr>
                <w:rFonts w:ascii="Times New Roman" w:hAnsi="Times New Roman" w:eastAsia="宋体" w:cs="宋体"/>
                <w:color w:val="auto"/>
                <w:kern w:val="0"/>
                <w:sz w:val="24"/>
                <w:szCs w:val="32"/>
              </w:rPr>
              <w:t>可知，SO</w:t>
            </w:r>
            <w:r>
              <w:rPr>
                <w:rFonts w:ascii="Times New Roman" w:hAnsi="Times New Roman" w:eastAsia="宋体" w:cs="宋体"/>
                <w:color w:val="auto"/>
                <w:kern w:val="0"/>
                <w:sz w:val="24"/>
                <w:szCs w:val="32"/>
                <w:vertAlign w:val="subscript"/>
              </w:rPr>
              <w:t>2</w:t>
            </w:r>
            <w:r>
              <w:rPr>
                <w:rFonts w:ascii="Times New Roman" w:hAnsi="Times New Roman" w:eastAsia="宋体" w:cs="宋体"/>
                <w:color w:val="auto"/>
                <w:kern w:val="0"/>
                <w:sz w:val="24"/>
                <w:szCs w:val="32"/>
              </w:rPr>
              <w:t>、NO</w:t>
            </w:r>
            <w:r>
              <w:rPr>
                <w:rFonts w:ascii="Times New Roman" w:hAnsi="Times New Roman" w:eastAsia="宋体" w:cs="宋体"/>
                <w:color w:val="auto"/>
                <w:kern w:val="0"/>
                <w:sz w:val="24"/>
                <w:szCs w:val="32"/>
                <w:vertAlign w:val="subscript"/>
              </w:rPr>
              <w:t>2</w:t>
            </w:r>
            <w:r>
              <w:rPr>
                <w:rFonts w:ascii="Times New Roman" w:hAnsi="Times New Roman" w:eastAsia="宋体" w:cs="宋体"/>
                <w:color w:val="auto"/>
                <w:kern w:val="0"/>
                <w:sz w:val="24"/>
                <w:szCs w:val="32"/>
              </w:rPr>
              <w:t>、CO、PM</w:t>
            </w:r>
            <w:r>
              <w:rPr>
                <w:rFonts w:ascii="Times New Roman" w:hAnsi="Times New Roman" w:eastAsia="宋体" w:cs="宋体"/>
                <w:color w:val="auto"/>
                <w:kern w:val="0"/>
                <w:sz w:val="24"/>
                <w:szCs w:val="32"/>
                <w:vertAlign w:val="subscript"/>
              </w:rPr>
              <w:t>10</w:t>
            </w:r>
            <w:r>
              <w:rPr>
                <w:rFonts w:ascii="Times New Roman" w:hAnsi="Times New Roman" w:eastAsia="宋体" w:cs="宋体"/>
                <w:color w:val="auto"/>
                <w:kern w:val="0"/>
                <w:sz w:val="24"/>
                <w:szCs w:val="32"/>
              </w:rPr>
              <w:t>评价指标均能满足《环境空气质量标准》（GB3095-2012）及其修改单二级标准；PM</w:t>
            </w:r>
            <w:r>
              <w:rPr>
                <w:rFonts w:ascii="Times New Roman" w:hAnsi="Times New Roman" w:eastAsia="宋体" w:cs="宋体"/>
                <w:color w:val="auto"/>
                <w:kern w:val="0"/>
                <w:sz w:val="24"/>
                <w:szCs w:val="32"/>
                <w:vertAlign w:val="subscript"/>
              </w:rPr>
              <w:t>2.5</w:t>
            </w:r>
            <w:r>
              <w:rPr>
                <w:rFonts w:ascii="Times New Roman" w:hAnsi="Times New Roman" w:eastAsia="宋体" w:cs="宋体"/>
                <w:color w:val="auto"/>
                <w:kern w:val="0"/>
                <w:sz w:val="24"/>
                <w:szCs w:val="32"/>
              </w:rPr>
              <w:t>、O</w:t>
            </w:r>
            <w:r>
              <w:rPr>
                <w:rFonts w:ascii="Times New Roman" w:hAnsi="Times New Roman" w:eastAsia="宋体" w:cs="宋体"/>
                <w:color w:val="auto"/>
                <w:kern w:val="0"/>
                <w:sz w:val="24"/>
                <w:szCs w:val="32"/>
                <w:vertAlign w:val="subscript"/>
              </w:rPr>
              <w:t>3</w:t>
            </w:r>
            <w:r>
              <w:rPr>
                <w:rFonts w:ascii="Times New Roman" w:hAnsi="Times New Roman" w:eastAsia="宋体" w:cs="宋体"/>
                <w:color w:val="auto"/>
                <w:kern w:val="0"/>
                <w:sz w:val="24"/>
                <w:szCs w:val="32"/>
              </w:rPr>
              <w:t>评价指标</w:t>
            </w:r>
            <w:r>
              <w:rPr>
                <w:rFonts w:hint="eastAsia" w:ascii="Times New Roman" w:hAnsi="Times New Roman" w:eastAsia="宋体" w:cs="宋体"/>
                <w:color w:val="auto"/>
                <w:kern w:val="0"/>
                <w:sz w:val="24"/>
                <w:szCs w:val="32"/>
              </w:rPr>
              <w:t>均</w:t>
            </w:r>
            <w:r>
              <w:rPr>
                <w:rFonts w:ascii="Times New Roman" w:hAnsi="Times New Roman" w:eastAsia="宋体" w:cs="宋体"/>
                <w:color w:val="auto"/>
                <w:kern w:val="0"/>
                <w:sz w:val="24"/>
                <w:szCs w:val="32"/>
              </w:rPr>
              <w:t>不能满足《环境空气质量标准》（GB3095-2012）二级标准限值要求，因此，淮北市</w:t>
            </w:r>
            <w:r>
              <w:rPr>
                <w:rFonts w:hint="eastAsia" w:ascii="Times New Roman" w:hAnsi="Times New Roman" w:eastAsia="宋体" w:cs="宋体"/>
                <w:color w:val="auto"/>
                <w:kern w:val="0"/>
                <w:sz w:val="24"/>
                <w:szCs w:val="32"/>
              </w:rPr>
              <w:t>2023年</w:t>
            </w:r>
            <w:r>
              <w:rPr>
                <w:rFonts w:ascii="Times New Roman" w:hAnsi="Times New Roman" w:eastAsia="宋体" w:cs="宋体"/>
                <w:color w:val="auto"/>
                <w:kern w:val="0"/>
                <w:sz w:val="24"/>
                <w:szCs w:val="32"/>
              </w:rPr>
              <w:t>属于环境空气不达标区域。</w:t>
            </w:r>
          </w:p>
          <w:p w14:paraId="45987406">
            <w:pPr>
              <w:autoSpaceDE w:val="0"/>
              <w:autoSpaceDN w:val="0"/>
              <w:adjustRightInd w:val="0"/>
              <w:spacing w:line="360" w:lineRule="auto"/>
              <w:ind w:firstLine="480" w:firstLineChars="200"/>
              <w:rPr>
                <w:sz w:val="24"/>
              </w:rPr>
            </w:pPr>
            <w:r>
              <w:rPr>
                <w:sz w:val="24"/>
              </w:rPr>
              <w:t>2、其他污染物质量现状</w:t>
            </w:r>
          </w:p>
          <w:p w14:paraId="13B4269C">
            <w:pPr>
              <w:spacing w:line="360" w:lineRule="auto"/>
              <w:ind w:firstLine="480" w:firstLineChars="200"/>
              <w:rPr>
                <w:sz w:val="24"/>
              </w:rPr>
            </w:pPr>
            <w:r>
              <w:rPr>
                <w:rFonts w:hint="default" w:ascii="Times New Roman" w:hAnsi="Times New Roman" w:cs="Times New Roman"/>
                <w:sz w:val="24"/>
              </w:rPr>
              <w:t>①</w:t>
            </w:r>
            <w:r>
              <w:rPr>
                <w:sz w:val="24"/>
              </w:rPr>
              <w:t>本项目区域环境空气</w:t>
            </w:r>
            <w:r>
              <w:rPr>
                <w:rFonts w:hint="eastAsia"/>
                <w:sz w:val="24"/>
              </w:rPr>
              <w:t>TSP</w:t>
            </w:r>
            <w:r>
              <w:rPr>
                <w:rFonts w:hint="eastAsia"/>
                <w:sz w:val="24"/>
                <w:lang w:eastAsia="zh-CN"/>
              </w:rPr>
              <w:t>、非甲烷总烃</w:t>
            </w:r>
            <w:r>
              <w:rPr>
                <w:sz w:val="24"/>
              </w:rPr>
              <w:t>质量现状引用《</w:t>
            </w:r>
            <w:r>
              <w:rPr>
                <w:rFonts w:hint="eastAsia"/>
                <w:sz w:val="24"/>
              </w:rPr>
              <w:t>伊特纳能源科技（淮北）有限公司淮北伊特纳能源高效电池及组件项目环境影响报告书</w:t>
            </w:r>
            <w:r>
              <w:rPr>
                <w:sz w:val="24"/>
              </w:rPr>
              <w:t>》中</w:t>
            </w:r>
            <w:r>
              <w:rPr>
                <w:rFonts w:hint="eastAsia"/>
                <w:sz w:val="24"/>
              </w:rPr>
              <w:t>的伊特纳能源科技（淮北）有限公司点位的</w:t>
            </w:r>
            <w:r>
              <w:rPr>
                <w:sz w:val="24"/>
              </w:rPr>
              <w:t>监测数据，</w:t>
            </w:r>
            <w:r>
              <w:rPr>
                <w:rFonts w:hint="eastAsia"/>
                <w:sz w:val="24"/>
              </w:rPr>
              <w:t>该</w:t>
            </w:r>
            <w:r>
              <w:rPr>
                <w:rFonts w:hint="eastAsia"/>
                <w:sz w:val="24"/>
                <w:lang w:eastAsia="zh-CN"/>
              </w:rPr>
              <w:t>项目</w:t>
            </w:r>
            <w:r>
              <w:rPr>
                <w:rFonts w:hint="eastAsia"/>
                <w:sz w:val="24"/>
              </w:rPr>
              <w:t>位于项目区N</w:t>
            </w:r>
            <w:r>
              <w:rPr>
                <w:rFonts w:hint="eastAsia"/>
                <w:sz w:val="24"/>
                <w:lang w:val="en-US" w:eastAsia="zh-CN"/>
              </w:rPr>
              <w:t>E</w:t>
            </w:r>
            <w:r>
              <w:rPr>
                <w:rFonts w:hint="eastAsia"/>
                <w:sz w:val="24"/>
              </w:rPr>
              <w:t>方位，直线距离为</w:t>
            </w:r>
            <w:r>
              <w:rPr>
                <w:rFonts w:hint="eastAsia"/>
                <w:sz w:val="24"/>
                <w:lang w:val="en-US" w:eastAsia="zh-CN"/>
              </w:rPr>
              <w:t>7</w:t>
            </w:r>
            <w:r>
              <w:rPr>
                <w:rFonts w:hint="eastAsia"/>
                <w:sz w:val="24"/>
              </w:rPr>
              <w:t>00m，</w:t>
            </w:r>
            <w:r>
              <w:rPr>
                <w:sz w:val="24"/>
              </w:rPr>
              <w:t>监测时间为202</w:t>
            </w:r>
            <w:r>
              <w:rPr>
                <w:rFonts w:hint="eastAsia"/>
                <w:sz w:val="24"/>
              </w:rPr>
              <w:t>3</w:t>
            </w:r>
            <w:r>
              <w:rPr>
                <w:sz w:val="24"/>
              </w:rPr>
              <w:t>年</w:t>
            </w:r>
            <w:r>
              <w:rPr>
                <w:rFonts w:hint="eastAsia"/>
                <w:sz w:val="24"/>
              </w:rPr>
              <w:t>2</w:t>
            </w:r>
            <w:r>
              <w:rPr>
                <w:sz w:val="24"/>
              </w:rPr>
              <w:t>月</w:t>
            </w:r>
            <w:r>
              <w:rPr>
                <w:rFonts w:hint="eastAsia"/>
                <w:sz w:val="24"/>
              </w:rPr>
              <w:t>6</w:t>
            </w:r>
            <w:r>
              <w:rPr>
                <w:sz w:val="24"/>
              </w:rPr>
              <w:t>日~</w:t>
            </w:r>
            <w:r>
              <w:rPr>
                <w:rFonts w:hint="eastAsia"/>
                <w:sz w:val="24"/>
              </w:rPr>
              <w:t>12</w:t>
            </w:r>
            <w:r>
              <w:rPr>
                <w:sz w:val="24"/>
              </w:rPr>
              <w:t>日，因此引用该项目监测数据具有可行性。具体监测点位及监测结果如下</w:t>
            </w:r>
            <w:r>
              <w:rPr>
                <w:rFonts w:hint="eastAsia"/>
                <w:sz w:val="24"/>
              </w:rPr>
              <w:t>：</w:t>
            </w:r>
          </w:p>
          <w:p w14:paraId="6A566B26">
            <w:pPr>
              <w:widowControl/>
              <w:numPr>
                <w:ilvl w:val="0"/>
                <w:numId w:val="2"/>
              </w:numPr>
              <w:jc w:val="center"/>
              <w:rPr>
                <w:b/>
                <w:kern w:val="0"/>
                <w:szCs w:val="21"/>
              </w:rPr>
            </w:pPr>
            <w:r>
              <w:rPr>
                <w:b/>
                <w:kern w:val="0"/>
                <w:szCs w:val="21"/>
              </w:rPr>
              <w:t xml:space="preserve">  </w:t>
            </w:r>
            <w:r>
              <w:rPr>
                <w:rFonts w:hint="eastAsia"/>
                <w:b/>
                <w:kern w:val="0"/>
                <w:szCs w:val="21"/>
              </w:rPr>
              <w:t>TSP质量现状监测结果</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4"/>
              <w:gridCol w:w="2005"/>
              <w:gridCol w:w="2005"/>
              <w:gridCol w:w="2005"/>
            </w:tblGrid>
            <w:tr w14:paraId="77160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4" w:type="dxa"/>
                  <w:vAlign w:val="center"/>
                </w:tcPr>
                <w:p w14:paraId="421963A2">
                  <w:pPr>
                    <w:widowControl/>
                    <w:jc w:val="center"/>
                    <w:textAlignment w:val="center"/>
                  </w:pPr>
                  <w:r>
                    <w:rPr>
                      <w:b/>
                      <w:bCs/>
                      <w:kern w:val="0"/>
                      <w:szCs w:val="21"/>
                      <w:lang w:bidi="ar"/>
                    </w:rPr>
                    <w:t>检测点位</w:t>
                  </w:r>
                </w:p>
              </w:tc>
              <w:tc>
                <w:tcPr>
                  <w:tcW w:w="2005" w:type="dxa"/>
                  <w:vAlign w:val="center"/>
                </w:tcPr>
                <w:p w14:paraId="3FE9B114">
                  <w:pPr>
                    <w:widowControl/>
                    <w:jc w:val="center"/>
                    <w:textAlignment w:val="center"/>
                  </w:pPr>
                  <w:r>
                    <w:rPr>
                      <w:b/>
                      <w:bCs/>
                      <w:kern w:val="0"/>
                      <w:szCs w:val="21"/>
                      <w:lang w:bidi="ar"/>
                    </w:rPr>
                    <w:t>采样时间</w:t>
                  </w:r>
                </w:p>
              </w:tc>
              <w:tc>
                <w:tcPr>
                  <w:tcW w:w="2005" w:type="dxa"/>
                  <w:vAlign w:val="center"/>
                </w:tcPr>
                <w:p w14:paraId="482760E7">
                  <w:pPr>
                    <w:jc w:val="center"/>
                  </w:pPr>
                  <w:r>
                    <w:rPr>
                      <w:rFonts w:hint="eastAsia"/>
                      <w:b/>
                      <w:szCs w:val="21"/>
                    </w:rPr>
                    <w:t>累计时间（min）</w:t>
                  </w:r>
                </w:p>
              </w:tc>
              <w:tc>
                <w:tcPr>
                  <w:tcW w:w="2005" w:type="dxa"/>
                  <w:vAlign w:val="center"/>
                </w:tcPr>
                <w:p w14:paraId="04BEF0D6">
                  <w:pPr>
                    <w:widowControl/>
                    <w:jc w:val="center"/>
                    <w:textAlignment w:val="center"/>
                  </w:pPr>
                  <w:r>
                    <w:rPr>
                      <w:rFonts w:hint="eastAsia"/>
                      <w:b/>
                      <w:bCs/>
                      <w:kern w:val="0"/>
                      <w:szCs w:val="21"/>
                      <w:lang w:bidi="ar"/>
                    </w:rPr>
                    <w:t>TSP（</w:t>
                  </w:r>
                  <w:r>
                    <w:rPr>
                      <w:rFonts w:hint="eastAsia" w:ascii="宋体" w:hAnsi="宋体" w:cs="宋体"/>
                      <w:b/>
                      <w:bCs/>
                      <w:kern w:val="0"/>
                      <w:szCs w:val="21"/>
                      <w:lang w:bidi="ar"/>
                    </w:rPr>
                    <w:t>μ</w:t>
                  </w:r>
                  <w:r>
                    <w:rPr>
                      <w:rFonts w:hint="eastAsia"/>
                      <w:b/>
                      <w:kern w:val="0"/>
                      <w:szCs w:val="21"/>
                    </w:rPr>
                    <w:t>g/m</w:t>
                  </w:r>
                  <w:r>
                    <w:rPr>
                      <w:rFonts w:hint="eastAsia"/>
                      <w:b/>
                      <w:kern w:val="0"/>
                      <w:szCs w:val="21"/>
                      <w:vertAlign w:val="superscript"/>
                    </w:rPr>
                    <w:t>3</w:t>
                  </w:r>
                  <w:r>
                    <w:rPr>
                      <w:rFonts w:hint="eastAsia"/>
                      <w:b/>
                      <w:bCs/>
                      <w:kern w:val="0"/>
                      <w:szCs w:val="21"/>
                      <w:lang w:bidi="ar"/>
                    </w:rPr>
                    <w:t>）</w:t>
                  </w:r>
                </w:p>
              </w:tc>
            </w:tr>
            <w:tr w14:paraId="4D458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4" w:type="dxa"/>
                  <w:vMerge w:val="restart"/>
                  <w:vAlign w:val="center"/>
                </w:tcPr>
                <w:p w14:paraId="12BD3ED7">
                  <w:pPr>
                    <w:widowControl/>
                    <w:jc w:val="center"/>
                    <w:textAlignment w:val="center"/>
                  </w:pPr>
                  <w:r>
                    <w:rPr>
                      <w:rFonts w:hint="eastAsia"/>
                      <w:kern w:val="0"/>
                      <w:szCs w:val="21"/>
                      <w:lang w:bidi="ar"/>
                    </w:rPr>
                    <w:t>伊特纳能源科技（淮北）有限公司</w:t>
                  </w:r>
                </w:p>
              </w:tc>
              <w:tc>
                <w:tcPr>
                  <w:tcW w:w="2005" w:type="dxa"/>
                  <w:vAlign w:val="center"/>
                </w:tcPr>
                <w:p w14:paraId="4E7EF5CF">
                  <w:pPr>
                    <w:widowControl/>
                    <w:jc w:val="center"/>
                    <w:textAlignment w:val="center"/>
                  </w:pPr>
                  <w:r>
                    <w:rPr>
                      <w:rFonts w:hint="eastAsia"/>
                      <w:kern w:val="0"/>
                      <w:szCs w:val="21"/>
                      <w:lang w:bidi="ar"/>
                    </w:rPr>
                    <w:t>2023.02.06</w:t>
                  </w:r>
                </w:p>
              </w:tc>
              <w:tc>
                <w:tcPr>
                  <w:tcW w:w="2005" w:type="dxa"/>
                  <w:vAlign w:val="center"/>
                </w:tcPr>
                <w:p w14:paraId="794792E6">
                  <w:pPr>
                    <w:widowControl/>
                    <w:jc w:val="center"/>
                  </w:pPr>
                  <w:r>
                    <w:rPr>
                      <w:rFonts w:eastAsia="Times New Roman"/>
                      <w:szCs w:val="21"/>
                    </w:rPr>
                    <w:t>1440</w:t>
                  </w:r>
                </w:p>
              </w:tc>
              <w:tc>
                <w:tcPr>
                  <w:tcW w:w="2005" w:type="dxa"/>
                  <w:vAlign w:val="center"/>
                </w:tcPr>
                <w:p w14:paraId="0AE841FB">
                  <w:pPr>
                    <w:widowControl/>
                    <w:jc w:val="center"/>
                  </w:pPr>
                  <w:r>
                    <w:rPr>
                      <w:rFonts w:eastAsia="Times New Roman"/>
                      <w:spacing w:val="2"/>
                      <w:szCs w:val="21"/>
                    </w:rPr>
                    <w:t>6</w:t>
                  </w:r>
                  <w:r>
                    <w:rPr>
                      <w:rFonts w:eastAsia="Times New Roman"/>
                      <w:spacing w:val="1"/>
                      <w:szCs w:val="21"/>
                    </w:rPr>
                    <w:t>1</w:t>
                  </w:r>
                </w:p>
              </w:tc>
            </w:tr>
            <w:tr w14:paraId="2E486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4" w:type="dxa"/>
                  <w:vMerge w:val="continue"/>
                  <w:vAlign w:val="center"/>
                </w:tcPr>
                <w:p w14:paraId="669DF58C">
                  <w:pPr>
                    <w:widowControl/>
                    <w:jc w:val="center"/>
                    <w:textAlignment w:val="center"/>
                  </w:pPr>
                </w:p>
              </w:tc>
              <w:tc>
                <w:tcPr>
                  <w:tcW w:w="2005" w:type="dxa"/>
                  <w:vAlign w:val="center"/>
                </w:tcPr>
                <w:p w14:paraId="7E211542">
                  <w:pPr>
                    <w:widowControl/>
                    <w:jc w:val="center"/>
                    <w:textAlignment w:val="center"/>
                  </w:pPr>
                  <w:r>
                    <w:rPr>
                      <w:rFonts w:hint="eastAsia"/>
                      <w:kern w:val="0"/>
                      <w:szCs w:val="21"/>
                      <w:lang w:bidi="ar"/>
                    </w:rPr>
                    <w:t>2023.02.07</w:t>
                  </w:r>
                </w:p>
              </w:tc>
              <w:tc>
                <w:tcPr>
                  <w:tcW w:w="2005" w:type="dxa"/>
                  <w:vAlign w:val="center"/>
                </w:tcPr>
                <w:p w14:paraId="023C6999">
                  <w:pPr>
                    <w:widowControl/>
                    <w:jc w:val="center"/>
                  </w:pPr>
                  <w:r>
                    <w:rPr>
                      <w:rFonts w:eastAsia="Times New Roman"/>
                      <w:szCs w:val="21"/>
                    </w:rPr>
                    <w:t>1440</w:t>
                  </w:r>
                </w:p>
              </w:tc>
              <w:tc>
                <w:tcPr>
                  <w:tcW w:w="2005" w:type="dxa"/>
                  <w:vAlign w:val="center"/>
                </w:tcPr>
                <w:p w14:paraId="604CB9FE">
                  <w:pPr>
                    <w:widowControl/>
                    <w:jc w:val="center"/>
                  </w:pPr>
                  <w:r>
                    <w:rPr>
                      <w:rFonts w:eastAsia="Times New Roman"/>
                      <w:spacing w:val="2"/>
                      <w:szCs w:val="21"/>
                    </w:rPr>
                    <w:t>6</w:t>
                  </w:r>
                  <w:r>
                    <w:rPr>
                      <w:rFonts w:eastAsia="Times New Roman"/>
                      <w:spacing w:val="1"/>
                      <w:szCs w:val="21"/>
                    </w:rPr>
                    <w:t>8</w:t>
                  </w:r>
                </w:p>
              </w:tc>
            </w:tr>
            <w:tr w14:paraId="6C57A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4" w:type="dxa"/>
                  <w:vMerge w:val="continue"/>
                  <w:vAlign w:val="center"/>
                </w:tcPr>
                <w:p w14:paraId="5CC936D0">
                  <w:pPr>
                    <w:widowControl/>
                    <w:jc w:val="center"/>
                    <w:textAlignment w:val="center"/>
                  </w:pPr>
                </w:p>
              </w:tc>
              <w:tc>
                <w:tcPr>
                  <w:tcW w:w="2005" w:type="dxa"/>
                  <w:vAlign w:val="center"/>
                </w:tcPr>
                <w:p w14:paraId="37AA2047">
                  <w:pPr>
                    <w:widowControl/>
                    <w:jc w:val="center"/>
                    <w:textAlignment w:val="center"/>
                  </w:pPr>
                  <w:r>
                    <w:rPr>
                      <w:rFonts w:hint="eastAsia"/>
                      <w:kern w:val="0"/>
                      <w:szCs w:val="21"/>
                      <w:lang w:bidi="ar"/>
                    </w:rPr>
                    <w:t>2023.02.08</w:t>
                  </w:r>
                </w:p>
              </w:tc>
              <w:tc>
                <w:tcPr>
                  <w:tcW w:w="2005" w:type="dxa"/>
                  <w:vAlign w:val="center"/>
                </w:tcPr>
                <w:p w14:paraId="5AED8A93">
                  <w:pPr>
                    <w:widowControl/>
                    <w:jc w:val="center"/>
                  </w:pPr>
                  <w:r>
                    <w:rPr>
                      <w:rFonts w:eastAsia="Times New Roman"/>
                      <w:szCs w:val="21"/>
                    </w:rPr>
                    <w:t>1440</w:t>
                  </w:r>
                </w:p>
              </w:tc>
              <w:tc>
                <w:tcPr>
                  <w:tcW w:w="2005" w:type="dxa"/>
                  <w:vAlign w:val="center"/>
                </w:tcPr>
                <w:p w14:paraId="286D80E5">
                  <w:pPr>
                    <w:widowControl/>
                    <w:jc w:val="center"/>
                  </w:pPr>
                  <w:r>
                    <w:rPr>
                      <w:rFonts w:eastAsia="Times New Roman"/>
                      <w:spacing w:val="2"/>
                      <w:szCs w:val="21"/>
                    </w:rPr>
                    <w:t>6</w:t>
                  </w:r>
                  <w:r>
                    <w:rPr>
                      <w:rFonts w:eastAsia="Times New Roman"/>
                      <w:spacing w:val="1"/>
                      <w:szCs w:val="21"/>
                    </w:rPr>
                    <w:t>0</w:t>
                  </w:r>
                </w:p>
              </w:tc>
            </w:tr>
            <w:tr w14:paraId="34C2B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trPr>
              <w:tc>
                <w:tcPr>
                  <w:tcW w:w="2004" w:type="dxa"/>
                  <w:vMerge w:val="continue"/>
                  <w:vAlign w:val="center"/>
                </w:tcPr>
                <w:p w14:paraId="792EA6C8">
                  <w:pPr>
                    <w:widowControl/>
                    <w:jc w:val="center"/>
                    <w:textAlignment w:val="center"/>
                  </w:pPr>
                </w:p>
              </w:tc>
              <w:tc>
                <w:tcPr>
                  <w:tcW w:w="2005" w:type="dxa"/>
                  <w:vAlign w:val="center"/>
                </w:tcPr>
                <w:p w14:paraId="096E62C6">
                  <w:pPr>
                    <w:widowControl/>
                    <w:jc w:val="center"/>
                    <w:textAlignment w:val="center"/>
                  </w:pPr>
                  <w:r>
                    <w:rPr>
                      <w:rFonts w:hint="eastAsia"/>
                      <w:kern w:val="0"/>
                      <w:szCs w:val="21"/>
                      <w:lang w:bidi="ar"/>
                    </w:rPr>
                    <w:t>2023.02.09</w:t>
                  </w:r>
                </w:p>
              </w:tc>
              <w:tc>
                <w:tcPr>
                  <w:tcW w:w="2005" w:type="dxa"/>
                  <w:vAlign w:val="center"/>
                </w:tcPr>
                <w:p w14:paraId="4446C784">
                  <w:pPr>
                    <w:widowControl/>
                    <w:jc w:val="center"/>
                  </w:pPr>
                  <w:r>
                    <w:rPr>
                      <w:rFonts w:eastAsia="Times New Roman"/>
                      <w:szCs w:val="21"/>
                    </w:rPr>
                    <w:t>1440</w:t>
                  </w:r>
                </w:p>
              </w:tc>
              <w:tc>
                <w:tcPr>
                  <w:tcW w:w="2005" w:type="dxa"/>
                  <w:vAlign w:val="center"/>
                </w:tcPr>
                <w:p w14:paraId="2883762C">
                  <w:pPr>
                    <w:widowControl/>
                    <w:jc w:val="center"/>
                  </w:pPr>
                  <w:r>
                    <w:rPr>
                      <w:rFonts w:eastAsia="Times New Roman"/>
                      <w:spacing w:val="1"/>
                      <w:szCs w:val="21"/>
                    </w:rPr>
                    <w:t>58</w:t>
                  </w:r>
                </w:p>
              </w:tc>
            </w:tr>
            <w:tr w14:paraId="5D158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4" w:type="dxa"/>
                  <w:vMerge w:val="continue"/>
                  <w:vAlign w:val="center"/>
                </w:tcPr>
                <w:p w14:paraId="52628D90">
                  <w:pPr>
                    <w:widowControl/>
                    <w:jc w:val="center"/>
                    <w:textAlignment w:val="center"/>
                  </w:pPr>
                </w:p>
              </w:tc>
              <w:tc>
                <w:tcPr>
                  <w:tcW w:w="2005" w:type="dxa"/>
                  <w:vAlign w:val="center"/>
                </w:tcPr>
                <w:p w14:paraId="6FA087B9">
                  <w:pPr>
                    <w:widowControl/>
                    <w:jc w:val="center"/>
                    <w:textAlignment w:val="center"/>
                  </w:pPr>
                  <w:r>
                    <w:rPr>
                      <w:rFonts w:hint="eastAsia"/>
                      <w:kern w:val="0"/>
                      <w:szCs w:val="21"/>
                      <w:lang w:bidi="ar"/>
                    </w:rPr>
                    <w:t>2023.02.10</w:t>
                  </w:r>
                </w:p>
              </w:tc>
              <w:tc>
                <w:tcPr>
                  <w:tcW w:w="2005" w:type="dxa"/>
                  <w:vAlign w:val="center"/>
                </w:tcPr>
                <w:p w14:paraId="4E9CD3A6">
                  <w:pPr>
                    <w:widowControl/>
                    <w:jc w:val="center"/>
                  </w:pPr>
                  <w:r>
                    <w:rPr>
                      <w:rFonts w:eastAsia="Times New Roman"/>
                      <w:szCs w:val="21"/>
                    </w:rPr>
                    <w:t>1440</w:t>
                  </w:r>
                </w:p>
              </w:tc>
              <w:tc>
                <w:tcPr>
                  <w:tcW w:w="2005" w:type="dxa"/>
                  <w:vAlign w:val="center"/>
                </w:tcPr>
                <w:p w14:paraId="40D0AE6C">
                  <w:pPr>
                    <w:widowControl/>
                    <w:jc w:val="center"/>
                  </w:pPr>
                  <w:r>
                    <w:rPr>
                      <w:rFonts w:eastAsia="Times New Roman"/>
                      <w:spacing w:val="1"/>
                      <w:szCs w:val="21"/>
                    </w:rPr>
                    <w:t>59</w:t>
                  </w:r>
                </w:p>
              </w:tc>
            </w:tr>
            <w:tr w14:paraId="17CAF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4" w:type="dxa"/>
                  <w:vMerge w:val="continue"/>
                  <w:vAlign w:val="center"/>
                </w:tcPr>
                <w:p w14:paraId="6B620636">
                  <w:pPr>
                    <w:widowControl/>
                    <w:jc w:val="center"/>
                    <w:textAlignment w:val="center"/>
                  </w:pPr>
                </w:p>
              </w:tc>
              <w:tc>
                <w:tcPr>
                  <w:tcW w:w="2005" w:type="dxa"/>
                  <w:vAlign w:val="center"/>
                </w:tcPr>
                <w:p w14:paraId="3A220E89">
                  <w:pPr>
                    <w:widowControl/>
                    <w:jc w:val="center"/>
                    <w:textAlignment w:val="center"/>
                  </w:pPr>
                  <w:r>
                    <w:rPr>
                      <w:rFonts w:hint="eastAsia"/>
                      <w:kern w:val="0"/>
                      <w:szCs w:val="21"/>
                      <w:lang w:bidi="ar"/>
                    </w:rPr>
                    <w:t>2023.02.11</w:t>
                  </w:r>
                </w:p>
              </w:tc>
              <w:tc>
                <w:tcPr>
                  <w:tcW w:w="2005" w:type="dxa"/>
                  <w:vAlign w:val="center"/>
                </w:tcPr>
                <w:p w14:paraId="11954F4B">
                  <w:pPr>
                    <w:widowControl/>
                    <w:jc w:val="center"/>
                  </w:pPr>
                  <w:r>
                    <w:rPr>
                      <w:rFonts w:eastAsia="Times New Roman"/>
                      <w:szCs w:val="21"/>
                    </w:rPr>
                    <w:t>1440</w:t>
                  </w:r>
                </w:p>
              </w:tc>
              <w:tc>
                <w:tcPr>
                  <w:tcW w:w="2005" w:type="dxa"/>
                  <w:vAlign w:val="center"/>
                </w:tcPr>
                <w:p w14:paraId="36E77FD6">
                  <w:pPr>
                    <w:widowControl/>
                    <w:jc w:val="center"/>
                  </w:pPr>
                  <w:r>
                    <w:rPr>
                      <w:rFonts w:eastAsia="Times New Roman"/>
                      <w:spacing w:val="1"/>
                      <w:szCs w:val="21"/>
                    </w:rPr>
                    <w:t>58</w:t>
                  </w:r>
                </w:p>
              </w:tc>
            </w:tr>
            <w:tr w14:paraId="0B8BA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4" w:type="dxa"/>
                  <w:vMerge w:val="continue"/>
                  <w:vAlign w:val="center"/>
                </w:tcPr>
                <w:p w14:paraId="67596672">
                  <w:pPr>
                    <w:widowControl/>
                    <w:jc w:val="center"/>
                    <w:textAlignment w:val="center"/>
                  </w:pPr>
                </w:p>
              </w:tc>
              <w:tc>
                <w:tcPr>
                  <w:tcW w:w="2005" w:type="dxa"/>
                  <w:vAlign w:val="center"/>
                </w:tcPr>
                <w:p w14:paraId="068DCBFC">
                  <w:pPr>
                    <w:widowControl/>
                    <w:jc w:val="center"/>
                    <w:textAlignment w:val="center"/>
                  </w:pPr>
                  <w:r>
                    <w:rPr>
                      <w:rFonts w:hint="eastAsia"/>
                      <w:kern w:val="0"/>
                      <w:szCs w:val="21"/>
                      <w:lang w:bidi="ar"/>
                    </w:rPr>
                    <w:t>2023.02.12</w:t>
                  </w:r>
                </w:p>
              </w:tc>
              <w:tc>
                <w:tcPr>
                  <w:tcW w:w="2005" w:type="dxa"/>
                  <w:vAlign w:val="center"/>
                </w:tcPr>
                <w:p w14:paraId="4214F4A9">
                  <w:pPr>
                    <w:widowControl/>
                    <w:jc w:val="center"/>
                  </w:pPr>
                  <w:r>
                    <w:rPr>
                      <w:rFonts w:eastAsia="Times New Roman"/>
                      <w:szCs w:val="21"/>
                    </w:rPr>
                    <w:t>1440</w:t>
                  </w:r>
                </w:p>
              </w:tc>
              <w:tc>
                <w:tcPr>
                  <w:tcW w:w="2005" w:type="dxa"/>
                  <w:vAlign w:val="center"/>
                </w:tcPr>
                <w:p w14:paraId="42D1A2C6">
                  <w:pPr>
                    <w:widowControl/>
                    <w:jc w:val="center"/>
                  </w:pPr>
                  <w:r>
                    <w:rPr>
                      <w:rFonts w:eastAsia="Times New Roman"/>
                      <w:spacing w:val="2"/>
                      <w:szCs w:val="21"/>
                    </w:rPr>
                    <w:t>6</w:t>
                  </w:r>
                  <w:r>
                    <w:rPr>
                      <w:rFonts w:eastAsia="Times New Roman"/>
                      <w:spacing w:val="1"/>
                      <w:szCs w:val="21"/>
                    </w:rPr>
                    <w:t>3</w:t>
                  </w:r>
                </w:p>
              </w:tc>
            </w:tr>
          </w:tbl>
          <w:p w14:paraId="5251D1FE">
            <w:pPr>
              <w:widowControl/>
              <w:numPr>
                <w:ilvl w:val="0"/>
                <w:numId w:val="2"/>
              </w:numPr>
              <w:ind w:left="420" w:hanging="420"/>
              <w:jc w:val="center"/>
              <w:rPr>
                <w:rFonts w:ascii="Times New Roman" w:hAnsi="Times New Roman" w:eastAsia="宋体" w:cs="Times New Roman"/>
                <w:b/>
                <w:kern w:val="0"/>
                <w:szCs w:val="21"/>
              </w:rPr>
            </w:pPr>
            <w:r>
              <w:rPr>
                <w:rFonts w:hint="eastAsia" w:ascii="Times New Roman" w:hAnsi="Times New Roman" w:eastAsia="宋体" w:cs="Times New Roman"/>
                <w:b/>
                <w:kern w:val="0"/>
                <w:szCs w:val="21"/>
                <w:lang w:eastAsia="zh-CN"/>
              </w:rPr>
              <w:t>非甲烷总烃</w:t>
            </w:r>
            <w:r>
              <w:rPr>
                <w:rFonts w:hint="eastAsia" w:ascii="Times New Roman" w:hAnsi="Times New Roman" w:eastAsia="宋体" w:cs="Times New Roman"/>
                <w:b/>
                <w:kern w:val="0"/>
                <w:szCs w:val="21"/>
              </w:rPr>
              <w:t>质量现状监测结果</w:t>
            </w:r>
          </w:p>
          <w:tbl>
            <w:tblPr>
              <w:tblStyle w:val="78"/>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243"/>
              <w:gridCol w:w="1620"/>
              <w:gridCol w:w="1589"/>
              <w:gridCol w:w="3564"/>
            </w:tblGrid>
            <w:tr w14:paraId="7F6940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775" w:type="pct"/>
                  <w:vMerge w:val="restart"/>
                  <w:vAlign w:val="center"/>
                </w:tcPr>
                <w:p w14:paraId="5E545421">
                  <w:pPr>
                    <w:pStyle w:val="8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spacing w:val="-4"/>
                      <w:sz w:val="21"/>
                      <w:szCs w:val="21"/>
                      <w:lang w:eastAsia="zh-CN"/>
                    </w:rPr>
                  </w:pPr>
                  <w:r>
                    <w:rPr>
                      <w:rFonts w:hint="default" w:ascii="Times New Roman" w:hAnsi="Times New Roman" w:eastAsia="宋体" w:cs="Times New Roman"/>
                      <w:b/>
                      <w:bCs/>
                      <w:spacing w:val="-4"/>
                      <w:sz w:val="21"/>
                      <w:szCs w:val="21"/>
                      <w:lang w:eastAsia="zh-CN"/>
                    </w:rPr>
                    <w:t>监测点位</w:t>
                  </w:r>
                </w:p>
              </w:tc>
              <w:tc>
                <w:tcPr>
                  <w:tcW w:w="1010" w:type="pct"/>
                  <w:vMerge w:val="restart"/>
                  <w:tcBorders>
                    <w:bottom w:val="nil"/>
                  </w:tcBorders>
                  <w:vAlign w:val="center"/>
                </w:tcPr>
                <w:p w14:paraId="68769127">
                  <w:pPr>
                    <w:pStyle w:val="8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pacing w:val="-4"/>
                      <w:sz w:val="21"/>
                      <w:szCs w:val="21"/>
                    </w:rPr>
                    <w:t>采样日期</w:t>
                  </w:r>
                </w:p>
              </w:tc>
              <w:tc>
                <w:tcPr>
                  <w:tcW w:w="991" w:type="pct"/>
                  <w:vMerge w:val="restart"/>
                  <w:tcBorders>
                    <w:bottom w:val="nil"/>
                  </w:tcBorders>
                  <w:vAlign w:val="center"/>
                </w:tcPr>
                <w:p w14:paraId="65C7F107">
                  <w:pPr>
                    <w:pStyle w:val="8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pacing w:val="-2"/>
                      <w:sz w:val="21"/>
                      <w:szCs w:val="21"/>
                    </w:rPr>
                    <w:t>监测频次</w:t>
                  </w:r>
                </w:p>
              </w:tc>
              <w:tc>
                <w:tcPr>
                  <w:tcW w:w="2222" w:type="pct"/>
                  <w:vAlign w:val="center"/>
                </w:tcPr>
                <w:p w14:paraId="138CD7B6">
                  <w:pPr>
                    <w:pStyle w:val="8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pacing w:val="-7"/>
                      <w:sz w:val="21"/>
                      <w:szCs w:val="21"/>
                    </w:rPr>
                    <w:t>检</w:t>
                  </w:r>
                  <w:r>
                    <w:rPr>
                      <w:rFonts w:hint="default" w:ascii="Times New Roman" w:hAnsi="Times New Roman" w:eastAsia="宋体" w:cs="Times New Roman"/>
                      <w:b/>
                      <w:bCs/>
                      <w:spacing w:val="12"/>
                      <w:sz w:val="21"/>
                      <w:szCs w:val="21"/>
                    </w:rPr>
                    <w:t xml:space="preserve"> </w:t>
                  </w:r>
                  <w:r>
                    <w:rPr>
                      <w:rFonts w:hint="default" w:ascii="Times New Roman" w:hAnsi="Times New Roman" w:eastAsia="宋体" w:cs="Times New Roman"/>
                      <w:b/>
                      <w:bCs/>
                      <w:spacing w:val="-7"/>
                      <w:sz w:val="21"/>
                      <w:szCs w:val="21"/>
                    </w:rPr>
                    <w:t>测</w:t>
                  </w:r>
                  <w:r>
                    <w:rPr>
                      <w:rFonts w:hint="default" w:ascii="Times New Roman" w:hAnsi="Times New Roman" w:eastAsia="宋体" w:cs="Times New Roman"/>
                      <w:b/>
                      <w:bCs/>
                      <w:spacing w:val="16"/>
                      <w:sz w:val="21"/>
                      <w:szCs w:val="21"/>
                    </w:rPr>
                    <w:t xml:space="preserve"> </w:t>
                  </w:r>
                  <w:r>
                    <w:rPr>
                      <w:rFonts w:hint="default" w:ascii="Times New Roman" w:hAnsi="Times New Roman" w:eastAsia="宋体" w:cs="Times New Roman"/>
                      <w:b/>
                      <w:bCs/>
                      <w:spacing w:val="-7"/>
                      <w:sz w:val="21"/>
                      <w:szCs w:val="21"/>
                    </w:rPr>
                    <w:t>结</w:t>
                  </w:r>
                  <w:r>
                    <w:rPr>
                      <w:rFonts w:hint="default" w:ascii="Times New Roman" w:hAnsi="Times New Roman" w:eastAsia="宋体" w:cs="Times New Roman"/>
                      <w:b/>
                      <w:bCs/>
                      <w:spacing w:val="16"/>
                      <w:sz w:val="21"/>
                      <w:szCs w:val="21"/>
                    </w:rPr>
                    <w:t xml:space="preserve"> </w:t>
                  </w:r>
                  <w:r>
                    <w:rPr>
                      <w:rFonts w:hint="default" w:ascii="Times New Roman" w:hAnsi="Times New Roman" w:eastAsia="宋体" w:cs="Times New Roman"/>
                      <w:b/>
                      <w:bCs/>
                      <w:spacing w:val="-7"/>
                      <w:sz w:val="21"/>
                      <w:szCs w:val="21"/>
                    </w:rPr>
                    <w:t>果</w:t>
                  </w:r>
                </w:p>
              </w:tc>
            </w:tr>
            <w:tr w14:paraId="28DFFE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775" w:type="pct"/>
                  <w:vMerge w:val="continue"/>
                  <w:vAlign w:val="center"/>
                </w:tcPr>
                <w:p w14:paraId="5CDC7B3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sz w:val="21"/>
                      <w:szCs w:val="21"/>
                    </w:rPr>
                  </w:pPr>
                </w:p>
              </w:tc>
              <w:tc>
                <w:tcPr>
                  <w:tcW w:w="1010" w:type="pct"/>
                  <w:vMerge w:val="continue"/>
                  <w:tcBorders>
                    <w:top w:val="nil"/>
                  </w:tcBorders>
                  <w:vAlign w:val="center"/>
                </w:tcPr>
                <w:p w14:paraId="586183B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sz w:val="21"/>
                      <w:szCs w:val="21"/>
                    </w:rPr>
                  </w:pPr>
                </w:p>
              </w:tc>
              <w:tc>
                <w:tcPr>
                  <w:tcW w:w="991" w:type="pct"/>
                  <w:vMerge w:val="continue"/>
                  <w:tcBorders>
                    <w:top w:val="nil"/>
                  </w:tcBorders>
                  <w:vAlign w:val="center"/>
                </w:tcPr>
                <w:p w14:paraId="10BEF21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sz w:val="21"/>
                      <w:szCs w:val="21"/>
                    </w:rPr>
                  </w:pPr>
                </w:p>
              </w:tc>
              <w:tc>
                <w:tcPr>
                  <w:tcW w:w="2222" w:type="pct"/>
                  <w:shd w:val="clear" w:color="auto" w:fill="auto"/>
                  <w:vAlign w:val="center"/>
                </w:tcPr>
                <w:p w14:paraId="252EE64C">
                  <w:pPr>
                    <w:pStyle w:val="8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kern w:val="2"/>
                      <w:sz w:val="21"/>
                      <w:szCs w:val="21"/>
                      <w:lang w:val="en-US" w:eastAsia="en-US" w:bidi="ar-SA"/>
                    </w:rPr>
                  </w:pPr>
                  <w:r>
                    <w:rPr>
                      <w:rFonts w:hint="default" w:ascii="Times New Roman" w:hAnsi="Times New Roman" w:eastAsia="宋体" w:cs="Times New Roman"/>
                      <w:b/>
                      <w:bCs/>
                      <w:spacing w:val="-2"/>
                      <w:sz w:val="21"/>
                      <w:szCs w:val="21"/>
                    </w:rPr>
                    <w:t>非甲烷总烃</w:t>
                  </w:r>
                  <w:r>
                    <w:rPr>
                      <w:rFonts w:hint="default" w:ascii="Times New Roman" w:hAnsi="Times New Roman" w:eastAsia="宋体" w:cs="Times New Roman"/>
                      <w:b/>
                      <w:bCs/>
                      <w:spacing w:val="-6"/>
                      <w:sz w:val="21"/>
                      <w:szCs w:val="21"/>
                    </w:rPr>
                    <w:t>(mg/m³)</w:t>
                  </w:r>
                </w:p>
              </w:tc>
            </w:tr>
            <w:tr w14:paraId="23DF25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775" w:type="pct"/>
                  <w:vMerge w:val="restart"/>
                  <w:vAlign w:val="center"/>
                </w:tcPr>
                <w:p w14:paraId="4E97DBE1">
                  <w:pPr>
                    <w:pStyle w:val="8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pacing w:val="-1"/>
                      <w:sz w:val="21"/>
                      <w:szCs w:val="21"/>
                    </w:rPr>
                  </w:pPr>
                  <w:r>
                    <w:rPr>
                      <w:rFonts w:hint="default" w:ascii="Times New Roman" w:hAnsi="Times New Roman" w:eastAsia="宋体" w:cs="Times New Roman"/>
                      <w:kern w:val="0"/>
                      <w:szCs w:val="21"/>
                      <w:lang w:bidi="ar"/>
                    </w:rPr>
                    <w:t>伊特纳能源科技（淮北）有限公司</w:t>
                  </w:r>
                </w:p>
              </w:tc>
              <w:tc>
                <w:tcPr>
                  <w:tcW w:w="1010" w:type="pct"/>
                  <w:vMerge w:val="restart"/>
                  <w:tcBorders>
                    <w:bottom w:val="nil"/>
                  </w:tcBorders>
                  <w:vAlign w:val="center"/>
                </w:tcPr>
                <w:p w14:paraId="3F484C5D">
                  <w:pPr>
                    <w:pStyle w:val="8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2023.02.06</w:t>
                  </w:r>
                </w:p>
              </w:tc>
              <w:tc>
                <w:tcPr>
                  <w:tcW w:w="991" w:type="pct"/>
                  <w:vAlign w:val="center"/>
                </w:tcPr>
                <w:p w14:paraId="2990B29B">
                  <w:pPr>
                    <w:pStyle w:val="8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3"/>
                      <w:sz w:val="21"/>
                      <w:szCs w:val="21"/>
                    </w:rPr>
                    <w:t>第一次</w:t>
                  </w:r>
                </w:p>
              </w:tc>
              <w:tc>
                <w:tcPr>
                  <w:tcW w:w="2222" w:type="pct"/>
                  <w:shd w:val="clear" w:color="auto" w:fill="auto"/>
                  <w:vAlign w:val="center"/>
                </w:tcPr>
                <w:p w14:paraId="78B81A74">
                  <w:pPr>
                    <w:pStyle w:val="89"/>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pacing w:val="-2"/>
                      <w:sz w:val="21"/>
                      <w:szCs w:val="21"/>
                    </w:rPr>
                    <w:t>0.65</w:t>
                  </w:r>
                </w:p>
              </w:tc>
            </w:tr>
            <w:tr w14:paraId="04D88B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775" w:type="pct"/>
                  <w:vMerge w:val="continue"/>
                  <w:vAlign w:val="center"/>
                </w:tcPr>
                <w:p w14:paraId="2D19F43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p>
              </w:tc>
              <w:tc>
                <w:tcPr>
                  <w:tcW w:w="1010" w:type="pct"/>
                  <w:vMerge w:val="continue"/>
                  <w:tcBorders>
                    <w:top w:val="nil"/>
                    <w:bottom w:val="nil"/>
                  </w:tcBorders>
                  <w:vAlign w:val="center"/>
                </w:tcPr>
                <w:p w14:paraId="3777233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p>
              </w:tc>
              <w:tc>
                <w:tcPr>
                  <w:tcW w:w="991" w:type="pct"/>
                  <w:vAlign w:val="center"/>
                </w:tcPr>
                <w:p w14:paraId="0B28F738">
                  <w:pPr>
                    <w:pStyle w:val="8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第二次</w:t>
                  </w:r>
                </w:p>
              </w:tc>
              <w:tc>
                <w:tcPr>
                  <w:tcW w:w="2222" w:type="pct"/>
                  <w:shd w:val="clear" w:color="auto" w:fill="auto"/>
                  <w:vAlign w:val="center"/>
                </w:tcPr>
                <w:p w14:paraId="42842D65">
                  <w:pPr>
                    <w:pStyle w:val="89"/>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pacing w:val="-2"/>
                      <w:sz w:val="21"/>
                      <w:szCs w:val="21"/>
                    </w:rPr>
                    <w:t>0.72</w:t>
                  </w:r>
                </w:p>
              </w:tc>
            </w:tr>
            <w:tr w14:paraId="01B06E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775" w:type="pct"/>
                  <w:vMerge w:val="continue"/>
                  <w:vAlign w:val="center"/>
                </w:tcPr>
                <w:p w14:paraId="35983A9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p>
              </w:tc>
              <w:tc>
                <w:tcPr>
                  <w:tcW w:w="1010" w:type="pct"/>
                  <w:vMerge w:val="continue"/>
                  <w:tcBorders>
                    <w:top w:val="nil"/>
                    <w:bottom w:val="nil"/>
                  </w:tcBorders>
                  <w:vAlign w:val="center"/>
                </w:tcPr>
                <w:p w14:paraId="7405A9C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p>
              </w:tc>
              <w:tc>
                <w:tcPr>
                  <w:tcW w:w="991" w:type="pct"/>
                  <w:vAlign w:val="center"/>
                </w:tcPr>
                <w:p w14:paraId="1806BF1C">
                  <w:pPr>
                    <w:pStyle w:val="8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第三次</w:t>
                  </w:r>
                </w:p>
              </w:tc>
              <w:tc>
                <w:tcPr>
                  <w:tcW w:w="2222" w:type="pct"/>
                  <w:shd w:val="clear" w:color="auto" w:fill="auto"/>
                  <w:vAlign w:val="center"/>
                </w:tcPr>
                <w:p w14:paraId="586EBD35">
                  <w:pPr>
                    <w:pStyle w:val="89"/>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pacing w:val="-2"/>
                      <w:sz w:val="21"/>
                      <w:szCs w:val="21"/>
                    </w:rPr>
                    <w:t>0.63</w:t>
                  </w:r>
                </w:p>
              </w:tc>
            </w:tr>
            <w:tr w14:paraId="4C383A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775" w:type="pct"/>
                  <w:vMerge w:val="continue"/>
                  <w:vAlign w:val="center"/>
                </w:tcPr>
                <w:p w14:paraId="4542E22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p>
              </w:tc>
              <w:tc>
                <w:tcPr>
                  <w:tcW w:w="1010" w:type="pct"/>
                  <w:vMerge w:val="continue"/>
                  <w:tcBorders>
                    <w:top w:val="nil"/>
                  </w:tcBorders>
                  <w:vAlign w:val="center"/>
                </w:tcPr>
                <w:p w14:paraId="6673F95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p>
              </w:tc>
              <w:tc>
                <w:tcPr>
                  <w:tcW w:w="991" w:type="pct"/>
                  <w:vAlign w:val="center"/>
                </w:tcPr>
                <w:p w14:paraId="5823569A">
                  <w:pPr>
                    <w:pStyle w:val="8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第四次</w:t>
                  </w:r>
                </w:p>
              </w:tc>
              <w:tc>
                <w:tcPr>
                  <w:tcW w:w="2222" w:type="pct"/>
                  <w:shd w:val="clear" w:color="auto" w:fill="auto"/>
                  <w:vAlign w:val="center"/>
                </w:tcPr>
                <w:p w14:paraId="0008BA22">
                  <w:pPr>
                    <w:pStyle w:val="89"/>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pacing w:val="-2"/>
                      <w:sz w:val="21"/>
                      <w:szCs w:val="21"/>
                    </w:rPr>
                    <w:t>0.63</w:t>
                  </w:r>
                </w:p>
              </w:tc>
            </w:tr>
            <w:tr w14:paraId="4CA7DF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775" w:type="pct"/>
                  <w:vMerge w:val="continue"/>
                  <w:vAlign w:val="center"/>
                </w:tcPr>
                <w:p w14:paraId="4D1EFF63">
                  <w:pPr>
                    <w:pStyle w:val="8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pacing w:val="-1"/>
                      <w:sz w:val="21"/>
                      <w:szCs w:val="21"/>
                    </w:rPr>
                  </w:pPr>
                </w:p>
              </w:tc>
              <w:tc>
                <w:tcPr>
                  <w:tcW w:w="1010" w:type="pct"/>
                  <w:vMerge w:val="restart"/>
                  <w:tcBorders>
                    <w:bottom w:val="nil"/>
                  </w:tcBorders>
                  <w:vAlign w:val="center"/>
                </w:tcPr>
                <w:p w14:paraId="3F659ACE">
                  <w:pPr>
                    <w:pStyle w:val="8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2023.02.07</w:t>
                  </w:r>
                </w:p>
              </w:tc>
              <w:tc>
                <w:tcPr>
                  <w:tcW w:w="991" w:type="pct"/>
                  <w:vAlign w:val="center"/>
                </w:tcPr>
                <w:p w14:paraId="0FC20F36">
                  <w:pPr>
                    <w:pStyle w:val="8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3"/>
                      <w:sz w:val="21"/>
                      <w:szCs w:val="21"/>
                    </w:rPr>
                    <w:t>第一次</w:t>
                  </w:r>
                </w:p>
              </w:tc>
              <w:tc>
                <w:tcPr>
                  <w:tcW w:w="2222" w:type="pct"/>
                  <w:shd w:val="clear" w:color="auto" w:fill="auto"/>
                  <w:vAlign w:val="center"/>
                </w:tcPr>
                <w:p w14:paraId="141C319E">
                  <w:pPr>
                    <w:pStyle w:val="89"/>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pacing w:val="-2"/>
                      <w:sz w:val="21"/>
                      <w:szCs w:val="21"/>
                    </w:rPr>
                    <w:t>0.77</w:t>
                  </w:r>
                </w:p>
              </w:tc>
            </w:tr>
            <w:tr w14:paraId="3C6E47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775" w:type="pct"/>
                  <w:vMerge w:val="continue"/>
                  <w:vAlign w:val="center"/>
                </w:tcPr>
                <w:p w14:paraId="7FCD8FE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p>
              </w:tc>
              <w:tc>
                <w:tcPr>
                  <w:tcW w:w="1010" w:type="pct"/>
                  <w:vMerge w:val="continue"/>
                  <w:tcBorders>
                    <w:top w:val="nil"/>
                    <w:bottom w:val="nil"/>
                  </w:tcBorders>
                  <w:vAlign w:val="center"/>
                </w:tcPr>
                <w:p w14:paraId="2A95C33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p>
              </w:tc>
              <w:tc>
                <w:tcPr>
                  <w:tcW w:w="991" w:type="pct"/>
                  <w:vAlign w:val="center"/>
                </w:tcPr>
                <w:p w14:paraId="13D1BD89">
                  <w:pPr>
                    <w:pStyle w:val="8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第二次</w:t>
                  </w:r>
                </w:p>
              </w:tc>
              <w:tc>
                <w:tcPr>
                  <w:tcW w:w="2222" w:type="pct"/>
                  <w:shd w:val="clear" w:color="auto" w:fill="auto"/>
                  <w:vAlign w:val="center"/>
                </w:tcPr>
                <w:p w14:paraId="4D9B7652">
                  <w:pPr>
                    <w:pStyle w:val="89"/>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pacing w:val="-2"/>
                      <w:sz w:val="21"/>
                      <w:szCs w:val="21"/>
                    </w:rPr>
                    <w:t>0.82</w:t>
                  </w:r>
                </w:p>
              </w:tc>
            </w:tr>
            <w:tr w14:paraId="36498E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775" w:type="pct"/>
                  <w:vMerge w:val="continue"/>
                  <w:vAlign w:val="center"/>
                </w:tcPr>
                <w:p w14:paraId="3BB8E9C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p>
              </w:tc>
              <w:tc>
                <w:tcPr>
                  <w:tcW w:w="1010" w:type="pct"/>
                  <w:vMerge w:val="continue"/>
                  <w:tcBorders>
                    <w:top w:val="nil"/>
                    <w:bottom w:val="nil"/>
                  </w:tcBorders>
                  <w:vAlign w:val="center"/>
                </w:tcPr>
                <w:p w14:paraId="17DC7BF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p>
              </w:tc>
              <w:tc>
                <w:tcPr>
                  <w:tcW w:w="991" w:type="pct"/>
                  <w:vAlign w:val="center"/>
                </w:tcPr>
                <w:p w14:paraId="0E73D481">
                  <w:pPr>
                    <w:pStyle w:val="8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第三次</w:t>
                  </w:r>
                </w:p>
              </w:tc>
              <w:tc>
                <w:tcPr>
                  <w:tcW w:w="2222" w:type="pct"/>
                  <w:shd w:val="clear" w:color="auto" w:fill="auto"/>
                  <w:vAlign w:val="center"/>
                </w:tcPr>
                <w:p w14:paraId="3F485F67">
                  <w:pPr>
                    <w:pStyle w:val="89"/>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pacing w:val="-2"/>
                      <w:sz w:val="21"/>
                      <w:szCs w:val="21"/>
                    </w:rPr>
                    <w:t>0.62</w:t>
                  </w:r>
                </w:p>
              </w:tc>
            </w:tr>
            <w:tr w14:paraId="3FEEF2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775" w:type="pct"/>
                  <w:vMerge w:val="continue"/>
                  <w:vAlign w:val="center"/>
                </w:tcPr>
                <w:p w14:paraId="4015E71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p>
              </w:tc>
              <w:tc>
                <w:tcPr>
                  <w:tcW w:w="1010" w:type="pct"/>
                  <w:vMerge w:val="continue"/>
                  <w:tcBorders>
                    <w:top w:val="nil"/>
                  </w:tcBorders>
                  <w:vAlign w:val="center"/>
                </w:tcPr>
                <w:p w14:paraId="16DBCC6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p>
              </w:tc>
              <w:tc>
                <w:tcPr>
                  <w:tcW w:w="991" w:type="pct"/>
                  <w:vAlign w:val="center"/>
                </w:tcPr>
                <w:p w14:paraId="39507834">
                  <w:pPr>
                    <w:pStyle w:val="8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第四次</w:t>
                  </w:r>
                </w:p>
              </w:tc>
              <w:tc>
                <w:tcPr>
                  <w:tcW w:w="2222" w:type="pct"/>
                  <w:shd w:val="clear" w:color="auto" w:fill="auto"/>
                  <w:vAlign w:val="center"/>
                </w:tcPr>
                <w:p w14:paraId="274BDCF4">
                  <w:pPr>
                    <w:pStyle w:val="89"/>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pacing w:val="-2"/>
                      <w:sz w:val="21"/>
                      <w:szCs w:val="21"/>
                    </w:rPr>
                    <w:t>0.72</w:t>
                  </w:r>
                </w:p>
              </w:tc>
            </w:tr>
            <w:tr w14:paraId="25BAAF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775" w:type="pct"/>
                  <w:vMerge w:val="continue"/>
                  <w:vAlign w:val="center"/>
                </w:tcPr>
                <w:p w14:paraId="76B3B984">
                  <w:pPr>
                    <w:pStyle w:val="8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pacing w:val="-1"/>
                      <w:sz w:val="21"/>
                      <w:szCs w:val="21"/>
                    </w:rPr>
                  </w:pPr>
                </w:p>
              </w:tc>
              <w:tc>
                <w:tcPr>
                  <w:tcW w:w="1010" w:type="pct"/>
                  <w:vMerge w:val="restart"/>
                  <w:tcBorders>
                    <w:bottom w:val="nil"/>
                  </w:tcBorders>
                  <w:vAlign w:val="center"/>
                </w:tcPr>
                <w:p w14:paraId="01DD79D5">
                  <w:pPr>
                    <w:pStyle w:val="8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2023.02.08</w:t>
                  </w:r>
                </w:p>
              </w:tc>
              <w:tc>
                <w:tcPr>
                  <w:tcW w:w="991" w:type="pct"/>
                  <w:vAlign w:val="center"/>
                </w:tcPr>
                <w:p w14:paraId="23DD3674">
                  <w:pPr>
                    <w:pStyle w:val="8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3"/>
                      <w:sz w:val="21"/>
                      <w:szCs w:val="21"/>
                    </w:rPr>
                    <w:t>第一次</w:t>
                  </w:r>
                </w:p>
              </w:tc>
              <w:tc>
                <w:tcPr>
                  <w:tcW w:w="2222" w:type="pct"/>
                  <w:shd w:val="clear" w:color="auto" w:fill="auto"/>
                  <w:vAlign w:val="center"/>
                </w:tcPr>
                <w:p w14:paraId="2E457AE4">
                  <w:pPr>
                    <w:pStyle w:val="89"/>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pacing w:val="-2"/>
                      <w:sz w:val="21"/>
                      <w:szCs w:val="21"/>
                    </w:rPr>
                    <w:t>0.73</w:t>
                  </w:r>
                </w:p>
              </w:tc>
            </w:tr>
            <w:tr w14:paraId="471D4B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775" w:type="pct"/>
                  <w:vMerge w:val="continue"/>
                  <w:vAlign w:val="center"/>
                </w:tcPr>
                <w:p w14:paraId="40F8E22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p>
              </w:tc>
              <w:tc>
                <w:tcPr>
                  <w:tcW w:w="1010" w:type="pct"/>
                  <w:vMerge w:val="continue"/>
                  <w:tcBorders>
                    <w:top w:val="nil"/>
                    <w:bottom w:val="nil"/>
                  </w:tcBorders>
                  <w:vAlign w:val="center"/>
                </w:tcPr>
                <w:p w14:paraId="3CBA3A6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p>
              </w:tc>
              <w:tc>
                <w:tcPr>
                  <w:tcW w:w="991" w:type="pct"/>
                  <w:vAlign w:val="center"/>
                </w:tcPr>
                <w:p w14:paraId="6E5EF012">
                  <w:pPr>
                    <w:pStyle w:val="8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第二次</w:t>
                  </w:r>
                </w:p>
              </w:tc>
              <w:tc>
                <w:tcPr>
                  <w:tcW w:w="2222" w:type="pct"/>
                  <w:shd w:val="clear" w:color="auto" w:fill="auto"/>
                  <w:vAlign w:val="center"/>
                </w:tcPr>
                <w:p w14:paraId="77C2301B">
                  <w:pPr>
                    <w:pStyle w:val="89"/>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pacing w:val="-2"/>
                      <w:sz w:val="21"/>
                      <w:szCs w:val="21"/>
                    </w:rPr>
                    <w:t>0.74</w:t>
                  </w:r>
                </w:p>
              </w:tc>
            </w:tr>
            <w:tr w14:paraId="78CFE3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775" w:type="pct"/>
                  <w:vMerge w:val="continue"/>
                  <w:vAlign w:val="center"/>
                </w:tcPr>
                <w:p w14:paraId="04BEDBE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p>
              </w:tc>
              <w:tc>
                <w:tcPr>
                  <w:tcW w:w="1010" w:type="pct"/>
                  <w:vMerge w:val="continue"/>
                  <w:tcBorders>
                    <w:top w:val="nil"/>
                    <w:bottom w:val="nil"/>
                  </w:tcBorders>
                  <w:vAlign w:val="center"/>
                </w:tcPr>
                <w:p w14:paraId="567B2F2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p>
              </w:tc>
              <w:tc>
                <w:tcPr>
                  <w:tcW w:w="991" w:type="pct"/>
                  <w:vAlign w:val="center"/>
                </w:tcPr>
                <w:p w14:paraId="31666C47">
                  <w:pPr>
                    <w:pStyle w:val="8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第三次</w:t>
                  </w:r>
                </w:p>
              </w:tc>
              <w:tc>
                <w:tcPr>
                  <w:tcW w:w="2222" w:type="pct"/>
                  <w:shd w:val="clear" w:color="auto" w:fill="auto"/>
                  <w:vAlign w:val="center"/>
                </w:tcPr>
                <w:p w14:paraId="39217898">
                  <w:pPr>
                    <w:pStyle w:val="89"/>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pacing w:val="-2"/>
                      <w:sz w:val="21"/>
                      <w:szCs w:val="21"/>
                    </w:rPr>
                    <w:t>0.77</w:t>
                  </w:r>
                </w:p>
              </w:tc>
            </w:tr>
            <w:tr w14:paraId="272744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775" w:type="pct"/>
                  <w:vMerge w:val="continue"/>
                  <w:vAlign w:val="center"/>
                </w:tcPr>
                <w:p w14:paraId="5523CCB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p>
              </w:tc>
              <w:tc>
                <w:tcPr>
                  <w:tcW w:w="1010" w:type="pct"/>
                  <w:vMerge w:val="continue"/>
                  <w:tcBorders>
                    <w:top w:val="nil"/>
                  </w:tcBorders>
                  <w:vAlign w:val="center"/>
                </w:tcPr>
                <w:p w14:paraId="7D1D11A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p>
              </w:tc>
              <w:tc>
                <w:tcPr>
                  <w:tcW w:w="991" w:type="pct"/>
                  <w:vAlign w:val="center"/>
                </w:tcPr>
                <w:p w14:paraId="362E6228">
                  <w:pPr>
                    <w:pStyle w:val="8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第四次</w:t>
                  </w:r>
                </w:p>
              </w:tc>
              <w:tc>
                <w:tcPr>
                  <w:tcW w:w="2222" w:type="pct"/>
                  <w:shd w:val="clear" w:color="auto" w:fill="auto"/>
                  <w:vAlign w:val="center"/>
                </w:tcPr>
                <w:p w14:paraId="52A80F5C">
                  <w:pPr>
                    <w:pStyle w:val="89"/>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pacing w:val="-2"/>
                      <w:sz w:val="21"/>
                      <w:szCs w:val="21"/>
                    </w:rPr>
                    <w:t>0.74</w:t>
                  </w:r>
                </w:p>
              </w:tc>
            </w:tr>
            <w:tr w14:paraId="455D10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775" w:type="pct"/>
                  <w:vMerge w:val="continue"/>
                  <w:vAlign w:val="center"/>
                </w:tcPr>
                <w:p w14:paraId="046A3E43">
                  <w:pPr>
                    <w:pStyle w:val="8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pacing w:val="-1"/>
                      <w:sz w:val="21"/>
                      <w:szCs w:val="21"/>
                    </w:rPr>
                  </w:pPr>
                </w:p>
              </w:tc>
              <w:tc>
                <w:tcPr>
                  <w:tcW w:w="1010" w:type="pct"/>
                  <w:vMerge w:val="restart"/>
                  <w:tcBorders>
                    <w:bottom w:val="nil"/>
                  </w:tcBorders>
                  <w:vAlign w:val="center"/>
                </w:tcPr>
                <w:p w14:paraId="37DDE1A3">
                  <w:pPr>
                    <w:pStyle w:val="8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2023.02.09</w:t>
                  </w:r>
                </w:p>
              </w:tc>
              <w:tc>
                <w:tcPr>
                  <w:tcW w:w="991" w:type="pct"/>
                  <w:vAlign w:val="center"/>
                </w:tcPr>
                <w:p w14:paraId="43E0A4AD">
                  <w:pPr>
                    <w:pStyle w:val="8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3"/>
                      <w:sz w:val="21"/>
                      <w:szCs w:val="21"/>
                    </w:rPr>
                    <w:t>第一次</w:t>
                  </w:r>
                </w:p>
              </w:tc>
              <w:tc>
                <w:tcPr>
                  <w:tcW w:w="2222" w:type="pct"/>
                  <w:shd w:val="clear" w:color="auto" w:fill="auto"/>
                  <w:vAlign w:val="center"/>
                </w:tcPr>
                <w:p w14:paraId="5F8D309F">
                  <w:pPr>
                    <w:pStyle w:val="89"/>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pacing w:val="-2"/>
                      <w:sz w:val="21"/>
                      <w:szCs w:val="21"/>
                    </w:rPr>
                    <w:t>0.63</w:t>
                  </w:r>
                </w:p>
              </w:tc>
            </w:tr>
            <w:tr w14:paraId="28251B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775" w:type="pct"/>
                  <w:vMerge w:val="continue"/>
                  <w:vAlign w:val="center"/>
                </w:tcPr>
                <w:p w14:paraId="257FE46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p>
              </w:tc>
              <w:tc>
                <w:tcPr>
                  <w:tcW w:w="1010" w:type="pct"/>
                  <w:vMerge w:val="continue"/>
                  <w:tcBorders>
                    <w:top w:val="nil"/>
                    <w:bottom w:val="nil"/>
                  </w:tcBorders>
                  <w:vAlign w:val="center"/>
                </w:tcPr>
                <w:p w14:paraId="0869D00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p>
              </w:tc>
              <w:tc>
                <w:tcPr>
                  <w:tcW w:w="991" w:type="pct"/>
                  <w:vAlign w:val="center"/>
                </w:tcPr>
                <w:p w14:paraId="075EAEF1">
                  <w:pPr>
                    <w:pStyle w:val="8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第二次</w:t>
                  </w:r>
                </w:p>
              </w:tc>
              <w:tc>
                <w:tcPr>
                  <w:tcW w:w="2222" w:type="pct"/>
                  <w:shd w:val="clear" w:color="auto" w:fill="auto"/>
                  <w:vAlign w:val="center"/>
                </w:tcPr>
                <w:p w14:paraId="22B57498">
                  <w:pPr>
                    <w:pStyle w:val="89"/>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pacing w:val="-2"/>
                      <w:sz w:val="21"/>
                      <w:szCs w:val="21"/>
                    </w:rPr>
                    <w:t>0.63</w:t>
                  </w:r>
                </w:p>
              </w:tc>
            </w:tr>
            <w:tr w14:paraId="7EE482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775" w:type="pct"/>
                  <w:vMerge w:val="continue"/>
                  <w:vAlign w:val="center"/>
                </w:tcPr>
                <w:p w14:paraId="324FBE2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p>
              </w:tc>
              <w:tc>
                <w:tcPr>
                  <w:tcW w:w="1010" w:type="pct"/>
                  <w:vMerge w:val="continue"/>
                  <w:tcBorders>
                    <w:top w:val="nil"/>
                    <w:bottom w:val="nil"/>
                  </w:tcBorders>
                  <w:vAlign w:val="center"/>
                </w:tcPr>
                <w:p w14:paraId="68F54AE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p>
              </w:tc>
              <w:tc>
                <w:tcPr>
                  <w:tcW w:w="991" w:type="pct"/>
                  <w:vAlign w:val="center"/>
                </w:tcPr>
                <w:p w14:paraId="0F5BACAE">
                  <w:pPr>
                    <w:pStyle w:val="8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第三次</w:t>
                  </w:r>
                </w:p>
              </w:tc>
              <w:tc>
                <w:tcPr>
                  <w:tcW w:w="2222" w:type="pct"/>
                  <w:shd w:val="clear" w:color="auto" w:fill="auto"/>
                  <w:vAlign w:val="center"/>
                </w:tcPr>
                <w:p w14:paraId="729FF60F">
                  <w:pPr>
                    <w:pStyle w:val="89"/>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pacing w:val="-2"/>
                      <w:sz w:val="21"/>
                      <w:szCs w:val="21"/>
                    </w:rPr>
                    <w:t>0.62</w:t>
                  </w:r>
                </w:p>
              </w:tc>
            </w:tr>
            <w:tr w14:paraId="426187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775" w:type="pct"/>
                  <w:vMerge w:val="continue"/>
                  <w:vAlign w:val="center"/>
                </w:tcPr>
                <w:p w14:paraId="11F9995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p>
              </w:tc>
              <w:tc>
                <w:tcPr>
                  <w:tcW w:w="1010" w:type="pct"/>
                  <w:vMerge w:val="continue"/>
                  <w:tcBorders>
                    <w:top w:val="nil"/>
                  </w:tcBorders>
                  <w:vAlign w:val="center"/>
                </w:tcPr>
                <w:p w14:paraId="6387E01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p>
              </w:tc>
              <w:tc>
                <w:tcPr>
                  <w:tcW w:w="991" w:type="pct"/>
                  <w:vAlign w:val="center"/>
                </w:tcPr>
                <w:p w14:paraId="4E3A6F31">
                  <w:pPr>
                    <w:pStyle w:val="8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第四次</w:t>
                  </w:r>
                </w:p>
              </w:tc>
              <w:tc>
                <w:tcPr>
                  <w:tcW w:w="2222" w:type="pct"/>
                  <w:shd w:val="clear" w:color="auto" w:fill="auto"/>
                  <w:vAlign w:val="center"/>
                </w:tcPr>
                <w:p w14:paraId="68E10D2A">
                  <w:pPr>
                    <w:pStyle w:val="89"/>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pacing w:val="-2"/>
                      <w:sz w:val="21"/>
                      <w:szCs w:val="21"/>
                    </w:rPr>
                    <w:t>0.64</w:t>
                  </w:r>
                </w:p>
              </w:tc>
            </w:tr>
            <w:tr w14:paraId="3DB7B2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775" w:type="pct"/>
                  <w:vMerge w:val="continue"/>
                  <w:vAlign w:val="center"/>
                </w:tcPr>
                <w:p w14:paraId="49BD2669">
                  <w:pPr>
                    <w:pStyle w:val="8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pacing w:val="-1"/>
                      <w:sz w:val="21"/>
                      <w:szCs w:val="21"/>
                    </w:rPr>
                  </w:pPr>
                </w:p>
              </w:tc>
              <w:tc>
                <w:tcPr>
                  <w:tcW w:w="1010" w:type="pct"/>
                  <w:vMerge w:val="restart"/>
                  <w:tcBorders>
                    <w:bottom w:val="nil"/>
                  </w:tcBorders>
                  <w:vAlign w:val="center"/>
                </w:tcPr>
                <w:p w14:paraId="1916D7C6">
                  <w:pPr>
                    <w:pStyle w:val="8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2023.02.10</w:t>
                  </w:r>
                </w:p>
              </w:tc>
              <w:tc>
                <w:tcPr>
                  <w:tcW w:w="991" w:type="pct"/>
                  <w:vAlign w:val="center"/>
                </w:tcPr>
                <w:p w14:paraId="65477DEF">
                  <w:pPr>
                    <w:pStyle w:val="8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3"/>
                      <w:sz w:val="21"/>
                      <w:szCs w:val="21"/>
                    </w:rPr>
                    <w:t>第一次</w:t>
                  </w:r>
                </w:p>
              </w:tc>
              <w:tc>
                <w:tcPr>
                  <w:tcW w:w="2222" w:type="pct"/>
                  <w:shd w:val="clear" w:color="auto" w:fill="auto"/>
                  <w:vAlign w:val="center"/>
                </w:tcPr>
                <w:p w14:paraId="715C9007">
                  <w:pPr>
                    <w:pStyle w:val="89"/>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pacing w:val="-2"/>
                      <w:sz w:val="21"/>
                      <w:szCs w:val="21"/>
                    </w:rPr>
                    <w:t>0.62</w:t>
                  </w:r>
                </w:p>
              </w:tc>
            </w:tr>
            <w:tr w14:paraId="6723DA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775" w:type="pct"/>
                  <w:vMerge w:val="continue"/>
                  <w:vAlign w:val="center"/>
                </w:tcPr>
                <w:p w14:paraId="6943407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p>
              </w:tc>
              <w:tc>
                <w:tcPr>
                  <w:tcW w:w="1010" w:type="pct"/>
                  <w:vMerge w:val="continue"/>
                  <w:tcBorders>
                    <w:top w:val="nil"/>
                    <w:bottom w:val="nil"/>
                  </w:tcBorders>
                  <w:vAlign w:val="center"/>
                </w:tcPr>
                <w:p w14:paraId="7251E5F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p>
              </w:tc>
              <w:tc>
                <w:tcPr>
                  <w:tcW w:w="991" w:type="pct"/>
                  <w:vAlign w:val="center"/>
                </w:tcPr>
                <w:p w14:paraId="1EF6F2FC">
                  <w:pPr>
                    <w:pStyle w:val="8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第二次</w:t>
                  </w:r>
                </w:p>
              </w:tc>
              <w:tc>
                <w:tcPr>
                  <w:tcW w:w="2222" w:type="pct"/>
                  <w:shd w:val="clear" w:color="auto" w:fill="auto"/>
                  <w:vAlign w:val="center"/>
                </w:tcPr>
                <w:p w14:paraId="5D0D6F55">
                  <w:pPr>
                    <w:pStyle w:val="89"/>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pacing w:val="-2"/>
                      <w:sz w:val="21"/>
                      <w:szCs w:val="21"/>
                    </w:rPr>
                    <w:t>0.62</w:t>
                  </w:r>
                </w:p>
              </w:tc>
            </w:tr>
            <w:tr w14:paraId="40B31C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775" w:type="pct"/>
                  <w:vMerge w:val="continue"/>
                  <w:vAlign w:val="center"/>
                </w:tcPr>
                <w:p w14:paraId="63A4DFF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p>
              </w:tc>
              <w:tc>
                <w:tcPr>
                  <w:tcW w:w="1010" w:type="pct"/>
                  <w:vMerge w:val="continue"/>
                  <w:tcBorders>
                    <w:top w:val="nil"/>
                    <w:bottom w:val="nil"/>
                  </w:tcBorders>
                  <w:vAlign w:val="center"/>
                </w:tcPr>
                <w:p w14:paraId="559E9D6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p>
              </w:tc>
              <w:tc>
                <w:tcPr>
                  <w:tcW w:w="991" w:type="pct"/>
                  <w:vAlign w:val="center"/>
                </w:tcPr>
                <w:p w14:paraId="57A7CADD">
                  <w:pPr>
                    <w:pStyle w:val="8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第三次</w:t>
                  </w:r>
                </w:p>
              </w:tc>
              <w:tc>
                <w:tcPr>
                  <w:tcW w:w="2222" w:type="pct"/>
                  <w:shd w:val="clear" w:color="auto" w:fill="auto"/>
                  <w:vAlign w:val="center"/>
                </w:tcPr>
                <w:p w14:paraId="74FBF86B">
                  <w:pPr>
                    <w:pStyle w:val="89"/>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pacing w:val="-2"/>
                      <w:sz w:val="21"/>
                      <w:szCs w:val="21"/>
                    </w:rPr>
                    <w:t>0.62</w:t>
                  </w:r>
                </w:p>
              </w:tc>
            </w:tr>
            <w:tr w14:paraId="3B5B0F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775" w:type="pct"/>
                  <w:vMerge w:val="continue"/>
                  <w:vAlign w:val="center"/>
                </w:tcPr>
                <w:p w14:paraId="38624C2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p>
              </w:tc>
              <w:tc>
                <w:tcPr>
                  <w:tcW w:w="1010" w:type="pct"/>
                  <w:vMerge w:val="continue"/>
                  <w:tcBorders>
                    <w:top w:val="nil"/>
                  </w:tcBorders>
                  <w:vAlign w:val="center"/>
                </w:tcPr>
                <w:p w14:paraId="64B9475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p>
              </w:tc>
              <w:tc>
                <w:tcPr>
                  <w:tcW w:w="991" w:type="pct"/>
                  <w:vAlign w:val="center"/>
                </w:tcPr>
                <w:p w14:paraId="28F61487">
                  <w:pPr>
                    <w:pStyle w:val="8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第四次</w:t>
                  </w:r>
                </w:p>
              </w:tc>
              <w:tc>
                <w:tcPr>
                  <w:tcW w:w="2222" w:type="pct"/>
                  <w:shd w:val="clear" w:color="auto" w:fill="auto"/>
                  <w:vAlign w:val="center"/>
                </w:tcPr>
                <w:p w14:paraId="5E59EE4F">
                  <w:pPr>
                    <w:pStyle w:val="89"/>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pacing w:val="-2"/>
                      <w:sz w:val="21"/>
                      <w:szCs w:val="21"/>
                    </w:rPr>
                    <w:t>0.62</w:t>
                  </w:r>
                </w:p>
              </w:tc>
            </w:tr>
            <w:tr w14:paraId="4A8B4D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775" w:type="pct"/>
                  <w:vMerge w:val="continue"/>
                  <w:vAlign w:val="center"/>
                </w:tcPr>
                <w:p w14:paraId="6029EBAF">
                  <w:pPr>
                    <w:pStyle w:val="8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pacing w:val="-1"/>
                      <w:sz w:val="21"/>
                      <w:szCs w:val="21"/>
                    </w:rPr>
                  </w:pPr>
                </w:p>
              </w:tc>
              <w:tc>
                <w:tcPr>
                  <w:tcW w:w="1010" w:type="pct"/>
                  <w:vMerge w:val="restart"/>
                  <w:tcBorders>
                    <w:bottom w:val="nil"/>
                  </w:tcBorders>
                  <w:vAlign w:val="center"/>
                </w:tcPr>
                <w:p w14:paraId="5CDD7DB3">
                  <w:pPr>
                    <w:pStyle w:val="8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2023.02.11</w:t>
                  </w:r>
                </w:p>
              </w:tc>
              <w:tc>
                <w:tcPr>
                  <w:tcW w:w="991" w:type="pct"/>
                  <w:vAlign w:val="center"/>
                </w:tcPr>
                <w:p w14:paraId="582AD874">
                  <w:pPr>
                    <w:pStyle w:val="8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3"/>
                      <w:sz w:val="21"/>
                      <w:szCs w:val="21"/>
                    </w:rPr>
                    <w:t>第一次</w:t>
                  </w:r>
                </w:p>
              </w:tc>
              <w:tc>
                <w:tcPr>
                  <w:tcW w:w="2222" w:type="pct"/>
                  <w:shd w:val="clear" w:color="auto" w:fill="auto"/>
                  <w:vAlign w:val="center"/>
                </w:tcPr>
                <w:p w14:paraId="07CCA0AE">
                  <w:pPr>
                    <w:pStyle w:val="89"/>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pacing w:val="-2"/>
                      <w:sz w:val="21"/>
                      <w:szCs w:val="21"/>
                    </w:rPr>
                    <w:t>0.93</w:t>
                  </w:r>
                </w:p>
              </w:tc>
            </w:tr>
            <w:tr w14:paraId="375998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775" w:type="pct"/>
                  <w:vMerge w:val="continue"/>
                  <w:vAlign w:val="center"/>
                </w:tcPr>
                <w:p w14:paraId="60C7DA1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p>
              </w:tc>
              <w:tc>
                <w:tcPr>
                  <w:tcW w:w="1010" w:type="pct"/>
                  <w:vMerge w:val="continue"/>
                  <w:tcBorders>
                    <w:top w:val="nil"/>
                    <w:bottom w:val="nil"/>
                  </w:tcBorders>
                  <w:vAlign w:val="center"/>
                </w:tcPr>
                <w:p w14:paraId="238F203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p>
              </w:tc>
              <w:tc>
                <w:tcPr>
                  <w:tcW w:w="991" w:type="pct"/>
                  <w:vAlign w:val="center"/>
                </w:tcPr>
                <w:p w14:paraId="099026F0">
                  <w:pPr>
                    <w:pStyle w:val="8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第二次</w:t>
                  </w:r>
                </w:p>
              </w:tc>
              <w:tc>
                <w:tcPr>
                  <w:tcW w:w="2222" w:type="pct"/>
                  <w:shd w:val="clear" w:color="auto" w:fill="auto"/>
                  <w:vAlign w:val="center"/>
                </w:tcPr>
                <w:p w14:paraId="4E3BBFFF">
                  <w:pPr>
                    <w:pStyle w:val="89"/>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pacing w:val="-2"/>
                      <w:sz w:val="21"/>
                      <w:szCs w:val="21"/>
                    </w:rPr>
                    <w:t>0.92</w:t>
                  </w:r>
                </w:p>
              </w:tc>
            </w:tr>
            <w:tr w14:paraId="756C0B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775" w:type="pct"/>
                  <w:vMerge w:val="continue"/>
                  <w:vAlign w:val="center"/>
                </w:tcPr>
                <w:p w14:paraId="7C5132B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p>
              </w:tc>
              <w:tc>
                <w:tcPr>
                  <w:tcW w:w="1010" w:type="pct"/>
                  <w:vMerge w:val="continue"/>
                  <w:tcBorders>
                    <w:top w:val="nil"/>
                    <w:bottom w:val="nil"/>
                  </w:tcBorders>
                  <w:vAlign w:val="center"/>
                </w:tcPr>
                <w:p w14:paraId="56132B3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p>
              </w:tc>
              <w:tc>
                <w:tcPr>
                  <w:tcW w:w="991" w:type="pct"/>
                  <w:vAlign w:val="center"/>
                </w:tcPr>
                <w:p w14:paraId="28D968C2">
                  <w:pPr>
                    <w:pStyle w:val="8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第三次</w:t>
                  </w:r>
                </w:p>
              </w:tc>
              <w:tc>
                <w:tcPr>
                  <w:tcW w:w="2222" w:type="pct"/>
                  <w:shd w:val="clear" w:color="auto" w:fill="auto"/>
                  <w:vAlign w:val="center"/>
                </w:tcPr>
                <w:p w14:paraId="5F051885">
                  <w:pPr>
                    <w:pStyle w:val="89"/>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pacing w:val="-2"/>
                      <w:sz w:val="21"/>
                      <w:szCs w:val="21"/>
                    </w:rPr>
                    <w:t>0.84</w:t>
                  </w:r>
                </w:p>
              </w:tc>
            </w:tr>
            <w:tr w14:paraId="4CABC7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775" w:type="pct"/>
                  <w:vMerge w:val="continue"/>
                  <w:vAlign w:val="center"/>
                </w:tcPr>
                <w:p w14:paraId="5D0B2E6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p>
              </w:tc>
              <w:tc>
                <w:tcPr>
                  <w:tcW w:w="1010" w:type="pct"/>
                  <w:vMerge w:val="continue"/>
                  <w:tcBorders>
                    <w:top w:val="nil"/>
                  </w:tcBorders>
                  <w:vAlign w:val="center"/>
                </w:tcPr>
                <w:p w14:paraId="26F81AA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p>
              </w:tc>
              <w:tc>
                <w:tcPr>
                  <w:tcW w:w="991" w:type="pct"/>
                  <w:vAlign w:val="center"/>
                </w:tcPr>
                <w:p w14:paraId="02D33BF6">
                  <w:pPr>
                    <w:pStyle w:val="8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第四次</w:t>
                  </w:r>
                </w:p>
              </w:tc>
              <w:tc>
                <w:tcPr>
                  <w:tcW w:w="2222" w:type="pct"/>
                  <w:shd w:val="clear" w:color="auto" w:fill="auto"/>
                  <w:vAlign w:val="center"/>
                </w:tcPr>
                <w:p w14:paraId="0BD8D82A">
                  <w:pPr>
                    <w:pStyle w:val="89"/>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pacing w:val="-2"/>
                      <w:sz w:val="21"/>
                      <w:szCs w:val="21"/>
                    </w:rPr>
                    <w:t>0.85</w:t>
                  </w:r>
                </w:p>
              </w:tc>
            </w:tr>
            <w:tr w14:paraId="427ED2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775" w:type="pct"/>
                  <w:vMerge w:val="continue"/>
                  <w:vAlign w:val="center"/>
                </w:tcPr>
                <w:p w14:paraId="73939D97">
                  <w:pPr>
                    <w:pStyle w:val="8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pacing w:val="-1"/>
                      <w:sz w:val="21"/>
                      <w:szCs w:val="21"/>
                    </w:rPr>
                  </w:pPr>
                </w:p>
              </w:tc>
              <w:tc>
                <w:tcPr>
                  <w:tcW w:w="1010" w:type="pct"/>
                  <w:vMerge w:val="restart"/>
                  <w:tcBorders>
                    <w:bottom w:val="nil"/>
                  </w:tcBorders>
                  <w:vAlign w:val="center"/>
                </w:tcPr>
                <w:p w14:paraId="1A6EBCB1">
                  <w:pPr>
                    <w:pStyle w:val="8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2023.02.12</w:t>
                  </w:r>
                </w:p>
              </w:tc>
              <w:tc>
                <w:tcPr>
                  <w:tcW w:w="991" w:type="pct"/>
                  <w:vAlign w:val="center"/>
                </w:tcPr>
                <w:p w14:paraId="30132727">
                  <w:pPr>
                    <w:pStyle w:val="8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3"/>
                      <w:sz w:val="21"/>
                      <w:szCs w:val="21"/>
                    </w:rPr>
                    <w:t>第一次</w:t>
                  </w:r>
                </w:p>
              </w:tc>
              <w:tc>
                <w:tcPr>
                  <w:tcW w:w="2222" w:type="pct"/>
                  <w:shd w:val="clear" w:color="auto" w:fill="auto"/>
                  <w:vAlign w:val="center"/>
                </w:tcPr>
                <w:p w14:paraId="054495D6">
                  <w:pPr>
                    <w:pStyle w:val="89"/>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pacing w:val="-2"/>
                      <w:sz w:val="21"/>
                      <w:szCs w:val="21"/>
                    </w:rPr>
                    <w:t>0.79</w:t>
                  </w:r>
                </w:p>
              </w:tc>
            </w:tr>
            <w:tr w14:paraId="248375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775" w:type="pct"/>
                  <w:vMerge w:val="continue"/>
                  <w:vAlign w:val="center"/>
                </w:tcPr>
                <w:p w14:paraId="393EA1B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p>
              </w:tc>
              <w:tc>
                <w:tcPr>
                  <w:tcW w:w="1010" w:type="pct"/>
                  <w:vMerge w:val="continue"/>
                  <w:tcBorders>
                    <w:top w:val="nil"/>
                    <w:bottom w:val="nil"/>
                  </w:tcBorders>
                  <w:vAlign w:val="center"/>
                </w:tcPr>
                <w:p w14:paraId="3C902CA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p>
              </w:tc>
              <w:tc>
                <w:tcPr>
                  <w:tcW w:w="991" w:type="pct"/>
                  <w:vAlign w:val="center"/>
                </w:tcPr>
                <w:p w14:paraId="6C84CFF8">
                  <w:pPr>
                    <w:pStyle w:val="8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第二次</w:t>
                  </w:r>
                </w:p>
              </w:tc>
              <w:tc>
                <w:tcPr>
                  <w:tcW w:w="2222" w:type="pct"/>
                  <w:shd w:val="clear" w:color="auto" w:fill="auto"/>
                  <w:vAlign w:val="center"/>
                </w:tcPr>
                <w:p w14:paraId="242774B8">
                  <w:pPr>
                    <w:pStyle w:val="89"/>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pacing w:val="-2"/>
                      <w:sz w:val="21"/>
                      <w:szCs w:val="21"/>
                    </w:rPr>
                    <w:t>0.79</w:t>
                  </w:r>
                </w:p>
              </w:tc>
            </w:tr>
            <w:tr w14:paraId="28DE4E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775" w:type="pct"/>
                  <w:vMerge w:val="continue"/>
                  <w:vAlign w:val="center"/>
                </w:tcPr>
                <w:p w14:paraId="6F4E7D7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p>
              </w:tc>
              <w:tc>
                <w:tcPr>
                  <w:tcW w:w="1010" w:type="pct"/>
                  <w:vMerge w:val="continue"/>
                  <w:tcBorders>
                    <w:top w:val="nil"/>
                    <w:bottom w:val="nil"/>
                  </w:tcBorders>
                  <w:vAlign w:val="center"/>
                </w:tcPr>
                <w:p w14:paraId="42CD37D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p>
              </w:tc>
              <w:tc>
                <w:tcPr>
                  <w:tcW w:w="991" w:type="pct"/>
                  <w:vAlign w:val="center"/>
                </w:tcPr>
                <w:p w14:paraId="0E9A130B">
                  <w:pPr>
                    <w:pStyle w:val="8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第三次</w:t>
                  </w:r>
                </w:p>
              </w:tc>
              <w:tc>
                <w:tcPr>
                  <w:tcW w:w="2222" w:type="pct"/>
                  <w:shd w:val="clear" w:color="auto" w:fill="auto"/>
                  <w:vAlign w:val="center"/>
                </w:tcPr>
                <w:p w14:paraId="2E2C22AA">
                  <w:pPr>
                    <w:pStyle w:val="89"/>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pacing w:val="-2"/>
                      <w:sz w:val="21"/>
                      <w:szCs w:val="21"/>
                    </w:rPr>
                    <w:t>0.77</w:t>
                  </w:r>
                </w:p>
              </w:tc>
            </w:tr>
            <w:tr w14:paraId="26CC2C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775" w:type="pct"/>
                  <w:vMerge w:val="continue"/>
                  <w:vAlign w:val="center"/>
                </w:tcPr>
                <w:p w14:paraId="224E08F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p>
              </w:tc>
              <w:tc>
                <w:tcPr>
                  <w:tcW w:w="1010" w:type="pct"/>
                  <w:vMerge w:val="continue"/>
                  <w:tcBorders>
                    <w:top w:val="nil"/>
                  </w:tcBorders>
                  <w:vAlign w:val="center"/>
                </w:tcPr>
                <w:p w14:paraId="0FCA1DB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p>
              </w:tc>
              <w:tc>
                <w:tcPr>
                  <w:tcW w:w="991" w:type="pct"/>
                  <w:vAlign w:val="center"/>
                </w:tcPr>
                <w:p w14:paraId="04D1A503">
                  <w:pPr>
                    <w:pStyle w:val="8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第四次</w:t>
                  </w:r>
                </w:p>
              </w:tc>
              <w:tc>
                <w:tcPr>
                  <w:tcW w:w="2222" w:type="pct"/>
                  <w:shd w:val="clear" w:color="auto" w:fill="auto"/>
                  <w:vAlign w:val="center"/>
                </w:tcPr>
                <w:p w14:paraId="6A8813C5">
                  <w:pPr>
                    <w:pStyle w:val="89"/>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pacing w:val="-2"/>
                      <w:sz w:val="21"/>
                      <w:szCs w:val="21"/>
                    </w:rPr>
                    <w:t>0.75</w:t>
                  </w:r>
                </w:p>
              </w:tc>
            </w:tr>
          </w:tbl>
          <w:p w14:paraId="1E79BB02">
            <w:pPr>
              <w:spacing w:line="360" w:lineRule="auto"/>
              <w:ind w:firstLine="480" w:firstLineChars="200"/>
              <w:rPr>
                <w:rFonts w:hint="eastAsia"/>
                <w:sz w:val="24"/>
              </w:rPr>
            </w:pPr>
            <w:r>
              <w:rPr>
                <w:rFonts w:hint="eastAsia" w:ascii="宋体" w:hAnsi="宋体" w:eastAsia="宋体" w:cs="宋体"/>
                <w:sz w:val="24"/>
                <w:szCs w:val="22"/>
              </w:rPr>
              <w:t>②</w:t>
            </w:r>
            <w:r>
              <w:rPr>
                <w:sz w:val="24"/>
              </w:rPr>
              <w:t>本项目区域环境空气</w:t>
            </w:r>
            <w:r>
              <w:rPr>
                <w:rFonts w:hint="eastAsia"/>
                <w:sz w:val="24"/>
                <w:lang w:eastAsia="zh-CN"/>
              </w:rPr>
              <w:t>二甲苯</w:t>
            </w:r>
            <w:r>
              <w:rPr>
                <w:sz w:val="24"/>
              </w:rPr>
              <w:t>质量现状引用《</w:t>
            </w:r>
            <w:r>
              <w:rPr>
                <w:rFonts w:hint="eastAsia"/>
                <w:sz w:val="24"/>
              </w:rPr>
              <w:t>安徽淮北杜集经济开发区总体发展规划（2023~2035年）环境影响报告书</w:t>
            </w:r>
            <w:r>
              <w:rPr>
                <w:sz w:val="24"/>
              </w:rPr>
              <w:t>》中</w:t>
            </w:r>
            <w:r>
              <w:rPr>
                <w:rFonts w:hint="eastAsia"/>
                <w:sz w:val="24"/>
              </w:rPr>
              <w:t>的</w:t>
            </w:r>
            <w:r>
              <w:rPr>
                <w:rFonts w:hint="eastAsia"/>
                <w:sz w:val="24"/>
                <w:lang w:val="en-US" w:eastAsia="zh-CN"/>
              </w:rPr>
              <w:t>G2</w:t>
            </w:r>
            <w:r>
              <w:rPr>
                <w:rFonts w:hint="eastAsia"/>
                <w:sz w:val="24"/>
                <w:lang w:eastAsia="zh-CN"/>
              </w:rPr>
              <w:t>罗里村</w:t>
            </w:r>
            <w:r>
              <w:rPr>
                <w:rFonts w:hint="eastAsia"/>
                <w:sz w:val="24"/>
              </w:rPr>
              <w:t>点位的</w:t>
            </w:r>
            <w:r>
              <w:rPr>
                <w:sz w:val="24"/>
              </w:rPr>
              <w:t>监测数据，</w:t>
            </w:r>
            <w:r>
              <w:rPr>
                <w:rFonts w:hint="eastAsia"/>
                <w:sz w:val="24"/>
              </w:rPr>
              <w:t>该</w:t>
            </w:r>
            <w:r>
              <w:rPr>
                <w:rFonts w:hint="eastAsia"/>
                <w:sz w:val="24"/>
                <w:lang w:eastAsia="zh-CN"/>
              </w:rPr>
              <w:t>项目</w:t>
            </w:r>
            <w:r>
              <w:rPr>
                <w:rFonts w:hint="eastAsia"/>
                <w:sz w:val="24"/>
              </w:rPr>
              <w:t>位于项目区</w:t>
            </w:r>
            <w:r>
              <w:rPr>
                <w:rFonts w:hint="eastAsia"/>
                <w:sz w:val="24"/>
                <w:lang w:val="en-US" w:eastAsia="zh-CN"/>
              </w:rPr>
              <w:t>W</w:t>
            </w:r>
            <w:r>
              <w:rPr>
                <w:rFonts w:hint="eastAsia"/>
                <w:sz w:val="24"/>
              </w:rPr>
              <w:t>方位，直线距离为</w:t>
            </w:r>
            <w:r>
              <w:rPr>
                <w:rFonts w:hint="eastAsia"/>
                <w:sz w:val="24"/>
                <w:lang w:val="en-US" w:eastAsia="zh-CN"/>
              </w:rPr>
              <w:t>16</w:t>
            </w:r>
            <w:r>
              <w:rPr>
                <w:rFonts w:hint="eastAsia"/>
                <w:sz w:val="24"/>
              </w:rPr>
              <w:t>00m，</w:t>
            </w:r>
            <w:r>
              <w:rPr>
                <w:sz w:val="24"/>
              </w:rPr>
              <w:t>监测时间为202</w:t>
            </w:r>
            <w:r>
              <w:rPr>
                <w:rFonts w:hint="eastAsia"/>
                <w:sz w:val="24"/>
              </w:rPr>
              <w:t>3</w:t>
            </w:r>
            <w:r>
              <w:rPr>
                <w:sz w:val="24"/>
              </w:rPr>
              <w:t>年</w:t>
            </w:r>
            <w:r>
              <w:rPr>
                <w:rFonts w:hint="eastAsia"/>
                <w:sz w:val="24"/>
                <w:lang w:val="en-US" w:eastAsia="zh-CN"/>
              </w:rPr>
              <w:t>7</w:t>
            </w:r>
            <w:r>
              <w:rPr>
                <w:sz w:val="24"/>
              </w:rPr>
              <w:t>月</w:t>
            </w:r>
            <w:r>
              <w:rPr>
                <w:rFonts w:hint="eastAsia"/>
                <w:sz w:val="24"/>
                <w:lang w:val="en-US" w:eastAsia="zh-CN"/>
              </w:rPr>
              <w:t>1</w:t>
            </w:r>
            <w:r>
              <w:rPr>
                <w:rFonts w:hint="eastAsia"/>
                <w:sz w:val="24"/>
              </w:rPr>
              <w:t>6</w:t>
            </w:r>
            <w:r>
              <w:rPr>
                <w:sz w:val="24"/>
              </w:rPr>
              <w:t>日~</w:t>
            </w:r>
            <w:r>
              <w:rPr>
                <w:rFonts w:hint="eastAsia"/>
                <w:sz w:val="24"/>
                <w:lang w:val="en-US" w:eastAsia="zh-CN"/>
              </w:rPr>
              <w:t>26</w:t>
            </w:r>
            <w:r>
              <w:rPr>
                <w:sz w:val="24"/>
              </w:rPr>
              <w:t>日，因此引用该项目监测数据具有可行性。</w:t>
            </w:r>
            <w:r>
              <w:rPr>
                <w:rFonts w:hint="eastAsia"/>
                <w:sz w:val="24"/>
                <w:lang w:val="en-US" w:eastAsia="zh-CN"/>
              </w:rPr>
              <w:t>G2罗里村的</w:t>
            </w:r>
            <w:r>
              <w:rPr>
                <w:rFonts w:hint="eastAsia"/>
                <w:sz w:val="24"/>
                <w:lang w:eastAsia="zh-CN"/>
              </w:rPr>
              <w:t>二甲苯</w:t>
            </w:r>
            <w:r>
              <w:rPr>
                <w:sz w:val="24"/>
              </w:rPr>
              <w:t>监测结果</w:t>
            </w:r>
            <w:r>
              <w:rPr>
                <w:rFonts w:hint="eastAsia"/>
                <w:sz w:val="24"/>
                <w:lang w:eastAsia="zh-CN"/>
              </w:rPr>
              <w:t>为“</w:t>
            </w:r>
            <w:r>
              <w:rPr>
                <w:rFonts w:hint="eastAsia"/>
                <w:sz w:val="24"/>
                <w:lang w:val="en-US" w:eastAsia="zh-CN"/>
              </w:rPr>
              <w:t>ND</w:t>
            </w:r>
            <w:r>
              <w:rPr>
                <w:rFonts w:hint="eastAsia"/>
                <w:sz w:val="24"/>
                <w:lang w:eastAsia="zh-CN"/>
              </w:rPr>
              <w:t>”未检出。</w:t>
            </w:r>
          </w:p>
          <w:p w14:paraId="0F6A17C6">
            <w:pPr>
              <w:spacing w:line="360" w:lineRule="auto"/>
              <w:ind w:firstLine="480" w:firstLineChars="200"/>
              <w:rPr>
                <w:sz w:val="24"/>
                <w:szCs w:val="22"/>
              </w:rPr>
            </w:pPr>
            <w:r>
              <w:rPr>
                <w:sz w:val="24"/>
                <w:szCs w:val="22"/>
              </w:rPr>
              <w:t>根据</w:t>
            </w:r>
            <w:r>
              <w:rPr>
                <w:rFonts w:hint="eastAsia"/>
                <w:sz w:val="24"/>
                <w:szCs w:val="22"/>
              </w:rPr>
              <w:t>引用</w:t>
            </w:r>
            <w:r>
              <w:rPr>
                <w:sz w:val="24"/>
                <w:szCs w:val="22"/>
              </w:rPr>
              <w:t>监测结果，</w:t>
            </w:r>
            <w:r>
              <w:rPr>
                <w:rFonts w:hint="eastAsia"/>
                <w:sz w:val="24"/>
                <w:szCs w:val="22"/>
              </w:rPr>
              <w:t>监测期间</w:t>
            </w:r>
            <w:r>
              <w:rPr>
                <w:sz w:val="24"/>
                <w:szCs w:val="22"/>
              </w:rPr>
              <w:t>项目</w:t>
            </w:r>
            <w:r>
              <w:rPr>
                <w:rFonts w:hint="eastAsia"/>
                <w:sz w:val="24"/>
                <w:szCs w:val="22"/>
              </w:rPr>
              <w:t>所在</w:t>
            </w:r>
            <w:r>
              <w:rPr>
                <w:sz w:val="24"/>
                <w:szCs w:val="22"/>
              </w:rPr>
              <w:t>区域环境空气</w:t>
            </w:r>
            <w:r>
              <w:rPr>
                <w:rFonts w:hint="eastAsia"/>
                <w:sz w:val="24"/>
                <w:szCs w:val="22"/>
              </w:rPr>
              <w:t>TSP</w:t>
            </w:r>
            <w:r>
              <w:rPr>
                <w:rFonts w:hint="eastAsia"/>
                <w:sz w:val="24"/>
                <w:szCs w:val="22"/>
                <w:lang w:eastAsia="zh-CN"/>
              </w:rPr>
              <w:t>、非甲烷总烃、二甲苯</w:t>
            </w:r>
            <w:r>
              <w:rPr>
                <w:rFonts w:hint="eastAsia"/>
                <w:sz w:val="24"/>
                <w:szCs w:val="22"/>
              </w:rPr>
              <w:t>日均</w:t>
            </w:r>
            <w:r>
              <w:rPr>
                <w:sz w:val="24"/>
                <w:szCs w:val="22"/>
              </w:rPr>
              <w:t>值满足《环境空气质量标准》（GB3095-2012）中的二级标准要求。</w:t>
            </w:r>
          </w:p>
          <w:p w14:paraId="3CD8CBCB">
            <w:pPr>
              <w:spacing w:line="360" w:lineRule="auto"/>
              <w:ind w:firstLine="482" w:firstLineChars="200"/>
              <w:rPr>
                <w:b/>
                <w:bCs/>
                <w:sz w:val="24"/>
                <w:szCs w:val="32"/>
              </w:rPr>
            </w:pPr>
            <w:r>
              <w:rPr>
                <w:b/>
                <w:bCs/>
                <w:sz w:val="24"/>
                <w:szCs w:val="32"/>
              </w:rPr>
              <w:t>（二）地表水环境质量现状</w:t>
            </w:r>
          </w:p>
          <w:p w14:paraId="50CD8736">
            <w:pPr>
              <w:spacing w:line="360" w:lineRule="auto"/>
              <w:ind w:firstLine="480" w:firstLineChars="200"/>
              <w:rPr>
                <w:sz w:val="24"/>
                <w:szCs w:val="32"/>
              </w:rPr>
            </w:pPr>
            <w:r>
              <w:rPr>
                <w:sz w:val="24"/>
                <w:szCs w:val="32"/>
              </w:rPr>
              <w:t>本项目纳污水体为</w:t>
            </w:r>
            <w:r>
              <w:rPr>
                <w:rFonts w:hint="eastAsia"/>
                <w:sz w:val="24"/>
                <w:szCs w:val="32"/>
              </w:rPr>
              <w:t>龙河</w:t>
            </w:r>
            <w:r>
              <w:rPr>
                <w:sz w:val="24"/>
                <w:szCs w:val="32"/>
              </w:rPr>
              <w:t>，根据</w:t>
            </w:r>
            <w:r>
              <w:rPr>
                <w:sz w:val="24"/>
              </w:rPr>
              <w:t>《建设项目环境影响报告表编制技术指南（污染影响类）》</w:t>
            </w:r>
            <w:r>
              <w:rPr>
                <w:sz w:val="24"/>
                <w:szCs w:val="32"/>
              </w:rPr>
              <w:t>，引用与建设项目距离近的有效数据，包括近3年的规划环境影响评价的监测数据，所在流域控制单元内国家、地方控制断面监测数据，生态环境主管部门发布的水环境质量数据或地表水达标情况的结论。</w:t>
            </w:r>
          </w:p>
          <w:p w14:paraId="7685D417">
            <w:pPr>
              <w:spacing w:line="360" w:lineRule="auto"/>
              <w:ind w:firstLine="480" w:firstLineChars="200"/>
              <w:rPr>
                <w:sz w:val="24"/>
              </w:rPr>
            </w:pPr>
            <w:r>
              <w:rPr>
                <w:sz w:val="24"/>
              </w:rPr>
              <w:t>本项目区域</w:t>
            </w:r>
            <w:r>
              <w:rPr>
                <w:rFonts w:hint="eastAsia"/>
                <w:sz w:val="24"/>
              </w:rPr>
              <w:t>地表水环境</w:t>
            </w:r>
            <w:r>
              <w:rPr>
                <w:sz w:val="24"/>
              </w:rPr>
              <w:t>质量现状引用《</w:t>
            </w:r>
            <w:bookmarkStart w:id="4" w:name="_Hlk132727159"/>
            <w:r>
              <w:rPr>
                <w:rFonts w:hint="eastAsia"/>
                <w:sz w:val="24"/>
              </w:rPr>
              <w:t>安徽中清智慧光伏科技有限公司</w:t>
            </w:r>
            <w:bookmarkEnd w:id="4"/>
            <w:r>
              <w:rPr>
                <w:sz w:val="24"/>
              </w:rPr>
              <w:t>安徽省淮北市杜集区中清产业园项目（一期、二期）</w:t>
            </w:r>
            <w:r>
              <w:rPr>
                <w:rFonts w:hint="eastAsia"/>
                <w:sz w:val="24"/>
              </w:rPr>
              <w:t>环境影响报告书</w:t>
            </w:r>
            <w:r>
              <w:rPr>
                <w:sz w:val="24"/>
              </w:rPr>
              <w:t>》中监测数据，监测时间为202</w:t>
            </w:r>
            <w:r>
              <w:rPr>
                <w:rFonts w:hint="eastAsia"/>
                <w:sz w:val="24"/>
              </w:rPr>
              <w:t>3</w:t>
            </w:r>
            <w:r>
              <w:rPr>
                <w:sz w:val="24"/>
              </w:rPr>
              <w:t>年</w:t>
            </w:r>
            <w:r>
              <w:rPr>
                <w:rFonts w:hint="eastAsia"/>
                <w:sz w:val="24"/>
              </w:rPr>
              <w:t>2</w:t>
            </w:r>
            <w:r>
              <w:rPr>
                <w:sz w:val="24"/>
              </w:rPr>
              <w:t>月</w:t>
            </w:r>
            <w:r>
              <w:rPr>
                <w:rFonts w:hint="eastAsia"/>
                <w:sz w:val="24"/>
              </w:rPr>
              <w:t>9</w:t>
            </w:r>
            <w:r>
              <w:rPr>
                <w:sz w:val="24"/>
              </w:rPr>
              <w:t>日~</w:t>
            </w:r>
            <w:r>
              <w:rPr>
                <w:rFonts w:hint="eastAsia"/>
                <w:sz w:val="24"/>
              </w:rPr>
              <w:t>11</w:t>
            </w:r>
            <w:r>
              <w:rPr>
                <w:sz w:val="24"/>
              </w:rPr>
              <w:t>日，因此引用该项目监测数据具有可行性。具体监测点位及监测结果如下</w:t>
            </w:r>
            <w:r>
              <w:rPr>
                <w:rFonts w:hint="eastAsia"/>
                <w:sz w:val="24"/>
              </w:rPr>
              <w:t>：</w:t>
            </w:r>
          </w:p>
          <w:p w14:paraId="5F38D4E3">
            <w:pPr>
              <w:widowControl/>
              <w:numPr>
                <w:ilvl w:val="0"/>
                <w:numId w:val="2"/>
              </w:numPr>
              <w:jc w:val="center"/>
              <w:rPr>
                <w:b/>
                <w:kern w:val="0"/>
                <w:szCs w:val="21"/>
              </w:rPr>
            </w:pPr>
            <w:r>
              <w:rPr>
                <w:b/>
                <w:kern w:val="0"/>
                <w:szCs w:val="21"/>
              </w:rPr>
              <w:t xml:space="preserve">  </w:t>
            </w:r>
            <w:r>
              <w:rPr>
                <w:rFonts w:hint="eastAsia"/>
                <w:b/>
                <w:kern w:val="0"/>
                <w:szCs w:val="21"/>
              </w:rPr>
              <w:t>地表水现状监测结果一览表（单位：mg/L，pH无量纲）</w:t>
            </w:r>
          </w:p>
          <w:tbl>
            <w:tblPr>
              <w:tblStyle w:val="26"/>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7"/>
              <w:gridCol w:w="1109"/>
              <w:gridCol w:w="600"/>
              <w:gridCol w:w="794"/>
              <w:gridCol w:w="988"/>
              <w:gridCol w:w="689"/>
              <w:gridCol w:w="584"/>
              <w:gridCol w:w="713"/>
              <w:gridCol w:w="585"/>
            </w:tblGrid>
            <w:tr w14:paraId="6A952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2" w:type="pct"/>
                  <w:tcBorders>
                    <w:top w:val="single" w:color="auto" w:sz="4" w:space="0"/>
                    <w:left w:val="single" w:color="auto" w:sz="4" w:space="0"/>
                    <w:right w:val="single" w:color="auto" w:sz="4" w:space="0"/>
                  </w:tcBorders>
                  <w:vAlign w:val="center"/>
                </w:tcPr>
                <w:p w14:paraId="110406AC">
                  <w:pPr>
                    <w:ind w:left="-120" w:leftChars="-57" w:right="-111" w:rightChars="-53"/>
                    <w:jc w:val="center"/>
                    <w:rPr>
                      <w:b/>
                      <w:szCs w:val="21"/>
                    </w:rPr>
                  </w:pPr>
                  <w:r>
                    <w:rPr>
                      <w:b/>
                      <w:bCs/>
                      <w:szCs w:val="21"/>
                    </w:rPr>
                    <w:t>监测点位编号</w:t>
                  </w:r>
                </w:p>
              </w:tc>
              <w:tc>
                <w:tcPr>
                  <w:tcW w:w="608" w:type="pct"/>
                  <w:tcBorders>
                    <w:top w:val="single" w:color="auto" w:sz="4" w:space="0"/>
                    <w:left w:val="single" w:color="auto" w:sz="4" w:space="0"/>
                    <w:right w:val="single" w:color="auto" w:sz="4" w:space="0"/>
                  </w:tcBorders>
                  <w:vAlign w:val="center"/>
                </w:tcPr>
                <w:p w14:paraId="613A3FDD">
                  <w:pPr>
                    <w:jc w:val="center"/>
                    <w:rPr>
                      <w:szCs w:val="21"/>
                    </w:rPr>
                  </w:pPr>
                  <w:r>
                    <w:rPr>
                      <w:b/>
                      <w:bCs/>
                      <w:szCs w:val="21"/>
                    </w:rPr>
                    <w:t>pH</w:t>
                  </w:r>
                </w:p>
              </w:tc>
              <w:tc>
                <w:tcPr>
                  <w:tcW w:w="391" w:type="pct"/>
                  <w:tcBorders>
                    <w:top w:val="single" w:color="auto" w:sz="4" w:space="0"/>
                    <w:left w:val="single" w:color="auto" w:sz="4" w:space="0"/>
                    <w:right w:val="single" w:color="auto" w:sz="4" w:space="0"/>
                  </w:tcBorders>
                  <w:vAlign w:val="center"/>
                </w:tcPr>
                <w:p w14:paraId="084945C5">
                  <w:pPr>
                    <w:jc w:val="center"/>
                    <w:rPr>
                      <w:bCs/>
                      <w:szCs w:val="21"/>
                    </w:rPr>
                  </w:pPr>
                  <w:r>
                    <w:rPr>
                      <w:b/>
                      <w:szCs w:val="21"/>
                    </w:rPr>
                    <w:t>悬浮物</w:t>
                  </w:r>
                </w:p>
              </w:tc>
              <w:tc>
                <w:tcPr>
                  <w:tcW w:w="512" w:type="pct"/>
                  <w:tcBorders>
                    <w:top w:val="single" w:color="auto" w:sz="4" w:space="0"/>
                    <w:left w:val="single" w:color="auto" w:sz="4" w:space="0"/>
                    <w:right w:val="single" w:color="auto" w:sz="4" w:space="0"/>
                  </w:tcBorders>
                  <w:vAlign w:val="center"/>
                </w:tcPr>
                <w:p w14:paraId="72D3712A">
                  <w:pPr>
                    <w:jc w:val="center"/>
                    <w:rPr>
                      <w:b/>
                      <w:szCs w:val="21"/>
                    </w:rPr>
                  </w:pPr>
                  <w:r>
                    <w:rPr>
                      <w:b/>
                      <w:szCs w:val="21"/>
                    </w:rPr>
                    <w:t>化学需氧量</w:t>
                  </w:r>
                </w:p>
              </w:tc>
              <w:tc>
                <w:tcPr>
                  <w:tcW w:w="633" w:type="pct"/>
                  <w:tcBorders>
                    <w:top w:val="single" w:color="auto" w:sz="4" w:space="0"/>
                    <w:left w:val="single" w:color="auto" w:sz="4" w:space="0"/>
                    <w:right w:val="single" w:color="auto" w:sz="4" w:space="0"/>
                  </w:tcBorders>
                  <w:vAlign w:val="center"/>
                </w:tcPr>
                <w:p w14:paraId="67C52BF7">
                  <w:pPr>
                    <w:jc w:val="center"/>
                    <w:rPr>
                      <w:b/>
                      <w:szCs w:val="21"/>
                    </w:rPr>
                  </w:pPr>
                  <w:r>
                    <w:rPr>
                      <w:b/>
                      <w:szCs w:val="21"/>
                    </w:rPr>
                    <w:t>五日生化需氧量</w:t>
                  </w:r>
                </w:p>
              </w:tc>
              <w:tc>
                <w:tcPr>
                  <w:tcW w:w="435" w:type="pct"/>
                  <w:tcBorders>
                    <w:top w:val="single" w:color="auto" w:sz="4" w:space="0"/>
                    <w:left w:val="single" w:color="auto" w:sz="4" w:space="0"/>
                    <w:right w:val="single" w:color="auto" w:sz="4" w:space="0"/>
                  </w:tcBorders>
                  <w:vAlign w:val="center"/>
                </w:tcPr>
                <w:p w14:paraId="1EC19EEE">
                  <w:pPr>
                    <w:jc w:val="center"/>
                    <w:rPr>
                      <w:b/>
                      <w:szCs w:val="21"/>
                    </w:rPr>
                  </w:pPr>
                  <w:r>
                    <w:rPr>
                      <w:b/>
                      <w:szCs w:val="21"/>
                    </w:rPr>
                    <w:t>氨氮</w:t>
                  </w:r>
                </w:p>
              </w:tc>
              <w:tc>
                <w:tcPr>
                  <w:tcW w:w="365" w:type="pct"/>
                  <w:tcBorders>
                    <w:top w:val="single" w:color="auto" w:sz="4" w:space="0"/>
                    <w:left w:val="single" w:color="auto" w:sz="4" w:space="0"/>
                    <w:right w:val="single" w:color="auto" w:sz="4" w:space="0"/>
                  </w:tcBorders>
                  <w:vAlign w:val="center"/>
                </w:tcPr>
                <w:p w14:paraId="68E87EFE">
                  <w:pPr>
                    <w:jc w:val="center"/>
                    <w:rPr>
                      <w:b/>
                      <w:szCs w:val="21"/>
                    </w:rPr>
                  </w:pPr>
                  <w:r>
                    <w:rPr>
                      <w:b/>
                      <w:szCs w:val="21"/>
                    </w:rPr>
                    <w:t>总磷</w:t>
                  </w:r>
                </w:p>
              </w:tc>
              <w:tc>
                <w:tcPr>
                  <w:tcW w:w="417" w:type="pct"/>
                  <w:tcBorders>
                    <w:top w:val="single" w:color="auto" w:sz="4" w:space="0"/>
                    <w:left w:val="single" w:color="auto" w:sz="4" w:space="0"/>
                    <w:right w:val="single" w:color="auto" w:sz="4" w:space="0"/>
                  </w:tcBorders>
                  <w:vAlign w:val="center"/>
                </w:tcPr>
                <w:p w14:paraId="08B486AA">
                  <w:pPr>
                    <w:jc w:val="center"/>
                    <w:rPr>
                      <w:b/>
                      <w:szCs w:val="21"/>
                    </w:rPr>
                  </w:pPr>
                  <w:r>
                    <w:rPr>
                      <w:b/>
                      <w:bCs/>
                      <w:szCs w:val="21"/>
                    </w:rPr>
                    <w:t>石油类</w:t>
                  </w:r>
                </w:p>
              </w:tc>
              <w:tc>
                <w:tcPr>
                  <w:tcW w:w="402" w:type="pct"/>
                  <w:tcBorders>
                    <w:top w:val="single" w:color="auto" w:sz="4" w:space="0"/>
                    <w:left w:val="single" w:color="auto" w:sz="4" w:space="0"/>
                    <w:right w:val="single" w:color="auto" w:sz="4" w:space="0"/>
                  </w:tcBorders>
                  <w:vAlign w:val="center"/>
                </w:tcPr>
                <w:p w14:paraId="4E1F450A">
                  <w:pPr>
                    <w:jc w:val="center"/>
                    <w:rPr>
                      <w:b/>
                      <w:szCs w:val="21"/>
                    </w:rPr>
                  </w:pPr>
                  <w:r>
                    <w:rPr>
                      <w:b/>
                      <w:bCs/>
                      <w:szCs w:val="21"/>
                    </w:rPr>
                    <w:t>氟化物</w:t>
                  </w:r>
                </w:p>
              </w:tc>
            </w:tr>
            <w:tr w14:paraId="6C7DD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9"/>
                  <w:tcBorders>
                    <w:top w:val="single" w:color="auto" w:sz="4" w:space="0"/>
                    <w:left w:val="single" w:color="auto" w:sz="4" w:space="0"/>
                    <w:bottom w:val="single" w:color="auto" w:sz="4" w:space="0"/>
                    <w:right w:val="single" w:color="auto" w:sz="4" w:space="0"/>
                  </w:tcBorders>
                  <w:vAlign w:val="center"/>
                </w:tcPr>
                <w:p w14:paraId="320447B3">
                  <w:pPr>
                    <w:jc w:val="left"/>
                    <w:rPr>
                      <w:b/>
                      <w:szCs w:val="21"/>
                    </w:rPr>
                  </w:pPr>
                  <w:r>
                    <w:rPr>
                      <w:b/>
                      <w:szCs w:val="21"/>
                    </w:rPr>
                    <w:t>采样日期：2023.02.09</w:t>
                  </w:r>
                </w:p>
              </w:tc>
            </w:tr>
            <w:tr w14:paraId="1419B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2" w:type="pct"/>
                  <w:tcBorders>
                    <w:right w:val="single" w:color="auto" w:sz="4" w:space="0"/>
                  </w:tcBorders>
                  <w:vAlign w:val="center"/>
                </w:tcPr>
                <w:p w14:paraId="6427088C">
                  <w:pPr>
                    <w:jc w:val="center"/>
                    <w:rPr>
                      <w:szCs w:val="21"/>
                    </w:rPr>
                  </w:pPr>
                  <w:r>
                    <w:rPr>
                      <w:szCs w:val="21"/>
                      <w:lang w:bidi="ar"/>
                    </w:rPr>
                    <w:t>龙湖工业园污水处理厂入龙河排污口上游500m</w:t>
                  </w:r>
                </w:p>
              </w:tc>
              <w:tc>
                <w:tcPr>
                  <w:tcW w:w="608" w:type="pct"/>
                  <w:tcBorders>
                    <w:top w:val="single" w:color="auto" w:sz="4" w:space="0"/>
                    <w:left w:val="single" w:color="auto" w:sz="4" w:space="0"/>
                    <w:right w:val="single" w:color="auto" w:sz="4" w:space="0"/>
                  </w:tcBorders>
                  <w:vAlign w:val="center"/>
                </w:tcPr>
                <w:p w14:paraId="3B258A9F">
                  <w:pPr>
                    <w:jc w:val="center"/>
                    <w:rPr>
                      <w:szCs w:val="21"/>
                    </w:rPr>
                  </w:pPr>
                  <w:r>
                    <w:rPr>
                      <w:szCs w:val="21"/>
                    </w:rPr>
                    <w:t>8.0（6.7℃）</w:t>
                  </w:r>
                </w:p>
              </w:tc>
              <w:tc>
                <w:tcPr>
                  <w:tcW w:w="391" w:type="pct"/>
                  <w:tcBorders>
                    <w:top w:val="single" w:color="auto" w:sz="4" w:space="0"/>
                    <w:left w:val="single" w:color="auto" w:sz="4" w:space="0"/>
                    <w:right w:val="single" w:color="auto" w:sz="4" w:space="0"/>
                  </w:tcBorders>
                  <w:vAlign w:val="center"/>
                </w:tcPr>
                <w:p w14:paraId="26AD0BA5">
                  <w:pPr>
                    <w:widowControl/>
                    <w:jc w:val="center"/>
                    <w:rPr>
                      <w:szCs w:val="21"/>
                    </w:rPr>
                  </w:pPr>
                  <w:r>
                    <w:rPr>
                      <w:szCs w:val="21"/>
                    </w:rPr>
                    <w:t>7</w:t>
                  </w:r>
                </w:p>
              </w:tc>
              <w:tc>
                <w:tcPr>
                  <w:tcW w:w="512" w:type="pct"/>
                  <w:tcBorders>
                    <w:top w:val="single" w:color="auto" w:sz="4" w:space="0"/>
                    <w:left w:val="single" w:color="auto" w:sz="4" w:space="0"/>
                    <w:right w:val="single" w:color="auto" w:sz="4" w:space="0"/>
                  </w:tcBorders>
                  <w:vAlign w:val="center"/>
                </w:tcPr>
                <w:p w14:paraId="54F35DC4">
                  <w:pPr>
                    <w:tabs>
                      <w:tab w:val="left" w:pos="297"/>
                    </w:tabs>
                    <w:jc w:val="center"/>
                    <w:rPr>
                      <w:szCs w:val="21"/>
                    </w:rPr>
                  </w:pPr>
                  <w:r>
                    <w:rPr>
                      <w:szCs w:val="21"/>
                    </w:rPr>
                    <w:t>15</w:t>
                  </w:r>
                </w:p>
              </w:tc>
              <w:tc>
                <w:tcPr>
                  <w:tcW w:w="633" w:type="pct"/>
                  <w:tcBorders>
                    <w:top w:val="single" w:color="auto" w:sz="4" w:space="0"/>
                    <w:left w:val="single" w:color="auto" w:sz="4" w:space="0"/>
                    <w:right w:val="single" w:color="auto" w:sz="4" w:space="0"/>
                  </w:tcBorders>
                  <w:vAlign w:val="center"/>
                </w:tcPr>
                <w:p w14:paraId="3C4BF5FC">
                  <w:pPr>
                    <w:tabs>
                      <w:tab w:val="left" w:pos="297"/>
                    </w:tabs>
                    <w:jc w:val="center"/>
                    <w:rPr>
                      <w:szCs w:val="21"/>
                    </w:rPr>
                  </w:pPr>
                  <w:r>
                    <w:rPr>
                      <w:szCs w:val="21"/>
                    </w:rPr>
                    <w:t>3.4</w:t>
                  </w:r>
                </w:p>
              </w:tc>
              <w:tc>
                <w:tcPr>
                  <w:tcW w:w="435" w:type="pct"/>
                  <w:tcBorders>
                    <w:top w:val="single" w:color="auto" w:sz="4" w:space="0"/>
                    <w:left w:val="single" w:color="auto" w:sz="4" w:space="0"/>
                    <w:right w:val="single" w:color="auto" w:sz="4" w:space="0"/>
                  </w:tcBorders>
                  <w:vAlign w:val="center"/>
                </w:tcPr>
                <w:p w14:paraId="36B20CD6">
                  <w:pPr>
                    <w:tabs>
                      <w:tab w:val="left" w:pos="297"/>
                    </w:tabs>
                    <w:jc w:val="center"/>
                    <w:rPr>
                      <w:szCs w:val="21"/>
                    </w:rPr>
                  </w:pPr>
                  <w:r>
                    <w:rPr>
                      <w:szCs w:val="21"/>
                    </w:rPr>
                    <w:t>0.314</w:t>
                  </w:r>
                </w:p>
              </w:tc>
              <w:tc>
                <w:tcPr>
                  <w:tcW w:w="365" w:type="pct"/>
                  <w:tcBorders>
                    <w:top w:val="single" w:color="auto" w:sz="4" w:space="0"/>
                    <w:left w:val="single" w:color="auto" w:sz="4" w:space="0"/>
                    <w:right w:val="single" w:color="auto" w:sz="4" w:space="0"/>
                  </w:tcBorders>
                  <w:vAlign w:val="center"/>
                </w:tcPr>
                <w:p w14:paraId="74381500">
                  <w:pPr>
                    <w:jc w:val="center"/>
                    <w:rPr>
                      <w:szCs w:val="21"/>
                    </w:rPr>
                  </w:pPr>
                  <w:r>
                    <w:rPr>
                      <w:szCs w:val="21"/>
                    </w:rPr>
                    <w:t>0.05</w:t>
                  </w:r>
                </w:p>
              </w:tc>
              <w:tc>
                <w:tcPr>
                  <w:tcW w:w="417" w:type="pct"/>
                  <w:tcBorders>
                    <w:top w:val="single" w:color="auto" w:sz="4" w:space="0"/>
                    <w:left w:val="single" w:color="auto" w:sz="4" w:space="0"/>
                    <w:right w:val="single" w:color="auto" w:sz="4" w:space="0"/>
                  </w:tcBorders>
                  <w:vAlign w:val="center"/>
                </w:tcPr>
                <w:p w14:paraId="51E4E234">
                  <w:pPr>
                    <w:widowControl/>
                    <w:jc w:val="center"/>
                    <w:textAlignment w:val="center"/>
                    <w:rPr>
                      <w:szCs w:val="21"/>
                    </w:rPr>
                  </w:pPr>
                  <w:r>
                    <w:rPr>
                      <w:kern w:val="0"/>
                      <w:szCs w:val="21"/>
                      <w:lang w:bidi="ar"/>
                    </w:rPr>
                    <w:t>0.01L</w:t>
                  </w:r>
                </w:p>
              </w:tc>
              <w:tc>
                <w:tcPr>
                  <w:tcW w:w="402" w:type="pct"/>
                  <w:tcBorders>
                    <w:top w:val="single" w:color="auto" w:sz="4" w:space="0"/>
                    <w:left w:val="single" w:color="auto" w:sz="4" w:space="0"/>
                    <w:right w:val="single" w:color="auto" w:sz="4" w:space="0"/>
                  </w:tcBorders>
                  <w:vAlign w:val="center"/>
                </w:tcPr>
                <w:p w14:paraId="7499AB7B">
                  <w:pPr>
                    <w:widowControl/>
                    <w:jc w:val="center"/>
                    <w:textAlignment w:val="center"/>
                    <w:rPr>
                      <w:kern w:val="0"/>
                      <w:szCs w:val="21"/>
                      <w:lang w:bidi="ar"/>
                    </w:rPr>
                  </w:pPr>
                  <w:r>
                    <w:rPr>
                      <w:kern w:val="0"/>
                      <w:szCs w:val="21"/>
                      <w:lang w:bidi="ar"/>
                    </w:rPr>
                    <w:t>0.49</w:t>
                  </w:r>
                </w:p>
              </w:tc>
            </w:tr>
            <w:tr w14:paraId="6AE35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2" w:type="pct"/>
                  <w:tcBorders>
                    <w:right w:val="single" w:color="auto" w:sz="4" w:space="0"/>
                  </w:tcBorders>
                  <w:vAlign w:val="center"/>
                </w:tcPr>
                <w:p w14:paraId="1CDEA761">
                  <w:pPr>
                    <w:jc w:val="center"/>
                    <w:rPr>
                      <w:szCs w:val="21"/>
                    </w:rPr>
                  </w:pPr>
                  <w:r>
                    <w:rPr>
                      <w:szCs w:val="21"/>
                      <w:lang w:bidi="ar"/>
                    </w:rPr>
                    <w:t>龙湖工业园污水处理厂入龙河排污口下游500m</w:t>
                  </w:r>
                </w:p>
              </w:tc>
              <w:tc>
                <w:tcPr>
                  <w:tcW w:w="608" w:type="pct"/>
                  <w:tcBorders>
                    <w:left w:val="single" w:color="auto" w:sz="4" w:space="0"/>
                    <w:right w:val="single" w:color="auto" w:sz="4" w:space="0"/>
                  </w:tcBorders>
                  <w:vAlign w:val="center"/>
                </w:tcPr>
                <w:p w14:paraId="7FBA3093">
                  <w:pPr>
                    <w:jc w:val="center"/>
                    <w:rPr>
                      <w:szCs w:val="21"/>
                    </w:rPr>
                  </w:pPr>
                  <w:r>
                    <w:rPr>
                      <w:szCs w:val="21"/>
                    </w:rPr>
                    <w:t>7.9（9.7℃）</w:t>
                  </w:r>
                </w:p>
              </w:tc>
              <w:tc>
                <w:tcPr>
                  <w:tcW w:w="391" w:type="pct"/>
                  <w:tcBorders>
                    <w:left w:val="single" w:color="auto" w:sz="4" w:space="0"/>
                    <w:right w:val="single" w:color="auto" w:sz="4" w:space="0"/>
                  </w:tcBorders>
                  <w:vAlign w:val="center"/>
                </w:tcPr>
                <w:p w14:paraId="4978DC00">
                  <w:pPr>
                    <w:jc w:val="center"/>
                    <w:rPr>
                      <w:szCs w:val="21"/>
                    </w:rPr>
                  </w:pPr>
                  <w:r>
                    <w:rPr>
                      <w:szCs w:val="21"/>
                    </w:rPr>
                    <w:t>9</w:t>
                  </w:r>
                </w:p>
              </w:tc>
              <w:tc>
                <w:tcPr>
                  <w:tcW w:w="512" w:type="pct"/>
                  <w:tcBorders>
                    <w:left w:val="single" w:color="auto" w:sz="4" w:space="0"/>
                    <w:right w:val="single" w:color="auto" w:sz="4" w:space="0"/>
                  </w:tcBorders>
                  <w:vAlign w:val="center"/>
                </w:tcPr>
                <w:p w14:paraId="79099948">
                  <w:pPr>
                    <w:tabs>
                      <w:tab w:val="left" w:pos="297"/>
                    </w:tabs>
                    <w:jc w:val="center"/>
                    <w:rPr>
                      <w:szCs w:val="21"/>
                    </w:rPr>
                  </w:pPr>
                  <w:r>
                    <w:rPr>
                      <w:szCs w:val="21"/>
                    </w:rPr>
                    <w:t>17</w:t>
                  </w:r>
                </w:p>
              </w:tc>
              <w:tc>
                <w:tcPr>
                  <w:tcW w:w="633" w:type="pct"/>
                  <w:tcBorders>
                    <w:left w:val="single" w:color="auto" w:sz="4" w:space="0"/>
                    <w:right w:val="single" w:color="auto" w:sz="4" w:space="0"/>
                  </w:tcBorders>
                  <w:vAlign w:val="center"/>
                </w:tcPr>
                <w:p w14:paraId="149368BB">
                  <w:pPr>
                    <w:tabs>
                      <w:tab w:val="left" w:pos="297"/>
                    </w:tabs>
                    <w:jc w:val="center"/>
                    <w:rPr>
                      <w:szCs w:val="21"/>
                    </w:rPr>
                  </w:pPr>
                  <w:r>
                    <w:rPr>
                      <w:szCs w:val="21"/>
                    </w:rPr>
                    <w:t>3.7</w:t>
                  </w:r>
                </w:p>
              </w:tc>
              <w:tc>
                <w:tcPr>
                  <w:tcW w:w="435" w:type="pct"/>
                  <w:tcBorders>
                    <w:left w:val="single" w:color="auto" w:sz="4" w:space="0"/>
                    <w:right w:val="single" w:color="auto" w:sz="4" w:space="0"/>
                  </w:tcBorders>
                  <w:vAlign w:val="center"/>
                </w:tcPr>
                <w:p w14:paraId="09E07904">
                  <w:pPr>
                    <w:tabs>
                      <w:tab w:val="left" w:pos="297"/>
                    </w:tabs>
                    <w:jc w:val="center"/>
                    <w:rPr>
                      <w:szCs w:val="21"/>
                    </w:rPr>
                  </w:pPr>
                  <w:r>
                    <w:rPr>
                      <w:szCs w:val="21"/>
                    </w:rPr>
                    <w:t>1.42</w:t>
                  </w:r>
                </w:p>
              </w:tc>
              <w:tc>
                <w:tcPr>
                  <w:tcW w:w="365" w:type="pct"/>
                  <w:tcBorders>
                    <w:left w:val="single" w:color="auto" w:sz="4" w:space="0"/>
                    <w:right w:val="single" w:color="auto" w:sz="4" w:space="0"/>
                  </w:tcBorders>
                  <w:vAlign w:val="center"/>
                </w:tcPr>
                <w:p w14:paraId="105BE1CE">
                  <w:pPr>
                    <w:jc w:val="center"/>
                    <w:rPr>
                      <w:szCs w:val="21"/>
                    </w:rPr>
                  </w:pPr>
                  <w:r>
                    <w:rPr>
                      <w:szCs w:val="21"/>
                    </w:rPr>
                    <w:t>0.15</w:t>
                  </w:r>
                </w:p>
              </w:tc>
              <w:tc>
                <w:tcPr>
                  <w:tcW w:w="417" w:type="pct"/>
                  <w:tcBorders>
                    <w:left w:val="single" w:color="auto" w:sz="4" w:space="0"/>
                    <w:right w:val="single" w:color="auto" w:sz="4" w:space="0"/>
                  </w:tcBorders>
                  <w:vAlign w:val="center"/>
                </w:tcPr>
                <w:p w14:paraId="6BDAC6A2">
                  <w:pPr>
                    <w:widowControl/>
                    <w:jc w:val="center"/>
                    <w:textAlignment w:val="center"/>
                    <w:rPr>
                      <w:szCs w:val="21"/>
                    </w:rPr>
                  </w:pPr>
                  <w:r>
                    <w:rPr>
                      <w:kern w:val="0"/>
                      <w:szCs w:val="21"/>
                      <w:lang w:bidi="ar"/>
                    </w:rPr>
                    <w:t>0.01L</w:t>
                  </w:r>
                </w:p>
              </w:tc>
              <w:tc>
                <w:tcPr>
                  <w:tcW w:w="402" w:type="pct"/>
                  <w:tcBorders>
                    <w:left w:val="single" w:color="auto" w:sz="4" w:space="0"/>
                    <w:right w:val="single" w:color="auto" w:sz="4" w:space="0"/>
                  </w:tcBorders>
                  <w:vAlign w:val="center"/>
                </w:tcPr>
                <w:p w14:paraId="25A123C8">
                  <w:pPr>
                    <w:widowControl/>
                    <w:jc w:val="center"/>
                    <w:textAlignment w:val="center"/>
                    <w:rPr>
                      <w:kern w:val="0"/>
                      <w:szCs w:val="21"/>
                      <w:lang w:bidi="ar"/>
                    </w:rPr>
                  </w:pPr>
                  <w:r>
                    <w:rPr>
                      <w:kern w:val="0"/>
                      <w:szCs w:val="21"/>
                      <w:lang w:bidi="ar"/>
                    </w:rPr>
                    <w:t>1.09</w:t>
                  </w:r>
                </w:p>
              </w:tc>
            </w:tr>
            <w:tr w14:paraId="217D0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2" w:type="pct"/>
                  <w:tcBorders>
                    <w:right w:val="single" w:color="auto" w:sz="4" w:space="0"/>
                  </w:tcBorders>
                  <w:vAlign w:val="center"/>
                </w:tcPr>
                <w:p w14:paraId="65C75A45">
                  <w:pPr>
                    <w:jc w:val="center"/>
                    <w:rPr>
                      <w:szCs w:val="21"/>
                    </w:rPr>
                  </w:pPr>
                  <w:r>
                    <w:rPr>
                      <w:szCs w:val="21"/>
                      <w:lang w:bidi="ar"/>
                    </w:rPr>
                    <w:t>龙湖工业园污水处理厂入龙河排污口下游1500m</w:t>
                  </w:r>
                </w:p>
              </w:tc>
              <w:tc>
                <w:tcPr>
                  <w:tcW w:w="608" w:type="pct"/>
                  <w:tcBorders>
                    <w:left w:val="single" w:color="auto" w:sz="4" w:space="0"/>
                    <w:right w:val="single" w:color="auto" w:sz="4" w:space="0"/>
                  </w:tcBorders>
                  <w:vAlign w:val="center"/>
                </w:tcPr>
                <w:p w14:paraId="4AED5989">
                  <w:pPr>
                    <w:jc w:val="center"/>
                    <w:rPr>
                      <w:szCs w:val="21"/>
                    </w:rPr>
                  </w:pPr>
                  <w:r>
                    <w:rPr>
                      <w:szCs w:val="21"/>
                    </w:rPr>
                    <w:t>8.0（7.0℃）</w:t>
                  </w:r>
                </w:p>
              </w:tc>
              <w:tc>
                <w:tcPr>
                  <w:tcW w:w="391" w:type="pct"/>
                  <w:tcBorders>
                    <w:left w:val="single" w:color="auto" w:sz="4" w:space="0"/>
                    <w:right w:val="single" w:color="auto" w:sz="4" w:space="0"/>
                  </w:tcBorders>
                  <w:vAlign w:val="center"/>
                </w:tcPr>
                <w:p w14:paraId="7168BEF4">
                  <w:pPr>
                    <w:jc w:val="center"/>
                    <w:rPr>
                      <w:szCs w:val="21"/>
                    </w:rPr>
                  </w:pPr>
                  <w:r>
                    <w:rPr>
                      <w:szCs w:val="21"/>
                    </w:rPr>
                    <w:t>8</w:t>
                  </w:r>
                </w:p>
              </w:tc>
              <w:tc>
                <w:tcPr>
                  <w:tcW w:w="512" w:type="pct"/>
                  <w:tcBorders>
                    <w:left w:val="single" w:color="auto" w:sz="4" w:space="0"/>
                    <w:right w:val="single" w:color="auto" w:sz="4" w:space="0"/>
                  </w:tcBorders>
                  <w:vAlign w:val="center"/>
                </w:tcPr>
                <w:p w14:paraId="7CC997BF">
                  <w:pPr>
                    <w:tabs>
                      <w:tab w:val="left" w:pos="297"/>
                    </w:tabs>
                    <w:jc w:val="center"/>
                    <w:rPr>
                      <w:szCs w:val="21"/>
                    </w:rPr>
                  </w:pPr>
                  <w:r>
                    <w:rPr>
                      <w:szCs w:val="21"/>
                    </w:rPr>
                    <w:t>13</w:t>
                  </w:r>
                </w:p>
              </w:tc>
              <w:tc>
                <w:tcPr>
                  <w:tcW w:w="633" w:type="pct"/>
                  <w:tcBorders>
                    <w:left w:val="single" w:color="auto" w:sz="4" w:space="0"/>
                    <w:right w:val="single" w:color="auto" w:sz="4" w:space="0"/>
                  </w:tcBorders>
                  <w:vAlign w:val="center"/>
                </w:tcPr>
                <w:p w14:paraId="7C2FDCF9">
                  <w:pPr>
                    <w:tabs>
                      <w:tab w:val="left" w:pos="297"/>
                    </w:tabs>
                    <w:jc w:val="center"/>
                    <w:rPr>
                      <w:szCs w:val="21"/>
                    </w:rPr>
                  </w:pPr>
                  <w:r>
                    <w:rPr>
                      <w:szCs w:val="21"/>
                    </w:rPr>
                    <w:t>3.2</w:t>
                  </w:r>
                </w:p>
              </w:tc>
              <w:tc>
                <w:tcPr>
                  <w:tcW w:w="435" w:type="pct"/>
                  <w:tcBorders>
                    <w:left w:val="single" w:color="auto" w:sz="4" w:space="0"/>
                    <w:right w:val="single" w:color="auto" w:sz="4" w:space="0"/>
                  </w:tcBorders>
                  <w:vAlign w:val="center"/>
                </w:tcPr>
                <w:p w14:paraId="27B58B4A">
                  <w:pPr>
                    <w:tabs>
                      <w:tab w:val="left" w:pos="297"/>
                    </w:tabs>
                    <w:jc w:val="center"/>
                    <w:rPr>
                      <w:szCs w:val="21"/>
                    </w:rPr>
                  </w:pPr>
                  <w:r>
                    <w:rPr>
                      <w:szCs w:val="21"/>
                    </w:rPr>
                    <w:t>0.378</w:t>
                  </w:r>
                </w:p>
              </w:tc>
              <w:tc>
                <w:tcPr>
                  <w:tcW w:w="365" w:type="pct"/>
                  <w:tcBorders>
                    <w:left w:val="single" w:color="auto" w:sz="4" w:space="0"/>
                    <w:right w:val="single" w:color="auto" w:sz="4" w:space="0"/>
                  </w:tcBorders>
                  <w:vAlign w:val="center"/>
                </w:tcPr>
                <w:p w14:paraId="27BBD8D5">
                  <w:pPr>
                    <w:jc w:val="center"/>
                    <w:rPr>
                      <w:szCs w:val="21"/>
                    </w:rPr>
                  </w:pPr>
                  <w:r>
                    <w:rPr>
                      <w:szCs w:val="21"/>
                    </w:rPr>
                    <w:t>0.07</w:t>
                  </w:r>
                </w:p>
              </w:tc>
              <w:tc>
                <w:tcPr>
                  <w:tcW w:w="417" w:type="pct"/>
                  <w:tcBorders>
                    <w:left w:val="single" w:color="auto" w:sz="4" w:space="0"/>
                    <w:right w:val="single" w:color="auto" w:sz="4" w:space="0"/>
                  </w:tcBorders>
                  <w:vAlign w:val="center"/>
                </w:tcPr>
                <w:p w14:paraId="35EB8D0A">
                  <w:pPr>
                    <w:widowControl/>
                    <w:jc w:val="center"/>
                    <w:textAlignment w:val="center"/>
                    <w:rPr>
                      <w:szCs w:val="21"/>
                    </w:rPr>
                  </w:pPr>
                  <w:r>
                    <w:rPr>
                      <w:kern w:val="0"/>
                      <w:szCs w:val="21"/>
                      <w:lang w:bidi="ar"/>
                    </w:rPr>
                    <w:t>0.01L</w:t>
                  </w:r>
                </w:p>
              </w:tc>
              <w:tc>
                <w:tcPr>
                  <w:tcW w:w="402" w:type="pct"/>
                  <w:tcBorders>
                    <w:left w:val="single" w:color="auto" w:sz="4" w:space="0"/>
                    <w:right w:val="single" w:color="auto" w:sz="4" w:space="0"/>
                  </w:tcBorders>
                  <w:vAlign w:val="center"/>
                </w:tcPr>
                <w:p w14:paraId="20F76EB7">
                  <w:pPr>
                    <w:widowControl/>
                    <w:jc w:val="center"/>
                    <w:textAlignment w:val="center"/>
                    <w:rPr>
                      <w:kern w:val="0"/>
                      <w:szCs w:val="21"/>
                      <w:lang w:bidi="ar"/>
                    </w:rPr>
                  </w:pPr>
                  <w:r>
                    <w:rPr>
                      <w:kern w:val="0"/>
                      <w:szCs w:val="21"/>
                      <w:lang w:bidi="ar"/>
                    </w:rPr>
                    <w:t>0.72</w:t>
                  </w:r>
                </w:p>
              </w:tc>
            </w:tr>
            <w:tr w14:paraId="25DDD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9"/>
                  <w:tcBorders>
                    <w:right w:val="single" w:color="auto" w:sz="4" w:space="0"/>
                  </w:tcBorders>
                  <w:vAlign w:val="center"/>
                </w:tcPr>
                <w:p w14:paraId="60710615">
                  <w:pPr>
                    <w:widowControl/>
                    <w:jc w:val="left"/>
                    <w:textAlignment w:val="center"/>
                    <w:rPr>
                      <w:szCs w:val="21"/>
                    </w:rPr>
                  </w:pPr>
                  <w:r>
                    <w:rPr>
                      <w:b/>
                      <w:szCs w:val="21"/>
                    </w:rPr>
                    <w:t>采样日期：2023.02.10</w:t>
                  </w:r>
                </w:p>
              </w:tc>
            </w:tr>
            <w:tr w14:paraId="42881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2" w:type="pct"/>
                  <w:tcBorders>
                    <w:right w:val="single" w:color="auto" w:sz="4" w:space="0"/>
                  </w:tcBorders>
                  <w:vAlign w:val="center"/>
                </w:tcPr>
                <w:p w14:paraId="70B8E983">
                  <w:pPr>
                    <w:jc w:val="center"/>
                    <w:rPr>
                      <w:szCs w:val="21"/>
                    </w:rPr>
                  </w:pPr>
                  <w:r>
                    <w:rPr>
                      <w:szCs w:val="21"/>
                      <w:lang w:bidi="ar"/>
                    </w:rPr>
                    <w:t>龙湖工业园污水处理厂入龙河排污口上游500m</w:t>
                  </w:r>
                </w:p>
              </w:tc>
              <w:tc>
                <w:tcPr>
                  <w:tcW w:w="608" w:type="pct"/>
                  <w:tcBorders>
                    <w:left w:val="single" w:color="auto" w:sz="4" w:space="0"/>
                    <w:right w:val="single" w:color="auto" w:sz="4" w:space="0"/>
                  </w:tcBorders>
                  <w:vAlign w:val="center"/>
                </w:tcPr>
                <w:p w14:paraId="0BDD23B2">
                  <w:pPr>
                    <w:jc w:val="center"/>
                    <w:rPr>
                      <w:szCs w:val="21"/>
                    </w:rPr>
                  </w:pPr>
                  <w:r>
                    <w:rPr>
                      <w:szCs w:val="21"/>
                    </w:rPr>
                    <w:t>8.1（6.8℃）</w:t>
                  </w:r>
                </w:p>
              </w:tc>
              <w:tc>
                <w:tcPr>
                  <w:tcW w:w="391" w:type="pct"/>
                  <w:tcBorders>
                    <w:left w:val="single" w:color="auto" w:sz="4" w:space="0"/>
                    <w:right w:val="single" w:color="auto" w:sz="4" w:space="0"/>
                  </w:tcBorders>
                  <w:vAlign w:val="center"/>
                </w:tcPr>
                <w:p w14:paraId="03CCF2AB">
                  <w:pPr>
                    <w:widowControl/>
                    <w:jc w:val="center"/>
                    <w:rPr>
                      <w:szCs w:val="21"/>
                    </w:rPr>
                  </w:pPr>
                  <w:r>
                    <w:rPr>
                      <w:szCs w:val="21"/>
                    </w:rPr>
                    <w:t>8</w:t>
                  </w:r>
                </w:p>
              </w:tc>
              <w:tc>
                <w:tcPr>
                  <w:tcW w:w="512" w:type="pct"/>
                  <w:tcBorders>
                    <w:left w:val="single" w:color="auto" w:sz="4" w:space="0"/>
                    <w:right w:val="single" w:color="auto" w:sz="4" w:space="0"/>
                  </w:tcBorders>
                  <w:vAlign w:val="center"/>
                </w:tcPr>
                <w:p w14:paraId="07E99B86">
                  <w:pPr>
                    <w:jc w:val="center"/>
                    <w:rPr>
                      <w:szCs w:val="21"/>
                    </w:rPr>
                  </w:pPr>
                  <w:r>
                    <w:rPr>
                      <w:szCs w:val="21"/>
                    </w:rPr>
                    <w:t>14</w:t>
                  </w:r>
                </w:p>
              </w:tc>
              <w:tc>
                <w:tcPr>
                  <w:tcW w:w="633" w:type="pct"/>
                  <w:tcBorders>
                    <w:left w:val="single" w:color="auto" w:sz="4" w:space="0"/>
                    <w:right w:val="single" w:color="auto" w:sz="4" w:space="0"/>
                  </w:tcBorders>
                  <w:vAlign w:val="center"/>
                </w:tcPr>
                <w:p w14:paraId="3B3489C1">
                  <w:pPr>
                    <w:tabs>
                      <w:tab w:val="left" w:pos="297"/>
                    </w:tabs>
                    <w:jc w:val="center"/>
                    <w:rPr>
                      <w:szCs w:val="21"/>
                    </w:rPr>
                  </w:pPr>
                  <w:r>
                    <w:rPr>
                      <w:szCs w:val="21"/>
                    </w:rPr>
                    <w:t>3.4</w:t>
                  </w:r>
                </w:p>
              </w:tc>
              <w:tc>
                <w:tcPr>
                  <w:tcW w:w="435" w:type="pct"/>
                  <w:tcBorders>
                    <w:left w:val="single" w:color="auto" w:sz="4" w:space="0"/>
                    <w:right w:val="single" w:color="auto" w:sz="4" w:space="0"/>
                  </w:tcBorders>
                  <w:vAlign w:val="center"/>
                </w:tcPr>
                <w:p w14:paraId="2FB255ED">
                  <w:pPr>
                    <w:jc w:val="center"/>
                    <w:rPr>
                      <w:szCs w:val="21"/>
                    </w:rPr>
                  </w:pPr>
                  <w:r>
                    <w:rPr>
                      <w:szCs w:val="21"/>
                    </w:rPr>
                    <w:t>0.319</w:t>
                  </w:r>
                </w:p>
              </w:tc>
              <w:tc>
                <w:tcPr>
                  <w:tcW w:w="365" w:type="pct"/>
                  <w:tcBorders>
                    <w:left w:val="single" w:color="auto" w:sz="4" w:space="0"/>
                    <w:right w:val="single" w:color="auto" w:sz="4" w:space="0"/>
                  </w:tcBorders>
                  <w:vAlign w:val="center"/>
                </w:tcPr>
                <w:p w14:paraId="144C8C81">
                  <w:pPr>
                    <w:jc w:val="center"/>
                    <w:rPr>
                      <w:szCs w:val="21"/>
                    </w:rPr>
                  </w:pPr>
                  <w:r>
                    <w:rPr>
                      <w:szCs w:val="21"/>
                    </w:rPr>
                    <w:t>0.05</w:t>
                  </w:r>
                </w:p>
              </w:tc>
              <w:tc>
                <w:tcPr>
                  <w:tcW w:w="417" w:type="pct"/>
                  <w:tcBorders>
                    <w:left w:val="single" w:color="auto" w:sz="4" w:space="0"/>
                    <w:right w:val="single" w:color="auto" w:sz="4" w:space="0"/>
                  </w:tcBorders>
                  <w:vAlign w:val="center"/>
                </w:tcPr>
                <w:p w14:paraId="01C18D56">
                  <w:pPr>
                    <w:widowControl/>
                    <w:jc w:val="center"/>
                    <w:textAlignment w:val="center"/>
                    <w:rPr>
                      <w:szCs w:val="21"/>
                    </w:rPr>
                  </w:pPr>
                  <w:r>
                    <w:rPr>
                      <w:kern w:val="0"/>
                      <w:szCs w:val="21"/>
                      <w:lang w:bidi="ar"/>
                    </w:rPr>
                    <w:t>0.01L</w:t>
                  </w:r>
                </w:p>
              </w:tc>
              <w:tc>
                <w:tcPr>
                  <w:tcW w:w="402" w:type="pct"/>
                  <w:tcBorders>
                    <w:left w:val="single" w:color="auto" w:sz="4" w:space="0"/>
                    <w:right w:val="single" w:color="auto" w:sz="4" w:space="0"/>
                  </w:tcBorders>
                  <w:vAlign w:val="center"/>
                </w:tcPr>
                <w:p w14:paraId="6C4AF90C">
                  <w:pPr>
                    <w:widowControl/>
                    <w:jc w:val="center"/>
                    <w:textAlignment w:val="center"/>
                    <w:rPr>
                      <w:kern w:val="0"/>
                      <w:szCs w:val="21"/>
                      <w:lang w:bidi="ar"/>
                    </w:rPr>
                  </w:pPr>
                  <w:r>
                    <w:rPr>
                      <w:kern w:val="0"/>
                      <w:szCs w:val="21"/>
                      <w:lang w:bidi="ar"/>
                    </w:rPr>
                    <w:t>0.51</w:t>
                  </w:r>
                </w:p>
              </w:tc>
            </w:tr>
            <w:tr w14:paraId="7B0A2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2" w:type="pct"/>
                  <w:tcBorders>
                    <w:right w:val="single" w:color="auto" w:sz="4" w:space="0"/>
                  </w:tcBorders>
                  <w:vAlign w:val="center"/>
                </w:tcPr>
                <w:p w14:paraId="67301286">
                  <w:pPr>
                    <w:jc w:val="center"/>
                    <w:rPr>
                      <w:szCs w:val="21"/>
                    </w:rPr>
                  </w:pPr>
                  <w:r>
                    <w:rPr>
                      <w:szCs w:val="21"/>
                      <w:lang w:bidi="ar"/>
                    </w:rPr>
                    <w:t>龙湖工业园污水处理厂入龙河排污口下游500m</w:t>
                  </w:r>
                </w:p>
              </w:tc>
              <w:tc>
                <w:tcPr>
                  <w:tcW w:w="608" w:type="pct"/>
                  <w:tcBorders>
                    <w:left w:val="single" w:color="auto" w:sz="4" w:space="0"/>
                    <w:right w:val="single" w:color="auto" w:sz="4" w:space="0"/>
                  </w:tcBorders>
                  <w:vAlign w:val="center"/>
                </w:tcPr>
                <w:p w14:paraId="3D990A74">
                  <w:pPr>
                    <w:jc w:val="center"/>
                    <w:rPr>
                      <w:szCs w:val="21"/>
                    </w:rPr>
                  </w:pPr>
                  <w:r>
                    <w:rPr>
                      <w:szCs w:val="21"/>
                    </w:rPr>
                    <w:t>7.9（9.8℃）</w:t>
                  </w:r>
                </w:p>
              </w:tc>
              <w:tc>
                <w:tcPr>
                  <w:tcW w:w="391" w:type="pct"/>
                  <w:tcBorders>
                    <w:left w:val="single" w:color="auto" w:sz="4" w:space="0"/>
                    <w:right w:val="single" w:color="auto" w:sz="4" w:space="0"/>
                  </w:tcBorders>
                  <w:vAlign w:val="center"/>
                </w:tcPr>
                <w:p w14:paraId="06615A85">
                  <w:pPr>
                    <w:jc w:val="center"/>
                    <w:rPr>
                      <w:szCs w:val="21"/>
                    </w:rPr>
                  </w:pPr>
                  <w:r>
                    <w:rPr>
                      <w:szCs w:val="21"/>
                    </w:rPr>
                    <w:t>7</w:t>
                  </w:r>
                </w:p>
              </w:tc>
              <w:tc>
                <w:tcPr>
                  <w:tcW w:w="512" w:type="pct"/>
                  <w:tcBorders>
                    <w:left w:val="single" w:color="auto" w:sz="4" w:space="0"/>
                    <w:right w:val="single" w:color="auto" w:sz="4" w:space="0"/>
                  </w:tcBorders>
                  <w:vAlign w:val="center"/>
                </w:tcPr>
                <w:p w14:paraId="0482AEFF">
                  <w:pPr>
                    <w:jc w:val="center"/>
                    <w:rPr>
                      <w:szCs w:val="21"/>
                    </w:rPr>
                  </w:pPr>
                  <w:r>
                    <w:rPr>
                      <w:szCs w:val="21"/>
                    </w:rPr>
                    <w:t>16</w:t>
                  </w:r>
                </w:p>
              </w:tc>
              <w:tc>
                <w:tcPr>
                  <w:tcW w:w="633" w:type="pct"/>
                  <w:tcBorders>
                    <w:left w:val="single" w:color="auto" w:sz="4" w:space="0"/>
                    <w:right w:val="single" w:color="auto" w:sz="4" w:space="0"/>
                  </w:tcBorders>
                  <w:vAlign w:val="center"/>
                </w:tcPr>
                <w:p w14:paraId="434E818A">
                  <w:pPr>
                    <w:tabs>
                      <w:tab w:val="left" w:pos="297"/>
                    </w:tabs>
                    <w:jc w:val="center"/>
                    <w:rPr>
                      <w:szCs w:val="21"/>
                    </w:rPr>
                  </w:pPr>
                  <w:r>
                    <w:rPr>
                      <w:szCs w:val="21"/>
                    </w:rPr>
                    <w:t>3.5</w:t>
                  </w:r>
                </w:p>
              </w:tc>
              <w:tc>
                <w:tcPr>
                  <w:tcW w:w="435" w:type="pct"/>
                  <w:tcBorders>
                    <w:left w:val="single" w:color="auto" w:sz="4" w:space="0"/>
                    <w:right w:val="single" w:color="auto" w:sz="4" w:space="0"/>
                  </w:tcBorders>
                  <w:vAlign w:val="center"/>
                </w:tcPr>
                <w:p w14:paraId="27F7539A">
                  <w:pPr>
                    <w:jc w:val="center"/>
                    <w:rPr>
                      <w:szCs w:val="21"/>
                    </w:rPr>
                  </w:pPr>
                  <w:r>
                    <w:rPr>
                      <w:szCs w:val="21"/>
                    </w:rPr>
                    <w:t>1.38</w:t>
                  </w:r>
                </w:p>
              </w:tc>
              <w:tc>
                <w:tcPr>
                  <w:tcW w:w="365" w:type="pct"/>
                  <w:tcBorders>
                    <w:left w:val="single" w:color="auto" w:sz="4" w:space="0"/>
                    <w:right w:val="single" w:color="auto" w:sz="4" w:space="0"/>
                  </w:tcBorders>
                  <w:vAlign w:val="center"/>
                </w:tcPr>
                <w:p w14:paraId="6F6D802F">
                  <w:pPr>
                    <w:jc w:val="center"/>
                    <w:rPr>
                      <w:szCs w:val="21"/>
                    </w:rPr>
                  </w:pPr>
                  <w:r>
                    <w:rPr>
                      <w:szCs w:val="21"/>
                    </w:rPr>
                    <w:t>0.28</w:t>
                  </w:r>
                </w:p>
              </w:tc>
              <w:tc>
                <w:tcPr>
                  <w:tcW w:w="417" w:type="pct"/>
                  <w:tcBorders>
                    <w:left w:val="single" w:color="auto" w:sz="4" w:space="0"/>
                    <w:right w:val="single" w:color="auto" w:sz="4" w:space="0"/>
                  </w:tcBorders>
                  <w:vAlign w:val="center"/>
                </w:tcPr>
                <w:p w14:paraId="013F8EDE">
                  <w:pPr>
                    <w:widowControl/>
                    <w:jc w:val="center"/>
                    <w:textAlignment w:val="center"/>
                    <w:rPr>
                      <w:szCs w:val="21"/>
                    </w:rPr>
                  </w:pPr>
                  <w:r>
                    <w:rPr>
                      <w:kern w:val="0"/>
                      <w:szCs w:val="21"/>
                      <w:lang w:bidi="ar"/>
                    </w:rPr>
                    <w:t>0.01L</w:t>
                  </w:r>
                </w:p>
              </w:tc>
              <w:tc>
                <w:tcPr>
                  <w:tcW w:w="402" w:type="pct"/>
                  <w:tcBorders>
                    <w:left w:val="single" w:color="auto" w:sz="4" w:space="0"/>
                    <w:right w:val="single" w:color="auto" w:sz="4" w:space="0"/>
                  </w:tcBorders>
                  <w:vAlign w:val="center"/>
                </w:tcPr>
                <w:p w14:paraId="6D841DDE">
                  <w:pPr>
                    <w:widowControl/>
                    <w:jc w:val="center"/>
                    <w:textAlignment w:val="center"/>
                    <w:rPr>
                      <w:kern w:val="0"/>
                      <w:szCs w:val="21"/>
                      <w:lang w:bidi="ar"/>
                    </w:rPr>
                  </w:pPr>
                  <w:r>
                    <w:rPr>
                      <w:kern w:val="0"/>
                      <w:szCs w:val="21"/>
                      <w:lang w:bidi="ar"/>
                    </w:rPr>
                    <w:t>1.22</w:t>
                  </w:r>
                </w:p>
              </w:tc>
            </w:tr>
            <w:tr w14:paraId="5C5F8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2" w:type="pct"/>
                  <w:tcBorders>
                    <w:right w:val="single" w:color="auto" w:sz="4" w:space="0"/>
                  </w:tcBorders>
                  <w:vAlign w:val="center"/>
                </w:tcPr>
                <w:p w14:paraId="40AC0203">
                  <w:pPr>
                    <w:jc w:val="center"/>
                    <w:rPr>
                      <w:szCs w:val="21"/>
                    </w:rPr>
                  </w:pPr>
                  <w:r>
                    <w:rPr>
                      <w:szCs w:val="21"/>
                      <w:lang w:bidi="ar"/>
                    </w:rPr>
                    <w:t>龙湖工业园污水处理厂入龙河排污口下游1500m</w:t>
                  </w:r>
                </w:p>
              </w:tc>
              <w:tc>
                <w:tcPr>
                  <w:tcW w:w="608" w:type="pct"/>
                  <w:tcBorders>
                    <w:left w:val="single" w:color="auto" w:sz="4" w:space="0"/>
                    <w:right w:val="single" w:color="auto" w:sz="4" w:space="0"/>
                  </w:tcBorders>
                  <w:vAlign w:val="center"/>
                </w:tcPr>
                <w:p w14:paraId="55F77919">
                  <w:pPr>
                    <w:jc w:val="center"/>
                    <w:rPr>
                      <w:szCs w:val="21"/>
                    </w:rPr>
                  </w:pPr>
                  <w:r>
                    <w:rPr>
                      <w:szCs w:val="21"/>
                    </w:rPr>
                    <w:t>8.1（6.7℃）</w:t>
                  </w:r>
                </w:p>
              </w:tc>
              <w:tc>
                <w:tcPr>
                  <w:tcW w:w="391" w:type="pct"/>
                  <w:tcBorders>
                    <w:left w:val="single" w:color="auto" w:sz="4" w:space="0"/>
                    <w:right w:val="single" w:color="auto" w:sz="4" w:space="0"/>
                  </w:tcBorders>
                  <w:vAlign w:val="center"/>
                </w:tcPr>
                <w:p w14:paraId="4FD7BA30">
                  <w:pPr>
                    <w:jc w:val="center"/>
                    <w:rPr>
                      <w:szCs w:val="21"/>
                    </w:rPr>
                  </w:pPr>
                  <w:r>
                    <w:rPr>
                      <w:szCs w:val="21"/>
                    </w:rPr>
                    <w:t>5</w:t>
                  </w:r>
                </w:p>
              </w:tc>
              <w:tc>
                <w:tcPr>
                  <w:tcW w:w="512" w:type="pct"/>
                  <w:tcBorders>
                    <w:left w:val="single" w:color="auto" w:sz="4" w:space="0"/>
                    <w:right w:val="single" w:color="auto" w:sz="4" w:space="0"/>
                  </w:tcBorders>
                  <w:vAlign w:val="center"/>
                </w:tcPr>
                <w:p w14:paraId="2891632C">
                  <w:pPr>
                    <w:jc w:val="center"/>
                    <w:rPr>
                      <w:szCs w:val="21"/>
                    </w:rPr>
                  </w:pPr>
                  <w:r>
                    <w:rPr>
                      <w:szCs w:val="21"/>
                    </w:rPr>
                    <w:t>12</w:t>
                  </w:r>
                </w:p>
              </w:tc>
              <w:tc>
                <w:tcPr>
                  <w:tcW w:w="633" w:type="pct"/>
                  <w:tcBorders>
                    <w:left w:val="single" w:color="auto" w:sz="4" w:space="0"/>
                    <w:right w:val="single" w:color="auto" w:sz="4" w:space="0"/>
                  </w:tcBorders>
                  <w:vAlign w:val="center"/>
                </w:tcPr>
                <w:p w14:paraId="0359ECB6">
                  <w:pPr>
                    <w:tabs>
                      <w:tab w:val="left" w:pos="297"/>
                    </w:tabs>
                    <w:jc w:val="center"/>
                    <w:rPr>
                      <w:szCs w:val="21"/>
                    </w:rPr>
                  </w:pPr>
                  <w:r>
                    <w:rPr>
                      <w:szCs w:val="21"/>
                    </w:rPr>
                    <w:t>3.3</w:t>
                  </w:r>
                </w:p>
              </w:tc>
              <w:tc>
                <w:tcPr>
                  <w:tcW w:w="435" w:type="pct"/>
                  <w:tcBorders>
                    <w:left w:val="single" w:color="auto" w:sz="4" w:space="0"/>
                    <w:right w:val="single" w:color="auto" w:sz="4" w:space="0"/>
                  </w:tcBorders>
                  <w:vAlign w:val="center"/>
                </w:tcPr>
                <w:p w14:paraId="51DF3F32">
                  <w:pPr>
                    <w:jc w:val="center"/>
                    <w:rPr>
                      <w:szCs w:val="21"/>
                    </w:rPr>
                  </w:pPr>
                  <w:r>
                    <w:rPr>
                      <w:szCs w:val="21"/>
                    </w:rPr>
                    <w:t>0.376</w:t>
                  </w:r>
                </w:p>
              </w:tc>
              <w:tc>
                <w:tcPr>
                  <w:tcW w:w="365" w:type="pct"/>
                  <w:tcBorders>
                    <w:left w:val="single" w:color="auto" w:sz="4" w:space="0"/>
                    <w:right w:val="single" w:color="auto" w:sz="4" w:space="0"/>
                  </w:tcBorders>
                  <w:vAlign w:val="center"/>
                </w:tcPr>
                <w:p w14:paraId="0D3418C8">
                  <w:pPr>
                    <w:jc w:val="center"/>
                    <w:rPr>
                      <w:szCs w:val="21"/>
                    </w:rPr>
                  </w:pPr>
                  <w:r>
                    <w:rPr>
                      <w:szCs w:val="21"/>
                    </w:rPr>
                    <w:t>0.06</w:t>
                  </w:r>
                </w:p>
              </w:tc>
              <w:tc>
                <w:tcPr>
                  <w:tcW w:w="417" w:type="pct"/>
                  <w:tcBorders>
                    <w:left w:val="single" w:color="auto" w:sz="4" w:space="0"/>
                    <w:right w:val="single" w:color="auto" w:sz="4" w:space="0"/>
                  </w:tcBorders>
                  <w:vAlign w:val="center"/>
                </w:tcPr>
                <w:p w14:paraId="70ECCBAA">
                  <w:pPr>
                    <w:widowControl/>
                    <w:jc w:val="center"/>
                    <w:textAlignment w:val="center"/>
                    <w:rPr>
                      <w:szCs w:val="21"/>
                    </w:rPr>
                  </w:pPr>
                  <w:r>
                    <w:rPr>
                      <w:kern w:val="0"/>
                      <w:szCs w:val="21"/>
                      <w:lang w:bidi="ar"/>
                    </w:rPr>
                    <w:t>0.01L</w:t>
                  </w:r>
                </w:p>
              </w:tc>
              <w:tc>
                <w:tcPr>
                  <w:tcW w:w="402" w:type="pct"/>
                  <w:tcBorders>
                    <w:left w:val="single" w:color="auto" w:sz="4" w:space="0"/>
                    <w:right w:val="single" w:color="auto" w:sz="4" w:space="0"/>
                  </w:tcBorders>
                  <w:vAlign w:val="center"/>
                </w:tcPr>
                <w:p w14:paraId="24EF7BBE">
                  <w:pPr>
                    <w:widowControl/>
                    <w:jc w:val="center"/>
                    <w:textAlignment w:val="center"/>
                    <w:rPr>
                      <w:kern w:val="0"/>
                      <w:szCs w:val="21"/>
                      <w:lang w:bidi="ar"/>
                    </w:rPr>
                  </w:pPr>
                  <w:r>
                    <w:rPr>
                      <w:kern w:val="0"/>
                      <w:szCs w:val="21"/>
                      <w:lang w:bidi="ar"/>
                    </w:rPr>
                    <w:t>0.74</w:t>
                  </w:r>
                </w:p>
              </w:tc>
            </w:tr>
            <w:tr w14:paraId="0E3E3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9"/>
                  <w:tcBorders>
                    <w:right w:val="single" w:color="auto" w:sz="4" w:space="0"/>
                  </w:tcBorders>
                  <w:vAlign w:val="center"/>
                </w:tcPr>
                <w:p w14:paraId="42B30E38">
                  <w:pPr>
                    <w:widowControl/>
                    <w:jc w:val="left"/>
                    <w:textAlignment w:val="center"/>
                    <w:rPr>
                      <w:szCs w:val="21"/>
                    </w:rPr>
                  </w:pPr>
                  <w:r>
                    <w:rPr>
                      <w:b/>
                      <w:szCs w:val="21"/>
                    </w:rPr>
                    <w:t>采样日期：2023.02.11</w:t>
                  </w:r>
                </w:p>
              </w:tc>
            </w:tr>
            <w:tr w14:paraId="1998F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2" w:type="pct"/>
                  <w:tcBorders>
                    <w:right w:val="single" w:color="auto" w:sz="4" w:space="0"/>
                  </w:tcBorders>
                  <w:vAlign w:val="center"/>
                </w:tcPr>
                <w:p w14:paraId="2FCFAB93">
                  <w:pPr>
                    <w:jc w:val="center"/>
                    <w:rPr>
                      <w:szCs w:val="21"/>
                    </w:rPr>
                  </w:pPr>
                  <w:r>
                    <w:rPr>
                      <w:szCs w:val="21"/>
                      <w:lang w:bidi="ar"/>
                    </w:rPr>
                    <w:t>龙湖工业园污水处理厂入龙河排污口上游500m</w:t>
                  </w:r>
                </w:p>
              </w:tc>
              <w:tc>
                <w:tcPr>
                  <w:tcW w:w="608" w:type="pct"/>
                  <w:tcBorders>
                    <w:left w:val="single" w:color="auto" w:sz="4" w:space="0"/>
                    <w:right w:val="single" w:color="auto" w:sz="4" w:space="0"/>
                  </w:tcBorders>
                  <w:vAlign w:val="center"/>
                </w:tcPr>
                <w:p w14:paraId="01707F91">
                  <w:pPr>
                    <w:jc w:val="center"/>
                    <w:rPr>
                      <w:szCs w:val="21"/>
                    </w:rPr>
                  </w:pPr>
                  <w:r>
                    <w:rPr>
                      <w:szCs w:val="21"/>
                    </w:rPr>
                    <w:t>7.9（6.4℃）</w:t>
                  </w:r>
                </w:p>
              </w:tc>
              <w:tc>
                <w:tcPr>
                  <w:tcW w:w="391" w:type="pct"/>
                  <w:tcBorders>
                    <w:left w:val="single" w:color="auto" w:sz="4" w:space="0"/>
                    <w:right w:val="single" w:color="auto" w:sz="4" w:space="0"/>
                  </w:tcBorders>
                  <w:vAlign w:val="center"/>
                </w:tcPr>
                <w:p w14:paraId="69E2E41B">
                  <w:pPr>
                    <w:widowControl/>
                    <w:jc w:val="center"/>
                    <w:rPr>
                      <w:szCs w:val="21"/>
                    </w:rPr>
                  </w:pPr>
                  <w:r>
                    <w:rPr>
                      <w:szCs w:val="21"/>
                    </w:rPr>
                    <w:t>6</w:t>
                  </w:r>
                </w:p>
              </w:tc>
              <w:tc>
                <w:tcPr>
                  <w:tcW w:w="512" w:type="pct"/>
                  <w:tcBorders>
                    <w:left w:val="single" w:color="auto" w:sz="4" w:space="0"/>
                    <w:right w:val="single" w:color="auto" w:sz="4" w:space="0"/>
                  </w:tcBorders>
                  <w:vAlign w:val="center"/>
                </w:tcPr>
                <w:p w14:paraId="26DF79FC">
                  <w:pPr>
                    <w:jc w:val="center"/>
                    <w:rPr>
                      <w:szCs w:val="21"/>
                    </w:rPr>
                  </w:pPr>
                  <w:r>
                    <w:rPr>
                      <w:szCs w:val="21"/>
                    </w:rPr>
                    <w:t>18</w:t>
                  </w:r>
                </w:p>
              </w:tc>
              <w:tc>
                <w:tcPr>
                  <w:tcW w:w="633" w:type="pct"/>
                  <w:tcBorders>
                    <w:left w:val="single" w:color="auto" w:sz="4" w:space="0"/>
                    <w:right w:val="single" w:color="auto" w:sz="4" w:space="0"/>
                  </w:tcBorders>
                  <w:vAlign w:val="center"/>
                </w:tcPr>
                <w:p w14:paraId="59E19B62">
                  <w:pPr>
                    <w:tabs>
                      <w:tab w:val="left" w:pos="297"/>
                    </w:tabs>
                    <w:jc w:val="center"/>
                    <w:rPr>
                      <w:szCs w:val="21"/>
                    </w:rPr>
                  </w:pPr>
                  <w:r>
                    <w:rPr>
                      <w:szCs w:val="21"/>
                    </w:rPr>
                    <w:t>3.5</w:t>
                  </w:r>
                </w:p>
              </w:tc>
              <w:tc>
                <w:tcPr>
                  <w:tcW w:w="435" w:type="pct"/>
                  <w:tcBorders>
                    <w:left w:val="single" w:color="auto" w:sz="4" w:space="0"/>
                    <w:right w:val="single" w:color="auto" w:sz="4" w:space="0"/>
                  </w:tcBorders>
                  <w:vAlign w:val="center"/>
                </w:tcPr>
                <w:p w14:paraId="719BBA31">
                  <w:pPr>
                    <w:jc w:val="center"/>
                    <w:rPr>
                      <w:szCs w:val="21"/>
                    </w:rPr>
                  </w:pPr>
                  <w:r>
                    <w:rPr>
                      <w:szCs w:val="21"/>
                    </w:rPr>
                    <w:t>0.322</w:t>
                  </w:r>
                </w:p>
              </w:tc>
              <w:tc>
                <w:tcPr>
                  <w:tcW w:w="365" w:type="pct"/>
                  <w:tcBorders>
                    <w:left w:val="single" w:color="auto" w:sz="4" w:space="0"/>
                    <w:right w:val="single" w:color="auto" w:sz="4" w:space="0"/>
                  </w:tcBorders>
                  <w:vAlign w:val="center"/>
                </w:tcPr>
                <w:p w14:paraId="52E390F4">
                  <w:pPr>
                    <w:jc w:val="center"/>
                    <w:rPr>
                      <w:szCs w:val="21"/>
                    </w:rPr>
                  </w:pPr>
                  <w:r>
                    <w:rPr>
                      <w:szCs w:val="21"/>
                    </w:rPr>
                    <w:t>0.06</w:t>
                  </w:r>
                </w:p>
              </w:tc>
              <w:tc>
                <w:tcPr>
                  <w:tcW w:w="417" w:type="pct"/>
                  <w:tcBorders>
                    <w:left w:val="single" w:color="auto" w:sz="4" w:space="0"/>
                    <w:right w:val="single" w:color="auto" w:sz="4" w:space="0"/>
                  </w:tcBorders>
                  <w:vAlign w:val="center"/>
                </w:tcPr>
                <w:p w14:paraId="51526D28">
                  <w:pPr>
                    <w:widowControl/>
                    <w:jc w:val="center"/>
                    <w:textAlignment w:val="center"/>
                    <w:rPr>
                      <w:szCs w:val="21"/>
                    </w:rPr>
                  </w:pPr>
                  <w:r>
                    <w:rPr>
                      <w:kern w:val="0"/>
                      <w:szCs w:val="21"/>
                      <w:lang w:bidi="ar"/>
                    </w:rPr>
                    <w:t>0.01L</w:t>
                  </w:r>
                </w:p>
              </w:tc>
              <w:tc>
                <w:tcPr>
                  <w:tcW w:w="402" w:type="pct"/>
                  <w:tcBorders>
                    <w:left w:val="single" w:color="auto" w:sz="4" w:space="0"/>
                    <w:right w:val="single" w:color="auto" w:sz="4" w:space="0"/>
                  </w:tcBorders>
                  <w:vAlign w:val="center"/>
                </w:tcPr>
                <w:p w14:paraId="55E3D6B4">
                  <w:pPr>
                    <w:widowControl/>
                    <w:jc w:val="center"/>
                    <w:textAlignment w:val="center"/>
                    <w:rPr>
                      <w:kern w:val="0"/>
                      <w:szCs w:val="21"/>
                      <w:lang w:bidi="ar"/>
                    </w:rPr>
                  </w:pPr>
                  <w:r>
                    <w:rPr>
                      <w:kern w:val="0"/>
                      <w:szCs w:val="21"/>
                      <w:lang w:bidi="ar"/>
                    </w:rPr>
                    <w:t>0.54</w:t>
                  </w:r>
                </w:p>
              </w:tc>
            </w:tr>
            <w:tr w14:paraId="38060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2" w:type="pct"/>
                  <w:tcBorders>
                    <w:right w:val="single" w:color="auto" w:sz="4" w:space="0"/>
                  </w:tcBorders>
                  <w:vAlign w:val="center"/>
                </w:tcPr>
                <w:p w14:paraId="6CC07675">
                  <w:pPr>
                    <w:jc w:val="center"/>
                    <w:rPr>
                      <w:szCs w:val="21"/>
                    </w:rPr>
                  </w:pPr>
                  <w:r>
                    <w:rPr>
                      <w:szCs w:val="21"/>
                      <w:lang w:bidi="ar"/>
                    </w:rPr>
                    <w:t>龙湖工业园污水处理厂入龙河排污口下游500m</w:t>
                  </w:r>
                </w:p>
              </w:tc>
              <w:tc>
                <w:tcPr>
                  <w:tcW w:w="608" w:type="pct"/>
                  <w:tcBorders>
                    <w:left w:val="single" w:color="auto" w:sz="4" w:space="0"/>
                    <w:right w:val="single" w:color="auto" w:sz="4" w:space="0"/>
                  </w:tcBorders>
                  <w:vAlign w:val="center"/>
                </w:tcPr>
                <w:p w14:paraId="11F44A29">
                  <w:pPr>
                    <w:jc w:val="center"/>
                    <w:rPr>
                      <w:szCs w:val="21"/>
                    </w:rPr>
                  </w:pPr>
                  <w:r>
                    <w:rPr>
                      <w:szCs w:val="21"/>
                    </w:rPr>
                    <w:t>7.9（9.2℃）</w:t>
                  </w:r>
                </w:p>
              </w:tc>
              <w:tc>
                <w:tcPr>
                  <w:tcW w:w="391" w:type="pct"/>
                  <w:tcBorders>
                    <w:left w:val="single" w:color="auto" w:sz="4" w:space="0"/>
                    <w:right w:val="single" w:color="auto" w:sz="4" w:space="0"/>
                  </w:tcBorders>
                  <w:vAlign w:val="center"/>
                </w:tcPr>
                <w:p w14:paraId="1D3294E4">
                  <w:pPr>
                    <w:jc w:val="center"/>
                    <w:rPr>
                      <w:szCs w:val="21"/>
                    </w:rPr>
                  </w:pPr>
                  <w:r>
                    <w:rPr>
                      <w:szCs w:val="21"/>
                    </w:rPr>
                    <w:t>7</w:t>
                  </w:r>
                </w:p>
              </w:tc>
              <w:tc>
                <w:tcPr>
                  <w:tcW w:w="512" w:type="pct"/>
                  <w:tcBorders>
                    <w:left w:val="single" w:color="auto" w:sz="4" w:space="0"/>
                    <w:right w:val="single" w:color="auto" w:sz="4" w:space="0"/>
                  </w:tcBorders>
                  <w:vAlign w:val="center"/>
                </w:tcPr>
                <w:p w14:paraId="18F1F70F">
                  <w:pPr>
                    <w:jc w:val="center"/>
                    <w:rPr>
                      <w:szCs w:val="21"/>
                    </w:rPr>
                  </w:pPr>
                  <w:r>
                    <w:rPr>
                      <w:szCs w:val="21"/>
                    </w:rPr>
                    <w:t>18</w:t>
                  </w:r>
                </w:p>
              </w:tc>
              <w:tc>
                <w:tcPr>
                  <w:tcW w:w="633" w:type="pct"/>
                  <w:tcBorders>
                    <w:left w:val="single" w:color="auto" w:sz="4" w:space="0"/>
                    <w:right w:val="single" w:color="auto" w:sz="4" w:space="0"/>
                  </w:tcBorders>
                  <w:vAlign w:val="center"/>
                </w:tcPr>
                <w:p w14:paraId="2DF3AF17">
                  <w:pPr>
                    <w:tabs>
                      <w:tab w:val="left" w:pos="297"/>
                    </w:tabs>
                    <w:jc w:val="center"/>
                    <w:rPr>
                      <w:szCs w:val="21"/>
                    </w:rPr>
                  </w:pPr>
                  <w:r>
                    <w:rPr>
                      <w:szCs w:val="21"/>
                    </w:rPr>
                    <w:t>3.6</w:t>
                  </w:r>
                </w:p>
              </w:tc>
              <w:tc>
                <w:tcPr>
                  <w:tcW w:w="435" w:type="pct"/>
                  <w:tcBorders>
                    <w:left w:val="single" w:color="auto" w:sz="4" w:space="0"/>
                    <w:right w:val="single" w:color="auto" w:sz="4" w:space="0"/>
                  </w:tcBorders>
                  <w:vAlign w:val="center"/>
                </w:tcPr>
                <w:p w14:paraId="51011F90">
                  <w:pPr>
                    <w:jc w:val="center"/>
                    <w:rPr>
                      <w:szCs w:val="21"/>
                    </w:rPr>
                  </w:pPr>
                  <w:r>
                    <w:rPr>
                      <w:szCs w:val="21"/>
                    </w:rPr>
                    <w:t>1.33</w:t>
                  </w:r>
                </w:p>
              </w:tc>
              <w:tc>
                <w:tcPr>
                  <w:tcW w:w="365" w:type="pct"/>
                  <w:tcBorders>
                    <w:left w:val="single" w:color="auto" w:sz="4" w:space="0"/>
                    <w:right w:val="single" w:color="auto" w:sz="4" w:space="0"/>
                  </w:tcBorders>
                  <w:vAlign w:val="center"/>
                </w:tcPr>
                <w:p w14:paraId="7074E264">
                  <w:pPr>
                    <w:jc w:val="center"/>
                    <w:rPr>
                      <w:szCs w:val="21"/>
                    </w:rPr>
                  </w:pPr>
                  <w:r>
                    <w:rPr>
                      <w:szCs w:val="21"/>
                    </w:rPr>
                    <w:t>0.27</w:t>
                  </w:r>
                </w:p>
              </w:tc>
              <w:tc>
                <w:tcPr>
                  <w:tcW w:w="417" w:type="pct"/>
                  <w:tcBorders>
                    <w:left w:val="single" w:color="auto" w:sz="4" w:space="0"/>
                    <w:right w:val="single" w:color="auto" w:sz="4" w:space="0"/>
                  </w:tcBorders>
                  <w:vAlign w:val="center"/>
                </w:tcPr>
                <w:p w14:paraId="1BCF6819">
                  <w:pPr>
                    <w:widowControl/>
                    <w:jc w:val="center"/>
                    <w:textAlignment w:val="center"/>
                    <w:rPr>
                      <w:szCs w:val="21"/>
                    </w:rPr>
                  </w:pPr>
                  <w:r>
                    <w:rPr>
                      <w:kern w:val="0"/>
                      <w:szCs w:val="21"/>
                      <w:lang w:bidi="ar"/>
                    </w:rPr>
                    <w:t>0.01L</w:t>
                  </w:r>
                </w:p>
              </w:tc>
              <w:tc>
                <w:tcPr>
                  <w:tcW w:w="402" w:type="pct"/>
                  <w:tcBorders>
                    <w:left w:val="single" w:color="auto" w:sz="4" w:space="0"/>
                    <w:right w:val="single" w:color="auto" w:sz="4" w:space="0"/>
                  </w:tcBorders>
                  <w:vAlign w:val="center"/>
                </w:tcPr>
                <w:p w14:paraId="5DBB2AA5">
                  <w:pPr>
                    <w:widowControl/>
                    <w:jc w:val="center"/>
                    <w:textAlignment w:val="center"/>
                    <w:rPr>
                      <w:kern w:val="0"/>
                      <w:szCs w:val="21"/>
                      <w:lang w:bidi="ar"/>
                    </w:rPr>
                  </w:pPr>
                  <w:r>
                    <w:rPr>
                      <w:kern w:val="0"/>
                      <w:szCs w:val="21"/>
                      <w:lang w:bidi="ar"/>
                    </w:rPr>
                    <w:t>1.23</w:t>
                  </w:r>
                </w:p>
              </w:tc>
            </w:tr>
            <w:tr w14:paraId="5317F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2" w:type="pct"/>
                  <w:tcBorders>
                    <w:right w:val="single" w:color="auto" w:sz="4" w:space="0"/>
                  </w:tcBorders>
                  <w:vAlign w:val="center"/>
                </w:tcPr>
                <w:p w14:paraId="79270E33">
                  <w:pPr>
                    <w:jc w:val="center"/>
                    <w:rPr>
                      <w:szCs w:val="21"/>
                    </w:rPr>
                  </w:pPr>
                  <w:r>
                    <w:rPr>
                      <w:szCs w:val="21"/>
                      <w:lang w:bidi="ar"/>
                    </w:rPr>
                    <w:t>龙湖工业园污水处理厂入龙河排污口下游1500m</w:t>
                  </w:r>
                </w:p>
              </w:tc>
              <w:tc>
                <w:tcPr>
                  <w:tcW w:w="608" w:type="pct"/>
                  <w:tcBorders>
                    <w:left w:val="single" w:color="auto" w:sz="4" w:space="0"/>
                    <w:right w:val="single" w:color="auto" w:sz="4" w:space="0"/>
                  </w:tcBorders>
                  <w:vAlign w:val="center"/>
                </w:tcPr>
                <w:p w14:paraId="00B92FF0">
                  <w:pPr>
                    <w:jc w:val="center"/>
                    <w:rPr>
                      <w:szCs w:val="21"/>
                    </w:rPr>
                  </w:pPr>
                  <w:r>
                    <w:rPr>
                      <w:szCs w:val="21"/>
                    </w:rPr>
                    <w:t>7.8（7.9℃）</w:t>
                  </w:r>
                </w:p>
              </w:tc>
              <w:tc>
                <w:tcPr>
                  <w:tcW w:w="391" w:type="pct"/>
                  <w:tcBorders>
                    <w:left w:val="single" w:color="auto" w:sz="4" w:space="0"/>
                    <w:right w:val="single" w:color="auto" w:sz="4" w:space="0"/>
                  </w:tcBorders>
                  <w:vAlign w:val="center"/>
                </w:tcPr>
                <w:p w14:paraId="2791D874">
                  <w:pPr>
                    <w:jc w:val="center"/>
                    <w:rPr>
                      <w:szCs w:val="21"/>
                    </w:rPr>
                  </w:pPr>
                  <w:r>
                    <w:rPr>
                      <w:szCs w:val="21"/>
                    </w:rPr>
                    <w:t>7</w:t>
                  </w:r>
                </w:p>
              </w:tc>
              <w:tc>
                <w:tcPr>
                  <w:tcW w:w="512" w:type="pct"/>
                  <w:tcBorders>
                    <w:left w:val="single" w:color="auto" w:sz="4" w:space="0"/>
                    <w:right w:val="single" w:color="auto" w:sz="4" w:space="0"/>
                  </w:tcBorders>
                  <w:vAlign w:val="center"/>
                </w:tcPr>
                <w:p w14:paraId="0C0E6317">
                  <w:pPr>
                    <w:jc w:val="center"/>
                    <w:rPr>
                      <w:szCs w:val="21"/>
                    </w:rPr>
                  </w:pPr>
                  <w:r>
                    <w:rPr>
                      <w:szCs w:val="21"/>
                    </w:rPr>
                    <w:t>15</w:t>
                  </w:r>
                </w:p>
              </w:tc>
              <w:tc>
                <w:tcPr>
                  <w:tcW w:w="633" w:type="pct"/>
                  <w:tcBorders>
                    <w:left w:val="single" w:color="auto" w:sz="4" w:space="0"/>
                    <w:right w:val="single" w:color="auto" w:sz="4" w:space="0"/>
                  </w:tcBorders>
                  <w:vAlign w:val="center"/>
                </w:tcPr>
                <w:p w14:paraId="58FD8B0D">
                  <w:pPr>
                    <w:tabs>
                      <w:tab w:val="left" w:pos="297"/>
                    </w:tabs>
                    <w:jc w:val="center"/>
                    <w:rPr>
                      <w:szCs w:val="21"/>
                    </w:rPr>
                  </w:pPr>
                  <w:r>
                    <w:rPr>
                      <w:szCs w:val="21"/>
                    </w:rPr>
                    <w:t>3.4</w:t>
                  </w:r>
                </w:p>
              </w:tc>
              <w:tc>
                <w:tcPr>
                  <w:tcW w:w="435" w:type="pct"/>
                  <w:tcBorders>
                    <w:left w:val="single" w:color="auto" w:sz="4" w:space="0"/>
                    <w:right w:val="single" w:color="auto" w:sz="4" w:space="0"/>
                  </w:tcBorders>
                  <w:vAlign w:val="center"/>
                </w:tcPr>
                <w:p w14:paraId="5301059D">
                  <w:pPr>
                    <w:jc w:val="center"/>
                    <w:rPr>
                      <w:szCs w:val="21"/>
                    </w:rPr>
                  </w:pPr>
                  <w:r>
                    <w:rPr>
                      <w:szCs w:val="21"/>
                    </w:rPr>
                    <w:t>0.381</w:t>
                  </w:r>
                </w:p>
              </w:tc>
              <w:tc>
                <w:tcPr>
                  <w:tcW w:w="365" w:type="pct"/>
                  <w:tcBorders>
                    <w:left w:val="single" w:color="auto" w:sz="4" w:space="0"/>
                    <w:right w:val="single" w:color="auto" w:sz="4" w:space="0"/>
                  </w:tcBorders>
                  <w:vAlign w:val="center"/>
                </w:tcPr>
                <w:p w14:paraId="07C77CBE">
                  <w:pPr>
                    <w:jc w:val="center"/>
                    <w:rPr>
                      <w:szCs w:val="21"/>
                    </w:rPr>
                  </w:pPr>
                  <w:r>
                    <w:rPr>
                      <w:szCs w:val="21"/>
                    </w:rPr>
                    <w:t>0.07</w:t>
                  </w:r>
                </w:p>
              </w:tc>
              <w:tc>
                <w:tcPr>
                  <w:tcW w:w="417" w:type="pct"/>
                  <w:tcBorders>
                    <w:left w:val="single" w:color="auto" w:sz="4" w:space="0"/>
                    <w:right w:val="single" w:color="auto" w:sz="4" w:space="0"/>
                  </w:tcBorders>
                  <w:vAlign w:val="center"/>
                </w:tcPr>
                <w:p w14:paraId="54512EA4">
                  <w:pPr>
                    <w:widowControl/>
                    <w:jc w:val="center"/>
                    <w:textAlignment w:val="center"/>
                    <w:rPr>
                      <w:szCs w:val="21"/>
                    </w:rPr>
                  </w:pPr>
                  <w:r>
                    <w:rPr>
                      <w:kern w:val="0"/>
                      <w:szCs w:val="21"/>
                      <w:lang w:bidi="ar"/>
                    </w:rPr>
                    <w:t>0.01L</w:t>
                  </w:r>
                </w:p>
              </w:tc>
              <w:tc>
                <w:tcPr>
                  <w:tcW w:w="402" w:type="pct"/>
                  <w:tcBorders>
                    <w:left w:val="single" w:color="auto" w:sz="4" w:space="0"/>
                    <w:right w:val="single" w:color="auto" w:sz="4" w:space="0"/>
                  </w:tcBorders>
                  <w:vAlign w:val="center"/>
                </w:tcPr>
                <w:p w14:paraId="3651DFB8">
                  <w:pPr>
                    <w:widowControl/>
                    <w:jc w:val="center"/>
                    <w:textAlignment w:val="center"/>
                    <w:rPr>
                      <w:kern w:val="0"/>
                      <w:szCs w:val="21"/>
                      <w:lang w:bidi="ar"/>
                    </w:rPr>
                  </w:pPr>
                  <w:r>
                    <w:rPr>
                      <w:kern w:val="0"/>
                      <w:szCs w:val="21"/>
                      <w:lang w:bidi="ar"/>
                    </w:rPr>
                    <w:t>0.75</w:t>
                  </w:r>
                </w:p>
              </w:tc>
            </w:tr>
            <w:tr w14:paraId="108BC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9"/>
                  <w:tcBorders>
                    <w:right w:val="single" w:color="auto" w:sz="4" w:space="0"/>
                  </w:tcBorders>
                  <w:vAlign w:val="center"/>
                </w:tcPr>
                <w:p w14:paraId="3D9067B1">
                  <w:pPr>
                    <w:jc w:val="left"/>
                    <w:rPr>
                      <w:szCs w:val="21"/>
                    </w:rPr>
                  </w:pPr>
                  <w:r>
                    <w:rPr>
                      <w:b/>
                      <w:szCs w:val="21"/>
                    </w:rPr>
                    <w:t>备注:“L”表示低于检出限。</w:t>
                  </w:r>
                </w:p>
              </w:tc>
            </w:tr>
          </w:tbl>
          <w:p w14:paraId="40404AE0">
            <w:pPr>
              <w:spacing w:line="360" w:lineRule="auto"/>
              <w:ind w:firstLine="480" w:firstLineChars="200"/>
              <w:rPr>
                <w:sz w:val="24"/>
                <w:szCs w:val="32"/>
              </w:rPr>
            </w:pPr>
            <w:r>
              <w:rPr>
                <w:sz w:val="24"/>
                <w:szCs w:val="32"/>
              </w:rPr>
              <w:t>根据</w:t>
            </w:r>
            <w:r>
              <w:rPr>
                <w:rFonts w:hint="eastAsia"/>
                <w:sz w:val="24"/>
                <w:szCs w:val="32"/>
              </w:rPr>
              <w:t>引用监测结果，</w:t>
            </w:r>
            <w:r>
              <w:rPr>
                <w:rFonts w:hint="eastAsia"/>
                <w:sz w:val="24"/>
              </w:rPr>
              <w:t>龙河各</w:t>
            </w:r>
            <w:r>
              <w:rPr>
                <w:sz w:val="24"/>
                <w:szCs w:val="32"/>
              </w:rPr>
              <w:t>断面监测指标均达到《地表水环境质量标准》（GB3838-2002）Ⅳ类水质要求。</w:t>
            </w:r>
          </w:p>
          <w:p w14:paraId="138A4801">
            <w:pPr>
              <w:spacing w:line="360" w:lineRule="auto"/>
              <w:ind w:firstLine="482" w:firstLineChars="200"/>
              <w:rPr>
                <w:b/>
                <w:bCs/>
                <w:sz w:val="24"/>
              </w:rPr>
            </w:pPr>
            <w:r>
              <w:rPr>
                <w:b/>
                <w:bCs/>
                <w:sz w:val="24"/>
              </w:rPr>
              <w:t>（三）声环境质量现状</w:t>
            </w:r>
          </w:p>
          <w:p w14:paraId="774512B4">
            <w:pPr>
              <w:adjustRightInd w:val="0"/>
              <w:snapToGrid w:val="0"/>
              <w:spacing w:line="360" w:lineRule="auto"/>
              <w:ind w:firstLine="480" w:firstLineChars="200"/>
              <w:rPr>
                <w:sz w:val="24"/>
                <w:szCs w:val="32"/>
              </w:rPr>
            </w:pPr>
            <w:r>
              <w:rPr>
                <w:bCs/>
                <w:sz w:val="24"/>
                <w:szCs w:val="28"/>
              </w:rPr>
              <w:t>本项目所在区域为《声环境质量标准》（GB3096-2008）中3类区。项目厂界外周边50米范围内无声环境保护目标，根据《建设项目环境影响报告表编制技术指南》要求，本次不进行声环境质量现状评价</w:t>
            </w:r>
            <w:r>
              <w:rPr>
                <w:sz w:val="24"/>
                <w:szCs w:val="32"/>
              </w:rPr>
              <w:t>。</w:t>
            </w:r>
          </w:p>
          <w:p w14:paraId="5F0DC35F">
            <w:pPr>
              <w:adjustRightInd w:val="0"/>
              <w:snapToGrid w:val="0"/>
              <w:spacing w:line="360" w:lineRule="auto"/>
              <w:ind w:firstLine="482" w:firstLineChars="200"/>
              <w:rPr>
                <w:b/>
                <w:bCs/>
                <w:sz w:val="24"/>
                <w:szCs w:val="32"/>
              </w:rPr>
            </w:pPr>
            <w:r>
              <w:rPr>
                <w:b/>
                <w:bCs/>
                <w:sz w:val="24"/>
                <w:szCs w:val="32"/>
              </w:rPr>
              <w:t>（四）地下水和土壤环境质量现状</w:t>
            </w:r>
          </w:p>
          <w:p w14:paraId="242190FA">
            <w:pPr>
              <w:spacing w:line="360" w:lineRule="auto"/>
              <w:ind w:firstLine="480" w:firstLineChars="200"/>
            </w:pPr>
            <w:r>
              <w:rPr>
                <w:sz w:val="24"/>
                <w:szCs w:val="32"/>
              </w:rPr>
              <w:t>本项目建设的</w:t>
            </w:r>
            <w:r>
              <w:rPr>
                <w:rFonts w:hint="eastAsia"/>
                <w:sz w:val="24"/>
                <w:szCs w:val="32"/>
                <w:lang w:eastAsia="zh-CN"/>
              </w:rPr>
              <w:t>辅料暂存间</w:t>
            </w:r>
            <w:r>
              <w:rPr>
                <w:rFonts w:hint="eastAsia"/>
                <w:sz w:val="24"/>
                <w:szCs w:val="32"/>
              </w:rPr>
              <w:t>、危废间、</w:t>
            </w:r>
            <w:r>
              <w:rPr>
                <w:rFonts w:hint="eastAsia"/>
                <w:sz w:val="24"/>
                <w:szCs w:val="32"/>
                <w:lang w:eastAsia="zh-CN"/>
              </w:rPr>
              <w:t>喷漆房、</w:t>
            </w:r>
            <w:r>
              <w:rPr>
                <w:sz w:val="24"/>
                <w:szCs w:val="32"/>
              </w:rPr>
              <w:t>污水收集管网采取严格的防泄漏、防渗措施，对地下水、土壤无不利影响，根据《建设项目环境影响报告表编制技术指南（污染影响类）》（试行），无需对地下水、土壤背景值进行调查。</w:t>
            </w:r>
          </w:p>
        </w:tc>
      </w:tr>
      <w:tr w14:paraId="5D14EA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50" w:hRule="atLeast"/>
          <w:jc w:val="center"/>
        </w:trPr>
        <w:tc>
          <w:tcPr>
            <w:tcW w:w="800" w:type="dxa"/>
            <w:vAlign w:val="center"/>
          </w:tcPr>
          <w:p w14:paraId="5E0DC059">
            <w:pPr>
              <w:adjustRightInd w:val="0"/>
              <w:snapToGrid w:val="0"/>
              <w:jc w:val="center"/>
              <w:rPr>
                <w:rFonts w:ascii="宋体" w:hAnsi="宋体" w:cs="宋体"/>
                <w:b/>
                <w:kern w:val="0"/>
                <w:szCs w:val="21"/>
              </w:rPr>
            </w:pPr>
            <w:r>
              <w:rPr>
                <w:rFonts w:hint="eastAsia" w:ascii="宋体" w:hAnsi="宋体" w:cs="宋体"/>
                <w:b/>
                <w:kern w:val="0"/>
                <w:szCs w:val="21"/>
              </w:rPr>
              <w:t>环境</w:t>
            </w:r>
          </w:p>
          <w:p w14:paraId="7803E467">
            <w:pPr>
              <w:adjustRightInd w:val="0"/>
              <w:snapToGrid w:val="0"/>
              <w:jc w:val="center"/>
              <w:rPr>
                <w:rFonts w:ascii="宋体" w:hAnsi="宋体" w:cs="宋体"/>
                <w:b/>
                <w:kern w:val="0"/>
                <w:szCs w:val="21"/>
              </w:rPr>
            </w:pPr>
            <w:r>
              <w:rPr>
                <w:rFonts w:hint="eastAsia" w:ascii="宋体" w:hAnsi="宋体" w:cs="宋体"/>
                <w:b/>
                <w:kern w:val="0"/>
                <w:szCs w:val="21"/>
              </w:rPr>
              <w:t>保护</w:t>
            </w:r>
          </w:p>
          <w:p w14:paraId="04492E5A">
            <w:pPr>
              <w:adjustRightInd w:val="0"/>
              <w:snapToGrid w:val="0"/>
              <w:jc w:val="center"/>
              <w:rPr>
                <w:rFonts w:ascii="宋体" w:hAnsi="宋体" w:cs="宋体"/>
                <w:kern w:val="0"/>
                <w:szCs w:val="21"/>
              </w:rPr>
            </w:pPr>
            <w:r>
              <w:rPr>
                <w:rFonts w:hint="eastAsia" w:ascii="宋体" w:hAnsi="宋体" w:cs="宋体"/>
                <w:b/>
                <w:kern w:val="0"/>
                <w:szCs w:val="21"/>
              </w:rPr>
              <w:t>目标</w:t>
            </w:r>
          </w:p>
        </w:tc>
        <w:tc>
          <w:tcPr>
            <w:tcW w:w="8245" w:type="dxa"/>
            <w:vAlign w:val="center"/>
          </w:tcPr>
          <w:p w14:paraId="6673D888">
            <w:pPr>
              <w:adjustRightInd w:val="0"/>
              <w:snapToGrid w:val="0"/>
              <w:spacing w:line="360" w:lineRule="auto"/>
              <w:ind w:firstLine="480" w:firstLineChars="200"/>
              <w:rPr>
                <w:sz w:val="24"/>
              </w:rPr>
            </w:pPr>
            <w:r>
              <w:rPr>
                <w:rFonts w:hint="eastAsia"/>
                <w:sz w:val="24"/>
              </w:rPr>
              <w:t>本项目位于安徽省</w:t>
            </w:r>
            <w:r>
              <w:rPr>
                <w:rFonts w:hint="eastAsia"/>
                <w:sz w:val="24"/>
                <w:lang w:eastAsia="zh-CN"/>
              </w:rPr>
              <w:t>淮北杜集经济开发区238省道西、山河大道南</w:t>
            </w:r>
            <w:r>
              <w:rPr>
                <w:rFonts w:hint="eastAsia"/>
                <w:sz w:val="24"/>
              </w:rPr>
              <w:t>，评价范围内无自然保护区、风景旅游点和文物古迹等需要特殊保护的环境敏感对象。总体上不因本项目的实施而改变区域环境现有功能，根据现场踏勘及建设项目周边情况，确定建设项目具体环境保护目标如下表，敏感目标分布图见附图3。</w:t>
            </w:r>
          </w:p>
          <w:p w14:paraId="1C2CF06D">
            <w:pPr>
              <w:numPr>
                <w:ilvl w:val="0"/>
                <w:numId w:val="6"/>
              </w:numPr>
              <w:adjustRightInd w:val="0"/>
              <w:snapToGrid w:val="0"/>
              <w:spacing w:line="360" w:lineRule="auto"/>
              <w:ind w:firstLine="480" w:firstLineChars="200"/>
            </w:pPr>
            <w:r>
              <w:rPr>
                <w:rFonts w:hint="eastAsia"/>
                <w:sz w:val="24"/>
              </w:rPr>
              <w:t>大气环境：本项目厂界外500m范围内有村庄</w:t>
            </w:r>
            <w:r>
              <w:rPr>
                <w:rFonts w:hint="eastAsia"/>
                <w:sz w:val="24"/>
                <w:lang w:val="en-US" w:eastAsia="zh-CN"/>
              </w:rPr>
              <w:t>3</w:t>
            </w:r>
            <w:r>
              <w:rPr>
                <w:rFonts w:hint="eastAsia"/>
                <w:sz w:val="24"/>
              </w:rPr>
              <w:t>个，环境保护目标见下表：</w:t>
            </w:r>
          </w:p>
          <w:p w14:paraId="78A2B408">
            <w:pPr>
              <w:widowControl/>
              <w:numPr>
                <w:ilvl w:val="0"/>
                <w:numId w:val="2"/>
              </w:numPr>
              <w:jc w:val="center"/>
              <w:rPr>
                <w:b/>
                <w:kern w:val="0"/>
                <w:szCs w:val="21"/>
              </w:rPr>
            </w:pPr>
            <w:r>
              <w:rPr>
                <w:rFonts w:hint="eastAsia"/>
                <w:b/>
                <w:kern w:val="0"/>
                <w:szCs w:val="21"/>
              </w:rPr>
              <w:t>环境保护目标一览表</w:t>
            </w:r>
          </w:p>
          <w:tbl>
            <w:tblPr>
              <w:tblStyle w:val="26"/>
              <w:tblW w:w="79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5"/>
              <w:gridCol w:w="872"/>
              <w:gridCol w:w="601"/>
              <w:gridCol w:w="601"/>
              <w:gridCol w:w="876"/>
              <w:gridCol w:w="952"/>
              <w:gridCol w:w="1637"/>
              <w:gridCol w:w="1839"/>
            </w:tblGrid>
            <w:tr w14:paraId="1FF77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79" w:type="dxa"/>
                  <w:vMerge w:val="restart"/>
                  <w:vAlign w:val="center"/>
                </w:tcPr>
                <w:p w14:paraId="60EEE6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sz w:val="21"/>
                      <w:szCs w:val="21"/>
                    </w:rPr>
                  </w:pPr>
                  <w:r>
                    <w:rPr>
                      <w:b/>
                      <w:sz w:val="21"/>
                      <w:szCs w:val="21"/>
                    </w:rPr>
                    <w:t>类别</w:t>
                  </w:r>
                </w:p>
              </w:tc>
              <w:tc>
                <w:tcPr>
                  <w:tcW w:w="886" w:type="dxa"/>
                  <w:vMerge w:val="restart"/>
                  <w:vAlign w:val="center"/>
                </w:tcPr>
                <w:p w14:paraId="1E7209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sz w:val="21"/>
                      <w:szCs w:val="21"/>
                    </w:rPr>
                  </w:pPr>
                  <w:r>
                    <w:rPr>
                      <w:b/>
                      <w:sz w:val="21"/>
                      <w:szCs w:val="21"/>
                    </w:rPr>
                    <w:t>保护目标</w:t>
                  </w:r>
                </w:p>
              </w:tc>
              <w:tc>
                <w:tcPr>
                  <w:tcW w:w="1132" w:type="dxa"/>
                  <w:gridSpan w:val="2"/>
                  <w:vAlign w:val="center"/>
                </w:tcPr>
                <w:p w14:paraId="231B69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sz w:val="21"/>
                      <w:szCs w:val="21"/>
                    </w:rPr>
                  </w:pPr>
                  <w:r>
                    <w:rPr>
                      <w:rFonts w:hint="eastAsia"/>
                      <w:b/>
                      <w:sz w:val="21"/>
                      <w:szCs w:val="21"/>
                    </w:rPr>
                    <w:t>坐标/m</w:t>
                  </w:r>
                </w:p>
              </w:tc>
              <w:tc>
                <w:tcPr>
                  <w:tcW w:w="887" w:type="dxa"/>
                  <w:vMerge w:val="restart"/>
                  <w:vAlign w:val="center"/>
                </w:tcPr>
                <w:p w14:paraId="333F49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sz w:val="21"/>
                      <w:szCs w:val="21"/>
                    </w:rPr>
                  </w:pPr>
                  <w:r>
                    <w:rPr>
                      <w:b/>
                      <w:sz w:val="21"/>
                      <w:szCs w:val="21"/>
                    </w:rPr>
                    <w:t>相对方位</w:t>
                  </w:r>
                </w:p>
              </w:tc>
              <w:tc>
                <w:tcPr>
                  <w:tcW w:w="960" w:type="dxa"/>
                  <w:vMerge w:val="restart"/>
                  <w:vAlign w:val="center"/>
                </w:tcPr>
                <w:p w14:paraId="38D92D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sz w:val="21"/>
                      <w:szCs w:val="21"/>
                    </w:rPr>
                  </w:pPr>
                  <w:r>
                    <w:rPr>
                      <w:b/>
                      <w:sz w:val="21"/>
                      <w:szCs w:val="21"/>
                    </w:rPr>
                    <w:t>相对距离</w:t>
                  </w:r>
                </w:p>
              </w:tc>
              <w:tc>
                <w:tcPr>
                  <w:tcW w:w="1671" w:type="dxa"/>
                  <w:vMerge w:val="restart"/>
                  <w:vAlign w:val="center"/>
                </w:tcPr>
                <w:p w14:paraId="14C9F4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sz w:val="21"/>
                      <w:szCs w:val="21"/>
                    </w:rPr>
                  </w:pPr>
                  <w:r>
                    <w:rPr>
                      <w:b/>
                      <w:sz w:val="21"/>
                      <w:szCs w:val="21"/>
                    </w:rPr>
                    <w:t>规模</w:t>
                  </w:r>
                </w:p>
              </w:tc>
              <w:tc>
                <w:tcPr>
                  <w:tcW w:w="1838" w:type="dxa"/>
                  <w:vMerge w:val="restart"/>
                  <w:vAlign w:val="center"/>
                </w:tcPr>
                <w:p w14:paraId="4318E4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sz w:val="21"/>
                      <w:szCs w:val="21"/>
                    </w:rPr>
                  </w:pPr>
                  <w:r>
                    <w:rPr>
                      <w:b/>
                      <w:sz w:val="21"/>
                      <w:szCs w:val="21"/>
                    </w:rPr>
                    <w:t>功能</w:t>
                  </w:r>
                </w:p>
              </w:tc>
            </w:tr>
            <w:tr w14:paraId="7C81A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79" w:type="dxa"/>
                  <w:vMerge w:val="continue"/>
                  <w:vAlign w:val="center"/>
                </w:tcPr>
                <w:p w14:paraId="48E31A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p>
              </w:tc>
              <w:tc>
                <w:tcPr>
                  <w:tcW w:w="886" w:type="dxa"/>
                  <w:vMerge w:val="continue"/>
                  <w:vAlign w:val="center"/>
                </w:tcPr>
                <w:p w14:paraId="7A17B8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p>
              </w:tc>
              <w:tc>
                <w:tcPr>
                  <w:tcW w:w="531" w:type="dxa"/>
                  <w:vAlign w:val="center"/>
                </w:tcPr>
                <w:p w14:paraId="3F00DF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rFonts w:hint="eastAsia"/>
                      <w:sz w:val="21"/>
                      <w:szCs w:val="21"/>
                    </w:rPr>
                    <w:t>x</w:t>
                  </w:r>
                </w:p>
              </w:tc>
              <w:tc>
                <w:tcPr>
                  <w:tcW w:w="601" w:type="dxa"/>
                  <w:vAlign w:val="center"/>
                </w:tcPr>
                <w:p w14:paraId="17F1E2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rFonts w:hint="eastAsia"/>
                      <w:sz w:val="21"/>
                      <w:szCs w:val="21"/>
                    </w:rPr>
                    <w:t>y</w:t>
                  </w:r>
                </w:p>
              </w:tc>
              <w:tc>
                <w:tcPr>
                  <w:tcW w:w="887" w:type="dxa"/>
                  <w:vMerge w:val="continue"/>
                  <w:vAlign w:val="center"/>
                </w:tcPr>
                <w:p w14:paraId="4B7494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p>
              </w:tc>
              <w:tc>
                <w:tcPr>
                  <w:tcW w:w="960" w:type="dxa"/>
                  <w:vMerge w:val="continue"/>
                  <w:vAlign w:val="center"/>
                </w:tcPr>
                <w:p w14:paraId="2F4777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p>
              </w:tc>
              <w:tc>
                <w:tcPr>
                  <w:tcW w:w="1671" w:type="dxa"/>
                  <w:vMerge w:val="continue"/>
                  <w:vAlign w:val="center"/>
                </w:tcPr>
                <w:p w14:paraId="5315A8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p>
              </w:tc>
              <w:tc>
                <w:tcPr>
                  <w:tcW w:w="1838" w:type="dxa"/>
                  <w:vMerge w:val="continue"/>
                  <w:vAlign w:val="center"/>
                </w:tcPr>
                <w:p w14:paraId="0B85ABD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p>
              </w:tc>
            </w:tr>
            <w:tr w14:paraId="2A562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579" w:type="dxa"/>
                  <w:vMerge w:val="restart"/>
                  <w:vAlign w:val="center"/>
                </w:tcPr>
                <w:p w14:paraId="1A756D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rFonts w:hint="eastAsia"/>
                      <w:sz w:val="21"/>
                      <w:szCs w:val="21"/>
                    </w:rPr>
                    <w:t>大气</w:t>
                  </w:r>
                </w:p>
              </w:tc>
              <w:tc>
                <w:tcPr>
                  <w:tcW w:w="886" w:type="dxa"/>
                  <w:vAlign w:val="center"/>
                </w:tcPr>
                <w:p w14:paraId="5D1615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z w:val="21"/>
                      <w:szCs w:val="21"/>
                      <w:lang w:eastAsia="zh-CN"/>
                    </w:rPr>
                  </w:pPr>
                  <w:r>
                    <w:rPr>
                      <w:rFonts w:hint="eastAsia"/>
                      <w:sz w:val="21"/>
                      <w:szCs w:val="21"/>
                      <w:lang w:eastAsia="zh-CN"/>
                    </w:rPr>
                    <w:t>西朱楼村</w:t>
                  </w:r>
                </w:p>
              </w:tc>
              <w:tc>
                <w:tcPr>
                  <w:tcW w:w="531" w:type="dxa"/>
                  <w:vAlign w:val="center"/>
                </w:tcPr>
                <w:p w14:paraId="30594E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z w:val="21"/>
                      <w:szCs w:val="21"/>
                      <w:lang w:val="en-US" w:eastAsia="zh-CN"/>
                    </w:rPr>
                  </w:pPr>
                  <w:r>
                    <w:rPr>
                      <w:rFonts w:hint="eastAsia"/>
                      <w:sz w:val="21"/>
                      <w:szCs w:val="21"/>
                      <w:lang w:val="en-US" w:eastAsia="zh-CN"/>
                    </w:rPr>
                    <w:t>-455</w:t>
                  </w:r>
                </w:p>
              </w:tc>
              <w:tc>
                <w:tcPr>
                  <w:tcW w:w="601" w:type="dxa"/>
                  <w:vAlign w:val="center"/>
                </w:tcPr>
                <w:p w14:paraId="79276B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z w:val="21"/>
                      <w:szCs w:val="21"/>
                      <w:lang w:val="en-US" w:eastAsia="zh-CN"/>
                    </w:rPr>
                  </w:pPr>
                  <w:r>
                    <w:rPr>
                      <w:rFonts w:hint="eastAsia"/>
                      <w:sz w:val="21"/>
                      <w:szCs w:val="21"/>
                      <w:lang w:val="en-US" w:eastAsia="zh-CN"/>
                    </w:rPr>
                    <w:t>-490</w:t>
                  </w:r>
                </w:p>
              </w:tc>
              <w:tc>
                <w:tcPr>
                  <w:tcW w:w="887" w:type="dxa"/>
                  <w:vAlign w:val="center"/>
                </w:tcPr>
                <w:p w14:paraId="52B2D5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z w:val="21"/>
                      <w:szCs w:val="21"/>
                      <w:lang w:val="en-US" w:eastAsia="zh-CN"/>
                    </w:rPr>
                  </w:pPr>
                  <w:r>
                    <w:rPr>
                      <w:rFonts w:hint="eastAsia"/>
                      <w:sz w:val="21"/>
                      <w:szCs w:val="21"/>
                      <w:lang w:val="en-US" w:eastAsia="zh-CN"/>
                    </w:rPr>
                    <w:t>SW</w:t>
                  </w:r>
                </w:p>
              </w:tc>
              <w:tc>
                <w:tcPr>
                  <w:tcW w:w="960" w:type="dxa"/>
                  <w:vAlign w:val="center"/>
                </w:tcPr>
                <w:p w14:paraId="78571F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rFonts w:hint="eastAsia"/>
                      <w:sz w:val="21"/>
                      <w:szCs w:val="21"/>
                      <w:lang w:val="en-US" w:eastAsia="zh-CN"/>
                    </w:rPr>
                    <w:t>271</w:t>
                  </w:r>
                  <w:r>
                    <w:rPr>
                      <w:sz w:val="21"/>
                      <w:szCs w:val="21"/>
                    </w:rPr>
                    <w:t>m</w:t>
                  </w:r>
                </w:p>
              </w:tc>
              <w:tc>
                <w:tcPr>
                  <w:tcW w:w="1671" w:type="dxa"/>
                  <w:vAlign w:val="center"/>
                </w:tcPr>
                <w:p w14:paraId="0DD53C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rFonts w:hint="eastAsia"/>
                      <w:sz w:val="21"/>
                      <w:szCs w:val="21"/>
                    </w:rPr>
                    <w:t>260</w:t>
                  </w:r>
                  <w:r>
                    <w:rPr>
                      <w:sz w:val="21"/>
                      <w:szCs w:val="21"/>
                    </w:rPr>
                    <w:t>人</w:t>
                  </w:r>
                </w:p>
              </w:tc>
              <w:tc>
                <w:tcPr>
                  <w:tcW w:w="1838" w:type="dxa"/>
                  <w:vMerge w:val="restart"/>
                  <w:vAlign w:val="center"/>
                </w:tcPr>
                <w:p w14:paraId="2804B1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（GB3095-2012）</w:t>
                  </w:r>
                </w:p>
                <w:p w14:paraId="7D03AC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中二级标准</w:t>
                  </w:r>
                </w:p>
              </w:tc>
            </w:tr>
            <w:tr w14:paraId="05373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579" w:type="dxa"/>
                  <w:vMerge w:val="continue"/>
                  <w:vAlign w:val="center"/>
                </w:tcPr>
                <w:p w14:paraId="5A7A46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p>
              </w:tc>
              <w:tc>
                <w:tcPr>
                  <w:tcW w:w="886" w:type="dxa"/>
                  <w:vAlign w:val="center"/>
                </w:tcPr>
                <w:p w14:paraId="1644CD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rFonts w:hint="eastAsia"/>
                      <w:sz w:val="21"/>
                      <w:szCs w:val="21"/>
                    </w:rPr>
                    <w:t>刘楼村</w:t>
                  </w:r>
                </w:p>
              </w:tc>
              <w:tc>
                <w:tcPr>
                  <w:tcW w:w="531" w:type="dxa"/>
                  <w:vAlign w:val="center"/>
                </w:tcPr>
                <w:p w14:paraId="39DECC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z w:val="21"/>
                      <w:szCs w:val="21"/>
                      <w:lang w:val="en-US" w:eastAsia="zh-CN"/>
                    </w:rPr>
                  </w:pPr>
                  <w:r>
                    <w:rPr>
                      <w:rFonts w:hint="eastAsia"/>
                      <w:sz w:val="21"/>
                      <w:szCs w:val="21"/>
                      <w:lang w:val="en-US" w:eastAsia="zh-CN"/>
                    </w:rPr>
                    <w:t>606</w:t>
                  </w:r>
                </w:p>
              </w:tc>
              <w:tc>
                <w:tcPr>
                  <w:tcW w:w="601" w:type="dxa"/>
                  <w:vAlign w:val="center"/>
                </w:tcPr>
                <w:p w14:paraId="27B5B0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z w:val="21"/>
                      <w:szCs w:val="21"/>
                      <w:lang w:val="en-US" w:eastAsia="zh-CN"/>
                    </w:rPr>
                  </w:pPr>
                  <w:r>
                    <w:rPr>
                      <w:rFonts w:hint="eastAsia"/>
                      <w:sz w:val="21"/>
                      <w:szCs w:val="21"/>
                      <w:lang w:val="en-US" w:eastAsia="zh-CN"/>
                    </w:rPr>
                    <w:t>10</w:t>
                  </w:r>
                </w:p>
              </w:tc>
              <w:tc>
                <w:tcPr>
                  <w:tcW w:w="887" w:type="dxa"/>
                  <w:vAlign w:val="center"/>
                </w:tcPr>
                <w:p w14:paraId="3AB1588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E</w:t>
                  </w:r>
                </w:p>
              </w:tc>
              <w:tc>
                <w:tcPr>
                  <w:tcW w:w="960" w:type="dxa"/>
                  <w:vAlign w:val="center"/>
                </w:tcPr>
                <w:p w14:paraId="015F93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rFonts w:hint="eastAsia"/>
                      <w:sz w:val="21"/>
                      <w:szCs w:val="21"/>
                      <w:lang w:val="en-US" w:eastAsia="zh-CN"/>
                    </w:rPr>
                    <w:t>113</w:t>
                  </w:r>
                  <w:r>
                    <w:rPr>
                      <w:sz w:val="21"/>
                      <w:szCs w:val="21"/>
                    </w:rPr>
                    <w:t>m</w:t>
                  </w:r>
                </w:p>
              </w:tc>
              <w:tc>
                <w:tcPr>
                  <w:tcW w:w="1671" w:type="dxa"/>
                  <w:vAlign w:val="center"/>
                </w:tcPr>
                <w:p w14:paraId="4CE433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rFonts w:hint="eastAsia"/>
                      <w:sz w:val="21"/>
                      <w:szCs w:val="21"/>
                    </w:rPr>
                    <w:t>130</w:t>
                  </w:r>
                  <w:r>
                    <w:rPr>
                      <w:sz w:val="21"/>
                      <w:szCs w:val="21"/>
                    </w:rPr>
                    <w:t>人</w:t>
                  </w:r>
                </w:p>
              </w:tc>
              <w:tc>
                <w:tcPr>
                  <w:tcW w:w="1838" w:type="dxa"/>
                  <w:vMerge w:val="continue"/>
                  <w:vAlign w:val="center"/>
                </w:tcPr>
                <w:p w14:paraId="1AB623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p>
              </w:tc>
            </w:tr>
            <w:tr w14:paraId="03084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579" w:type="dxa"/>
                  <w:vMerge w:val="continue"/>
                  <w:vAlign w:val="center"/>
                </w:tcPr>
                <w:p w14:paraId="143650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p>
              </w:tc>
              <w:tc>
                <w:tcPr>
                  <w:tcW w:w="886" w:type="dxa"/>
                  <w:vAlign w:val="center"/>
                </w:tcPr>
                <w:p w14:paraId="4B55BF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z w:val="21"/>
                      <w:szCs w:val="21"/>
                      <w:lang w:eastAsia="zh-CN"/>
                    </w:rPr>
                  </w:pPr>
                  <w:r>
                    <w:rPr>
                      <w:rFonts w:hint="eastAsia"/>
                      <w:sz w:val="21"/>
                      <w:szCs w:val="21"/>
                      <w:lang w:eastAsia="zh-CN"/>
                    </w:rPr>
                    <w:t>荆柳园</w:t>
                  </w:r>
                </w:p>
              </w:tc>
              <w:tc>
                <w:tcPr>
                  <w:tcW w:w="531" w:type="dxa"/>
                  <w:vAlign w:val="center"/>
                </w:tcPr>
                <w:p w14:paraId="28A43B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z w:val="21"/>
                      <w:szCs w:val="21"/>
                      <w:lang w:val="en-US" w:eastAsia="zh-CN"/>
                    </w:rPr>
                  </w:pPr>
                  <w:r>
                    <w:rPr>
                      <w:rFonts w:hint="eastAsia"/>
                      <w:sz w:val="21"/>
                      <w:szCs w:val="21"/>
                      <w:lang w:val="en-US" w:eastAsia="zh-CN"/>
                    </w:rPr>
                    <w:t>473</w:t>
                  </w:r>
                </w:p>
              </w:tc>
              <w:tc>
                <w:tcPr>
                  <w:tcW w:w="601" w:type="dxa"/>
                  <w:vAlign w:val="center"/>
                </w:tcPr>
                <w:p w14:paraId="39C590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z w:val="21"/>
                      <w:szCs w:val="21"/>
                      <w:lang w:val="en-US" w:eastAsia="zh-CN"/>
                    </w:rPr>
                  </w:pPr>
                  <w:r>
                    <w:rPr>
                      <w:rFonts w:hint="eastAsia"/>
                      <w:sz w:val="21"/>
                      <w:szCs w:val="21"/>
                      <w:lang w:val="en-US" w:eastAsia="zh-CN"/>
                    </w:rPr>
                    <w:t>-532</w:t>
                  </w:r>
                </w:p>
              </w:tc>
              <w:tc>
                <w:tcPr>
                  <w:tcW w:w="887" w:type="dxa"/>
                  <w:vAlign w:val="center"/>
                </w:tcPr>
                <w:p w14:paraId="00FA77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z w:val="21"/>
                      <w:szCs w:val="21"/>
                      <w:lang w:val="en-US" w:eastAsia="zh-CN"/>
                    </w:rPr>
                  </w:pPr>
                  <w:r>
                    <w:rPr>
                      <w:rFonts w:hint="eastAsia"/>
                      <w:sz w:val="21"/>
                      <w:szCs w:val="21"/>
                      <w:lang w:val="en-US" w:eastAsia="zh-CN"/>
                    </w:rPr>
                    <w:t>SE</w:t>
                  </w:r>
                </w:p>
              </w:tc>
              <w:tc>
                <w:tcPr>
                  <w:tcW w:w="960" w:type="dxa"/>
                  <w:vAlign w:val="center"/>
                </w:tcPr>
                <w:p w14:paraId="412BDDF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z w:val="21"/>
                      <w:szCs w:val="21"/>
                      <w:lang w:val="en-US" w:eastAsia="zh-CN"/>
                    </w:rPr>
                  </w:pPr>
                  <w:r>
                    <w:rPr>
                      <w:rFonts w:hint="eastAsia"/>
                      <w:sz w:val="21"/>
                      <w:szCs w:val="21"/>
                      <w:lang w:val="en-US" w:eastAsia="zh-CN"/>
                    </w:rPr>
                    <w:t>546m</w:t>
                  </w:r>
                </w:p>
              </w:tc>
              <w:tc>
                <w:tcPr>
                  <w:tcW w:w="1671" w:type="dxa"/>
                  <w:vAlign w:val="center"/>
                </w:tcPr>
                <w:p w14:paraId="52AFAB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z w:val="21"/>
                      <w:szCs w:val="21"/>
                      <w:lang w:val="en-US" w:eastAsia="zh-CN"/>
                    </w:rPr>
                  </w:pPr>
                  <w:r>
                    <w:rPr>
                      <w:rFonts w:hint="eastAsia"/>
                      <w:sz w:val="21"/>
                      <w:szCs w:val="21"/>
                      <w:lang w:val="en-US" w:eastAsia="zh-CN"/>
                    </w:rPr>
                    <w:t>70人</w:t>
                  </w:r>
                </w:p>
              </w:tc>
              <w:tc>
                <w:tcPr>
                  <w:tcW w:w="1838" w:type="dxa"/>
                  <w:vMerge w:val="continue"/>
                  <w:vAlign w:val="center"/>
                </w:tcPr>
                <w:p w14:paraId="56D76E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p>
              </w:tc>
            </w:tr>
          </w:tbl>
          <w:p w14:paraId="476EACC0">
            <w:pPr>
              <w:pStyle w:val="3"/>
            </w:pPr>
            <w:r>
              <w:t>注：1.坐标原点（0，0）为</w:t>
            </w:r>
            <w:r>
              <w:rPr>
                <w:rFonts w:hint="eastAsia"/>
                <w:lang w:eastAsia="zh-CN"/>
              </w:rPr>
              <w:t>安徽燃迅电力科技有限公司</w:t>
            </w:r>
            <w:r>
              <w:t>厂区</w:t>
            </w:r>
            <w:r>
              <w:rPr>
                <w:rFonts w:hint="eastAsia"/>
                <w:lang w:eastAsia="zh-CN"/>
              </w:rPr>
              <w:t>中心点</w:t>
            </w:r>
            <w:r>
              <w:t>；2.大气环境保护目标为项目区外500m范围内的敏感点。</w:t>
            </w:r>
          </w:p>
          <w:p w14:paraId="2F41BF9A">
            <w:pPr>
              <w:adjustRightInd w:val="0"/>
              <w:snapToGrid w:val="0"/>
              <w:spacing w:line="360" w:lineRule="auto"/>
              <w:ind w:firstLine="480" w:firstLineChars="200"/>
              <w:rPr>
                <w:sz w:val="24"/>
              </w:rPr>
            </w:pPr>
            <w:r>
              <w:rPr>
                <w:rFonts w:hint="eastAsia"/>
                <w:sz w:val="24"/>
              </w:rPr>
              <w:t>2、声环境：本项目厂界外50m声无环境保护目标；</w:t>
            </w:r>
          </w:p>
          <w:p w14:paraId="521CC55D">
            <w:pPr>
              <w:adjustRightInd w:val="0"/>
              <w:snapToGrid w:val="0"/>
              <w:spacing w:line="360" w:lineRule="auto"/>
              <w:ind w:firstLine="480" w:firstLineChars="200"/>
              <w:rPr>
                <w:sz w:val="24"/>
              </w:rPr>
            </w:pPr>
            <w:r>
              <w:rPr>
                <w:rFonts w:hint="eastAsia"/>
                <w:sz w:val="24"/>
              </w:rPr>
              <w:t>3、地下水环境：本项目厂界外500m范围内无特殊地下水资源；</w:t>
            </w:r>
          </w:p>
          <w:p w14:paraId="5844FDE9">
            <w:pPr>
              <w:adjustRightInd w:val="0"/>
              <w:snapToGrid w:val="0"/>
              <w:spacing w:line="360" w:lineRule="auto"/>
              <w:ind w:firstLine="480" w:firstLineChars="200"/>
            </w:pPr>
            <w:r>
              <w:rPr>
                <w:rFonts w:hint="eastAsia"/>
                <w:sz w:val="24"/>
              </w:rPr>
              <w:t>4、生态环境：本项目不涉及生态环境保护目标。</w:t>
            </w:r>
          </w:p>
        </w:tc>
      </w:tr>
      <w:tr w14:paraId="66FE3D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800" w:type="dxa"/>
            <w:tcMar>
              <w:left w:w="28" w:type="dxa"/>
              <w:right w:w="28" w:type="dxa"/>
            </w:tcMar>
            <w:vAlign w:val="center"/>
          </w:tcPr>
          <w:p w14:paraId="606027E8">
            <w:pPr>
              <w:adjustRightInd w:val="0"/>
              <w:snapToGrid w:val="0"/>
              <w:jc w:val="center"/>
              <w:rPr>
                <w:rFonts w:ascii="宋体" w:hAnsi="宋体" w:cs="宋体"/>
                <w:b/>
                <w:kern w:val="0"/>
                <w:szCs w:val="21"/>
              </w:rPr>
            </w:pPr>
            <w:r>
              <w:rPr>
                <w:rFonts w:hint="eastAsia" w:ascii="宋体" w:hAnsi="宋体" w:cs="宋体"/>
                <w:b/>
                <w:kern w:val="0"/>
                <w:szCs w:val="21"/>
              </w:rPr>
              <w:t>污染</w:t>
            </w:r>
          </w:p>
          <w:p w14:paraId="2A6FC941">
            <w:pPr>
              <w:adjustRightInd w:val="0"/>
              <w:snapToGrid w:val="0"/>
              <w:jc w:val="center"/>
              <w:rPr>
                <w:rFonts w:ascii="宋体" w:hAnsi="宋体" w:cs="宋体"/>
                <w:b/>
                <w:kern w:val="0"/>
                <w:szCs w:val="21"/>
              </w:rPr>
            </w:pPr>
            <w:r>
              <w:rPr>
                <w:rFonts w:hint="eastAsia" w:ascii="宋体" w:hAnsi="宋体" w:cs="宋体"/>
                <w:b/>
                <w:kern w:val="0"/>
                <w:szCs w:val="21"/>
              </w:rPr>
              <w:t>物排</w:t>
            </w:r>
          </w:p>
          <w:p w14:paraId="0416B2FA">
            <w:pPr>
              <w:adjustRightInd w:val="0"/>
              <w:snapToGrid w:val="0"/>
              <w:jc w:val="center"/>
              <w:rPr>
                <w:rFonts w:ascii="宋体" w:hAnsi="宋体" w:cs="宋体"/>
                <w:b/>
                <w:kern w:val="0"/>
                <w:szCs w:val="21"/>
              </w:rPr>
            </w:pPr>
            <w:r>
              <w:rPr>
                <w:rFonts w:hint="eastAsia" w:ascii="宋体" w:hAnsi="宋体" w:cs="宋体"/>
                <w:b/>
                <w:kern w:val="0"/>
                <w:szCs w:val="21"/>
              </w:rPr>
              <w:t>放控</w:t>
            </w:r>
          </w:p>
          <w:p w14:paraId="46A9313E">
            <w:pPr>
              <w:adjustRightInd w:val="0"/>
              <w:snapToGrid w:val="0"/>
              <w:jc w:val="center"/>
              <w:rPr>
                <w:rFonts w:ascii="宋体" w:hAnsi="宋体" w:cs="宋体"/>
                <w:b/>
                <w:kern w:val="0"/>
                <w:szCs w:val="21"/>
              </w:rPr>
            </w:pPr>
            <w:r>
              <w:rPr>
                <w:rFonts w:hint="eastAsia" w:ascii="宋体" w:hAnsi="宋体" w:cs="宋体"/>
                <w:b/>
                <w:kern w:val="0"/>
                <w:szCs w:val="21"/>
              </w:rPr>
              <w:t>制标</w:t>
            </w:r>
          </w:p>
          <w:p w14:paraId="68B0EEAF">
            <w:pPr>
              <w:adjustRightInd w:val="0"/>
              <w:snapToGrid w:val="0"/>
              <w:jc w:val="center"/>
              <w:rPr>
                <w:rFonts w:ascii="宋体" w:hAnsi="宋体" w:cs="宋体"/>
                <w:kern w:val="0"/>
                <w:szCs w:val="21"/>
              </w:rPr>
            </w:pPr>
            <w:r>
              <w:rPr>
                <w:rFonts w:hint="eastAsia" w:ascii="宋体" w:hAnsi="宋体" w:cs="宋体"/>
                <w:b/>
                <w:kern w:val="0"/>
                <w:szCs w:val="21"/>
              </w:rPr>
              <w:t>准</w:t>
            </w:r>
          </w:p>
        </w:tc>
        <w:tc>
          <w:tcPr>
            <w:tcW w:w="8245" w:type="dxa"/>
            <w:vAlign w:val="center"/>
          </w:tcPr>
          <w:p w14:paraId="5D512344">
            <w:pPr>
              <w:spacing w:line="360" w:lineRule="auto"/>
              <w:ind w:firstLine="482" w:firstLineChars="200"/>
              <w:rPr>
                <w:b/>
                <w:bCs/>
                <w:sz w:val="24"/>
              </w:rPr>
            </w:pPr>
            <w:r>
              <w:rPr>
                <w:rFonts w:hint="eastAsia"/>
                <w:b/>
                <w:bCs/>
                <w:sz w:val="24"/>
              </w:rPr>
              <w:t>（一）</w:t>
            </w:r>
            <w:r>
              <w:rPr>
                <w:b/>
                <w:bCs/>
                <w:sz w:val="24"/>
              </w:rPr>
              <w:t>废水</w:t>
            </w:r>
          </w:p>
          <w:p w14:paraId="07A1CD1D">
            <w:pPr>
              <w:spacing w:line="360" w:lineRule="auto"/>
              <w:ind w:firstLine="480" w:firstLineChars="200"/>
              <w:rPr>
                <w:sz w:val="24"/>
              </w:rPr>
            </w:pPr>
            <w:r>
              <w:rPr>
                <w:sz w:val="24"/>
              </w:rPr>
              <w:t>本项目废水总排放口污染物排放执行</w:t>
            </w:r>
            <w:r>
              <w:rPr>
                <w:rFonts w:hint="eastAsia"/>
                <w:sz w:val="24"/>
              </w:rPr>
              <w:t>淮北市龙湖工业园污水处理厂接管限值及</w:t>
            </w:r>
            <w:r>
              <w:rPr>
                <w:sz w:val="24"/>
              </w:rPr>
              <w:t>《污水综合排放标准》（GB8978-1996）表4中三级标准</w:t>
            </w:r>
            <w:r>
              <w:rPr>
                <w:rFonts w:hint="eastAsia"/>
                <w:sz w:val="24"/>
              </w:rPr>
              <w:t>要求，</w:t>
            </w:r>
            <w:r>
              <w:rPr>
                <w:sz w:val="24"/>
              </w:rPr>
              <w:t>具体标准值见下表</w:t>
            </w:r>
            <w:r>
              <w:rPr>
                <w:rFonts w:hint="eastAsia"/>
                <w:sz w:val="24"/>
              </w:rPr>
              <w:t>。</w:t>
            </w:r>
          </w:p>
          <w:p w14:paraId="4AF7C48E">
            <w:pPr>
              <w:widowControl/>
              <w:numPr>
                <w:ilvl w:val="0"/>
                <w:numId w:val="2"/>
              </w:numPr>
              <w:jc w:val="center"/>
              <w:rPr>
                <w:b/>
                <w:bCs/>
                <w:kern w:val="0"/>
                <w:szCs w:val="21"/>
              </w:rPr>
            </w:pPr>
            <w:r>
              <w:rPr>
                <w:rFonts w:hint="eastAsia"/>
                <w:b/>
                <w:kern w:val="0"/>
                <w:szCs w:val="21"/>
              </w:rPr>
              <w:t xml:space="preserve">  </w:t>
            </w:r>
            <w:r>
              <w:rPr>
                <w:b/>
                <w:kern w:val="0"/>
                <w:szCs w:val="21"/>
              </w:rPr>
              <w:t>废</w:t>
            </w:r>
            <w:r>
              <w:rPr>
                <w:rFonts w:hint="eastAsia"/>
                <w:b/>
                <w:kern w:val="0"/>
                <w:szCs w:val="21"/>
              </w:rPr>
              <w:t>水</w:t>
            </w:r>
            <w:r>
              <w:rPr>
                <w:b/>
                <w:kern w:val="0"/>
                <w:szCs w:val="21"/>
              </w:rPr>
              <w:t>排放标准一览表</w:t>
            </w:r>
            <w:r>
              <w:rPr>
                <w:rFonts w:hint="eastAsia"/>
                <w:lang w:val="en-US" w:eastAsia="zh-CN"/>
              </w:rPr>
              <w:t xml:space="preserve">   </w:t>
            </w:r>
            <w:r>
              <w:rPr>
                <w:rFonts w:hint="eastAsia"/>
                <w:b/>
                <w:bCs/>
                <w:lang w:val="en-US" w:eastAsia="zh-CN"/>
              </w:rPr>
              <w:t>单位：mg/L(除pH外)</w:t>
            </w:r>
          </w:p>
          <w:tbl>
            <w:tblPr>
              <w:tblStyle w:val="2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4"/>
              <w:gridCol w:w="614"/>
              <w:gridCol w:w="775"/>
              <w:gridCol w:w="840"/>
              <w:gridCol w:w="736"/>
              <w:gridCol w:w="932"/>
              <w:gridCol w:w="552"/>
              <w:gridCol w:w="614"/>
              <w:gridCol w:w="737"/>
            </w:tblGrid>
            <w:tr w14:paraId="328B0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0" w:type="pct"/>
                  <w:vAlign w:val="center"/>
                </w:tcPr>
                <w:p w14:paraId="083DC71E">
                  <w:pPr>
                    <w:jc w:val="center"/>
                    <w:rPr>
                      <w:b/>
                      <w:sz w:val="21"/>
                      <w:szCs w:val="21"/>
                    </w:rPr>
                  </w:pPr>
                  <w:r>
                    <w:rPr>
                      <w:b/>
                      <w:sz w:val="21"/>
                      <w:szCs w:val="21"/>
                    </w:rPr>
                    <w:t>污染物</w:t>
                  </w:r>
                </w:p>
              </w:tc>
              <w:tc>
                <w:tcPr>
                  <w:tcW w:w="383" w:type="pct"/>
                  <w:vAlign w:val="center"/>
                </w:tcPr>
                <w:p w14:paraId="662A4A01">
                  <w:pPr>
                    <w:tabs>
                      <w:tab w:val="right" w:leader="middleDot" w:pos="8505"/>
                    </w:tabs>
                    <w:jc w:val="center"/>
                    <w:rPr>
                      <w:b/>
                      <w:sz w:val="21"/>
                      <w:szCs w:val="21"/>
                    </w:rPr>
                  </w:pPr>
                  <w:r>
                    <w:rPr>
                      <w:b/>
                      <w:sz w:val="21"/>
                      <w:szCs w:val="21"/>
                    </w:rPr>
                    <w:t>pH</w:t>
                  </w:r>
                </w:p>
              </w:tc>
              <w:tc>
                <w:tcPr>
                  <w:tcW w:w="483" w:type="pct"/>
                  <w:vAlign w:val="center"/>
                </w:tcPr>
                <w:p w14:paraId="04CCE072">
                  <w:pPr>
                    <w:tabs>
                      <w:tab w:val="right" w:leader="middleDot" w:pos="8505"/>
                    </w:tabs>
                    <w:jc w:val="center"/>
                    <w:rPr>
                      <w:b/>
                      <w:sz w:val="21"/>
                      <w:szCs w:val="21"/>
                    </w:rPr>
                  </w:pPr>
                  <w:r>
                    <w:rPr>
                      <w:b/>
                      <w:sz w:val="21"/>
                      <w:szCs w:val="21"/>
                    </w:rPr>
                    <w:t>COD</w:t>
                  </w:r>
                </w:p>
              </w:tc>
              <w:tc>
                <w:tcPr>
                  <w:tcW w:w="524" w:type="pct"/>
                  <w:vAlign w:val="center"/>
                </w:tcPr>
                <w:p w14:paraId="3AA7F541">
                  <w:pPr>
                    <w:jc w:val="center"/>
                    <w:rPr>
                      <w:b/>
                      <w:sz w:val="21"/>
                      <w:szCs w:val="21"/>
                    </w:rPr>
                  </w:pPr>
                  <w:r>
                    <w:rPr>
                      <w:b/>
                      <w:sz w:val="21"/>
                      <w:szCs w:val="21"/>
                    </w:rPr>
                    <w:t>BOD</w:t>
                  </w:r>
                  <w:r>
                    <w:rPr>
                      <w:b/>
                      <w:sz w:val="21"/>
                      <w:szCs w:val="21"/>
                      <w:vertAlign w:val="subscript"/>
                    </w:rPr>
                    <w:t>5</w:t>
                  </w:r>
                </w:p>
              </w:tc>
              <w:tc>
                <w:tcPr>
                  <w:tcW w:w="459" w:type="pct"/>
                  <w:vAlign w:val="center"/>
                </w:tcPr>
                <w:p w14:paraId="6167227F">
                  <w:pPr>
                    <w:jc w:val="center"/>
                    <w:rPr>
                      <w:b/>
                      <w:sz w:val="21"/>
                      <w:szCs w:val="21"/>
                    </w:rPr>
                  </w:pPr>
                  <w:r>
                    <w:rPr>
                      <w:b/>
                      <w:sz w:val="21"/>
                      <w:szCs w:val="21"/>
                    </w:rPr>
                    <w:t>SS</w:t>
                  </w:r>
                </w:p>
              </w:tc>
              <w:tc>
                <w:tcPr>
                  <w:tcW w:w="581" w:type="pct"/>
                  <w:vAlign w:val="center"/>
                </w:tcPr>
                <w:p w14:paraId="39104452">
                  <w:pPr>
                    <w:jc w:val="center"/>
                    <w:rPr>
                      <w:b/>
                      <w:sz w:val="21"/>
                      <w:szCs w:val="21"/>
                    </w:rPr>
                  </w:pPr>
                  <w:r>
                    <w:rPr>
                      <w:b/>
                      <w:sz w:val="21"/>
                      <w:szCs w:val="21"/>
                    </w:rPr>
                    <w:t>NH</w:t>
                  </w:r>
                  <w:r>
                    <w:rPr>
                      <w:b/>
                      <w:sz w:val="21"/>
                      <w:szCs w:val="21"/>
                      <w:vertAlign w:val="subscript"/>
                    </w:rPr>
                    <w:t>3</w:t>
                  </w:r>
                  <w:r>
                    <w:rPr>
                      <w:b/>
                      <w:sz w:val="21"/>
                      <w:szCs w:val="21"/>
                    </w:rPr>
                    <w:t>-N</w:t>
                  </w:r>
                </w:p>
              </w:tc>
              <w:tc>
                <w:tcPr>
                  <w:tcW w:w="344" w:type="pct"/>
                  <w:vAlign w:val="center"/>
                </w:tcPr>
                <w:p w14:paraId="029CD6F9">
                  <w:pPr>
                    <w:jc w:val="center"/>
                    <w:rPr>
                      <w:b/>
                      <w:sz w:val="21"/>
                      <w:szCs w:val="21"/>
                    </w:rPr>
                  </w:pPr>
                  <w:r>
                    <w:rPr>
                      <w:b/>
                      <w:sz w:val="21"/>
                      <w:szCs w:val="21"/>
                    </w:rPr>
                    <w:t>TP</w:t>
                  </w:r>
                </w:p>
              </w:tc>
              <w:tc>
                <w:tcPr>
                  <w:tcW w:w="383" w:type="pct"/>
                  <w:vAlign w:val="center"/>
                </w:tcPr>
                <w:p w14:paraId="2A0E18EB">
                  <w:pPr>
                    <w:jc w:val="center"/>
                    <w:rPr>
                      <w:b/>
                      <w:sz w:val="21"/>
                      <w:szCs w:val="21"/>
                    </w:rPr>
                  </w:pPr>
                  <w:r>
                    <w:rPr>
                      <w:b/>
                      <w:sz w:val="21"/>
                      <w:szCs w:val="21"/>
                    </w:rPr>
                    <w:t>TN</w:t>
                  </w:r>
                </w:p>
              </w:tc>
              <w:tc>
                <w:tcPr>
                  <w:tcW w:w="459" w:type="pct"/>
                  <w:vAlign w:val="center"/>
                </w:tcPr>
                <w:p w14:paraId="4F490898">
                  <w:pPr>
                    <w:jc w:val="center"/>
                    <w:rPr>
                      <w:b/>
                      <w:sz w:val="21"/>
                      <w:szCs w:val="21"/>
                    </w:rPr>
                  </w:pPr>
                  <w:r>
                    <w:rPr>
                      <w:b/>
                      <w:sz w:val="21"/>
                      <w:szCs w:val="21"/>
                    </w:rPr>
                    <w:t>动植物油</w:t>
                  </w:r>
                </w:p>
              </w:tc>
            </w:tr>
            <w:tr w14:paraId="46B25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0" w:type="pct"/>
                  <w:vAlign w:val="center"/>
                </w:tcPr>
                <w:p w14:paraId="331A15C7">
                  <w:pPr>
                    <w:jc w:val="center"/>
                    <w:rPr>
                      <w:sz w:val="21"/>
                      <w:szCs w:val="21"/>
                    </w:rPr>
                  </w:pPr>
                  <w:r>
                    <w:rPr>
                      <w:bCs/>
                      <w:sz w:val="21"/>
                      <w:szCs w:val="21"/>
                    </w:rPr>
                    <w:t>淮北市龙湖工业园污水处理厂接管限值</w:t>
                  </w:r>
                </w:p>
              </w:tc>
              <w:tc>
                <w:tcPr>
                  <w:tcW w:w="383" w:type="pct"/>
                  <w:vAlign w:val="center"/>
                </w:tcPr>
                <w:p w14:paraId="6554646E">
                  <w:pPr>
                    <w:pStyle w:val="19"/>
                    <w:jc w:val="center"/>
                    <w:rPr>
                      <w:kern w:val="2"/>
                      <w:sz w:val="21"/>
                      <w:szCs w:val="21"/>
                    </w:rPr>
                  </w:pPr>
                  <w:r>
                    <w:rPr>
                      <w:kern w:val="2"/>
                      <w:sz w:val="21"/>
                      <w:szCs w:val="21"/>
                    </w:rPr>
                    <w:t>6~9</w:t>
                  </w:r>
                </w:p>
              </w:tc>
              <w:tc>
                <w:tcPr>
                  <w:tcW w:w="483" w:type="pct"/>
                  <w:vAlign w:val="center"/>
                </w:tcPr>
                <w:p w14:paraId="3E5F4CB4">
                  <w:pPr>
                    <w:pStyle w:val="19"/>
                    <w:jc w:val="center"/>
                    <w:rPr>
                      <w:kern w:val="2"/>
                      <w:sz w:val="21"/>
                      <w:szCs w:val="21"/>
                    </w:rPr>
                  </w:pPr>
                  <w:r>
                    <w:rPr>
                      <w:kern w:val="2"/>
                      <w:sz w:val="21"/>
                      <w:szCs w:val="21"/>
                    </w:rPr>
                    <w:t>≤500</w:t>
                  </w:r>
                </w:p>
              </w:tc>
              <w:tc>
                <w:tcPr>
                  <w:tcW w:w="524" w:type="pct"/>
                  <w:vAlign w:val="center"/>
                </w:tcPr>
                <w:p w14:paraId="7F918B23">
                  <w:pPr>
                    <w:pStyle w:val="19"/>
                    <w:jc w:val="center"/>
                    <w:rPr>
                      <w:kern w:val="2"/>
                      <w:sz w:val="21"/>
                      <w:szCs w:val="21"/>
                    </w:rPr>
                  </w:pPr>
                  <w:r>
                    <w:rPr>
                      <w:kern w:val="2"/>
                      <w:sz w:val="21"/>
                      <w:szCs w:val="21"/>
                    </w:rPr>
                    <w:t>≤300</w:t>
                  </w:r>
                </w:p>
              </w:tc>
              <w:tc>
                <w:tcPr>
                  <w:tcW w:w="459" w:type="pct"/>
                  <w:vAlign w:val="center"/>
                </w:tcPr>
                <w:p w14:paraId="7A74F163">
                  <w:pPr>
                    <w:pStyle w:val="19"/>
                    <w:jc w:val="center"/>
                    <w:rPr>
                      <w:kern w:val="2"/>
                      <w:sz w:val="21"/>
                      <w:szCs w:val="21"/>
                    </w:rPr>
                  </w:pPr>
                  <w:r>
                    <w:rPr>
                      <w:kern w:val="2"/>
                      <w:sz w:val="21"/>
                      <w:szCs w:val="21"/>
                    </w:rPr>
                    <w:t>≤</w:t>
                  </w:r>
                  <w:r>
                    <w:rPr>
                      <w:rFonts w:hint="eastAsia"/>
                      <w:kern w:val="2"/>
                      <w:sz w:val="21"/>
                      <w:szCs w:val="21"/>
                    </w:rPr>
                    <w:t>250</w:t>
                  </w:r>
                </w:p>
              </w:tc>
              <w:tc>
                <w:tcPr>
                  <w:tcW w:w="581" w:type="pct"/>
                  <w:vAlign w:val="center"/>
                </w:tcPr>
                <w:p w14:paraId="206BE7A8">
                  <w:pPr>
                    <w:pStyle w:val="19"/>
                    <w:jc w:val="center"/>
                    <w:rPr>
                      <w:kern w:val="2"/>
                      <w:sz w:val="21"/>
                      <w:szCs w:val="21"/>
                    </w:rPr>
                  </w:pPr>
                  <w:r>
                    <w:rPr>
                      <w:kern w:val="2"/>
                      <w:sz w:val="21"/>
                      <w:szCs w:val="21"/>
                    </w:rPr>
                    <w:t>≤3</w:t>
                  </w:r>
                  <w:r>
                    <w:rPr>
                      <w:rFonts w:hint="eastAsia"/>
                      <w:kern w:val="2"/>
                      <w:sz w:val="21"/>
                      <w:szCs w:val="21"/>
                    </w:rPr>
                    <w:t>0</w:t>
                  </w:r>
                </w:p>
              </w:tc>
              <w:tc>
                <w:tcPr>
                  <w:tcW w:w="344" w:type="pct"/>
                  <w:vAlign w:val="center"/>
                </w:tcPr>
                <w:p w14:paraId="5CC69181">
                  <w:pPr>
                    <w:pStyle w:val="19"/>
                    <w:jc w:val="center"/>
                    <w:rPr>
                      <w:kern w:val="2"/>
                      <w:sz w:val="21"/>
                      <w:szCs w:val="21"/>
                    </w:rPr>
                  </w:pPr>
                  <w:r>
                    <w:rPr>
                      <w:kern w:val="2"/>
                      <w:sz w:val="21"/>
                      <w:szCs w:val="21"/>
                    </w:rPr>
                    <w:t>≤</w:t>
                  </w:r>
                  <w:r>
                    <w:rPr>
                      <w:rFonts w:hint="eastAsia"/>
                      <w:kern w:val="2"/>
                      <w:sz w:val="21"/>
                      <w:szCs w:val="21"/>
                    </w:rPr>
                    <w:t>6</w:t>
                  </w:r>
                </w:p>
              </w:tc>
              <w:tc>
                <w:tcPr>
                  <w:tcW w:w="383" w:type="pct"/>
                  <w:vAlign w:val="center"/>
                </w:tcPr>
                <w:p w14:paraId="42CCC159">
                  <w:pPr>
                    <w:pStyle w:val="19"/>
                    <w:jc w:val="center"/>
                    <w:rPr>
                      <w:kern w:val="2"/>
                      <w:sz w:val="21"/>
                      <w:szCs w:val="21"/>
                    </w:rPr>
                  </w:pPr>
                  <w:r>
                    <w:rPr>
                      <w:kern w:val="2"/>
                      <w:sz w:val="21"/>
                      <w:szCs w:val="21"/>
                    </w:rPr>
                    <w:t>≤</w:t>
                  </w:r>
                  <w:r>
                    <w:rPr>
                      <w:rFonts w:hint="eastAsia"/>
                      <w:kern w:val="2"/>
                      <w:sz w:val="21"/>
                      <w:szCs w:val="21"/>
                    </w:rPr>
                    <w:t>50</w:t>
                  </w:r>
                </w:p>
              </w:tc>
              <w:tc>
                <w:tcPr>
                  <w:tcW w:w="459" w:type="pct"/>
                  <w:vAlign w:val="center"/>
                </w:tcPr>
                <w:p w14:paraId="3C7D0D67">
                  <w:pPr>
                    <w:pStyle w:val="19"/>
                    <w:jc w:val="center"/>
                    <w:rPr>
                      <w:kern w:val="2"/>
                      <w:sz w:val="21"/>
                      <w:szCs w:val="21"/>
                    </w:rPr>
                  </w:pPr>
                  <w:r>
                    <w:rPr>
                      <w:kern w:val="2"/>
                      <w:sz w:val="21"/>
                      <w:szCs w:val="21"/>
                    </w:rPr>
                    <w:t>/</w:t>
                  </w:r>
                </w:p>
              </w:tc>
            </w:tr>
            <w:tr w14:paraId="050BB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0" w:type="pct"/>
                  <w:vAlign w:val="center"/>
                </w:tcPr>
                <w:p w14:paraId="737D5D02">
                  <w:pPr>
                    <w:jc w:val="center"/>
                    <w:rPr>
                      <w:sz w:val="21"/>
                      <w:szCs w:val="21"/>
                      <w:lang w:bidi="ar"/>
                    </w:rPr>
                  </w:pPr>
                  <w:r>
                    <w:rPr>
                      <w:sz w:val="21"/>
                      <w:szCs w:val="21"/>
                      <w:lang w:bidi="ar"/>
                    </w:rPr>
                    <w:t>（GB8978-1996）表4中三级标准</w:t>
                  </w:r>
                </w:p>
              </w:tc>
              <w:tc>
                <w:tcPr>
                  <w:tcW w:w="383" w:type="pct"/>
                  <w:vAlign w:val="center"/>
                </w:tcPr>
                <w:p w14:paraId="3EAB3CAC">
                  <w:pPr>
                    <w:pStyle w:val="19"/>
                    <w:jc w:val="center"/>
                    <w:rPr>
                      <w:kern w:val="2"/>
                      <w:sz w:val="21"/>
                      <w:szCs w:val="21"/>
                    </w:rPr>
                  </w:pPr>
                  <w:r>
                    <w:rPr>
                      <w:kern w:val="2"/>
                      <w:sz w:val="21"/>
                      <w:szCs w:val="21"/>
                    </w:rPr>
                    <w:t>6~9</w:t>
                  </w:r>
                </w:p>
              </w:tc>
              <w:tc>
                <w:tcPr>
                  <w:tcW w:w="483" w:type="pct"/>
                  <w:vAlign w:val="center"/>
                </w:tcPr>
                <w:p w14:paraId="69BE346F">
                  <w:pPr>
                    <w:pStyle w:val="19"/>
                    <w:jc w:val="center"/>
                    <w:rPr>
                      <w:kern w:val="2"/>
                      <w:sz w:val="21"/>
                      <w:szCs w:val="21"/>
                    </w:rPr>
                  </w:pPr>
                  <w:r>
                    <w:rPr>
                      <w:kern w:val="2"/>
                      <w:sz w:val="21"/>
                      <w:szCs w:val="21"/>
                    </w:rPr>
                    <w:t>≤500</w:t>
                  </w:r>
                </w:p>
              </w:tc>
              <w:tc>
                <w:tcPr>
                  <w:tcW w:w="524" w:type="pct"/>
                  <w:vAlign w:val="center"/>
                </w:tcPr>
                <w:p w14:paraId="193C603B">
                  <w:pPr>
                    <w:pStyle w:val="19"/>
                    <w:jc w:val="center"/>
                    <w:rPr>
                      <w:kern w:val="2"/>
                      <w:sz w:val="21"/>
                      <w:szCs w:val="21"/>
                    </w:rPr>
                  </w:pPr>
                  <w:r>
                    <w:rPr>
                      <w:kern w:val="2"/>
                      <w:sz w:val="21"/>
                      <w:szCs w:val="21"/>
                    </w:rPr>
                    <w:t>≤300</w:t>
                  </w:r>
                </w:p>
              </w:tc>
              <w:tc>
                <w:tcPr>
                  <w:tcW w:w="459" w:type="pct"/>
                  <w:vAlign w:val="center"/>
                </w:tcPr>
                <w:p w14:paraId="56078653">
                  <w:pPr>
                    <w:pStyle w:val="19"/>
                    <w:jc w:val="center"/>
                    <w:rPr>
                      <w:kern w:val="2"/>
                      <w:sz w:val="21"/>
                      <w:szCs w:val="21"/>
                    </w:rPr>
                  </w:pPr>
                  <w:r>
                    <w:rPr>
                      <w:kern w:val="2"/>
                      <w:sz w:val="21"/>
                      <w:szCs w:val="21"/>
                    </w:rPr>
                    <w:t>≤400</w:t>
                  </w:r>
                </w:p>
              </w:tc>
              <w:tc>
                <w:tcPr>
                  <w:tcW w:w="581" w:type="pct"/>
                  <w:vAlign w:val="center"/>
                </w:tcPr>
                <w:p w14:paraId="61B4EC2D">
                  <w:pPr>
                    <w:pStyle w:val="19"/>
                    <w:jc w:val="center"/>
                    <w:rPr>
                      <w:kern w:val="2"/>
                      <w:sz w:val="21"/>
                      <w:szCs w:val="21"/>
                    </w:rPr>
                  </w:pPr>
                  <w:r>
                    <w:rPr>
                      <w:kern w:val="2"/>
                      <w:sz w:val="21"/>
                      <w:szCs w:val="21"/>
                    </w:rPr>
                    <w:t>/</w:t>
                  </w:r>
                </w:p>
              </w:tc>
              <w:tc>
                <w:tcPr>
                  <w:tcW w:w="344" w:type="pct"/>
                  <w:vAlign w:val="center"/>
                </w:tcPr>
                <w:p w14:paraId="0317ADD6">
                  <w:pPr>
                    <w:pStyle w:val="19"/>
                    <w:jc w:val="center"/>
                    <w:rPr>
                      <w:kern w:val="2"/>
                      <w:sz w:val="21"/>
                      <w:szCs w:val="21"/>
                    </w:rPr>
                  </w:pPr>
                  <w:r>
                    <w:rPr>
                      <w:kern w:val="2"/>
                      <w:sz w:val="21"/>
                      <w:szCs w:val="21"/>
                    </w:rPr>
                    <w:t>/</w:t>
                  </w:r>
                </w:p>
              </w:tc>
              <w:tc>
                <w:tcPr>
                  <w:tcW w:w="383" w:type="pct"/>
                  <w:vAlign w:val="center"/>
                </w:tcPr>
                <w:p w14:paraId="6F1E45E3">
                  <w:pPr>
                    <w:pStyle w:val="19"/>
                    <w:jc w:val="center"/>
                    <w:rPr>
                      <w:kern w:val="2"/>
                      <w:sz w:val="21"/>
                      <w:szCs w:val="21"/>
                    </w:rPr>
                  </w:pPr>
                  <w:r>
                    <w:rPr>
                      <w:kern w:val="2"/>
                      <w:sz w:val="21"/>
                      <w:szCs w:val="21"/>
                    </w:rPr>
                    <w:t>/</w:t>
                  </w:r>
                </w:p>
              </w:tc>
              <w:tc>
                <w:tcPr>
                  <w:tcW w:w="459" w:type="pct"/>
                  <w:vAlign w:val="center"/>
                </w:tcPr>
                <w:p w14:paraId="66F2B25C">
                  <w:pPr>
                    <w:pStyle w:val="19"/>
                    <w:jc w:val="center"/>
                    <w:rPr>
                      <w:kern w:val="2"/>
                      <w:sz w:val="21"/>
                      <w:szCs w:val="21"/>
                    </w:rPr>
                  </w:pPr>
                  <w:r>
                    <w:rPr>
                      <w:kern w:val="2"/>
                      <w:sz w:val="21"/>
                      <w:szCs w:val="21"/>
                    </w:rPr>
                    <w:t>≤100</w:t>
                  </w:r>
                </w:p>
              </w:tc>
            </w:tr>
            <w:tr w14:paraId="05AAD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0" w:type="pct"/>
                  <w:vAlign w:val="center"/>
                </w:tcPr>
                <w:p w14:paraId="734B5184">
                  <w:pPr>
                    <w:jc w:val="center"/>
                    <w:rPr>
                      <w:sz w:val="21"/>
                      <w:szCs w:val="21"/>
                      <w:lang w:bidi="ar"/>
                    </w:rPr>
                  </w:pPr>
                  <w:r>
                    <w:rPr>
                      <w:sz w:val="21"/>
                      <w:szCs w:val="21"/>
                      <w:lang w:bidi="ar"/>
                    </w:rPr>
                    <w:t>本项目废水排放标准</w:t>
                  </w:r>
                </w:p>
              </w:tc>
              <w:tc>
                <w:tcPr>
                  <w:tcW w:w="383" w:type="pct"/>
                  <w:vAlign w:val="center"/>
                </w:tcPr>
                <w:p w14:paraId="55210284">
                  <w:pPr>
                    <w:pStyle w:val="19"/>
                    <w:jc w:val="center"/>
                    <w:rPr>
                      <w:kern w:val="2"/>
                      <w:sz w:val="21"/>
                      <w:szCs w:val="21"/>
                    </w:rPr>
                  </w:pPr>
                  <w:r>
                    <w:rPr>
                      <w:kern w:val="2"/>
                      <w:sz w:val="21"/>
                      <w:szCs w:val="21"/>
                    </w:rPr>
                    <w:t>6~9</w:t>
                  </w:r>
                </w:p>
              </w:tc>
              <w:tc>
                <w:tcPr>
                  <w:tcW w:w="483" w:type="pct"/>
                  <w:vAlign w:val="center"/>
                </w:tcPr>
                <w:p w14:paraId="2D929A6D">
                  <w:pPr>
                    <w:pStyle w:val="19"/>
                    <w:jc w:val="center"/>
                    <w:rPr>
                      <w:kern w:val="2"/>
                      <w:sz w:val="21"/>
                      <w:szCs w:val="21"/>
                    </w:rPr>
                  </w:pPr>
                  <w:r>
                    <w:rPr>
                      <w:kern w:val="2"/>
                      <w:sz w:val="21"/>
                      <w:szCs w:val="21"/>
                    </w:rPr>
                    <w:t>≤</w:t>
                  </w:r>
                  <w:r>
                    <w:rPr>
                      <w:rFonts w:hint="eastAsia"/>
                      <w:kern w:val="2"/>
                      <w:sz w:val="21"/>
                      <w:szCs w:val="21"/>
                    </w:rPr>
                    <w:t>50</w:t>
                  </w:r>
                  <w:r>
                    <w:rPr>
                      <w:kern w:val="2"/>
                      <w:sz w:val="21"/>
                      <w:szCs w:val="21"/>
                    </w:rPr>
                    <w:t>0</w:t>
                  </w:r>
                </w:p>
              </w:tc>
              <w:tc>
                <w:tcPr>
                  <w:tcW w:w="524" w:type="pct"/>
                  <w:vAlign w:val="center"/>
                </w:tcPr>
                <w:p w14:paraId="5B3AB9ED">
                  <w:pPr>
                    <w:pStyle w:val="19"/>
                    <w:jc w:val="center"/>
                    <w:rPr>
                      <w:kern w:val="2"/>
                      <w:sz w:val="21"/>
                      <w:szCs w:val="21"/>
                    </w:rPr>
                  </w:pPr>
                  <w:r>
                    <w:rPr>
                      <w:kern w:val="2"/>
                      <w:sz w:val="21"/>
                      <w:szCs w:val="21"/>
                    </w:rPr>
                    <w:t>≤</w:t>
                  </w:r>
                  <w:r>
                    <w:rPr>
                      <w:rFonts w:hint="eastAsia"/>
                      <w:kern w:val="2"/>
                      <w:sz w:val="21"/>
                      <w:szCs w:val="21"/>
                    </w:rPr>
                    <w:t>30</w:t>
                  </w:r>
                  <w:r>
                    <w:rPr>
                      <w:kern w:val="2"/>
                      <w:sz w:val="21"/>
                      <w:szCs w:val="21"/>
                    </w:rPr>
                    <w:t>0</w:t>
                  </w:r>
                </w:p>
              </w:tc>
              <w:tc>
                <w:tcPr>
                  <w:tcW w:w="459" w:type="pct"/>
                  <w:vAlign w:val="center"/>
                </w:tcPr>
                <w:p w14:paraId="6FBA4B60">
                  <w:pPr>
                    <w:pStyle w:val="19"/>
                    <w:jc w:val="center"/>
                    <w:rPr>
                      <w:kern w:val="2"/>
                      <w:sz w:val="21"/>
                      <w:szCs w:val="21"/>
                    </w:rPr>
                  </w:pPr>
                  <w:r>
                    <w:rPr>
                      <w:kern w:val="2"/>
                      <w:sz w:val="21"/>
                      <w:szCs w:val="21"/>
                    </w:rPr>
                    <w:t>≤</w:t>
                  </w:r>
                  <w:r>
                    <w:rPr>
                      <w:rFonts w:hint="eastAsia"/>
                      <w:kern w:val="2"/>
                      <w:sz w:val="21"/>
                      <w:szCs w:val="21"/>
                    </w:rPr>
                    <w:t>250</w:t>
                  </w:r>
                </w:p>
              </w:tc>
              <w:tc>
                <w:tcPr>
                  <w:tcW w:w="581" w:type="pct"/>
                  <w:vAlign w:val="center"/>
                </w:tcPr>
                <w:p w14:paraId="2692C0FA">
                  <w:pPr>
                    <w:pStyle w:val="19"/>
                    <w:jc w:val="center"/>
                    <w:rPr>
                      <w:kern w:val="2"/>
                      <w:sz w:val="21"/>
                      <w:szCs w:val="21"/>
                    </w:rPr>
                  </w:pPr>
                  <w:r>
                    <w:rPr>
                      <w:kern w:val="2"/>
                      <w:sz w:val="21"/>
                      <w:szCs w:val="21"/>
                    </w:rPr>
                    <w:t>≤3</w:t>
                  </w:r>
                  <w:r>
                    <w:rPr>
                      <w:rFonts w:hint="eastAsia"/>
                      <w:kern w:val="2"/>
                      <w:sz w:val="21"/>
                      <w:szCs w:val="21"/>
                    </w:rPr>
                    <w:t>0</w:t>
                  </w:r>
                </w:p>
              </w:tc>
              <w:tc>
                <w:tcPr>
                  <w:tcW w:w="344" w:type="pct"/>
                  <w:vAlign w:val="center"/>
                </w:tcPr>
                <w:p w14:paraId="5ECBD74D">
                  <w:pPr>
                    <w:pStyle w:val="19"/>
                    <w:jc w:val="center"/>
                    <w:rPr>
                      <w:kern w:val="2"/>
                      <w:sz w:val="21"/>
                      <w:szCs w:val="21"/>
                    </w:rPr>
                  </w:pPr>
                  <w:r>
                    <w:rPr>
                      <w:kern w:val="2"/>
                      <w:sz w:val="21"/>
                      <w:szCs w:val="21"/>
                    </w:rPr>
                    <w:t>≤</w:t>
                  </w:r>
                  <w:r>
                    <w:rPr>
                      <w:rFonts w:hint="eastAsia"/>
                      <w:kern w:val="2"/>
                      <w:sz w:val="21"/>
                      <w:szCs w:val="21"/>
                    </w:rPr>
                    <w:t>6</w:t>
                  </w:r>
                </w:p>
              </w:tc>
              <w:tc>
                <w:tcPr>
                  <w:tcW w:w="383" w:type="pct"/>
                  <w:vAlign w:val="center"/>
                </w:tcPr>
                <w:p w14:paraId="3F1A374C">
                  <w:pPr>
                    <w:pStyle w:val="19"/>
                    <w:jc w:val="center"/>
                    <w:rPr>
                      <w:kern w:val="2"/>
                      <w:sz w:val="21"/>
                      <w:szCs w:val="21"/>
                    </w:rPr>
                  </w:pPr>
                  <w:r>
                    <w:rPr>
                      <w:kern w:val="2"/>
                      <w:sz w:val="21"/>
                      <w:szCs w:val="21"/>
                    </w:rPr>
                    <w:t>≤</w:t>
                  </w:r>
                  <w:r>
                    <w:rPr>
                      <w:rFonts w:hint="eastAsia"/>
                      <w:kern w:val="2"/>
                      <w:sz w:val="21"/>
                      <w:szCs w:val="21"/>
                    </w:rPr>
                    <w:t>50</w:t>
                  </w:r>
                </w:p>
              </w:tc>
              <w:tc>
                <w:tcPr>
                  <w:tcW w:w="459" w:type="pct"/>
                  <w:vAlign w:val="center"/>
                </w:tcPr>
                <w:p w14:paraId="496A465F">
                  <w:pPr>
                    <w:pStyle w:val="19"/>
                    <w:jc w:val="center"/>
                    <w:rPr>
                      <w:kern w:val="2"/>
                      <w:sz w:val="21"/>
                      <w:szCs w:val="21"/>
                    </w:rPr>
                  </w:pPr>
                  <w:r>
                    <w:rPr>
                      <w:kern w:val="2"/>
                      <w:sz w:val="21"/>
                      <w:szCs w:val="21"/>
                    </w:rPr>
                    <w:t>≤100</w:t>
                  </w:r>
                </w:p>
              </w:tc>
            </w:tr>
          </w:tbl>
          <w:p w14:paraId="595AA0DF">
            <w:pPr>
              <w:spacing w:line="360" w:lineRule="auto"/>
              <w:ind w:firstLine="482" w:firstLineChars="200"/>
              <w:rPr>
                <w:b/>
                <w:bCs/>
                <w:sz w:val="24"/>
              </w:rPr>
            </w:pPr>
            <w:r>
              <w:rPr>
                <w:rFonts w:hint="eastAsia"/>
                <w:b/>
                <w:bCs/>
                <w:sz w:val="24"/>
              </w:rPr>
              <w:t>（二）</w:t>
            </w:r>
            <w:r>
              <w:rPr>
                <w:b/>
                <w:bCs/>
                <w:sz w:val="24"/>
              </w:rPr>
              <w:t>废气</w:t>
            </w:r>
          </w:p>
          <w:p w14:paraId="567370D6">
            <w:pPr>
              <w:spacing w:line="360" w:lineRule="auto"/>
              <w:ind w:firstLine="570"/>
              <w:rPr>
                <w:b/>
                <w:bCs/>
                <w:sz w:val="24"/>
                <w:szCs w:val="21"/>
              </w:rPr>
            </w:pPr>
            <w:r>
              <w:rPr>
                <w:rFonts w:hint="eastAsia"/>
                <w:sz w:val="24"/>
                <w:szCs w:val="24"/>
                <w:lang w:eastAsia="zh-CN"/>
              </w:rPr>
              <w:t>本项目施工期施工场地颗粒物排放执行《施工场地颗粒物排放标准》（DB34/4811-2024）表1排放限值要求；</w:t>
            </w:r>
            <w:r>
              <w:rPr>
                <w:rFonts w:hint="eastAsia"/>
                <w:sz w:val="24"/>
              </w:rPr>
              <w:t>本项目</w:t>
            </w:r>
            <w:r>
              <w:rPr>
                <w:rFonts w:hint="eastAsia"/>
                <w:sz w:val="24"/>
                <w:lang w:eastAsia="zh-CN"/>
              </w:rPr>
              <w:t>运营期</w:t>
            </w:r>
            <w:r>
              <w:rPr>
                <w:rFonts w:hint="eastAsia"/>
                <w:sz w:val="24"/>
              </w:rPr>
              <w:t>废气</w:t>
            </w:r>
            <w:r>
              <w:rPr>
                <w:sz w:val="24"/>
              </w:rPr>
              <w:t>颗粒物排放执行</w:t>
            </w:r>
            <w:r>
              <w:rPr>
                <w:rFonts w:hint="eastAsia"/>
                <w:sz w:val="24"/>
              </w:rPr>
              <w:t>《大气污染物综合排放标准》（GB 16297-1996）</w:t>
            </w:r>
            <w:r>
              <w:rPr>
                <w:sz w:val="24"/>
              </w:rPr>
              <w:t>中排放限值</w:t>
            </w:r>
            <w:r>
              <w:rPr>
                <w:rFonts w:hint="eastAsia"/>
                <w:sz w:val="24"/>
              </w:rPr>
              <w:t>要求</w:t>
            </w:r>
            <w:r>
              <w:rPr>
                <w:rFonts w:hint="eastAsia"/>
                <w:sz w:val="24"/>
                <w:lang w:eastAsia="zh-CN"/>
              </w:rPr>
              <w:t>，</w:t>
            </w:r>
            <w:r>
              <w:rPr>
                <w:rFonts w:hint="eastAsia"/>
                <w:sz w:val="24"/>
              </w:rPr>
              <w:t>非甲烷总烃</w:t>
            </w:r>
            <w:r>
              <w:rPr>
                <w:rFonts w:hint="eastAsia"/>
                <w:sz w:val="24"/>
                <w:lang w:eastAsia="zh-CN"/>
              </w:rPr>
              <w:t>、二甲苯</w:t>
            </w:r>
            <w:r>
              <w:rPr>
                <w:rFonts w:hint="eastAsia"/>
                <w:sz w:val="24"/>
                <w:lang w:val="en-US" w:eastAsia="zh-CN"/>
              </w:rPr>
              <w:t>有组织</w:t>
            </w:r>
            <w:r>
              <w:rPr>
                <w:rFonts w:hint="eastAsia"/>
                <w:sz w:val="24"/>
              </w:rPr>
              <w:t>排放执行安徽省《固定源挥发性有机物综合排放标准 第6部分 其他行业》（DB34/4812.6-2024）排放限值</w:t>
            </w:r>
            <w:r>
              <w:rPr>
                <w:bCs/>
                <w:sz w:val="24"/>
              </w:rPr>
              <w:t>。</w:t>
            </w:r>
            <w:r>
              <w:rPr>
                <w:sz w:val="24"/>
              </w:rPr>
              <w:t>具体标准限值见下表。</w:t>
            </w:r>
          </w:p>
          <w:p w14:paraId="709DB39A">
            <w:pPr>
              <w:widowControl/>
              <w:numPr>
                <w:ilvl w:val="0"/>
                <w:numId w:val="2"/>
              </w:numPr>
              <w:jc w:val="center"/>
              <w:rPr>
                <w:b/>
                <w:kern w:val="0"/>
                <w:szCs w:val="21"/>
              </w:rPr>
            </w:pPr>
            <w:r>
              <w:rPr>
                <w:rFonts w:hint="eastAsia"/>
                <w:b/>
                <w:kern w:val="0"/>
                <w:szCs w:val="21"/>
                <w:lang w:eastAsia="zh-CN"/>
              </w:rPr>
              <w:t>运营期</w:t>
            </w:r>
            <w:r>
              <w:rPr>
                <w:b/>
                <w:kern w:val="0"/>
                <w:szCs w:val="21"/>
              </w:rPr>
              <w:t>废气排放标准一览表</w:t>
            </w:r>
          </w:p>
          <w:tbl>
            <w:tblPr>
              <w:tblStyle w:val="26"/>
              <w:tblW w:w="8001"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28" w:type="dxa"/>
                <w:left w:w="28" w:type="dxa"/>
                <w:bottom w:w="28" w:type="dxa"/>
                <w:right w:w="28" w:type="dxa"/>
              </w:tblCellMar>
            </w:tblPr>
            <w:tblGrid>
              <w:gridCol w:w="1095"/>
              <w:gridCol w:w="674"/>
              <w:gridCol w:w="1035"/>
              <w:gridCol w:w="890"/>
              <w:gridCol w:w="860"/>
              <w:gridCol w:w="1343"/>
              <w:gridCol w:w="2104"/>
            </w:tblGrid>
            <w:tr w14:paraId="2B2FB8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28" w:type="dxa"/>
                  <w:left w:w="28" w:type="dxa"/>
                  <w:bottom w:w="28" w:type="dxa"/>
                  <w:right w:w="28" w:type="dxa"/>
                </w:tblCellMar>
              </w:tblPrEx>
              <w:trPr>
                <w:cantSplit/>
                <w:trHeight w:val="23" w:hRule="atLeast"/>
                <w:jc w:val="center"/>
              </w:trPr>
              <w:tc>
                <w:tcPr>
                  <w:tcW w:w="1095" w:type="dxa"/>
                  <w:vMerge w:val="restart"/>
                  <w:noWrap w:val="0"/>
                  <w:vAlign w:val="center"/>
                </w:tcPr>
                <w:p w14:paraId="610CE488">
                  <w:pPr>
                    <w:jc w:val="center"/>
                    <w:rPr>
                      <w:rFonts w:hint="default" w:eastAsia="宋体"/>
                      <w:snapToGrid w:val="0"/>
                      <w:kern w:val="0"/>
                      <w:sz w:val="21"/>
                      <w:szCs w:val="21"/>
                      <w:lang w:val="en-US" w:eastAsia="zh-CN"/>
                    </w:rPr>
                  </w:pPr>
                  <w:r>
                    <w:rPr>
                      <w:rFonts w:hint="eastAsia"/>
                      <w:snapToGrid w:val="0"/>
                      <w:kern w:val="0"/>
                      <w:sz w:val="21"/>
                      <w:szCs w:val="21"/>
                      <w:lang w:val="en-US" w:eastAsia="zh-CN"/>
                    </w:rPr>
                    <w:t>产污工序</w:t>
                  </w:r>
                </w:p>
              </w:tc>
              <w:tc>
                <w:tcPr>
                  <w:tcW w:w="674" w:type="dxa"/>
                  <w:vMerge w:val="restart"/>
                  <w:noWrap w:val="0"/>
                  <w:vAlign w:val="center"/>
                </w:tcPr>
                <w:p w14:paraId="24592A04">
                  <w:pPr>
                    <w:jc w:val="center"/>
                    <w:rPr>
                      <w:snapToGrid w:val="0"/>
                      <w:kern w:val="0"/>
                      <w:sz w:val="21"/>
                      <w:szCs w:val="21"/>
                    </w:rPr>
                  </w:pPr>
                  <w:r>
                    <w:rPr>
                      <w:snapToGrid w:val="0"/>
                      <w:kern w:val="0"/>
                      <w:sz w:val="21"/>
                      <w:szCs w:val="21"/>
                    </w:rPr>
                    <w:t>污染</w:t>
                  </w:r>
                </w:p>
                <w:p w14:paraId="66971998">
                  <w:pPr>
                    <w:jc w:val="center"/>
                    <w:rPr>
                      <w:snapToGrid w:val="0"/>
                      <w:kern w:val="0"/>
                      <w:sz w:val="21"/>
                      <w:szCs w:val="21"/>
                    </w:rPr>
                  </w:pPr>
                  <w:r>
                    <w:rPr>
                      <w:snapToGrid w:val="0"/>
                      <w:kern w:val="0"/>
                      <w:sz w:val="21"/>
                      <w:szCs w:val="21"/>
                    </w:rPr>
                    <w:t>因子</w:t>
                  </w:r>
                </w:p>
              </w:tc>
              <w:tc>
                <w:tcPr>
                  <w:tcW w:w="1035" w:type="dxa"/>
                  <w:vMerge w:val="restart"/>
                  <w:noWrap w:val="0"/>
                  <w:vAlign w:val="center"/>
                </w:tcPr>
                <w:p w14:paraId="37086C72">
                  <w:pPr>
                    <w:jc w:val="center"/>
                    <w:rPr>
                      <w:sz w:val="21"/>
                      <w:szCs w:val="21"/>
                    </w:rPr>
                  </w:pPr>
                  <w:r>
                    <w:rPr>
                      <w:sz w:val="21"/>
                      <w:szCs w:val="21"/>
                    </w:rPr>
                    <w:t>最高允许</w:t>
                  </w:r>
                </w:p>
                <w:p w14:paraId="6DF733A2">
                  <w:pPr>
                    <w:jc w:val="center"/>
                    <w:rPr>
                      <w:sz w:val="21"/>
                      <w:szCs w:val="21"/>
                    </w:rPr>
                  </w:pPr>
                  <w:r>
                    <w:rPr>
                      <w:sz w:val="21"/>
                      <w:szCs w:val="21"/>
                    </w:rPr>
                    <w:t>排放浓度</w:t>
                  </w:r>
                </w:p>
                <w:p w14:paraId="363B567B">
                  <w:pPr>
                    <w:jc w:val="center"/>
                    <w:rPr>
                      <w:snapToGrid w:val="0"/>
                      <w:kern w:val="0"/>
                      <w:sz w:val="21"/>
                      <w:szCs w:val="21"/>
                    </w:rPr>
                  </w:pPr>
                  <w:r>
                    <w:rPr>
                      <w:sz w:val="21"/>
                      <w:szCs w:val="21"/>
                    </w:rPr>
                    <w:t>（mg/m</w:t>
                  </w:r>
                  <w:r>
                    <w:rPr>
                      <w:sz w:val="21"/>
                      <w:szCs w:val="21"/>
                      <w:vertAlign w:val="superscript"/>
                    </w:rPr>
                    <w:t>3</w:t>
                  </w:r>
                  <w:r>
                    <w:rPr>
                      <w:sz w:val="21"/>
                      <w:szCs w:val="21"/>
                    </w:rPr>
                    <w:t>）</w:t>
                  </w:r>
                </w:p>
              </w:tc>
              <w:tc>
                <w:tcPr>
                  <w:tcW w:w="890" w:type="dxa"/>
                  <w:vMerge w:val="restart"/>
                  <w:noWrap w:val="0"/>
                  <w:vAlign w:val="center"/>
                </w:tcPr>
                <w:p w14:paraId="1C6E53A3">
                  <w:pPr>
                    <w:jc w:val="center"/>
                    <w:rPr>
                      <w:snapToGrid w:val="0"/>
                      <w:kern w:val="0"/>
                      <w:sz w:val="21"/>
                      <w:szCs w:val="21"/>
                    </w:rPr>
                  </w:pPr>
                  <w:r>
                    <w:rPr>
                      <w:sz w:val="21"/>
                      <w:szCs w:val="21"/>
                    </w:rPr>
                    <w:t>最高允许排放速率（kg/h）</w:t>
                  </w:r>
                </w:p>
              </w:tc>
              <w:tc>
                <w:tcPr>
                  <w:tcW w:w="2203" w:type="dxa"/>
                  <w:gridSpan w:val="2"/>
                  <w:noWrap w:val="0"/>
                  <w:vAlign w:val="center"/>
                </w:tcPr>
                <w:p w14:paraId="7EBF6821">
                  <w:pPr>
                    <w:jc w:val="center"/>
                    <w:rPr>
                      <w:snapToGrid w:val="0"/>
                      <w:kern w:val="0"/>
                      <w:sz w:val="21"/>
                      <w:szCs w:val="21"/>
                    </w:rPr>
                  </w:pPr>
                  <w:r>
                    <w:rPr>
                      <w:snapToGrid w:val="0"/>
                      <w:kern w:val="0"/>
                      <w:sz w:val="21"/>
                      <w:szCs w:val="21"/>
                    </w:rPr>
                    <w:t>无组织排放监控浓度限值（</w:t>
                  </w:r>
                  <w:r>
                    <w:rPr>
                      <w:sz w:val="21"/>
                      <w:szCs w:val="21"/>
                    </w:rPr>
                    <w:t>mg/m</w:t>
                  </w:r>
                  <w:r>
                    <w:rPr>
                      <w:sz w:val="21"/>
                      <w:szCs w:val="21"/>
                      <w:vertAlign w:val="superscript"/>
                    </w:rPr>
                    <w:t>3</w:t>
                  </w:r>
                  <w:r>
                    <w:rPr>
                      <w:sz w:val="21"/>
                      <w:szCs w:val="21"/>
                    </w:rPr>
                    <w:t>）</w:t>
                  </w:r>
                </w:p>
              </w:tc>
              <w:tc>
                <w:tcPr>
                  <w:tcW w:w="2104" w:type="dxa"/>
                  <w:vMerge w:val="restart"/>
                  <w:noWrap w:val="0"/>
                  <w:vAlign w:val="center"/>
                </w:tcPr>
                <w:p w14:paraId="21429201">
                  <w:pPr>
                    <w:jc w:val="center"/>
                    <w:rPr>
                      <w:snapToGrid w:val="0"/>
                      <w:kern w:val="0"/>
                      <w:sz w:val="21"/>
                      <w:szCs w:val="21"/>
                    </w:rPr>
                  </w:pPr>
                  <w:r>
                    <w:rPr>
                      <w:snapToGrid w:val="0"/>
                      <w:kern w:val="0"/>
                      <w:sz w:val="21"/>
                      <w:szCs w:val="21"/>
                    </w:rPr>
                    <w:t>执行标准</w:t>
                  </w:r>
                </w:p>
              </w:tc>
            </w:tr>
            <w:tr w14:paraId="021C694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28" w:type="dxa"/>
                  <w:left w:w="28" w:type="dxa"/>
                  <w:bottom w:w="28" w:type="dxa"/>
                  <w:right w:w="28" w:type="dxa"/>
                </w:tblCellMar>
              </w:tblPrEx>
              <w:trPr>
                <w:cantSplit/>
                <w:trHeight w:val="23" w:hRule="atLeast"/>
                <w:jc w:val="center"/>
              </w:trPr>
              <w:tc>
                <w:tcPr>
                  <w:tcW w:w="1095" w:type="dxa"/>
                  <w:vMerge w:val="continue"/>
                  <w:noWrap w:val="0"/>
                  <w:vAlign w:val="center"/>
                </w:tcPr>
                <w:p w14:paraId="33E4E806">
                  <w:pPr>
                    <w:jc w:val="center"/>
                    <w:rPr>
                      <w:snapToGrid w:val="0"/>
                      <w:kern w:val="0"/>
                      <w:sz w:val="21"/>
                      <w:szCs w:val="21"/>
                    </w:rPr>
                  </w:pPr>
                </w:p>
              </w:tc>
              <w:tc>
                <w:tcPr>
                  <w:tcW w:w="674" w:type="dxa"/>
                  <w:vMerge w:val="continue"/>
                  <w:noWrap w:val="0"/>
                  <w:vAlign w:val="center"/>
                </w:tcPr>
                <w:p w14:paraId="0861D0C2">
                  <w:pPr>
                    <w:jc w:val="center"/>
                    <w:rPr>
                      <w:snapToGrid w:val="0"/>
                      <w:kern w:val="0"/>
                      <w:sz w:val="21"/>
                      <w:szCs w:val="21"/>
                    </w:rPr>
                  </w:pPr>
                </w:p>
              </w:tc>
              <w:tc>
                <w:tcPr>
                  <w:tcW w:w="1035" w:type="dxa"/>
                  <w:vMerge w:val="continue"/>
                  <w:noWrap w:val="0"/>
                  <w:vAlign w:val="center"/>
                </w:tcPr>
                <w:p w14:paraId="3CDD7111">
                  <w:pPr>
                    <w:jc w:val="center"/>
                    <w:rPr>
                      <w:snapToGrid w:val="0"/>
                      <w:kern w:val="0"/>
                      <w:sz w:val="21"/>
                      <w:szCs w:val="21"/>
                    </w:rPr>
                  </w:pPr>
                </w:p>
              </w:tc>
              <w:tc>
                <w:tcPr>
                  <w:tcW w:w="890" w:type="dxa"/>
                  <w:vMerge w:val="continue"/>
                  <w:noWrap w:val="0"/>
                  <w:vAlign w:val="center"/>
                </w:tcPr>
                <w:p w14:paraId="0B7864C7">
                  <w:pPr>
                    <w:jc w:val="center"/>
                    <w:rPr>
                      <w:snapToGrid w:val="0"/>
                      <w:kern w:val="0"/>
                      <w:sz w:val="21"/>
                      <w:szCs w:val="21"/>
                    </w:rPr>
                  </w:pPr>
                </w:p>
              </w:tc>
              <w:tc>
                <w:tcPr>
                  <w:tcW w:w="860" w:type="dxa"/>
                  <w:noWrap w:val="0"/>
                  <w:vAlign w:val="center"/>
                </w:tcPr>
                <w:p w14:paraId="1DD714A7">
                  <w:pPr>
                    <w:jc w:val="center"/>
                    <w:rPr>
                      <w:snapToGrid w:val="0"/>
                      <w:kern w:val="0"/>
                      <w:sz w:val="21"/>
                      <w:szCs w:val="21"/>
                    </w:rPr>
                  </w:pPr>
                  <w:r>
                    <w:rPr>
                      <w:snapToGrid w:val="0"/>
                      <w:kern w:val="0"/>
                      <w:sz w:val="21"/>
                      <w:szCs w:val="21"/>
                    </w:rPr>
                    <w:t>监控点</w:t>
                  </w:r>
                </w:p>
              </w:tc>
              <w:tc>
                <w:tcPr>
                  <w:tcW w:w="1343" w:type="dxa"/>
                  <w:noWrap w:val="0"/>
                  <w:vAlign w:val="center"/>
                </w:tcPr>
                <w:p w14:paraId="62F3C809">
                  <w:pPr>
                    <w:jc w:val="center"/>
                    <w:rPr>
                      <w:snapToGrid w:val="0"/>
                      <w:kern w:val="0"/>
                      <w:sz w:val="21"/>
                      <w:szCs w:val="21"/>
                    </w:rPr>
                  </w:pPr>
                  <w:r>
                    <w:rPr>
                      <w:snapToGrid w:val="0"/>
                      <w:kern w:val="0"/>
                      <w:sz w:val="21"/>
                      <w:szCs w:val="21"/>
                    </w:rPr>
                    <w:t>浓度</w:t>
                  </w:r>
                  <w:r>
                    <w:rPr>
                      <w:sz w:val="21"/>
                      <w:szCs w:val="21"/>
                    </w:rPr>
                    <w:t>（mg/m</w:t>
                  </w:r>
                  <w:r>
                    <w:rPr>
                      <w:sz w:val="21"/>
                      <w:szCs w:val="21"/>
                      <w:vertAlign w:val="superscript"/>
                    </w:rPr>
                    <w:t>3</w:t>
                  </w:r>
                  <w:r>
                    <w:rPr>
                      <w:sz w:val="21"/>
                      <w:szCs w:val="21"/>
                    </w:rPr>
                    <w:t>）</w:t>
                  </w:r>
                </w:p>
              </w:tc>
              <w:tc>
                <w:tcPr>
                  <w:tcW w:w="2104" w:type="dxa"/>
                  <w:vMerge w:val="continue"/>
                  <w:noWrap w:val="0"/>
                  <w:vAlign w:val="center"/>
                </w:tcPr>
                <w:p w14:paraId="5FC7FEA6">
                  <w:pPr>
                    <w:jc w:val="center"/>
                    <w:rPr>
                      <w:snapToGrid w:val="0"/>
                      <w:kern w:val="0"/>
                      <w:sz w:val="21"/>
                      <w:szCs w:val="21"/>
                    </w:rPr>
                  </w:pPr>
                </w:p>
              </w:tc>
            </w:tr>
            <w:tr w14:paraId="4133BF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28" w:type="dxa"/>
                  <w:left w:w="28" w:type="dxa"/>
                  <w:bottom w:w="28" w:type="dxa"/>
                  <w:right w:w="28" w:type="dxa"/>
                </w:tblCellMar>
              </w:tblPrEx>
              <w:trPr>
                <w:cantSplit/>
                <w:trHeight w:val="588" w:hRule="atLeast"/>
                <w:jc w:val="center"/>
              </w:trPr>
              <w:tc>
                <w:tcPr>
                  <w:tcW w:w="1095" w:type="dxa"/>
                  <w:vMerge w:val="restart"/>
                  <w:noWrap w:val="0"/>
                  <w:vAlign w:val="center"/>
                </w:tcPr>
                <w:p w14:paraId="0446B00A">
                  <w:pPr>
                    <w:jc w:val="center"/>
                    <w:rPr>
                      <w:rFonts w:hint="default" w:eastAsia="宋体"/>
                      <w:sz w:val="21"/>
                      <w:szCs w:val="21"/>
                      <w:lang w:val="en-US" w:eastAsia="zh-CN"/>
                    </w:rPr>
                  </w:pPr>
                  <w:r>
                    <w:rPr>
                      <w:rFonts w:hint="eastAsia"/>
                      <w:sz w:val="21"/>
                      <w:szCs w:val="21"/>
                      <w:lang w:val="en-US" w:eastAsia="zh-CN"/>
                    </w:rPr>
                    <w:t>喷漆</w:t>
                  </w:r>
                </w:p>
              </w:tc>
              <w:tc>
                <w:tcPr>
                  <w:tcW w:w="674" w:type="dxa"/>
                  <w:vMerge w:val="restart"/>
                  <w:noWrap w:val="0"/>
                  <w:vAlign w:val="center"/>
                </w:tcPr>
                <w:p w14:paraId="16F1A8B5">
                  <w:pPr>
                    <w:jc w:val="center"/>
                    <w:rPr>
                      <w:rFonts w:hint="eastAsia"/>
                      <w:sz w:val="21"/>
                      <w:szCs w:val="21"/>
                    </w:rPr>
                  </w:pPr>
                  <w:r>
                    <w:rPr>
                      <w:rFonts w:hint="eastAsia"/>
                      <w:sz w:val="21"/>
                      <w:szCs w:val="21"/>
                    </w:rPr>
                    <w:t>非甲烷总烃</w:t>
                  </w:r>
                </w:p>
              </w:tc>
              <w:tc>
                <w:tcPr>
                  <w:tcW w:w="1035" w:type="dxa"/>
                  <w:vMerge w:val="restart"/>
                  <w:noWrap w:val="0"/>
                  <w:vAlign w:val="center"/>
                </w:tcPr>
                <w:p w14:paraId="4AC22A90">
                  <w:pPr>
                    <w:jc w:val="center"/>
                    <w:rPr>
                      <w:rFonts w:hint="eastAsia"/>
                      <w:snapToGrid w:val="0"/>
                      <w:kern w:val="0"/>
                      <w:sz w:val="21"/>
                      <w:szCs w:val="21"/>
                    </w:rPr>
                  </w:pPr>
                  <w:r>
                    <w:rPr>
                      <w:rFonts w:hint="eastAsia"/>
                      <w:snapToGrid w:val="0"/>
                      <w:kern w:val="0"/>
                      <w:sz w:val="21"/>
                      <w:szCs w:val="21"/>
                    </w:rPr>
                    <w:t>70</w:t>
                  </w:r>
                </w:p>
              </w:tc>
              <w:tc>
                <w:tcPr>
                  <w:tcW w:w="890" w:type="dxa"/>
                  <w:vMerge w:val="restart"/>
                  <w:tcBorders>
                    <w:right w:val="single" w:color="auto" w:sz="4" w:space="0"/>
                  </w:tcBorders>
                  <w:noWrap w:val="0"/>
                  <w:vAlign w:val="center"/>
                </w:tcPr>
                <w:p w14:paraId="4B5981D1">
                  <w:pPr>
                    <w:jc w:val="center"/>
                    <w:rPr>
                      <w:rFonts w:hint="eastAsia"/>
                      <w:snapToGrid w:val="0"/>
                      <w:kern w:val="0"/>
                      <w:sz w:val="21"/>
                      <w:szCs w:val="21"/>
                    </w:rPr>
                  </w:pPr>
                  <w:r>
                    <w:rPr>
                      <w:rFonts w:hint="eastAsia"/>
                      <w:snapToGrid w:val="0"/>
                      <w:kern w:val="0"/>
                      <w:sz w:val="21"/>
                      <w:szCs w:val="21"/>
                    </w:rPr>
                    <w:t>3.0</w:t>
                  </w:r>
                </w:p>
              </w:tc>
              <w:tc>
                <w:tcPr>
                  <w:tcW w:w="860" w:type="dxa"/>
                  <w:vMerge w:val="restart"/>
                  <w:tcBorders>
                    <w:top w:val="single" w:color="auto" w:sz="4" w:space="0"/>
                    <w:left w:val="single" w:color="auto" w:sz="4" w:space="0"/>
                  </w:tcBorders>
                  <w:noWrap w:val="0"/>
                  <w:vAlign w:val="center"/>
                </w:tcPr>
                <w:p w14:paraId="41EC5D94">
                  <w:pPr>
                    <w:jc w:val="center"/>
                    <w:rPr>
                      <w:rFonts w:hint="eastAsia"/>
                      <w:color w:val="FF0000"/>
                      <w:sz w:val="21"/>
                      <w:szCs w:val="21"/>
                    </w:rPr>
                  </w:pPr>
                  <w:r>
                    <w:rPr>
                      <w:rFonts w:hint="eastAsia"/>
                      <w:snapToGrid w:val="0"/>
                      <w:color w:val="FF0000"/>
                      <w:kern w:val="0"/>
                      <w:sz w:val="21"/>
                      <w:szCs w:val="21"/>
                    </w:rPr>
                    <w:t>厂区内</w:t>
                  </w:r>
                </w:p>
              </w:tc>
              <w:tc>
                <w:tcPr>
                  <w:tcW w:w="1343" w:type="dxa"/>
                  <w:tcBorders>
                    <w:top w:val="single" w:color="auto" w:sz="4" w:space="0"/>
                    <w:left w:val="single" w:color="auto" w:sz="4" w:space="0"/>
                    <w:bottom w:val="single" w:color="auto" w:sz="4" w:space="0"/>
                  </w:tcBorders>
                  <w:noWrap w:val="0"/>
                  <w:vAlign w:val="center"/>
                </w:tcPr>
                <w:p w14:paraId="15A81E6F">
                  <w:pPr>
                    <w:spacing w:line="260" w:lineRule="exact"/>
                    <w:jc w:val="center"/>
                    <w:rPr>
                      <w:rFonts w:hint="eastAsia"/>
                      <w:snapToGrid w:val="0"/>
                      <w:color w:val="FF0000"/>
                      <w:kern w:val="0"/>
                      <w:sz w:val="21"/>
                      <w:szCs w:val="21"/>
                    </w:rPr>
                  </w:pPr>
                  <w:r>
                    <w:rPr>
                      <w:rFonts w:hint="eastAsia"/>
                      <w:color w:val="FF0000"/>
                      <w:sz w:val="21"/>
                      <w:szCs w:val="21"/>
                    </w:rPr>
                    <w:t>6.0（监控点处1h平均浓度值）</w:t>
                  </w:r>
                </w:p>
                <w:p w14:paraId="44CD1E1F">
                  <w:pPr>
                    <w:spacing w:line="260" w:lineRule="exact"/>
                    <w:jc w:val="center"/>
                    <w:rPr>
                      <w:rFonts w:hint="eastAsia"/>
                      <w:color w:val="FF0000"/>
                      <w:sz w:val="21"/>
                      <w:szCs w:val="21"/>
                    </w:rPr>
                  </w:pPr>
                </w:p>
              </w:tc>
              <w:tc>
                <w:tcPr>
                  <w:tcW w:w="2104" w:type="dxa"/>
                  <w:vMerge w:val="restart"/>
                  <w:noWrap w:val="0"/>
                  <w:vAlign w:val="center"/>
                </w:tcPr>
                <w:p w14:paraId="7B57C8C3">
                  <w:pPr>
                    <w:jc w:val="center"/>
                    <w:rPr>
                      <w:rFonts w:hint="eastAsia"/>
                      <w:sz w:val="21"/>
                      <w:szCs w:val="21"/>
                    </w:rPr>
                  </w:pPr>
                  <w:r>
                    <w:rPr>
                      <w:rFonts w:hint="eastAsia"/>
                      <w:sz w:val="21"/>
                      <w:szCs w:val="21"/>
                    </w:rPr>
                    <w:t>《固定源挥发性有机物综合排放标准 第6部分 其他行业》（DB34/4812.6-2024）</w:t>
                  </w:r>
                </w:p>
                <w:p w14:paraId="6AB148C6">
                  <w:pPr>
                    <w:jc w:val="center"/>
                    <w:rPr>
                      <w:rFonts w:hint="eastAsia"/>
                      <w:sz w:val="21"/>
                      <w:szCs w:val="21"/>
                    </w:rPr>
                  </w:pPr>
                  <w:r>
                    <w:rPr>
                      <w:rFonts w:hint="eastAsia"/>
                      <w:sz w:val="21"/>
                      <w:szCs w:val="21"/>
                    </w:rPr>
                    <w:t>《大气污染物综合排放标准》（GB16297-1996）</w:t>
                  </w:r>
                </w:p>
              </w:tc>
            </w:tr>
            <w:tr w14:paraId="27B0609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28" w:type="dxa"/>
                  <w:left w:w="28" w:type="dxa"/>
                  <w:bottom w:w="28" w:type="dxa"/>
                  <w:right w:w="28" w:type="dxa"/>
                </w:tblCellMar>
              </w:tblPrEx>
              <w:trPr>
                <w:cantSplit/>
                <w:trHeight w:val="588" w:hRule="atLeast"/>
                <w:jc w:val="center"/>
              </w:trPr>
              <w:tc>
                <w:tcPr>
                  <w:tcW w:w="1095" w:type="dxa"/>
                  <w:vMerge w:val="continue"/>
                  <w:noWrap w:val="0"/>
                  <w:vAlign w:val="center"/>
                </w:tcPr>
                <w:p w14:paraId="452A765D">
                  <w:pPr>
                    <w:spacing w:line="260" w:lineRule="exact"/>
                    <w:jc w:val="center"/>
                  </w:pPr>
                </w:p>
              </w:tc>
              <w:tc>
                <w:tcPr>
                  <w:tcW w:w="674" w:type="dxa"/>
                  <w:vMerge w:val="continue"/>
                  <w:noWrap w:val="0"/>
                  <w:vAlign w:val="center"/>
                </w:tcPr>
                <w:p w14:paraId="14D49B4F">
                  <w:pPr>
                    <w:spacing w:line="260" w:lineRule="exact"/>
                    <w:jc w:val="center"/>
                  </w:pPr>
                </w:p>
              </w:tc>
              <w:tc>
                <w:tcPr>
                  <w:tcW w:w="1035" w:type="dxa"/>
                  <w:vMerge w:val="continue"/>
                  <w:noWrap w:val="0"/>
                  <w:vAlign w:val="center"/>
                </w:tcPr>
                <w:p w14:paraId="48BC9426">
                  <w:pPr>
                    <w:spacing w:line="260" w:lineRule="exact"/>
                    <w:jc w:val="center"/>
                  </w:pPr>
                </w:p>
              </w:tc>
              <w:tc>
                <w:tcPr>
                  <w:tcW w:w="890" w:type="dxa"/>
                  <w:vMerge w:val="continue"/>
                  <w:tcBorders>
                    <w:right w:val="single" w:color="auto" w:sz="4" w:space="0"/>
                  </w:tcBorders>
                  <w:noWrap w:val="0"/>
                  <w:vAlign w:val="center"/>
                </w:tcPr>
                <w:p w14:paraId="48C15E32">
                  <w:pPr>
                    <w:spacing w:line="260" w:lineRule="exact"/>
                    <w:jc w:val="center"/>
                  </w:pPr>
                </w:p>
              </w:tc>
              <w:tc>
                <w:tcPr>
                  <w:tcW w:w="860" w:type="dxa"/>
                  <w:vMerge w:val="continue"/>
                  <w:tcBorders>
                    <w:left w:val="single" w:color="auto" w:sz="4" w:space="0"/>
                    <w:bottom w:val="single" w:color="auto" w:sz="4" w:space="0"/>
                  </w:tcBorders>
                  <w:noWrap w:val="0"/>
                  <w:vAlign w:val="center"/>
                </w:tcPr>
                <w:p w14:paraId="4AA8A7ED">
                  <w:pPr>
                    <w:spacing w:line="260" w:lineRule="exact"/>
                    <w:jc w:val="center"/>
                    <w:rPr>
                      <w:color w:val="FF0000"/>
                    </w:rPr>
                  </w:pPr>
                </w:p>
              </w:tc>
              <w:tc>
                <w:tcPr>
                  <w:tcW w:w="1343" w:type="dxa"/>
                  <w:tcBorders>
                    <w:top w:val="single" w:color="auto" w:sz="4" w:space="0"/>
                    <w:left w:val="single" w:color="auto" w:sz="4" w:space="0"/>
                    <w:bottom w:val="single" w:color="auto" w:sz="4" w:space="0"/>
                  </w:tcBorders>
                  <w:noWrap w:val="0"/>
                  <w:vAlign w:val="center"/>
                </w:tcPr>
                <w:p w14:paraId="0BC5E5F3">
                  <w:pPr>
                    <w:spacing w:line="260" w:lineRule="exact"/>
                    <w:jc w:val="center"/>
                    <w:rPr>
                      <w:color w:val="FF0000"/>
                    </w:rPr>
                  </w:pPr>
                  <w:r>
                    <w:rPr>
                      <w:rFonts w:hint="eastAsia"/>
                      <w:color w:val="FF0000"/>
                      <w:sz w:val="21"/>
                      <w:szCs w:val="21"/>
                    </w:rPr>
                    <w:t>20（监控点处任意一次浓度值）</w:t>
                  </w:r>
                </w:p>
              </w:tc>
              <w:tc>
                <w:tcPr>
                  <w:tcW w:w="2104" w:type="dxa"/>
                  <w:vMerge w:val="continue"/>
                  <w:noWrap w:val="0"/>
                  <w:vAlign w:val="center"/>
                </w:tcPr>
                <w:p w14:paraId="6025D6AD">
                  <w:pPr>
                    <w:spacing w:line="260" w:lineRule="exact"/>
                    <w:jc w:val="center"/>
                  </w:pPr>
                </w:p>
              </w:tc>
            </w:tr>
            <w:tr w14:paraId="5F0645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28" w:type="dxa"/>
                  <w:left w:w="28" w:type="dxa"/>
                  <w:bottom w:w="28" w:type="dxa"/>
                  <w:right w:w="28" w:type="dxa"/>
                </w:tblCellMar>
              </w:tblPrEx>
              <w:trPr>
                <w:cantSplit/>
                <w:trHeight w:val="588" w:hRule="atLeast"/>
                <w:jc w:val="center"/>
              </w:trPr>
              <w:tc>
                <w:tcPr>
                  <w:tcW w:w="1095" w:type="dxa"/>
                  <w:vMerge w:val="continue"/>
                  <w:noWrap w:val="0"/>
                  <w:vAlign w:val="center"/>
                </w:tcPr>
                <w:p w14:paraId="6C5D595C">
                  <w:pPr>
                    <w:spacing w:line="260" w:lineRule="exact"/>
                    <w:jc w:val="center"/>
                  </w:pPr>
                </w:p>
              </w:tc>
              <w:tc>
                <w:tcPr>
                  <w:tcW w:w="674" w:type="dxa"/>
                  <w:vMerge w:val="continue"/>
                  <w:noWrap w:val="0"/>
                  <w:vAlign w:val="center"/>
                </w:tcPr>
                <w:p w14:paraId="5BC17317">
                  <w:pPr>
                    <w:spacing w:line="260" w:lineRule="exact"/>
                    <w:jc w:val="center"/>
                  </w:pPr>
                </w:p>
              </w:tc>
              <w:tc>
                <w:tcPr>
                  <w:tcW w:w="1035" w:type="dxa"/>
                  <w:vMerge w:val="continue"/>
                  <w:noWrap w:val="0"/>
                  <w:vAlign w:val="center"/>
                </w:tcPr>
                <w:p w14:paraId="53DD938C">
                  <w:pPr>
                    <w:spacing w:line="260" w:lineRule="exact"/>
                    <w:jc w:val="center"/>
                  </w:pPr>
                </w:p>
              </w:tc>
              <w:tc>
                <w:tcPr>
                  <w:tcW w:w="890" w:type="dxa"/>
                  <w:vMerge w:val="continue"/>
                  <w:tcBorders>
                    <w:right w:val="single" w:color="auto" w:sz="4" w:space="0"/>
                  </w:tcBorders>
                  <w:noWrap w:val="0"/>
                  <w:vAlign w:val="center"/>
                </w:tcPr>
                <w:p w14:paraId="32182AAF">
                  <w:pPr>
                    <w:spacing w:line="260" w:lineRule="exact"/>
                    <w:jc w:val="center"/>
                  </w:pPr>
                </w:p>
              </w:tc>
              <w:tc>
                <w:tcPr>
                  <w:tcW w:w="860" w:type="dxa"/>
                  <w:tcBorders>
                    <w:top w:val="single" w:color="auto" w:sz="4" w:space="0"/>
                    <w:left w:val="single" w:color="auto" w:sz="4" w:space="0"/>
                    <w:bottom w:val="single" w:color="auto" w:sz="4" w:space="0"/>
                  </w:tcBorders>
                  <w:noWrap w:val="0"/>
                  <w:vAlign w:val="center"/>
                </w:tcPr>
                <w:p w14:paraId="4621F06D">
                  <w:pPr>
                    <w:spacing w:line="260" w:lineRule="exact"/>
                    <w:jc w:val="center"/>
                    <w:rPr>
                      <w:rFonts w:hint="eastAsia" w:eastAsia="宋体"/>
                      <w:lang w:eastAsia="zh-CN"/>
                    </w:rPr>
                  </w:pPr>
                  <w:r>
                    <w:rPr>
                      <w:rFonts w:hint="eastAsia"/>
                      <w:lang w:eastAsia="zh-CN"/>
                    </w:rPr>
                    <w:t>厂界</w:t>
                  </w:r>
                </w:p>
              </w:tc>
              <w:tc>
                <w:tcPr>
                  <w:tcW w:w="1343" w:type="dxa"/>
                  <w:tcBorders>
                    <w:top w:val="single" w:color="auto" w:sz="4" w:space="0"/>
                    <w:left w:val="single" w:color="auto" w:sz="4" w:space="0"/>
                    <w:bottom w:val="single" w:color="auto" w:sz="4" w:space="0"/>
                  </w:tcBorders>
                  <w:noWrap w:val="0"/>
                  <w:vAlign w:val="center"/>
                </w:tcPr>
                <w:p w14:paraId="16409F3A">
                  <w:pPr>
                    <w:spacing w:line="260" w:lineRule="exact"/>
                    <w:jc w:val="center"/>
                    <w:rPr>
                      <w:rFonts w:hint="default" w:eastAsia="宋体"/>
                      <w:lang w:val="en-US" w:eastAsia="zh-CN"/>
                    </w:rPr>
                  </w:pPr>
                  <w:r>
                    <w:rPr>
                      <w:rFonts w:hint="eastAsia"/>
                      <w:lang w:val="en-US" w:eastAsia="zh-CN"/>
                    </w:rPr>
                    <w:t>4.0</w:t>
                  </w:r>
                </w:p>
              </w:tc>
              <w:tc>
                <w:tcPr>
                  <w:tcW w:w="2104" w:type="dxa"/>
                  <w:vMerge w:val="continue"/>
                  <w:noWrap w:val="0"/>
                  <w:vAlign w:val="center"/>
                </w:tcPr>
                <w:p w14:paraId="2146842C">
                  <w:pPr>
                    <w:spacing w:line="260" w:lineRule="exact"/>
                    <w:jc w:val="center"/>
                  </w:pPr>
                </w:p>
              </w:tc>
            </w:tr>
            <w:tr w14:paraId="1BE9064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28" w:type="dxa"/>
                  <w:left w:w="28" w:type="dxa"/>
                  <w:bottom w:w="28" w:type="dxa"/>
                  <w:right w:w="28" w:type="dxa"/>
                </w:tblCellMar>
              </w:tblPrEx>
              <w:trPr>
                <w:cantSplit/>
                <w:trHeight w:val="588" w:hRule="atLeast"/>
                <w:jc w:val="center"/>
              </w:trPr>
              <w:tc>
                <w:tcPr>
                  <w:tcW w:w="1095" w:type="dxa"/>
                  <w:vMerge w:val="continue"/>
                  <w:noWrap w:val="0"/>
                  <w:vAlign w:val="center"/>
                </w:tcPr>
                <w:p w14:paraId="5B74607B">
                  <w:pPr>
                    <w:spacing w:line="260" w:lineRule="exact"/>
                    <w:jc w:val="center"/>
                  </w:pPr>
                </w:p>
              </w:tc>
              <w:tc>
                <w:tcPr>
                  <w:tcW w:w="674" w:type="dxa"/>
                  <w:noWrap w:val="0"/>
                  <w:vAlign w:val="center"/>
                </w:tcPr>
                <w:p w14:paraId="68349B90">
                  <w:pPr>
                    <w:spacing w:line="260" w:lineRule="exact"/>
                    <w:jc w:val="center"/>
                    <w:rPr>
                      <w:rFonts w:hint="eastAsia" w:eastAsia="宋体"/>
                      <w:lang w:eastAsia="zh-CN"/>
                    </w:rPr>
                  </w:pPr>
                  <w:r>
                    <w:rPr>
                      <w:rFonts w:hint="eastAsia"/>
                      <w:lang w:eastAsia="zh-CN"/>
                    </w:rPr>
                    <w:t>二甲苯</w:t>
                  </w:r>
                </w:p>
              </w:tc>
              <w:tc>
                <w:tcPr>
                  <w:tcW w:w="1035" w:type="dxa"/>
                  <w:noWrap w:val="0"/>
                  <w:vAlign w:val="center"/>
                </w:tcPr>
                <w:p w14:paraId="377D56A1">
                  <w:pPr>
                    <w:spacing w:line="260" w:lineRule="exact"/>
                    <w:jc w:val="center"/>
                    <w:rPr>
                      <w:rFonts w:hint="default" w:eastAsia="宋体"/>
                      <w:lang w:val="en-US" w:eastAsia="zh-CN"/>
                    </w:rPr>
                  </w:pPr>
                  <w:r>
                    <w:rPr>
                      <w:rFonts w:hint="eastAsia"/>
                      <w:lang w:val="en-US" w:eastAsia="zh-CN"/>
                    </w:rPr>
                    <w:t>20</w:t>
                  </w:r>
                </w:p>
              </w:tc>
              <w:tc>
                <w:tcPr>
                  <w:tcW w:w="890" w:type="dxa"/>
                  <w:tcBorders>
                    <w:right w:val="single" w:color="auto" w:sz="4" w:space="0"/>
                  </w:tcBorders>
                  <w:noWrap w:val="0"/>
                  <w:vAlign w:val="center"/>
                </w:tcPr>
                <w:p w14:paraId="7CC17A90">
                  <w:pPr>
                    <w:spacing w:line="260" w:lineRule="exact"/>
                    <w:jc w:val="center"/>
                    <w:rPr>
                      <w:rFonts w:hint="default" w:eastAsia="宋体"/>
                      <w:lang w:val="en-US" w:eastAsia="zh-CN"/>
                    </w:rPr>
                  </w:pPr>
                  <w:r>
                    <w:rPr>
                      <w:rFonts w:hint="eastAsia"/>
                      <w:lang w:val="en-US" w:eastAsia="zh-CN"/>
                    </w:rPr>
                    <w:t>/</w:t>
                  </w:r>
                </w:p>
              </w:tc>
              <w:tc>
                <w:tcPr>
                  <w:tcW w:w="860" w:type="dxa"/>
                  <w:tcBorders>
                    <w:top w:val="single" w:color="auto" w:sz="4" w:space="0"/>
                    <w:left w:val="single" w:color="auto" w:sz="4" w:space="0"/>
                    <w:bottom w:val="single" w:color="auto" w:sz="4" w:space="0"/>
                  </w:tcBorders>
                  <w:noWrap w:val="0"/>
                  <w:vAlign w:val="center"/>
                </w:tcPr>
                <w:p w14:paraId="7BBFB007">
                  <w:pPr>
                    <w:spacing w:line="260" w:lineRule="exact"/>
                    <w:jc w:val="center"/>
                    <w:rPr>
                      <w:rFonts w:hint="eastAsia"/>
                      <w:lang w:eastAsia="zh-CN"/>
                    </w:rPr>
                  </w:pPr>
                  <w:r>
                    <w:rPr>
                      <w:rFonts w:hint="eastAsia"/>
                      <w:lang w:eastAsia="zh-CN"/>
                    </w:rPr>
                    <w:t>厂界</w:t>
                  </w:r>
                </w:p>
              </w:tc>
              <w:tc>
                <w:tcPr>
                  <w:tcW w:w="1343" w:type="dxa"/>
                  <w:tcBorders>
                    <w:top w:val="single" w:color="auto" w:sz="4" w:space="0"/>
                    <w:left w:val="single" w:color="auto" w:sz="4" w:space="0"/>
                    <w:bottom w:val="single" w:color="auto" w:sz="4" w:space="0"/>
                  </w:tcBorders>
                  <w:noWrap w:val="0"/>
                  <w:vAlign w:val="center"/>
                </w:tcPr>
                <w:p w14:paraId="4A6C1085">
                  <w:pPr>
                    <w:spacing w:line="260" w:lineRule="exact"/>
                    <w:jc w:val="center"/>
                    <w:rPr>
                      <w:rFonts w:hint="default"/>
                      <w:lang w:val="en-US" w:eastAsia="zh-CN"/>
                    </w:rPr>
                  </w:pPr>
                  <w:r>
                    <w:rPr>
                      <w:rFonts w:hint="eastAsia"/>
                      <w:lang w:val="en-US" w:eastAsia="zh-CN"/>
                    </w:rPr>
                    <w:t>1.2</w:t>
                  </w:r>
                </w:p>
              </w:tc>
              <w:tc>
                <w:tcPr>
                  <w:tcW w:w="2104" w:type="dxa"/>
                  <w:vMerge w:val="continue"/>
                  <w:noWrap w:val="0"/>
                  <w:vAlign w:val="center"/>
                </w:tcPr>
                <w:p w14:paraId="538A0137">
                  <w:pPr>
                    <w:jc w:val="center"/>
                    <w:rPr>
                      <w:rFonts w:hint="eastAsia"/>
                      <w:sz w:val="21"/>
                      <w:szCs w:val="21"/>
                    </w:rPr>
                  </w:pPr>
                </w:p>
              </w:tc>
            </w:tr>
            <w:tr w14:paraId="34BA673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28" w:type="dxa"/>
                  <w:left w:w="28" w:type="dxa"/>
                  <w:bottom w:w="28" w:type="dxa"/>
                  <w:right w:w="28" w:type="dxa"/>
                </w:tblCellMar>
              </w:tblPrEx>
              <w:trPr>
                <w:cantSplit/>
                <w:trHeight w:val="23" w:hRule="atLeast"/>
                <w:jc w:val="center"/>
              </w:trPr>
              <w:tc>
                <w:tcPr>
                  <w:tcW w:w="1095" w:type="dxa"/>
                  <w:noWrap w:val="0"/>
                  <w:vAlign w:val="center"/>
                </w:tcPr>
                <w:p w14:paraId="7DC85503">
                  <w:pPr>
                    <w:jc w:val="center"/>
                    <w:rPr>
                      <w:rFonts w:hint="default" w:eastAsia="宋体"/>
                      <w:sz w:val="21"/>
                      <w:szCs w:val="21"/>
                      <w:lang w:val="en-US" w:eastAsia="zh-CN"/>
                    </w:rPr>
                  </w:pPr>
                  <w:r>
                    <w:rPr>
                      <w:rFonts w:hint="eastAsia"/>
                      <w:sz w:val="21"/>
                      <w:szCs w:val="21"/>
                      <w:lang w:val="en-US" w:eastAsia="zh-CN"/>
                    </w:rPr>
                    <w:t>喷漆、焊接、切割</w:t>
                  </w:r>
                </w:p>
              </w:tc>
              <w:tc>
                <w:tcPr>
                  <w:tcW w:w="674" w:type="dxa"/>
                  <w:noWrap w:val="0"/>
                  <w:vAlign w:val="center"/>
                </w:tcPr>
                <w:p w14:paraId="4FEB0859">
                  <w:pPr>
                    <w:jc w:val="center"/>
                    <w:rPr>
                      <w:rFonts w:hint="eastAsia"/>
                      <w:sz w:val="21"/>
                      <w:szCs w:val="21"/>
                    </w:rPr>
                  </w:pPr>
                  <w:r>
                    <w:rPr>
                      <w:sz w:val="21"/>
                      <w:szCs w:val="21"/>
                    </w:rPr>
                    <w:t>颗粒物</w:t>
                  </w:r>
                </w:p>
              </w:tc>
              <w:tc>
                <w:tcPr>
                  <w:tcW w:w="1035" w:type="dxa"/>
                  <w:noWrap w:val="0"/>
                  <w:vAlign w:val="center"/>
                </w:tcPr>
                <w:p w14:paraId="067D5DB3">
                  <w:pPr>
                    <w:jc w:val="center"/>
                    <w:rPr>
                      <w:rFonts w:hint="default" w:eastAsia="宋体"/>
                      <w:snapToGrid w:val="0"/>
                      <w:kern w:val="0"/>
                      <w:sz w:val="21"/>
                      <w:szCs w:val="21"/>
                      <w:lang w:val="en-US" w:eastAsia="zh-CN"/>
                    </w:rPr>
                  </w:pPr>
                  <w:r>
                    <w:rPr>
                      <w:rFonts w:hint="eastAsia"/>
                      <w:snapToGrid w:val="0"/>
                      <w:kern w:val="0"/>
                      <w:sz w:val="21"/>
                      <w:szCs w:val="21"/>
                      <w:lang w:val="en-US" w:eastAsia="zh-CN"/>
                    </w:rPr>
                    <w:t>120</w:t>
                  </w:r>
                </w:p>
              </w:tc>
              <w:tc>
                <w:tcPr>
                  <w:tcW w:w="890" w:type="dxa"/>
                  <w:tcBorders>
                    <w:right w:val="single" w:color="auto" w:sz="4" w:space="0"/>
                  </w:tcBorders>
                  <w:noWrap w:val="0"/>
                  <w:vAlign w:val="center"/>
                </w:tcPr>
                <w:p w14:paraId="6CA7E75F">
                  <w:pPr>
                    <w:jc w:val="center"/>
                    <w:rPr>
                      <w:rFonts w:hint="default" w:eastAsia="宋体"/>
                      <w:sz w:val="21"/>
                      <w:szCs w:val="21"/>
                      <w:lang w:val="en-US" w:eastAsia="zh-CN"/>
                    </w:rPr>
                  </w:pPr>
                  <w:r>
                    <w:rPr>
                      <w:rFonts w:hint="eastAsia"/>
                      <w:snapToGrid w:val="0"/>
                      <w:kern w:val="0"/>
                      <w:sz w:val="21"/>
                      <w:szCs w:val="21"/>
                      <w:lang w:val="en-US" w:eastAsia="zh-CN"/>
                    </w:rPr>
                    <w:t>3.5</w:t>
                  </w:r>
                </w:p>
              </w:tc>
              <w:tc>
                <w:tcPr>
                  <w:tcW w:w="860" w:type="dxa"/>
                  <w:tcBorders>
                    <w:top w:val="single" w:color="auto" w:sz="4" w:space="0"/>
                    <w:left w:val="single" w:color="auto" w:sz="4" w:space="0"/>
                  </w:tcBorders>
                  <w:noWrap w:val="0"/>
                  <w:vAlign w:val="center"/>
                </w:tcPr>
                <w:p w14:paraId="3F33C1EB">
                  <w:pPr>
                    <w:jc w:val="center"/>
                    <w:rPr>
                      <w:snapToGrid w:val="0"/>
                      <w:kern w:val="0"/>
                      <w:sz w:val="21"/>
                      <w:szCs w:val="21"/>
                    </w:rPr>
                  </w:pPr>
                  <w:r>
                    <w:rPr>
                      <w:rFonts w:hint="eastAsia"/>
                      <w:snapToGrid w:val="0"/>
                      <w:kern w:val="0"/>
                      <w:sz w:val="21"/>
                      <w:szCs w:val="21"/>
                    </w:rPr>
                    <w:t>厂界</w:t>
                  </w:r>
                </w:p>
              </w:tc>
              <w:tc>
                <w:tcPr>
                  <w:tcW w:w="1343" w:type="dxa"/>
                  <w:tcBorders>
                    <w:top w:val="single" w:color="auto" w:sz="4" w:space="0"/>
                  </w:tcBorders>
                  <w:noWrap w:val="0"/>
                  <w:vAlign w:val="center"/>
                </w:tcPr>
                <w:p w14:paraId="4C2D6893">
                  <w:pPr>
                    <w:jc w:val="center"/>
                    <w:rPr>
                      <w:rFonts w:hint="eastAsia"/>
                      <w:snapToGrid w:val="0"/>
                      <w:kern w:val="0"/>
                      <w:sz w:val="21"/>
                      <w:szCs w:val="21"/>
                    </w:rPr>
                  </w:pPr>
                  <w:r>
                    <w:rPr>
                      <w:rFonts w:hint="eastAsia"/>
                      <w:snapToGrid w:val="0"/>
                      <w:kern w:val="0"/>
                      <w:sz w:val="21"/>
                      <w:szCs w:val="21"/>
                    </w:rPr>
                    <w:t>1.0</w:t>
                  </w:r>
                </w:p>
              </w:tc>
              <w:tc>
                <w:tcPr>
                  <w:tcW w:w="2104" w:type="dxa"/>
                  <w:vMerge w:val="continue"/>
                  <w:noWrap w:val="0"/>
                  <w:vAlign w:val="center"/>
                </w:tcPr>
                <w:p w14:paraId="6C565DCD">
                  <w:pPr>
                    <w:jc w:val="center"/>
                    <w:rPr>
                      <w:rFonts w:hint="eastAsia"/>
                      <w:sz w:val="21"/>
                      <w:szCs w:val="21"/>
                    </w:rPr>
                  </w:pPr>
                </w:p>
              </w:tc>
            </w:tr>
          </w:tbl>
          <w:p w14:paraId="65C0CFE9">
            <w:pPr>
              <w:keepNext w:val="0"/>
              <w:keepLines w:val="0"/>
              <w:pageBreakBefore w:val="0"/>
              <w:widowControl/>
              <w:numPr>
                <w:ilvl w:val="0"/>
                <w:numId w:val="2"/>
              </w:numPr>
              <w:kinsoku/>
              <w:wordWrap/>
              <w:overflowPunct/>
              <w:topLinePunct w:val="0"/>
              <w:autoSpaceDE/>
              <w:autoSpaceDN/>
              <w:bidi w:val="0"/>
              <w:adjustRightInd/>
              <w:snapToGrid/>
              <w:ind w:left="0" w:firstLine="0"/>
              <w:jc w:val="center"/>
              <w:textAlignment w:val="auto"/>
              <w:rPr>
                <w:b/>
                <w:kern w:val="0"/>
                <w:szCs w:val="21"/>
              </w:rPr>
            </w:pPr>
            <w:r>
              <w:rPr>
                <w:rFonts w:hint="eastAsia"/>
                <w:b/>
                <w:kern w:val="0"/>
                <w:szCs w:val="21"/>
                <w:lang w:eastAsia="zh-CN"/>
              </w:rPr>
              <w:t>施工期颗粒物</w:t>
            </w:r>
            <w:r>
              <w:rPr>
                <w:b/>
                <w:kern w:val="0"/>
                <w:szCs w:val="21"/>
              </w:rPr>
              <w:t>排放标准一览表</w:t>
            </w:r>
          </w:p>
          <w:tbl>
            <w:tblPr>
              <w:tblStyle w:val="78"/>
              <w:tblpPr w:leftFromText="180" w:rightFromText="180" w:vertAnchor="text" w:horzAnchor="page" w:tblpXSpec="center" w:tblpY="111"/>
              <w:tblOverlap w:val="never"/>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284"/>
              <w:gridCol w:w="1098"/>
              <w:gridCol w:w="1749"/>
              <w:gridCol w:w="1938"/>
              <w:gridCol w:w="1947"/>
            </w:tblGrid>
            <w:tr w14:paraId="43C78D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jc w:val="center"/>
              </w:trPr>
              <w:tc>
                <w:tcPr>
                  <w:tcW w:w="802" w:type="pct"/>
                  <w:vAlign w:val="center"/>
                </w:tcPr>
                <w:p w14:paraId="32747D84">
                  <w:pPr>
                    <w:pStyle w:val="8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8"/>
                      <w:sz w:val="21"/>
                      <w:szCs w:val="21"/>
                    </w:rPr>
                    <w:t>控制项目</w:t>
                  </w:r>
                </w:p>
              </w:tc>
              <w:tc>
                <w:tcPr>
                  <w:tcW w:w="686" w:type="pct"/>
                  <w:vAlign w:val="center"/>
                </w:tcPr>
                <w:p w14:paraId="70C69296">
                  <w:pPr>
                    <w:pStyle w:val="8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3"/>
                      <w:sz w:val="21"/>
                      <w:szCs w:val="21"/>
                    </w:rPr>
                    <w:t>单位</w:t>
                  </w:r>
                </w:p>
              </w:tc>
              <w:tc>
                <w:tcPr>
                  <w:tcW w:w="1092" w:type="pct"/>
                  <w:vAlign w:val="center"/>
                </w:tcPr>
                <w:p w14:paraId="2083B3BC">
                  <w:pPr>
                    <w:pStyle w:val="8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监测点浓度限值</w:t>
                  </w:r>
                </w:p>
              </w:tc>
              <w:tc>
                <w:tcPr>
                  <w:tcW w:w="1209" w:type="pct"/>
                  <w:vAlign w:val="center"/>
                </w:tcPr>
                <w:p w14:paraId="7F36A397">
                  <w:pPr>
                    <w:pStyle w:val="8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达标判定依据</w:t>
                  </w:r>
                </w:p>
              </w:tc>
              <w:tc>
                <w:tcPr>
                  <w:tcW w:w="1209" w:type="pct"/>
                  <w:vAlign w:val="center"/>
                </w:tcPr>
                <w:p w14:paraId="4EE366C1">
                  <w:pPr>
                    <w:pStyle w:val="8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pacing w:val="-1"/>
                      <w:sz w:val="21"/>
                      <w:szCs w:val="21"/>
                    </w:rPr>
                  </w:pPr>
                  <w:r>
                    <w:rPr>
                      <w:snapToGrid w:val="0"/>
                      <w:kern w:val="0"/>
                      <w:sz w:val="21"/>
                      <w:szCs w:val="21"/>
                    </w:rPr>
                    <w:t>执行标准</w:t>
                  </w:r>
                </w:p>
              </w:tc>
            </w:tr>
            <w:tr w14:paraId="0FF287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jc w:val="center"/>
              </w:trPr>
              <w:tc>
                <w:tcPr>
                  <w:tcW w:w="802" w:type="pct"/>
                  <w:vMerge w:val="restart"/>
                  <w:tcBorders>
                    <w:bottom w:val="nil"/>
                  </w:tcBorders>
                  <w:vAlign w:val="center"/>
                </w:tcPr>
                <w:p w14:paraId="799CD92E">
                  <w:pPr>
                    <w:pStyle w:val="8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TSP</w:t>
                  </w:r>
                </w:p>
              </w:tc>
              <w:tc>
                <w:tcPr>
                  <w:tcW w:w="686" w:type="pct"/>
                  <w:vMerge w:val="restart"/>
                  <w:tcBorders>
                    <w:bottom w:val="nil"/>
                  </w:tcBorders>
                  <w:vAlign w:val="center"/>
                </w:tcPr>
                <w:p w14:paraId="00237071">
                  <w:pPr>
                    <w:pStyle w:val="8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9"/>
                      <w:sz w:val="21"/>
                      <w:szCs w:val="21"/>
                    </w:rPr>
                    <w:t>μg/m³</w:t>
                  </w:r>
                </w:p>
              </w:tc>
              <w:tc>
                <w:tcPr>
                  <w:tcW w:w="1092" w:type="pct"/>
                  <w:vAlign w:val="center"/>
                </w:tcPr>
                <w:p w14:paraId="43FB4967">
                  <w:pPr>
                    <w:pStyle w:val="8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4"/>
                      <w:sz w:val="21"/>
                      <w:szCs w:val="21"/>
                    </w:rPr>
                    <w:t>1000</w:t>
                  </w:r>
                </w:p>
              </w:tc>
              <w:tc>
                <w:tcPr>
                  <w:tcW w:w="1209" w:type="pct"/>
                  <w:vAlign w:val="center"/>
                </w:tcPr>
                <w:p w14:paraId="421D52C0">
                  <w:pPr>
                    <w:pStyle w:val="8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3"/>
                      <w:sz w:val="21"/>
                      <w:szCs w:val="21"/>
                    </w:rPr>
                    <w:t>超标次数≤1次/日</w:t>
                  </w:r>
                </w:p>
              </w:tc>
              <w:tc>
                <w:tcPr>
                  <w:tcW w:w="1209" w:type="pct"/>
                  <w:vMerge w:val="restart"/>
                  <w:vAlign w:val="center"/>
                </w:tcPr>
                <w:p w14:paraId="13E88941">
                  <w:pPr>
                    <w:pStyle w:val="8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pacing w:val="3"/>
                      <w:sz w:val="21"/>
                      <w:szCs w:val="21"/>
                    </w:rPr>
                  </w:pPr>
                  <w:r>
                    <w:rPr>
                      <w:rFonts w:hint="default" w:ascii="Times New Roman" w:hAnsi="Times New Roman" w:eastAsia="宋体" w:cs="Times New Roman"/>
                      <w:spacing w:val="3"/>
                      <w:sz w:val="21"/>
                      <w:szCs w:val="21"/>
                    </w:rPr>
                    <w:t>《施工场地颗粒物排放标准》（DB34/4811-2024）</w:t>
                  </w:r>
                </w:p>
              </w:tc>
            </w:tr>
            <w:tr w14:paraId="351287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jc w:val="center"/>
              </w:trPr>
              <w:tc>
                <w:tcPr>
                  <w:tcW w:w="802" w:type="pct"/>
                  <w:vMerge w:val="continue"/>
                  <w:tcBorders>
                    <w:top w:val="nil"/>
                  </w:tcBorders>
                  <w:vAlign w:val="center"/>
                </w:tcPr>
                <w:p w14:paraId="73BD7D3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p>
              </w:tc>
              <w:tc>
                <w:tcPr>
                  <w:tcW w:w="686" w:type="pct"/>
                  <w:vMerge w:val="continue"/>
                  <w:tcBorders>
                    <w:top w:val="nil"/>
                  </w:tcBorders>
                  <w:vAlign w:val="center"/>
                </w:tcPr>
                <w:p w14:paraId="198498F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p>
              </w:tc>
              <w:tc>
                <w:tcPr>
                  <w:tcW w:w="1092" w:type="pct"/>
                  <w:vAlign w:val="center"/>
                </w:tcPr>
                <w:p w14:paraId="07321131">
                  <w:pPr>
                    <w:pStyle w:val="8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3"/>
                      <w:sz w:val="21"/>
                      <w:szCs w:val="21"/>
                    </w:rPr>
                    <w:t>500</w:t>
                  </w:r>
                </w:p>
              </w:tc>
              <w:tc>
                <w:tcPr>
                  <w:tcW w:w="1209" w:type="pct"/>
                  <w:vAlign w:val="center"/>
                </w:tcPr>
                <w:p w14:paraId="133F0AAC">
                  <w:pPr>
                    <w:pStyle w:val="8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3"/>
                      <w:sz w:val="21"/>
                      <w:szCs w:val="21"/>
                    </w:rPr>
                    <w:t>超标次数≤6次/日</w:t>
                  </w:r>
                </w:p>
              </w:tc>
              <w:tc>
                <w:tcPr>
                  <w:tcW w:w="1209" w:type="pct"/>
                  <w:vMerge w:val="continue"/>
                  <w:vAlign w:val="center"/>
                </w:tcPr>
                <w:p w14:paraId="7E918938">
                  <w:pPr>
                    <w:pStyle w:val="8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pacing w:val="3"/>
                      <w:sz w:val="21"/>
                      <w:szCs w:val="21"/>
                    </w:rPr>
                  </w:pPr>
                </w:p>
              </w:tc>
            </w:tr>
            <w:tr w14:paraId="087796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9" w:hRule="atLeast"/>
                <w:jc w:val="center"/>
              </w:trPr>
              <w:tc>
                <w:tcPr>
                  <w:tcW w:w="3790" w:type="pct"/>
                  <w:gridSpan w:val="4"/>
                  <w:vAlign w:val="center"/>
                </w:tcPr>
                <w:p w14:paraId="75EB9EA6">
                  <w:pPr>
                    <w:pStyle w:val="8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任一监测点自整时起依次顺延15分钟的TSP浓度平均值不得超过的限值。超标</w:t>
                  </w:r>
                  <w:r>
                    <w:rPr>
                      <w:rFonts w:hint="default" w:ascii="Times New Roman" w:hAnsi="Times New Roman" w:eastAsia="宋体" w:cs="Times New Roman"/>
                      <w:spacing w:val="-1"/>
                      <w:sz w:val="21"/>
                      <w:szCs w:val="21"/>
                    </w:rPr>
                    <w:t>次数指一个日历日96个TSP15分钟浓度平均值超过监测点浓度限值的次数。</w:t>
                  </w:r>
                </w:p>
                <w:p w14:paraId="03CE7D5D">
                  <w:pPr>
                    <w:pStyle w:val="8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4"/>
                      <w:sz w:val="21"/>
                      <w:szCs w:val="21"/>
                    </w:rPr>
                    <w:t>根据</w:t>
                  </w:r>
                  <w:r>
                    <w:rPr>
                      <w:rFonts w:hint="default" w:ascii="Times New Roman" w:hAnsi="Times New Roman" w:eastAsia="宋体" w:cs="Times New Roman"/>
                      <w:sz w:val="21"/>
                      <w:szCs w:val="21"/>
                    </w:rPr>
                    <w:t>HJ</w:t>
                  </w:r>
                  <w:r>
                    <w:rPr>
                      <w:rFonts w:hint="default" w:ascii="Times New Roman" w:hAnsi="Times New Roman" w:eastAsia="宋体" w:cs="Times New Roman"/>
                      <w:spacing w:val="4"/>
                      <w:sz w:val="21"/>
                      <w:szCs w:val="21"/>
                    </w:rPr>
                    <w:t>633判定设区市</w:t>
                  </w:r>
                  <w:r>
                    <w:rPr>
                      <w:rFonts w:hint="default" w:ascii="Times New Roman" w:hAnsi="Times New Roman" w:eastAsia="宋体" w:cs="Times New Roman"/>
                      <w:sz w:val="21"/>
                      <w:szCs w:val="21"/>
                    </w:rPr>
                    <w:t>AQI</w:t>
                  </w:r>
                  <w:r>
                    <w:rPr>
                      <w:rFonts w:hint="default" w:ascii="Times New Roman" w:hAnsi="Times New Roman" w:eastAsia="宋体" w:cs="Times New Roman"/>
                      <w:spacing w:val="4"/>
                      <w:sz w:val="21"/>
                      <w:szCs w:val="21"/>
                    </w:rPr>
                    <w:t>在200~300之间且首要污染物为</w:t>
                  </w:r>
                  <w:r>
                    <w:rPr>
                      <w:rFonts w:hint="default" w:ascii="Times New Roman" w:hAnsi="Times New Roman" w:eastAsia="宋体" w:cs="Times New Roman"/>
                      <w:sz w:val="21"/>
                      <w:szCs w:val="21"/>
                    </w:rPr>
                    <w:t>PMn</w:t>
                  </w:r>
                  <w:r>
                    <w:rPr>
                      <w:rFonts w:hint="default" w:ascii="Times New Roman" w:hAnsi="Times New Roman" w:eastAsia="宋体" w:cs="Times New Roman"/>
                      <w:spacing w:val="4"/>
                      <w:sz w:val="21"/>
                      <w:szCs w:val="21"/>
                    </w:rPr>
                    <w:t>或</w:t>
                  </w:r>
                  <w:r>
                    <w:rPr>
                      <w:rFonts w:hint="default" w:ascii="Times New Roman" w:hAnsi="Times New Roman" w:eastAsia="宋体" w:cs="Times New Roman"/>
                      <w:sz w:val="21"/>
                      <w:szCs w:val="21"/>
                    </w:rPr>
                    <w:t>PM</w:t>
                  </w:r>
                  <w:r>
                    <w:rPr>
                      <w:rFonts w:hint="default" w:ascii="Times New Roman" w:hAnsi="Times New Roman" w:eastAsia="宋体" w:cs="Times New Roman"/>
                      <w:spacing w:val="4"/>
                      <w:sz w:val="21"/>
                      <w:szCs w:val="21"/>
                    </w:rPr>
                    <w:t>₂时，</w:t>
                  </w:r>
                  <w:r>
                    <w:rPr>
                      <w:rFonts w:hint="default" w:ascii="Times New Roman" w:hAnsi="Times New Roman" w:eastAsia="宋体" w:cs="Times New Roman"/>
                      <w:sz w:val="21"/>
                      <w:szCs w:val="21"/>
                    </w:rPr>
                    <w:t>TSP</w:t>
                  </w:r>
                  <w:r>
                    <w:rPr>
                      <w:rFonts w:hint="default" w:ascii="Times New Roman" w:hAnsi="Times New Roman" w:eastAsia="宋体" w:cs="Times New Roman"/>
                      <w:spacing w:val="4"/>
                      <w:sz w:val="21"/>
                      <w:szCs w:val="21"/>
                    </w:rPr>
                    <w:t>实测值扣除200μg/m²后</w:t>
                  </w:r>
                  <w:r>
                    <w:rPr>
                      <w:rFonts w:hint="default" w:ascii="Times New Roman" w:hAnsi="Times New Roman" w:eastAsia="宋体" w:cs="Times New Roman"/>
                      <w:spacing w:val="3"/>
                      <w:sz w:val="21"/>
                      <w:szCs w:val="21"/>
                    </w:rPr>
                    <w:t>再进行评</w:t>
                  </w:r>
                  <w:r>
                    <w:rPr>
                      <w:rFonts w:hint="default" w:ascii="Times New Roman" w:hAnsi="Times New Roman" w:eastAsia="宋体" w:cs="Times New Roman"/>
                      <w:sz w:val="21"/>
                      <w:szCs w:val="21"/>
                    </w:rPr>
                    <w:t>价。</w:t>
                  </w:r>
                </w:p>
              </w:tc>
              <w:tc>
                <w:tcPr>
                  <w:tcW w:w="1209" w:type="pct"/>
                  <w:vMerge w:val="continue"/>
                  <w:vAlign w:val="center"/>
                </w:tcPr>
                <w:p w14:paraId="34EA613A">
                  <w:pPr>
                    <w:pStyle w:val="8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pacing w:val="4"/>
                      <w:sz w:val="21"/>
                      <w:szCs w:val="21"/>
                    </w:rPr>
                  </w:pPr>
                </w:p>
              </w:tc>
            </w:tr>
          </w:tbl>
          <w:p w14:paraId="26DEFF78">
            <w:pPr>
              <w:spacing w:line="360" w:lineRule="auto"/>
              <w:ind w:firstLine="482" w:firstLineChars="200"/>
              <w:rPr>
                <w:b/>
                <w:bCs/>
                <w:sz w:val="24"/>
              </w:rPr>
            </w:pPr>
            <w:r>
              <w:rPr>
                <w:rFonts w:hint="eastAsia"/>
                <w:b/>
                <w:bCs/>
                <w:sz w:val="24"/>
              </w:rPr>
              <w:t>（三）</w:t>
            </w:r>
            <w:r>
              <w:rPr>
                <w:b/>
                <w:bCs/>
                <w:sz w:val="24"/>
              </w:rPr>
              <w:t>噪声</w:t>
            </w:r>
          </w:p>
          <w:p w14:paraId="2C771D64">
            <w:pPr>
              <w:tabs>
                <w:tab w:val="left" w:pos="5142"/>
              </w:tabs>
              <w:snapToGrid w:val="0"/>
              <w:spacing w:line="360" w:lineRule="auto"/>
              <w:ind w:firstLine="600" w:firstLineChars="250"/>
            </w:pPr>
            <w:r>
              <w:rPr>
                <w:rFonts w:hint="eastAsia"/>
                <w:sz w:val="24"/>
              </w:rPr>
              <w:t>本项目</w:t>
            </w:r>
            <w:r>
              <w:rPr>
                <w:sz w:val="24"/>
                <w:lang w:val="ru-RU"/>
              </w:rPr>
              <w:t>施工期噪声</w:t>
            </w:r>
            <w:r>
              <w:rPr>
                <w:rFonts w:hint="eastAsia"/>
                <w:sz w:val="24"/>
                <w:lang w:val="ru-RU"/>
              </w:rPr>
              <w:t>排放</w:t>
            </w:r>
            <w:r>
              <w:rPr>
                <w:sz w:val="24"/>
                <w:lang w:val="ru-RU"/>
              </w:rPr>
              <w:t>执行《建筑施工场界环境噪声排放标准》（GB12523-2011）；营运期厂界噪声</w:t>
            </w:r>
            <w:r>
              <w:rPr>
                <w:rFonts w:hint="eastAsia"/>
                <w:sz w:val="24"/>
                <w:lang w:val="ru-RU"/>
              </w:rPr>
              <w:t>排放</w:t>
            </w:r>
            <w:r>
              <w:rPr>
                <w:sz w:val="24"/>
                <w:lang w:val="ru-RU"/>
              </w:rPr>
              <w:t>执行《工业企业厂界环境噪声排放标准》（GB12348-2008）中3类</w:t>
            </w:r>
            <w:r>
              <w:rPr>
                <w:rFonts w:hint="eastAsia"/>
                <w:sz w:val="24"/>
                <w:lang w:val="ru-RU"/>
              </w:rPr>
              <w:t>区</w:t>
            </w:r>
            <w:r>
              <w:rPr>
                <w:sz w:val="24"/>
                <w:lang w:val="ru-RU"/>
              </w:rPr>
              <w:t>标准</w:t>
            </w:r>
            <w:r>
              <w:rPr>
                <w:rFonts w:hint="eastAsia"/>
                <w:sz w:val="24"/>
                <w:lang w:val="ru-RU"/>
              </w:rPr>
              <w:t>，具体标准限值见下表</w:t>
            </w:r>
            <w:r>
              <w:rPr>
                <w:sz w:val="24"/>
                <w:lang w:val="ru-RU"/>
              </w:rPr>
              <w:t>。</w:t>
            </w:r>
          </w:p>
          <w:p w14:paraId="31C41EF6">
            <w:pPr>
              <w:widowControl/>
              <w:numPr>
                <w:ilvl w:val="0"/>
                <w:numId w:val="2"/>
              </w:numPr>
              <w:jc w:val="center"/>
              <w:rPr>
                <w:b/>
                <w:kern w:val="0"/>
                <w:szCs w:val="21"/>
              </w:rPr>
            </w:pPr>
            <w:r>
              <w:rPr>
                <w:b/>
                <w:kern w:val="0"/>
                <w:szCs w:val="21"/>
              </w:rPr>
              <w:t>噪声排放标准值   单位：dB（A）</w:t>
            </w:r>
          </w:p>
          <w:tbl>
            <w:tblPr>
              <w:tblStyle w:val="26"/>
              <w:tblW w:w="7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1360"/>
              <w:gridCol w:w="1425"/>
              <w:gridCol w:w="3630"/>
            </w:tblGrid>
            <w:tr w14:paraId="5841C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jc w:val="center"/>
              </w:trPr>
              <w:tc>
                <w:tcPr>
                  <w:tcW w:w="1525" w:type="dxa"/>
                  <w:vAlign w:val="center"/>
                </w:tcPr>
                <w:p w14:paraId="1B82C5F3">
                  <w:pPr>
                    <w:jc w:val="center"/>
                    <w:rPr>
                      <w:b/>
                      <w:szCs w:val="21"/>
                    </w:rPr>
                  </w:pPr>
                  <w:r>
                    <w:rPr>
                      <w:rFonts w:hint="eastAsia"/>
                      <w:b/>
                      <w:szCs w:val="21"/>
                    </w:rPr>
                    <w:t>执行时段</w:t>
                  </w:r>
                </w:p>
              </w:tc>
              <w:tc>
                <w:tcPr>
                  <w:tcW w:w="1360" w:type="dxa"/>
                  <w:vAlign w:val="center"/>
                </w:tcPr>
                <w:p w14:paraId="7E6D843B">
                  <w:pPr>
                    <w:jc w:val="center"/>
                    <w:rPr>
                      <w:b/>
                      <w:szCs w:val="21"/>
                    </w:rPr>
                  </w:pPr>
                  <w:r>
                    <w:rPr>
                      <w:b/>
                      <w:szCs w:val="21"/>
                    </w:rPr>
                    <w:t>昼间</w:t>
                  </w:r>
                </w:p>
              </w:tc>
              <w:tc>
                <w:tcPr>
                  <w:tcW w:w="1425" w:type="dxa"/>
                  <w:vAlign w:val="center"/>
                </w:tcPr>
                <w:p w14:paraId="76ECD496">
                  <w:pPr>
                    <w:jc w:val="center"/>
                    <w:rPr>
                      <w:b/>
                      <w:szCs w:val="21"/>
                    </w:rPr>
                  </w:pPr>
                  <w:r>
                    <w:rPr>
                      <w:b/>
                      <w:szCs w:val="21"/>
                    </w:rPr>
                    <w:t>夜间</w:t>
                  </w:r>
                </w:p>
              </w:tc>
              <w:tc>
                <w:tcPr>
                  <w:tcW w:w="3630" w:type="dxa"/>
                  <w:vAlign w:val="center"/>
                </w:tcPr>
                <w:p w14:paraId="34DE8200">
                  <w:pPr>
                    <w:jc w:val="center"/>
                    <w:rPr>
                      <w:b/>
                      <w:szCs w:val="21"/>
                    </w:rPr>
                  </w:pPr>
                  <w:r>
                    <w:rPr>
                      <w:rFonts w:hint="eastAsia"/>
                      <w:b/>
                      <w:szCs w:val="21"/>
                    </w:rPr>
                    <w:t>执行标准</w:t>
                  </w:r>
                </w:p>
              </w:tc>
            </w:tr>
            <w:tr w14:paraId="0577D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jc w:val="center"/>
              </w:trPr>
              <w:tc>
                <w:tcPr>
                  <w:tcW w:w="1525" w:type="dxa"/>
                  <w:vAlign w:val="center"/>
                </w:tcPr>
                <w:p w14:paraId="20ED5EC7">
                  <w:pPr>
                    <w:jc w:val="center"/>
                    <w:rPr>
                      <w:bCs/>
                      <w:szCs w:val="21"/>
                    </w:rPr>
                  </w:pPr>
                  <w:r>
                    <w:rPr>
                      <w:rFonts w:hint="eastAsia"/>
                      <w:bCs/>
                      <w:szCs w:val="21"/>
                    </w:rPr>
                    <w:t>施工期</w:t>
                  </w:r>
                </w:p>
              </w:tc>
              <w:tc>
                <w:tcPr>
                  <w:tcW w:w="1360" w:type="dxa"/>
                  <w:vAlign w:val="center"/>
                </w:tcPr>
                <w:p w14:paraId="5CBD57B5">
                  <w:pPr>
                    <w:jc w:val="center"/>
                    <w:rPr>
                      <w:bCs/>
                      <w:szCs w:val="21"/>
                    </w:rPr>
                  </w:pPr>
                  <w:r>
                    <w:rPr>
                      <w:bCs/>
                      <w:szCs w:val="21"/>
                    </w:rPr>
                    <w:t>70</w:t>
                  </w:r>
                </w:p>
              </w:tc>
              <w:tc>
                <w:tcPr>
                  <w:tcW w:w="1425" w:type="dxa"/>
                  <w:vAlign w:val="center"/>
                </w:tcPr>
                <w:p w14:paraId="2953AAA2">
                  <w:pPr>
                    <w:jc w:val="center"/>
                    <w:rPr>
                      <w:bCs/>
                      <w:szCs w:val="21"/>
                    </w:rPr>
                  </w:pPr>
                  <w:r>
                    <w:rPr>
                      <w:bCs/>
                      <w:szCs w:val="21"/>
                    </w:rPr>
                    <w:t>55</w:t>
                  </w:r>
                </w:p>
              </w:tc>
              <w:tc>
                <w:tcPr>
                  <w:tcW w:w="3630" w:type="dxa"/>
                  <w:vAlign w:val="center"/>
                </w:tcPr>
                <w:p w14:paraId="0CCEF704">
                  <w:pPr>
                    <w:jc w:val="center"/>
                    <w:rPr>
                      <w:bCs/>
                      <w:szCs w:val="21"/>
                    </w:rPr>
                  </w:pPr>
                  <w:r>
                    <w:rPr>
                      <w:bCs/>
                      <w:szCs w:val="21"/>
                    </w:rPr>
                    <w:t>《建筑施工场界环境噪声排放标准》</w:t>
                  </w:r>
                  <w:r>
                    <w:rPr>
                      <w:rFonts w:hint="eastAsia"/>
                      <w:bCs/>
                      <w:szCs w:val="21"/>
                    </w:rPr>
                    <w:t>（</w:t>
                  </w:r>
                  <w:r>
                    <w:rPr>
                      <w:bCs/>
                      <w:szCs w:val="21"/>
                    </w:rPr>
                    <w:t>GB12523-2011）</w:t>
                  </w:r>
                </w:p>
              </w:tc>
            </w:tr>
            <w:tr w14:paraId="74EE3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1" w:hRule="atLeast"/>
                <w:jc w:val="center"/>
              </w:trPr>
              <w:tc>
                <w:tcPr>
                  <w:tcW w:w="1525" w:type="dxa"/>
                  <w:vAlign w:val="center"/>
                </w:tcPr>
                <w:p w14:paraId="454E1C06">
                  <w:pPr>
                    <w:jc w:val="center"/>
                    <w:rPr>
                      <w:bCs/>
                      <w:szCs w:val="21"/>
                    </w:rPr>
                  </w:pPr>
                  <w:r>
                    <w:rPr>
                      <w:rFonts w:hint="eastAsia"/>
                      <w:bCs/>
                      <w:szCs w:val="21"/>
                    </w:rPr>
                    <w:t>营运期</w:t>
                  </w:r>
                </w:p>
              </w:tc>
              <w:tc>
                <w:tcPr>
                  <w:tcW w:w="1360" w:type="dxa"/>
                  <w:vAlign w:val="center"/>
                </w:tcPr>
                <w:p w14:paraId="2648CFB1">
                  <w:pPr>
                    <w:jc w:val="center"/>
                    <w:rPr>
                      <w:bCs/>
                      <w:szCs w:val="21"/>
                    </w:rPr>
                  </w:pPr>
                  <w:r>
                    <w:rPr>
                      <w:bCs/>
                      <w:szCs w:val="21"/>
                    </w:rPr>
                    <w:t>65</w:t>
                  </w:r>
                </w:p>
              </w:tc>
              <w:tc>
                <w:tcPr>
                  <w:tcW w:w="1425" w:type="dxa"/>
                  <w:vAlign w:val="center"/>
                </w:tcPr>
                <w:p w14:paraId="6D854D6B">
                  <w:pPr>
                    <w:jc w:val="center"/>
                    <w:rPr>
                      <w:bCs/>
                      <w:szCs w:val="21"/>
                    </w:rPr>
                  </w:pPr>
                  <w:r>
                    <w:rPr>
                      <w:bCs/>
                      <w:szCs w:val="21"/>
                    </w:rPr>
                    <w:t>55</w:t>
                  </w:r>
                </w:p>
              </w:tc>
              <w:tc>
                <w:tcPr>
                  <w:tcW w:w="3630" w:type="dxa"/>
                  <w:vAlign w:val="center"/>
                </w:tcPr>
                <w:p w14:paraId="5271FE77">
                  <w:pPr>
                    <w:jc w:val="center"/>
                    <w:rPr>
                      <w:bCs/>
                      <w:szCs w:val="21"/>
                    </w:rPr>
                  </w:pPr>
                  <w:r>
                    <w:rPr>
                      <w:bCs/>
                      <w:szCs w:val="21"/>
                    </w:rPr>
                    <w:t>《工业企业厂界环境噪声排放标准》</w:t>
                  </w:r>
                  <w:r>
                    <w:rPr>
                      <w:rFonts w:hint="eastAsia"/>
                      <w:bCs/>
                      <w:szCs w:val="21"/>
                    </w:rPr>
                    <w:t>（</w:t>
                  </w:r>
                  <w:r>
                    <w:rPr>
                      <w:bCs/>
                      <w:szCs w:val="21"/>
                    </w:rPr>
                    <w:t>GB12348-2008）中3类</w:t>
                  </w:r>
                  <w:r>
                    <w:rPr>
                      <w:rFonts w:hint="eastAsia"/>
                      <w:bCs/>
                      <w:szCs w:val="21"/>
                    </w:rPr>
                    <w:t>区</w:t>
                  </w:r>
                  <w:r>
                    <w:rPr>
                      <w:bCs/>
                      <w:szCs w:val="21"/>
                    </w:rPr>
                    <w:t>标准</w:t>
                  </w:r>
                </w:p>
              </w:tc>
            </w:tr>
          </w:tbl>
          <w:p w14:paraId="78A06D58">
            <w:pPr>
              <w:spacing w:line="360" w:lineRule="auto"/>
              <w:ind w:firstLine="482" w:firstLineChars="200"/>
              <w:rPr>
                <w:b/>
                <w:bCs/>
                <w:sz w:val="24"/>
              </w:rPr>
            </w:pPr>
            <w:r>
              <w:rPr>
                <w:rFonts w:hint="eastAsia"/>
                <w:b/>
                <w:bCs/>
                <w:sz w:val="24"/>
              </w:rPr>
              <w:t>（四）</w:t>
            </w:r>
            <w:r>
              <w:rPr>
                <w:b/>
                <w:bCs/>
                <w:sz w:val="24"/>
              </w:rPr>
              <w:t>固体废物</w:t>
            </w:r>
          </w:p>
          <w:p w14:paraId="763C5CD3">
            <w:pPr>
              <w:adjustRightInd w:val="0"/>
              <w:snapToGrid w:val="0"/>
              <w:spacing w:line="360" w:lineRule="auto"/>
              <w:ind w:firstLine="480" w:firstLineChars="200"/>
              <w:rPr>
                <w:rFonts w:ascii="宋体" w:hAnsi="宋体" w:cs="宋体"/>
                <w:kern w:val="0"/>
                <w:szCs w:val="21"/>
              </w:rPr>
            </w:pPr>
            <w:r>
              <w:rPr>
                <w:sz w:val="24"/>
              </w:rPr>
              <w:t>一般工业固体废物</w:t>
            </w:r>
            <w:r>
              <w:rPr>
                <w:rFonts w:hint="eastAsia"/>
                <w:sz w:val="24"/>
              </w:rPr>
              <w:t>贮存及处置</w:t>
            </w:r>
            <w:r>
              <w:rPr>
                <w:sz w:val="24"/>
              </w:rPr>
              <w:t>执行</w:t>
            </w:r>
            <w:r>
              <w:rPr>
                <w:rFonts w:hint="eastAsia"/>
                <w:sz w:val="24"/>
              </w:rPr>
              <w:t>《一般工业固体废物贮存和填埋污染控制标准》（GB18599-2020）</w:t>
            </w:r>
            <w:r>
              <w:rPr>
                <w:sz w:val="24"/>
              </w:rPr>
              <w:t>要求；危险废物</w:t>
            </w:r>
            <w:r>
              <w:rPr>
                <w:rFonts w:hint="eastAsia"/>
                <w:sz w:val="24"/>
              </w:rPr>
              <w:t>临时贮存</w:t>
            </w:r>
            <w:r>
              <w:rPr>
                <w:sz w:val="24"/>
              </w:rPr>
              <w:t>执行《危险废物贮存污染控制标准》（GB18597-20</w:t>
            </w:r>
            <w:r>
              <w:rPr>
                <w:rFonts w:hint="eastAsia"/>
                <w:sz w:val="24"/>
              </w:rPr>
              <w:t>23</w:t>
            </w:r>
            <w:r>
              <w:rPr>
                <w:sz w:val="24"/>
              </w:rPr>
              <w:t>）</w:t>
            </w:r>
            <w:r>
              <w:rPr>
                <w:rFonts w:hint="eastAsia"/>
                <w:sz w:val="24"/>
              </w:rPr>
              <w:t>要求。</w:t>
            </w:r>
          </w:p>
        </w:tc>
      </w:tr>
      <w:tr w14:paraId="5ABFDF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800" w:type="dxa"/>
            <w:vAlign w:val="center"/>
          </w:tcPr>
          <w:p w14:paraId="1CC16452">
            <w:pPr>
              <w:adjustRightInd w:val="0"/>
              <w:snapToGrid w:val="0"/>
              <w:jc w:val="center"/>
              <w:rPr>
                <w:rFonts w:ascii="宋体" w:hAnsi="宋体" w:cs="宋体"/>
                <w:b/>
                <w:kern w:val="0"/>
                <w:szCs w:val="21"/>
              </w:rPr>
            </w:pPr>
            <w:r>
              <w:rPr>
                <w:rFonts w:hint="eastAsia" w:ascii="宋体" w:hAnsi="宋体" w:cs="宋体"/>
                <w:b/>
                <w:kern w:val="0"/>
                <w:szCs w:val="21"/>
              </w:rPr>
              <w:t>总量</w:t>
            </w:r>
          </w:p>
          <w:p w14:paraId="1AFAB577">
            <w:pPr>
              <w:adjustRightInd w:val="0"/>
              <w:snapToGrid w:val="0"/>
              <w:jc w:val="center"/>
              <w:rPr>
                <w:rFonts w:ascii="宋体" w:hAnsi="宋体" w:cs="宋体"/>
                <w:b/>
                <w:kern w:val="0"/>
                <w:szCs w:val="21"/>
              </w:rPr>
            </w:pPr>
            <w:r>
              <w:rPr>
                <w:rFonts w:hint="eastAsia" w:ascii="宋体" w:hAnsi="宋体" w:cs="宋体"/>
                <w:b/>
                <w:kern w:val="0"/>
                <w:szCs w:val="21"/>
              </w:rPr>
              <w:t>控制</w:t>
            </w:r>
          </w:p>
          <w:p w14:paraId="2906F9DD">
            <w:pPr>
              <w:adjustRightInd w:val="0"/>
              <w:snapToGrid w:val="0"/>
              <w:jc w:val="center"/>
              <w:rPr>
                <w:rFonts w:ascii="宋体" w:hAnsi="宋体" w:cs="宋体"/>
                <w:kern w:val="0"/>
                <w:szCs w:val="21"/>
              </w:rPr>
            </w:pPr>
            <w:r>
              <w:rPr>
                <w:rFonts w:hint="eastAsia" w:ascii="宋体" w:hAnsi="宋体" w:cs="宋体"/>
                <w:b/>
                <w:kern w:val="0"/>
                <w:szCs w:val="21"/>
              </w:rPr>
              <w:t>指标</w:t>
            </w:r>
          </w:p>
        </w:tc>
        <w:tc>
          <w:tcPr>
            <w:tcW w:w="8245" w:type="dxa"/>
            <w:vAlign w:val="center"/>
          </w:tcPr>
          <w:p w14:paraId="22E26848">
            <w:pPr>
              <w:spacing w:line="440" w:lineRule="exact"/>
              <w:ind w:firstLine="480" w:firstLineChars="200"/>
              <w:jc w:val="left"/>
              <w:rPr>
                <w:bCs/>
                <w:sz w:val="24"/>
                <w:lang w:bidi="ar"/>
              </w:rPr>
            </w:pPr>
            <w:r>
              <w:rPr>
                <w:rFonts w:hint="eastAsia"/>
                <w:sz w:val="24"/>
                <w:lang w:bidi="ar"/>
              </w:rPr>
              <w:t>根据</w:t>
            </w:r>
            <w:r>
              <w:rPr>
                <w:sz w:val="24"/>
                <w:lang w:bidi="ar"/>
              </w:rPr>
              <w:t>安徽省环保厅</w:t>
            </w:r>
            <w:r>
              <w:rPr>
                <w:sz w:val="24"/>
                <w:lang w:val="en-AU" w:bidi="ar"/>
              </w:rPr>
              <w:t>《关于进一步加强建设项目新增大气主要污染物总量指标管理工作的通知》（皖环发[201</w:t>
            </w:r>
            <w:r>
              <w:rPr>
                <w:sz w:val="24"/>
                <w:lang w:bidi="ar"/>
              </w:rPr>
              <w:t>7</w:t>
            </w:r>
            <w:r>
              <w:rPr>
                <w:sz w:val="24"/>
                <w:lang w:val="en-AU" w:bidi="ar"/>
              </w:rPr>
              <w:t>]</w:t>
            </w:r>
            <w:r>
              <w:rPr>
                <w:sz w:val="24"/>
                <w:lang w:bidi="ar"/>
              </w:rPr>
              <w:t>19</w:t>
            </w:r>
            <w:r>
              <w:rPr>
                <w:sz w:val="24"/>
                <w:lang w:val="en-AU" w:bidi="ar"/>
              </w:rPr>
              <w:t>号）要求</w:t>
            </w:r>
            <w:r>
              <w:rPr>
                <w:sz w:val="24"/>
                <w:lang w:bidi="ar"/>
              </w:rPr>
              <w:t>，提出本项目总量控制指</w:t>
            </w:r>
            <w:r>
              <w:rPr>
                <w:bCs/>
                <w:sz w:val="24"/>
                <w:lang w:bidi="ar"/>
              </w:rPr>
              <w:t>标为：COD、NH</w:t>
            </w:r>
            <w:r>
              <w:rPr>
                <w:bCs/>
                <w:sz w:val="24"/>
                <w:vertAlign w:val="subscript"/>
                <w:lang w:bidi="ar"/>
              </w:rPr>
              <w:t>3</w:t>
            </w:r>
            <w:r>
              <w:rPr>
                <w:bCs/>
                <w:sz w:val="24"/>
                <w:lang w:bidi="ar"/>
              </w:rPr>
              <w:t>-N、烟（粉）尘、VOCs。</w:t>
            </w:r>
          </w:p>
          <w:p w14:paraId="752E406A">
            <w:pPr>
              <w:spacing w:line="440" w:lineRule="exact"/>
              <w:ind w:firstLine="480" w:firstLineChars="200"/>
              <w:jc w:val="left"/>
              <w:rPr>
                <w:bCs/>
                <w:sz w:val="24"/>
                <w:lang w:bidi="ar"/>
              </w:rPr>
            </w:pPr>
            <w:r>
              <w:rPr>
                <w:bCs/>
                <w:sz w:val="24"/>
                <w:lang w:bidi="ar"/>
              </w:rPr>
              <w:t>本项目产生的废水总量纳入</w:t>
            </w:r>
            <w:r>
              <w:rPr>
                <w:rFonts w:hint="eastAsia"/>
                <w:sz w:val="24"/>
              </w:rPr>
              <w:t>淮北市龙湖工业园污水处理厂</w:t>
            </w:r>
            <w:r>
              <w:rPr>
                <w:bCs/>
                <w:sz w:val="24"/>
                <w:lang w:bidi="ar"/>
              </w:rPr>
              <w:t>范畴，因此无需申请总量。</w:t>
            </w:r>
          </w:p>
          <w:p w14:paraId="5F3D51DE">
            <w:pPr>
              <w:spacing w:line="360" w:lineRule="auto"/>
              <w:ind w:firstLine="480" w:firstLineChars="200"/>
              <w:rPr>
                <w:sz w:val="24"/>
              </w:rPr>
            </w:pPr>
            <w:r>
              <w:rPr>
                <w:bCs/>
                <w:sz w:val="24"/>
                <w:lang w:bidi="ar"/>
              </w:rPr>
              <w:t>本项目</w:t>
            </w:r>
            <w:r>
              <w:rPr>
                <w:rFonts w:hint="eastAsia"/>
                <w:bCs/>
                <w:sz w:val="24"/>
                <w:lang w:bidi="ar"/>
              </w:rPr>
              <w:t>废气控制指标为：烟（粉）尘</w:t>
            </w:r>
            <w:r>
              <w:rPr>
                <w:kern w:val="0"/>
                <w:sz w:val="24"/>
                <w:lang w:bidi="ar"/>
              </w:rPr>
              <w:t>有组织排放量为</w:t>
            </w:r>
            <w:r>
              <w:rPr>
                <w:rFonts w:hint="eastAsia"/>
                <w:color w:val="FF0000"/>
                <w:kern w:val="0"/>
                <w:sz w:val="24"/>
                <w:lang w:val="en-US" w:eastAsia="zh-CN" w:bidi="ar"/>
              </w:rPr>
              <w:t>0.0284</w:t>
            </w:r>
            <w:r>
              <w:rPr>
                <w:rFonts w:hint="eastAsia"/>
                <w:color w:val="FF0000"/>
                <w:kern w:val="0"/>
                <w:sz w:val="24"/>
                <w:lang w:bidi="ar"/>
              </w:rPr>
              <w:t>t</w:t>
            </w:r>
            <w:r>
              <w:rPr>
                <w:color w:val="FF0000"/>
                <w:kern w:val="0"/>
                <w:sz w:val="24"/>
                <w:lang w:bidi="ar"/>
              </w:rPr>
              <w:t>/a</w:t>
            </w:r>
            <w:r>
              <w:rPr>
                <w:rFonts w:hint="eastAsia"/>
                <w:color w:val="FF0000"/>
                <w:kern w:val="0"/>
                <w:sz w:val="24"/>
                <w:lang w:eastAsia="zh-CN" w:bidi="ar"/>
              </w:rPr>
              <w:t>，非甲烷总烃（含二甲苯）</w:t>
            </w:r>
            <w:r>
              <w:rPr>
                <w:rFonts w:hint="eastAsia"/>
                <w:color w:val="FF0000"/>
                <w:kern w:val="0"/>
                <w:sz w:val="24"/>
                <w:lang w:val="en-US" w:eastAsia="zh-CN" w:bidi="ar"/>
              </w:rPr>
              <w:t>0.0192t/a</w:t>
            </w:r>
            <w:r>
              <w:rPr>
                <w:rFonts w:hint="eastAsia"/>
                <w:kern w:val="0"/>
                <w:sz w:val="24"/>
                <w:lang w:bidi="ar"/>
              </w:rPr>
              <w:t>。</w:t>
            </w:r>
          </w:p>
          <w:p w14:paraId="2389146E">
            <w:pPr>
              <w:spacing w:line="360" w:lineRule="auto"/>
              <w:ind w:firstLine="480" w:firstLineChars="200"/>
              <w:rPr>
                <w:sz w:val="24"/>
              </w:rPr>
            </w:pPr>
          </w:p>
          <w:p w14:paraId="44102981">
            <w:pPr>
              <w:spacing w:line="360" w:lineRule="auto"/>
              <w:ind w:firstLine="482" w:firstLineChars="200"/>
              <w:rPr>
                <w:b/>
                <w:sz w:val="24"/>
                <w:lang w:bidi="ar"/>
              </w:rPr>
            </w:pPr>
          </w:p>
        </w:tc>
      </w:tr>
    </w:tbl>
    <w:p w14:paraId="07843F68">
      <w:pPr>
        <w:pStyle w:val="23"/>
        <w:jc w:val="center"/>
        <w:outlineLvl w:val="0"/>
        <w:rPr>
          <w:rFonts w:ascii="黑体" w:hAnsi="黑体" w:eastAsia="黑体"/>
          <w:snapToGrid w:val="0"/>
          <w:sz w:val="30"/>
          <w:szCs w:val="30"/>
        </w:rPr>
      </w:pPr>
      <w:r>
        <w:rPr>
          <w:rFonts w:ascii="黑体" w:hAnsi="黑体" w:eastAsia="黑体"/>
          <w:snapToGrid w:val="0"/>
          <w:sz w:val="36"/>
          <w:szCs w:val="36"/>
        </w:rPr>
        <w:br w:type="page"/>
      </w:r>
      <w:r>
        <w:rPr>
          <w:rFonts w:hint="eastAsia" w:ascii="黑体" w:hAnsi="黑体" w:eastAsia="黑体"/>
          <w:snapToGrid w:val="0"/>
          <w:sz w:val="30"/>
          <w:szCs w:val="30"/>
        </w:rPr>
        <w:t>四、主要环境影响和保护措施</w:t>
      </w:r>
    </w:p>
    <w:tbl>
      <w:tblPr>
        <w:tblStyle w:val="26"/>
        <w:tblW w:w="928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50"/>
        <w:gridCol w:w="8537"/>
      </w:tblGrid>
      <w:tr w14:paraId="464BE6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63" w:hRule="atLeast"/>
          <w:jc w:val="center"/>
        </w:trPr>
        <w:tc>
          <w:tcPr>
            <w:tcW w:w="750" w:type="dxa"/>
            <w:tcMar>
              <w:left w:w="28" w:type="dxa"/>
              <w:right w:w="28" w:type="dxa"/>
            </w:tcMar>
            <w:vAlign w:val="center"/>
          </w:tcPr>
          <w:p w14:paraId="5C516909">
            <w:pPr>
              <w:pStyle w:val="23"/>
              <w:adjustRightInd w:val="0"/>
              <w:snapToGrid w:val="0"/>
              <w:spacing w:before="0" w:beforeAutospacing="0" w:after="0" w:afterAutospacing="0"/>
              <w:jc w:val="center"/>
              <w:rPr>
                <w:rFonts w:cs="宋体"/>
                <w:b/>
                <w:kern w:val="2"/>
                <w:sz w:val="21"/>
                <w:szCs w:val="21"/>
              </w:rPr>
            </w:pPr>
            <w:r>
              <w:rPr>
                <w:rFonts w:hint="eastAsia" w:cs="宋体"/>
                <w:b/>
                <w:kern w:val="2"/>
                <w:sz w:val="21"/>
                <w:szCs w:val="21"/>
              </w:rPr>
              <w:t>施工</w:t>
            </w:r>
          </w:p>
          <w:p w14:paraId="257B1403">
            <w:pPr>
              <w:pStyle w:val="23"/>
              <w:adjustRightInd w:val="0"/>
              <w:snapToGrid w:val="0"/>
              <w:spacing w:before="0" w:beforeAutospacing="0" w:after="0" w:afterAutospacing="0"/>
              <w:jc w:val="center"/>
              <w:rPr>
                <w:rFonts w:cs="宋体"/>
                <w:b/>
                <w:kern w:val="2"/>
                <w:sz w:val="21"/>
                <w:szCs w:val="21"/>
              </w:rPr>
            </w:pPr>
            <w:r>
              <w:rPr>
                <w:rFonts w:hint="eastAsia" w:cs="宋体"/>
                <w:b/>
                <w:kern w:val="2"/>
                <w:sz w:val="21"/>
                <w:szCs w:val="21"/>
              </w:rPr>
              <w:t>期环</w:t>
            </w:r>
          </w:p>
          <w:p w14:paraId="279C045A">
            <w:pPr>
              <w:pStyle w:val="23"/>
              <w:adjustRightInd w:val="0"/>
              <w:snapToGrid w:val="0"/>
              <w:spacing w:before="0" w:beforeAutospacing="0" w:after="0" w:afterAutospacing="0"/>
              <w:jc w:val="center"/>
              <w:rPr>
                <w:rFonts w:cs="宋体"/>
                <w:b/>
                <w:kern w:val="2"/>
                <w:sz w:val="21"/>
                <w:szCs w:val="21"/>
              </w:rPr>
            </w:pPr>
            <w:r>
              <w:rPr>
                <w:rFonts w:hint="eastAsia" w:cs="宋体"/>
                <w:b/>
                <w:kern w:val="2"/>
                <w:sz w:val="21"/>
                <w:szCs w:val="21"/>
              </w:rPr>
              <w:t>境保</w:t>
            </w:r>
          </w:p>
          <w:p w14:paraId="068EC00A">
            <w:pPr>
              <w:pStyle w:val="23"/>
              <w:adjustRightInd w:val="0"/>
              <w:snapToGrid w:val="0"/>
              <w:spacing w:before="0" w:beforeAutospacing="0" w:after="0" w:afterAutospacing="0"/>
              <w:jc w:val="center"/>
              <w:rPr>
                <w:rFonts w:cs="宋体"/>
                <w:b/>
                <w:kern w:val="2"/>
                <w:sz w:val="21"/>
                <w:szCs w:val="21"/>
              </w:rPr>
            </w:pPr>
            <w:r>
              <w:rPr>
                <w:rFonts w:hint="eastAsia" w:cs="宋体"/>
                <w:b/>
                <w:kern w:val="2"/>
                <w:sz w:val="21"/>
                <w:szCs w:val="21"/>
              </w:rPr>
              <w:t>护措</w:t>
            </w:r>
          </w:p>
          <w:p w14:paraId="2EFAB22F">
            <w:pPr>
              <w:pStyle w:val="23"/>
              <w:adjustRightInd w:val="0"/>
              <w:snapToGrid w:val="0"/>
              <w:spacing w:before="0" w:beforeAutospacing="0" w:after="0" w:afterAutospacing="0"/>
              <w:jc w:val="center"/>
              <w:rPr>
                <w:rFonts w:cs="宋体"/>
                <w:bCs/>
                <w:kern w:val="2"/>
                <w:sz w:val="21"/>
                <w:szCs w:val="21"/>
              </w:rPr>
            </w:pPr>
            <w:r>
              <w:rPr>
                <w:rFonts w:hint="eastAsia" w:cs="宋体"/>
                <w:b/>
                <w:kern w:val="2"/>
                <w:sz w:val="21"/>
                <w:szCs w:val="21"/>
              </w:rPr>
              <w:t>施</w:t>
            </w:r>
          </w:p>
        </w:tc>
        <w:tc>
          <w:tcPr>
            <w:tcW w:w="8537" w:type="dxa"/>
            <w:vAlign w:val="center"/>
          </w:tcPr>
          <w:p w14:paraId="2833CBD2">
            <w:pPr>
              <w:numPr>
                <w:ilvl w:val="0"/>
                <w:numId w:val="7"/>
              </w:numPr>
              <w:spacing w:line="360" w:lineRule="auto"/>
              <w:ind w:firstLine="482" w:firstLineChars="200"/>
              <w:rPr>
                <w:b/>
                <w:sz w:val="24"/>
              </w:rPr>
            </w:pPr>
            <w:r>
              <w:rPr>
                <w:rFonts w:hint="eastAsia"/>
                <w:b/>
                <w:sz w:val="24"/>
              </w:rPr>
              <w:t>施工期废气</w:t>
            </w:r>
          </w:p>
          <w:p w14:paraId="6C41254E">
            <w:pPr>
              <w:spacing w:line="360" w:lineRule="auto"/>
              <w:ind w:firstLine="480" w:firstLineChars="200"/>
              <w:rPr>
                <w:bCs/>
                <w:sz w:val="24"/>
              </w:rPr>
            </w:pPr>
            <w:r>
              <w:rPr>
                <w:rFonts w:hint="eastAsia"/>
                <w:bCs/>
                <w:sz w:val="24"/>
              </w:rPr>
              <w:t>施工期废气主要来源为施工扬尘、施工机械运行产生的无组织排放废气。</w:t>
            </w:r>
          </w:p>
          <w:p w14:paraId="51E2FBD1">
            <w:pPr>
              <w:spacing w:line="360" w:lineRule="auto"/>
              <w:ind w:firstLine="480" w:firstLineChars="200"/>
              <w:rPr>
                <w:bCs/>
                <w:sz w:val="24"/>
              </w:rPr>
            </w:pPr>
            <w:r>
              <w:rPr>
                <w:rFonts w:hint="eastAsia"/>
                <w:bCs/>
                <w:sz w:val="24"/>
              </w:rPr>
              <w:t>（1）施工扬尘</w:t>
            </w:r>
          </w:p>
          <w:p w14:paraId="13551005">
            <w:pPr>
              <w:spacing w:line="360" w:lineRule="auto"/>
              <w:ind w:firstLine="480" w:firstLineChars="200"/>
              <w:rPr>
                <w:bCs/>
                <w:sz w:val="24"/>
              </w:rPr>
            </w:pPr>
            <w:r>
              <w:rPr>
                <w:bCs/>
                <w:sz w:val="24"/>
              </w:rPr>
              <w:t>在整个施工期，产生扬尘的作业有建材运输、露天堆放、装卸和搅拌等过程，如遇干旱无雨季节，加上大风，施工扬尘将更严重。</w:t>
            </w:r>
          </w:p>
          <w:p w14:paraId="3BFBF6A6">
            <w:pPr>
              <w:spacing w:line="360" w:lineRule="auto"/>
              <w:ind w:firstLine="480" w:firstLineChars="200"/>
              <w:rPr>
                <w:bCs/>
                <w:sz w:val="24"/>
              </w:rPr>
            </w:pPr>
            <w:r>
              <w:rPr>
                <w:bCs/>
                <w:sz w:val="24"/>
              </w:rPr>
              <w:t>首先，要加强现场管理，做好文明标化施工，采取配置工地滞尘防护网、设置围档和硬化道路，及车辆出场冲洗等措施，并采用商品混凝土建房，最大程度减少扬尘对周围大气环境的危害，必要时采用水雾以降低和防止二次扬尘。其次，在土方挖掘、平整阶段，运土车辆必须做到净车出场，最大限度减少泥土撒落构成扬尘污染，在运输、装卸建筑材料时，应采用封闭车辆运输，尤其是泥砂等。</w:t>
            </w:r>
            <w:r>
              <w:rPr>
                <w:rFonts w:hint="eastAsia"/>
                <w:bCs/>
                <w:sz w:val="24"/>
              </w:rPr>
              <w:t>同时</w:t>
            </w:r>
            <w:r>
              <w:rPr>
                <w:bCs/>
                <w:sz w:val="24"/>
              </w:rPr>
              <w:t>为保证拟建项目施工</w:t>
            </w:r>
            <w:r>
              <w:rPr>
                <w:rFonts w:hint="eastAsia"/>
                <w:bCs/>
                <w:sz w:val="24"/>
              </w:rPr>
              <w:t>烟尘</w:t>
            </w:r>
            <w:r>
              <w:rPr>
                <w:bCs/>
                <w:sz w:val="24"/>
              </w:rPr>
              <w:t>对敏感点影响减至最小，根据《安徽省大气污染防治条例》、建筑工程施工扬尘污染防治实施细则中相关规定，建设工地应当遵守下列规定，采取有效措施防治扬尘污染：</w:t>
            </w:r>
          </w:p>
          <w:p w14:paraId="5388FC14">
            <w:pPr>
              <w:numPr>
                <w:ilvl w:val="0"/>
                <w:numId w:val="8"/>
              </w:numPr>
              <w:spacing w:line="360" w:lineRule="auto"/>
              <w:ind w:firstLine="480" w:firstLineChars="200"/>
              <w:rPr>
                <w:sz w:val="24"/>
              </w:rPr>
            </w:pPr>
            <w:r>
              <w:rPr>
                <w:bCs/>
                <w:sz w:val="24"/>
              </w:rPr>
              <w:t>施工现场实行围挡封闭</w:t>
            </w:r>
            <w:r>
              <w:rPr>
                <w:sz w:val="24"/>
              </w:rPr>
              <w:t>，其边界应设置高度2.5米以上的围挡；其余设置1.8米以上围挡。以上围挡高度可视地方管理要求适当增加。围挡底端应设置防溢座，围挡之间以及围挡与防溢座之间无缝隙。对于特殊地点无法设置围挡、围栏及防溢座的，应设置警示牌。</w:t>
            </w:r>
          </w:p>
          <w:p w14:paraId="5DCA0D9B">
            <w:pPr>
              <w:numPr>
                <w:ilvl w:val="0"/>
                <w:numId w:val="8"/>
              </w:numPr>
              <w:spacing w:line="360" w:lineRule="auto"/>
              <w:ind w:firstLine="480" w:firstLineChars="200"/>
              <w:rPr>
                <w:bCs/>
                <w:sz w:val="24"/>
              </w:rPr>
            </w:pPr>
            <w:r>
              <w:rPr>
                <w:bCs/>
                <w:sz w:val="24"/>
              </w:rPr>
              <w:t>施工现场出入口、主要道路、加工区等采取硬化处理措施；</w:t>
            </w:r>
          </w:p>
          <w:p w14:paraId="7A854CC4">
            <w:pPr>
              <w:numPr>
                <w:ilvl w:val="0"/>
                <w:numId w:val="8"/>
              </w:numPr>
              <w:spacing w:line="360" w:lineRule="auto"/>
              <w:ind w:firstLine="480" w:firstLineChars="200"/>
              <w:rPr>
                <w:bCs/>
                <w:sz w:val="24"/>
              </w:rPr>
            </w:pPr>
            <w:r>
              <w:rPr>
                <w:sz w:val="24"/>
                <w:shd w:val="clear" w:color="auto" w:fill="FFFFFF"/>
              </w:rPr>
              <w:t>施工现场采取洒水、覆盖、铺装、绿化等降尘措施</w:t>
            </w:r>
            <w:r>
              <w:rPr>
                <w:bCs/>
                <w:sz w:val="24"/>
              </w:rPr>
              <w:t>；</w:t>
            </w:r>
          </w:p>
          <w:p w14:paraId="465905AE">
            <w:pPr>
              <w:numPr>
                <w:ilvl w:val="0"/>
                <w:numId w:val="8"/>
              </w:numPr>
              <w:spacing w:line="360" w:lineRule="auto"/>
              <w:ind w:firstLine="480" w:firstLineChars="200"/>
              <w:rPr>
                <w:bCs/>
                <w:sz w:val="24"/>
              </w:rPr>
            </w:pPr>
            <w:r>
              <w:rPr>
                <w:bCs/>
                <w:sz w:val="24"/>
              </w:rPr>
              <w:t>装卸和贮存物料应当防止物料遗撒或产生扬尘；</w:t>
            </w:r>
          </w:p>
          <w:p w14:paraId="419ADF3F">
            <w:pPr>
              <w:spacing w:line="360" w:lineRule="auto"/>
              <w:ind w:firstLine="480" w:firstLineChars="200"/>
              <w:rPr>
                <w:bCs/>
                <w:sz w:val="24"/>
              </w:rPr>
            </w:pPr>
            <w:r>
              <w:rPr>
                <w:bCs/>
                <w:sz w:val="24"/>
              </w:rPr>
              <w:t>5）堆放水泥或者其他易飞扬的细颗粒建筑材料，应当密闭存放或者采取覆盖等措施。</w:t>
            </w:r>
          </w:p>
          <w:p w14:paraId="0913EE17">
            <w:pPr>
              <w:spacing w:line="360" w:lineRule="auto"/>
              <w:ind w:firstLine="480" w:firstLineChars="200"/>
              <w:rPr>
                <w:bCs/>
                <w:sz w:val="24"/>
              </w:rPr>
            </w:pPr>
            <w:r>
              <w:rPr>
                <w:bCs/>
                <w:sz w:val="24"/>
              </w:rPr>
              <w:t>6）</w:t>
            </w:r>
            <w:r>
              <w:rPr>
                <w:sz w:val="24"/>
                <w:shd w:val="clear" w:color="auto" w:fill="FFFFFF"/>
              </w:rPr>
              <w:t>施工现场建筑材料实行集中、分类堆放。建筑垃圾采取封闭方式清运，严禁高处抛洒；</w:t>
            </w:r>
          </w:p>
          <w:p w14:paraId="3499447F">
            <w:pPr>
              <w:spacing w:line="360" w:lineRule="auto"/>
              <w:ind w:firstLine="480" w:firstLineChars="200"/>
              <w:rPr>
                <w:bCs/>
                <w:sz w:val="24"/>
              </w:rPr>
            </w:pPr>
            <w:r>
              <w:rPr>
                <w:bCs/>
                <w:sz w:val="24"/>
              </w:rPr>
              <w:t>7）</w:t>
            </w:r>
            <w:r>
              <w:rPr>
                <w:sz w:val="24"/>
                <w:shd w:val="clear" w:color="auto" w:fill="FFFFFF"/>
              </w:rPr>
              <w:t>外脚手架应当设置悬挂密目式安全网封闭，并保持干净、整齐、牢固、无破损，防止和减少施工中的灰尘外逸。外架拆除时，严禁凌空抛掷钢管、扣件、竹笆、安全网和垃圾</w:t>
            </w:r>
            <w:r>
              <w:rPr>
                <w:bCs/>
                <w:sz w:val="24"/>
              </w:rPr>
              <w:t>；</w:t>
            </w:r>
          </w:p>
          <w:p w14:paraId="56839474">
            <w:pPr>
              <w:spacing w:line="360" w:lineRule="auto"/>
              <w:ind w:firstLine="480" w:firstLineChars="200"/>
              <w:rPr>
                <w:bCs/>
                <w:sz w:val="24"/>
              </w:rPr>
            </w:pPr>
            <w:r>
              <w:rPr>
                <w:bCs/>
                <w:sz w:val="24"/>
              </w:rPr>
              <w:t>8）</w:t>
            </w:r>
            <w:r>
              <w:rPr>
                <w:sz w:val="24"/>
                <w:shd w:val="clear" w:color="auto" w:fill="FFFFFF"/>
              </w:rPr>
              <w:t>运进或运出工地的土方、砂石、粉煤灰、建筑垃圾等易产生扬尘的材料，应采取封闭运输。进入施工现场的混凝土搅拌车应安装限速器</w:t>
            </w:r>
            <w:r>
              <w:rPr>
                <w:bCs/>
                <w:sz w:val="24"/>
              </w:rPr>
              <w:t>；</w:t>
            </w:r>
          </w:p>
          <w:p w14:paraId="3F124983">
            <w:pPr>
              <w:spacing w:line="360" w:lineRule="auto"/>
              <w:ind w:firstLine="480" w:firstLineChars="200"/>
              <w:rPr>
                <w:bCs/>
                <w:sz w:val="24"/>
              </w:rPr>
            </w:pPr>
            <w:r>
              <w:rPr>
                <w:bCs/>
                <w:sz w:val="24"/>
              </w:rPr>
              <w:t>9）</w:t>
            </w:r>
            <w:r>
              <w:rPr>
                <w:sz w:val="24"/>
                <w:shd w:val="clear" w:color="auto" w:fill="FFFFFF"/>
              </w:rPr>
              <w:t>施工现场禁止焚烧沥青、油毡、橡胶、塑料、皮革、竹笆、垃圾以及其他产生烟尘和恶臭气体的物质；</w:t>
            </w:r>
          </w:p>
          <w:p w14:paraId="20379901">
            <w:pPr>
              <w:spacing w:line="360" w:lineRule="auto"/>
              <w:ind w:firstLine="480" w:firstLineChars="200"/>
              <w:rPr>
                <w:sz w:val="24"/>
              </w:rPr>
            </w:pPr>
            <w:r>
              <w:rPr>
                <w:sz w:val="24"/>
              </w:rPr>
              <w:t>10）根据《安徽省重污染天气应急预案》启动Ⅲ级（黄色）预警以上或气象预报风速达到五级以上时，不得进行土方挖填和转运、拆除、道路路面鼓风机吹灰等易产生扬尘的作业。</w:t>
            </w:r>
          </w:p>
          <w:p w14:paraId="5B88BE4B">
            <w:pPr>
              <w:spacing w:line="360" w:lineRule="auto"/>
              <w:ind w:firstLine="480" w:firstLineChars="200"/>
              <w:rPr>
                <w:sz w:val="24"/>
              </w:rPr>
            </w:pPr>
            <w:r>
              <w:rPr>
                <w:rFonts w:hint="eastAsia"/>
                <w:sz w:val="24"/>
              </w:rPr>
              <w:t>11）</w:t>
            </w:r>
            <w:r>
              <w:rPr>
                <w:sz w:val="24"/>
              </w:rPr>
              <w:t>建筑施工工地要做到工地周边围挡、物料堆放覆盖、土方开挖湿法作业、路面硬化、出入车辆清洗、渣土车辆密闭运输 “六个百分之百”。</w:t>
            </w:r>
          </w:p>
          <w:p w14:paraId="16E6E132">
            <w:pPr>
              <w:spacing w:line="360" w:lineRule="auto"/>
              <w:ind w:firstLine="480" w:firstLineChars="200"/>
              <w:rPr>
                <w:bCs/>
                <w:sz w:val="24"/>
              </w:rPr>
            </w:pPr>
            <w:r>
              <w:rPr>
                <w:rFonts w:hint="eastAsia"/>
                <w:bCs/>
                <w:sz w:val="24"/>
              </w:rPr>
              <w:t>综上所述，在施工过程中，施工单位必须严格落实本环评提出的扬尘控制措施，有效控制扬尘，使其对周围敏感保护目标的影响降至最低。本项目在做到以上扬尘控制措施后，不会对项目周围人群造成过大影响。</w:t>
            </w:r>
          </w:p>
          <w:p w14:paraId="32300EEB">
            <w:pPr>
              <w:spacing w:line="360" w:lineRule="auto"/>
              <w:ind w:firstLine="480" w:firstLineChars="200"/>
              <w:rPr>
                <w:bCs/>
                <w:sz w:val="24"/>
              </w:rPr>
            </w:pPr>
            <w:r>
              <w:rPr>
                <w:rFonts w:hint="eastAsia"/>
                <w:bCs/>
                <w:sz w:val="24"/>
              </w:rPr>
              <w:t>（2）施工期机械燃油废气</w:t>
            </w:r>
          </w:p>
          <w:p w14:paraId="37BC919B">
            <w:pPr>
              <w:spacing w:line="360" w:lineRule="auto"/>
              <w:ind w:firstLine="480" w:firstLineChars="200"/>
              <w:rPr>
                <w:bCs/>
                <w:sz w:val="24"/>
              </w:rPr>
            </w:pPr>
            <w:r>
              <w:rPr>
                <w:rFonts w:hint="eastAsia"/>
                <w:bCs/>
                <w:sz w:val="24"/>
              </w:rPr>
              <w:t>施工期间，使用机动车运送原材料、设备和建筑机械等设备的运转，均会排放一定量的CO、NO</w:t>
            </w:r>
            <w:r>
              <w:rPr>
                <w:rFonts w:hint="eastAsia"/>
                <w:bCs/>
                <w:sz w:val="24"/>
                <w:vertAlign w:val="subscript"/>
              </w:rPr>
              <w:t>x</w:t>
            </w:r>
            <w:r>
              <w:rPr>
                <w:rFonts w:hint="eastAsia"/>
                <w:bCs/>
                <w:sz w:val="24"/>
              </w:rPr>
              <w:t>以及未完全燃烧的HC等，其特点是排放量小，属间断性排放，加之项目施工场地扩散条件良好，这些废气可得到有效的稀释扩散，能够达标排放，因此对其环境的影响甚微。</w:t>
            </w:r>
          </w:p>
          <w:p w14:paraId="73D6A7D8">
            <w:pPr>
              <w:spacing w:line="360" w:lineRule="auto"/>
              <w:ind w:firstLine="480" w:firstLineChars="200"/>
              <w:rPr>
                <w:sz w:val="24"/>
              </w:rPr>
            </w:pPr>
            <w:r>
              <w:rPr>
                <w:bCs/>
                <w:sz w:val="24"/>
              </w:rPr>
              <w:t>在采取以上污染防治措施后可减轻对周围环境敏感点的空气环境影响</w:t>
            </w:r>
            <w:r>
              <w:rPr>
                <w:sz w:val="24"/>
              </w:rPr>
              <w:t>。</w:t>
            </w:r>
          </w:p>
          <w:p w14:paraId="5EA7A0B0">
            <w:pPr>
              <w:numPr>
                <w:ilvl w:val="0"/>
                <w:numId w:val="7"/>
              </w:numPr>
              <w:spacing w:line="360" w:lineRule="auto"/>
              <w:ind w:firstLine="482" w:firstLineChars="200"/>
              <w:rPr>
                <w:b/>
                <w:sz w:val="24"/>
              </w:rPr>
            </w:pPr>
            <w:r>
              <w:rPr>
                <w:rFonts w:hint="eastAsia"/>
                <w:b/>
                <w:sz w:val="24"/>
              </w:rPr>
              <w:t>施工期废水</w:t>
            </w:r>
          </w:p>
          <w:p w14:paraId="27B0456D">
            <w:pPr>
              <w:spacing w:line="360" w:lineRule="auto"/>
              <w:ind w:firstLine="480" w:firstLineChars="200"/>
              <w:rPr>
                <w:sz w:val="24"/>
              </w:rPr>
            </w:pPr>
            <w:r>
              <w:rPr>
                <w:sz w:val="24"/>
              </w:rPr>
              <w:t>施工期</w:t>
            </w:r>
            <w:r>
              <w:rPr>
                <w:rFonts w:hint="eastAsia"/>
                <w:sz w:val="24"/>
              </w:rPr>
              <w:t>废水</w:t>
            </w:r>
            <w:r>
              <w:rPr>
                <w:sz w:val="24"/>
              </w:rPr>
              <w:t>主要为施工废水及施工机械设备的冲洗水，其主要污染物为悬浮物和少量石油类。</w:t>
            </w:r>
          </w:p>
          <w:p w14:paraId="420C6665">
            <w:pPr>
              <w:pStyle w:val="35"/>
              <w:keepNext w:val="0"/>
              <w:tabs>
                <w:tab w:val="left" w:pos="862"/>
              </w:tabs>
              <w:ind w:firstLine="480" w:firstLineChars="200"/>
              <w:rPr>
                <w:rFonts w:ascii="Times New Roman" w:hAnsi="Times New Roman" w:eastAsia="宋体" w:cs="Times New Roman"/>
                <w:b w:val="0"/>
              </w:rPr>
            </w:pPr>
            <w:r>
              <w:rPr>
                <w:rFonts w:ascii="Times New Roman" w:hAnsi="Times New Roman" w:eastAsia="宋体" w:cs="Times New Roman"/>
                <w:b w:val="0"/>
              </w:rPr>
              <w:t>本项目施工量小，施工时间短，施工场地无需建设临时厕所及食堂，施工期生产废水不外排，对环境基本不会产生影响。</w:t>
            </w:r>
          </w:p>
          <w:p w14:paraId="40C50924">
            <w:pPr>
              <w:pStyle w:val="35"/>
              <w:keepNext w:val="0"/>
              <w:tabs>
                <w:tab w:val="left" w:pos="862"/>
              </w:tabs>
              <w:ind w:firstLine="480" w:firstLineChars="200"/>
              <w:rPr>
                <w:rFonts w:ascii="Times New Roman" w:hAnsi="Times New Roman" w:eastAsia="宋体" w:cs="Times New Roman"/>
                <w:b w:val="0"/>
              </w:rPr>
            </w:pPr>
            <w:r>
              <w:rPr>
                <w:rFonts w:ascii="Times New Roman" w:hAnsi="Times New Roman" w:eastAsia="宋体" w:cs="Times New Roman"/>
                <w:b w:val="0"/>
              </w:rPr>
              <w:t>拟采取如下水污染控制对策：</w:t>
            </w:r>
          </w:p>
          <w:p w14:paraId="645ECA0B">
            <w:pPr>
              <w:pStyle w:val="35"/>
              <w:keepNext w:val="0"/>
              <w:tabs>
                <w:tab w:val="left" w:pos="862"/>
              </w:tabs>
              <w:ind w:firstLine="480" w:firstLineChars="200"/>
              <w:rPr>
                <w:rFonts w:ascii="Times New Roman" w:hAnsi="Times New Roman" w:eastAsia="宋体" w:cs="Times New Roman"/>
                <w:b w:val="0"/>
              </w:rPr>
            </w:pPr>
            <w:r>
              <w:rPr>
                <w:rFonts w:ascii="Times New Roman" w:hAnsi="Times New Roman" w:eastAsia="宋体" w:cs="Times New Roman"/>
                <w:b w:val="0"/>
              </w:rPr>
              <w:t>①施工期，施工人员清洁可依托施工作业所在地已有的卫生设施。</w:t>
            </w:r>
          </w:p>
          <w:p w14:paraId="2AA805FD">
            <w:pPr>
              <w:pStyle w:val="35"/>
              <w:keepNext w:val="0"/>
              <w:tabs>
                <w:tab w:val="left" w:pos="862"/>
              </w:tabs>
              <w:ind w:firstLine="480" w:firstLineChars="200"/>
              <w:rPr>
                <w:rFonts w:ascii="Times New Roman" w:hAnsi="Times New Roman" w:eastAsia="宋体" w:cs="Times New Roman"/>
                <w:b w:val="0"/>
              </w:rPr>
            </w:pPr>
            <w:r>
              <w:rPr>
                <w:rFonts w:ascii="Times New Roman" w:hAnsi="Times New Roman" w:eastAsia="宋体" w:cs="Times New Roman"/>
                <w:b w:val="0"/>
              </w:rPr>
              <w:t>②施工废水含沙量较大，排入下水道可能会引起堵塞，在场地周围建临时沉淀池，泥浆水经沉淀后可用于施工场地洒水抑尘或回用。</w:t>
            </w:r>
          </w:p>
          <w:p w14:paraId="4195D480">
            <w:pPr>
              <w:pStyle w:val="35"/>
              <w:keepNext w:val="0"/>
              <w:tabs>
                <w:tab w:val="left" w:pos="862"/>
              </w:tabs>
              <w:ind w:firstLine="480" w:firstLineChars="200"/>
              <w:rPr>
                <w:rFonts w:ascii="Times New Roman" w:hAnsi="Times New Roman" w:eastAsia="宋体" w:cs="Times New Roman"/>
                <w:b w:val="0"/>
              </w:rPr>
            </w:pPr>
            <w:r>
              <w:rPr>
                <w:rFonts w:ascii="Times New Roman" w:hAnsi="Times New Roman" w:eastAsia="宋体" w:cs="Times New Roman"/>
                <w:b w:val="0"/>
              </w:rPr>
              <w:t>③施工废水和施工机械设备冲洗水经临时沉淀池沉淀处理后用于施工场地洒水抑尘或回用。</w:t>
            </w:r>
          </w:p>
          <w:p w14:paraId="701497B4">
            <w:pPr>
              <w:numPr>
                <w:ilvl w:val="0"/>
                <w:numId w:val="7"/>
              </w:numPr>
              <w:spacing w:line="360" w:lineRule="auto"/>
              <w:ind w:firstLine="482" w:firstLineChars="200"/>
              <w:rPr>
                <w:b/>
                <w:sz w:val="24"/>
              </w:rPr>
            </w:pPr>
            <w:r>
              <w:rPr>
                <w:rFonts w:hint="eastAsia"/>
                <w:b/>
                <w:sz w:val="24"/>
              </w:rPr>
              <w:t>施工期噪声</w:t>
            </w:r>
          </w:p>
          <w:p w14:paraId="6407689F">
            <w:pPr>
              <w:spacing w:line="360" w:lineRule="auto"/>
              <w:ind w:firstLine="480" w:firstLineChars="200"/>
              <w:rPr>
                <w:sz w:val="24"/>
              </w:rPr>
            </w:pPr>
            <w:r>
              <w:rPr>
                <w:sz w:val="24"/>
              </w:rPr>
              <w:t>项目施工根据《工业企业厂界环境噪声排放标准》（GB12523-2011）中相关规定，应严格执行《中华人民共和国噪声污染防治法》、《建筑施工场界环境噪声排放标准</w:t>
            </w:r>
            <w:r>
              <w:rPr>
                <w:rStyle w:val="33"/>
                <w:rFonts w:hint="eastAsia"/>
                <w:kern w:val="0"/>
                <w:szCs w:val="20"/>
              </w:rPr>
              <w:t>》，</w:t>
            </w:r>
            <w:r>
              <w:rPr>
                <w:rStyle w:val="33"/>
                <w:rFonts w:hint="eastAsia"/>
                <w:kern w:val="0"/>
                <w:sz w:val="24"/>
              </w:rPr>
              <w:t>采用</w:t>
            </w:r>
            <w:r>
              <w:rPr>
                <w:sz w:val="24"/>
              </w:rPr>
              <w:t>低噪声施工机具和先进工艺进行施工，对施工场地平面布局时应将高噪声设备尽量远离敏感点，进行合理布置，以减少施工噪声对周围敏感点的影响。同时在施工作业中必须合理安排各类施工机械的工作时间，对于夜间施工认真执行申报审批手续，并报环保部门备案。根据有关规定，建设施工时除抢修、抢险作业和因生产工艺上要求或者特殊要求必须连续作业外，禁止夜间进行产生环境噪声污染的建筑施工作业，“因特殊要求必须连续作业的，必须有县级以上人民政府或者有关主管部门的证明”（《中华人民共和国环境噪声污染防治法》第三十条）。针对施工期噪声影响，拟采取的污染防治措施如下：</w:t>
            </w:r>
          </w:p>
          <w:p w14:paraId="0807AD37">
            <w:pPr>
              <w:spacing w:line="360" w:lineRule="auto"/>
              <w:ind w:firstLine="480" w:firstLineChars="200"/>
              <w:rPr>
                <w:sz w:val="24"/>
              </w:rPr>
            </w:pPr>
            <w:r>
              <w:rPr>
                <w:sz w:val="24"/>
              </w:rPr>
              <w:t>（1）在施工过程中，施工单位应严格执行</w:t>
            </w:r>
            <w:r>
              <w:rPr>
                <w:kern w:val="44"/>
                <w:sz w:val="24"/>
              </w:rPr>
              <w:t>GB12523-2011《建筑施工场界环境噪声排放标准》</w:t>
            </w:r>
            <w:r>
              <w:rPr>
                <w:sz w:val="24"/>
              </w:rPr>
              <w:t>中的有关规定，避免施工扰民事件的发生。</w:t>
            </w:r>
          </w:p>
          <w:p w14:paraId="137686AA">
            <w:pPr>
              <w:spacing w:line="360" w:lineRule="auto"/>
              <w:ind w:firstLine="480" w:firstLineChars="200"/>
              <w:rPr>
                <w:b/>
                <w:bCs/>
                <w:sz w:val="24"/>
              </w:rPr>
            </w:pPr>
            <w:r>
              <w:rPr>
                <w:sz w:val="24"/>
              </w:rPr>
              <w:t>（2）施工单位要合理安排施工作业时间，晚间（19:00~22:00）不得从事高噪声施工活动，午间（12:00~14:00）及晚间（22:00~6:00）禁止一切施工活动，以免影响周边居民的休息。如因建筑工程工艺要求或特殊需要必须连续作业而进行夜间施工的，施工单位必须提前7日持建管部门的证明向当地环境保护主管部门申报施工日期和时间，并在周围居民点张贴告示，经环境保护主管部门批准备案后方可进行夜间施工。</w:t>
            </w:r>
          </w:p>
          <w:p w14:paraId="31CFB7D0">
            <w:pPr>
              <w:spacing w:line="360" w:lineRule="auto"/>
              <w:ind w:firstLine="480" w:firstLineChars="200"/>
              <w:rPr>
                <w:sz w:val="24"/>
              </w:rPr>
            </w:pPr>
            <w:r>
              <w:rPr>
                <w:sz w:val="24"/>
              </w:rPr>
              <w:t>（3）施工机械产生的噪声往往具有突发、无规则、不连续和高强度等特点，施工单位应采取合理安排施工机械操作时间的方法加以缓解，并减少同时作业的高噪施工机械数量，尽可能减轻声源叠加影响，建议企业合理安排工程进度和施工阶段，合理化布置施工方案，尽可能的减少施工机械的使用频率。</w:t>
            </w:r>
          </w:p>
          <w:p w14:paraId="5C1F1C08">
            <w:pPr>
              <w:spacing w:line="360" w:lineRule="auto"/>
              <w:ind w:firstLine="480" w:firstLineChars="200"/>
              <w:rPr>
                <w:sz w:val="24"/>
              </w:rPr>
            </w:pPr>
            <w:r>
              <w:rPr>
                <w:sz w:val="24"/>
              </w:rPr>
              <w:t>（</w:t>
            </w:r>
            <w:r>
              <w:rPr>
                <w:rFonts w:hint="eastAsia"/>
                <w:sz w:val="24"/>
              </w:rPr>
              <w:t>4</w:t>
            </w:r>
            <w:r>
              <w:rPr>
                <w:sz w:val="24"/>
              </w:rPr>
              <w:t>）加强施工机械的维修、管理，保证施工机械处于低噪声、高效率的良好工作状态；电动机、水泵、电刨等强噪声设备安置于单独的工棚内。</w:t>
            </w:r>
          </w:p>
          <w:p w14:paraId="7CDF9CC2">
            <w:pPr>
              <w:spacing w:line="360" w:lineRule="auto"/>
              <w:ind w:firstLine="480" w:firstLineChars="200"/>
              <w:rPr>
                <w:sz w:val="24"/>
              </w:rPr>
            </w:pPr>
            <w:r>
              <w:rPr>
                <w:sz w:val="24"/>
              </w:rPr>
              <w:t>（</w:t>
            </w:r>
            <w:r>
              <w:rPr>
                <w:rFonts w:hint="eastAsia"/>
                <w:sz w:val="24"/>
              </w:rPr>
              <w:t>5</w:t>
            </w:r>
            <w:r>
              <w:rPr>
                <w:sz w:val="24"/>
              </w:rPr>
              <w:t>）对于施工期间的材料运输、敲击、人的喊叫等噪声源，要求施工单位文明施工、加强有效管理以缓解其影响。</w:t>
            </w:r>
          </w:p>
          <w:p w14:paraId="18D4C1B8">
            <w:pPr>
              <w:spacing w:line="360" w:lineRule="auto"/>
              <w:ind w:firstLine="480" w:firstLineChars="200"/>
              <w:rPr>
                <w:sz w:val="24"/>
              </w:rPr>
            </w:pPr>
            <w:r>
              <w:rPr>
                <w:sz w:val="24"/>
              </w:rPr>
              <w:t>（</w:t>
            </w:r>
            <w:r>
              <w:rPr>
                <w:rFonts w:hint="eastAsia"/>
                <w:sz w:val="24"/>
                <w:lang w:val="en-US" w:eastAsia="zh-CN"/>
              </w:rPr>
              <w:t>6</w:t>
            </w:r>
            <w:r>
              <w:rPr>
                <w:sz w:val="24"/>
              </w:rPr>
              <w:t>）要求业主单位在施工现场标明投诉电话，一旦接到投诉，业主单位应及时与当地环保部门取得联系，以便及时处理环境纠纷。</w:t>
            </w:r>
          </w:p>
          <w:p w14:paraId="451FD45D">
            <w:pPr>
              <w:spacing w:line="360" w:lineRule="auto"/>
              <w:ind w:firstLine="480" w:firstLineChars="200"/>
              <w:rPr>
                <w:rFonts w:hint="eastAsia" w:eastAsia="宋体"/>
                <w:sz w:val="24"/>
                <w:lang w:val="en-US" w:eastAsia="zh-CN"/>
              </w:rPr>
            </w:pPr>
            <w:r>
              <w:rPr>
                <w:sz w:val="24"/>
              </w:rPr>
              <w:t>随着工程竣工，施工噪声的影响将不再存在，施工噪声对环境的不利影响是暂时的、短期的行为</w:t>
            </w:r>
            <w:r>
              <w:rPr>
                <w:rStyle w:val="33"/>
                <w:rFonts w:hint="eastAsia"/>
                <w:kern w:val="0"/>
                <w:szCs w:val="20"/>
                <w:lang w:eastAsia="zh-CN"/>
              </w:rPr>
              <w:t>。</w:t>
            </w:r>
          </w:p>
          <w:p w14:paraId="688D7A65">
            <w:pPr>
              <w:numPr>
                <w:ilvl w:val="0"/>
                <w:numId w:val="7"/>
              </w:numPr>
              <w:spacing w:line="360" w:lineRule="auto"/>
              <w:ind w:firstLine="482" w:firstLineChars="200"/>
              <w:rPr>
                <w:b/>
                <w:sz w:val="24"/>
              </w:rPr>
            </w:pPr>
            <w:r>
              <w:rPr>
                <w:rFonts w:hint="eastAsia"/>
                <w:b/>
                <w:sz w:val="24"/>
              </w:rPr>
              <w:t>施工期固体废物</w:t>
            </w:r>
          </w:p>
          <w:p w14:paraId="3F272773">
            <w:pPr>
              <w:spacing w:line="360" w:lineRule="auto"/>
              <w:ind w:firstLine="480" w:firstLineChars="200"/>
              <w:rPr>
                <w:bCs/>
                <w:sz w:val="24"/>
              </w:rPr>
            </w:pPr>
            <w:r>
              <w:rPr>
                <w:rFonts w:hint="eastAsia"/>
                <w:bCs/>
                <w:sz w:val="24"/>
              </w:rPr>
              <w:t>施工期固体废物来自建筑垃圾和施工人员的生活垃圾。</w:t>
            </w:r>
          </w:p>
          <w:p w14:paraId="0EC6009B">
            <w:pPr>
              <w:spacing w:line="360" w:lineRule="auto"/>
              <w:ind w:firstLine="480" w:firstLineChars="200"/>
              <w:rPr>
                <w:bCs/>
                <w:sz w:val="24"/>
              </w:rPr>
            </w:pPr>
            <w:r>
              <w:rPr>
                <w:rFonts w:hint="eastAsia"/>
                <w:bCs/>
                <w:sz w:val="24"/>
              </w:rPr>
              <w:t>施工期建筑垃圾来源施工中的固体废物如剩余的或硬结的水泥、石灰、沙石、砖瓦等，虽然这些废物不含有毒有害成分，但粉状废料会随风飘入大气成为扬尘，造成二次污染。乱堆乱放，还会给环境景观、道路交通、居民出行等带来负面影响。</w:t>
            </w:r>
            <w:r>
              <w:rPr>
                <w:sz w:val="24"/>
              </w:rPr>
              <w:t>建筑垃圾须经市容局渣土办许可，运至指定地点处置。</w:t>
            </w:r>
          </w:p>
          <w:p w14:paraId="0151586D">
            <w:pPr>
              <w:pStyle w:val="22"/>
              <w:adjustRightInd w:val="0"/>
              <w:snapToGrid w:val="0"/>
              <w:spacing w:line="360" w:lineRule="auto"/>
              <w:ind w:firstLine="480" w:firstLineChars="200"/>
              <w:rPr>
                <w:rFonts w:ascii="宋体" w:hAnsi="宋体" w:cs="宋体"/>
                <w:bCs/>
                <w:spacing w:val="-10"/>
                <w:szCs w:val="21"/>
              </w:rPr>
            </w:pPr>
            <w:r>
              <w:rPr>
                <w:sz w:val="24"/>
              </w:rPr>
              <w:t>施工人员生活垃圾均由环卫部门统一收集处理</w:t>
            </w:r>
            <w:r>
              <w:rPr>
                <w:bCs/>
                <w:sz w:val="24"/>
                <w:lang w:bidi="ar"/>
              </w:rPr>
              <w:t>。</w:t>
            </w:r>
            <w:r>
              <w:rPr>
                <w:rFonts w:hint="eastAsia"/>
                <w:bCs/>
                <w:sz w:val="24"/>
              </w:rPr>
              <w:t>施工期固体废物采取以上防治措施，及时清理建筑和生活垃圾，严禁随意丢弃和堆放，避免风吹雨淋，在垃圾运输中避免撒落。</w:t>
            </w:r>
          </w:p>
        </w:tc>
      </w:tr>
      <w:tr w14:paraId="2AD235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05" w:hRule="atLeast"/>
          <w:jc w:val="center"/>
        </w:trPr>
        <w:tc>
          <w:tcPr>
            <w:tcW w:w="750" w:type="dxa"/>
            <w:tcMar>
              <w:left w:w="28" w:type="dxa"/>
              <w:right w:w="28" w:type="dxa"/>
            </w:tcMar>
            <w:vAlign w:val="center"/>
          </w:tcPr>
          <w:p w14:paraId="23D9A1C6">
            <w:pPr>
              <w:adjustRightInd w:val="0"/>
              <w:snapToGrid w:val="0"/>
              <w:jc w:val="center"/>
              <w:rPr>
                <w:rFonts w:ascii="宋体" w:hAnsi="宋体" w:cs="宋体"/>
                <w:b/>
                <w:bCs/>
                <w:szCs w:val="21"/>
              </w:rPr>
            </w:pPr>
            <w:r>
              <w:rPr>
                <w:rFonts w:hint="eastAsia" w:ascii="宋体" w:hAnsi="宋体" w:cs="宋体"/>
                <w:b/>
                <w:bCs/>
                <w:szCs w:val="21"/>
              </w:rPr>
              <w:t>运营</w:t>
            </w:r>
          </w:p>
          <w:p w14:paraId="03FDA41C">
            <w:pPr>
              <w:adjustRightInd w:val="0"/>
              <w:snapToGrid w:val="0"/>
              <w:jc w:val="center"/>
              <w:rPr>
                <w:rFonts w:ascii="宋体" w:hAnsi="宋体" w:cs="宋体"/>
                <w:b/>
                <w:bCs/>
                <w:szCs w:val="21"/>
              </w:rPr>
            </w:pPr>
            <w:r>
              <w:rPr>
                <w:rFonts w:hint="eastAsia" w:ascii="宋体" w:hAnsi="宋体" w:cs="宋体"/>
                <w:b/>
                <w:bCs/>
                <w:szCs w:val="21"/>
              </w:rPr>
              <w:t>期环</w:t>
            </w:r>
          </w:p>
          <w:p w14:paraId="72EEF273">
            <w:pPr>
              <w:adjustRightInd w:val="0"/>
              <w:snapToGrid w:val="0"/>
              <w:jc w:val="center"/>
              <w:rPr>
                <w:rFonts w:ascii="宋体" w:hAnsi="宋体" w:cs="宋体"/>
                <w:b/>
                <w:bCs/>
                <w:szCs w:val="21"/>
              </w:rPr>
            </w:pPr>
            <w:r>
              <w:rPr>
                <w:rFonts w:hint="eastAsia" w:ascii="宋体" w:hAnsi="宋体" w:cs="宋体"/>
                <w:b/>
                <w:bCs/>
                <w:szCs w:val="21"/>
              </w:rPr>
              <w:t>境影</w:t>
            </w:r>
          </w:p>
          <w:p w14:paraId="241B0279">
            <w:pPr>
              <w:adjustRightInd w:val="0"/>
              <w:snapToGrid w:val="0"/>
              <w:jc w:val="center"/>
              <w:rPr>
                <w:rFonts w:ascii="宋体" w:hAnsi="宋体" w:cs="宋体"/>
                <w:b/>
                <w:bCs/>
                <w:szCs w:val="21"/>
              </w:rPr>
            </w:pPr>
            <w:r>
              <w:rPr>
                <w:rFonts w:hint="eastAsia" w:ascii="宋体" w:hAnsi="宋体" w:cs="宋体"/>
                <w:b/>
                <w:bCs/>
                <w:szCs w:val="21"/>
              </w:rPr>
              <w:t>响和</w:t>
            </w:r>
          </w:p>
          <w:p w14:paraId="710B2755">
            <w:pPr>
              <w:adjustRightInd w:val="0"/>
              <w:snapToGrid w:val="0"/>
              <w:jc w:val="center"/>
              <w:rPr>
                <w:rFonts w:ascii="宋体" w:hAnsi="宋体" w:cs="宋体"/>
                <w:b/>
                <w:bCs/>
                <w:szCs w:val="21"/>
              </w:rPr>
            </w:pPr>
            <w:r>
              <w:rPr>
                <w:rFonts w:hint="eastAsia" w:ascii="宋体" w:hAnsi="宋体" w:cs="宋体"/>
                <w:b/>
                <w:bCs/>
                <w:szCs w:val="21"/>
              </w:rPr>
              <w:t>保护</w:t>
            </w:r>
          </w:p>
          <w:p w14:paraId="070E0B30">
            <w:pPr>
              <w:adjustRightInd w:val="0"/>
              <w:snapToGrid w:val="0"/>
              <w:jc w:val="center"/>
              <w:rPr>
                <w:rFonts w:ascii="宋体" w:hAnsi="宋体" w:cs="宋体"/>
                <w:bCs/>
                <w:szCs w:val="21"/>
              </w:rPr>
            </w:pPr>
            <w:r>
              <w:rPr>
                <w:rFonts w:hint="eastAsia" w:ascii="宋体" w:hAnsi="宋体" w:cs="宋体"/>
                <w:b/>
                <w:bCs/>
                <w:szCs w:val="21"/>
              </w:rPr>
              <w:t>措施</w:t>
            </w:r>
          </w:p>
        </w:tc>
        <w:tc>
          <w:tcPr>
            <w:tcW w:w="8537" w:type="dxa"/>
            <w:vAlign w:val="center"/>
          </w:tcPr>
          <w:p w14:paraId="1B29C17E">
            <w:pPr>
              <w:widowControl/>
              <w:spacing w:line="360" w:lineRule="auto"/>
              <w:ind w:firstLine="482" w:firstLineChars="200"/>
              <w:rPr>
                <w:b/>
                <w:bCs/>
                <w:kern w:val="0"/>
                <w:sz w:val="24"/>
                <w:lang w:bidi="ar"/>
              </w:rPr>
            </w:pPr>
            <w:r>
              <w:rPr>
                <w:rFonts w:hint="eastAsia"/>
                <w:b/>
                <w:bCs/>
                <w:kern w:val="0"/>
                <w:sz w:val="24"/>
                <w:lang w:bidi="ar"/>
              </w:rPr>
              <w:t>（一）废气</w:t>
            </w:r>
          </w:p>
          <w:p w14:paraId="1A315DBF">
            <w:pPr>
              <w:widowControl/>
              <w:spacing w:line="360" w:lineRule="auto"/>
              <w:ind w:firstLine="480" w:firstLineChars="200"/>
              <w:rPr>
                <w:kern w:val="0"/>
                <w:sz w:val="24"/>
                <w:lang w:bidi="ar"/>
              </w:rPr>
            </w:pPr>
            <w:r>
              <w:rPr>
                <w:kern w:val="0"/>
                <w:sz w:val="24"/>
                <w:lang w:bidi="ar"/>
              </w:rPr>
              <w:t>本项目</w:t>
            </w:r>
            <w:r>
              <w:rPr>
                <w:rFonts w:hint="eastAsia"/>
                <w:kern w:val="0"/>
                <w:sz w:val="24"/>
                <w:lang w:bidi="ar"/>
              </w:rPr>
              <w:t>在运营期的大气污染源主要是</w:t>
            </w:r>
            <w:r>
              <w:rPr>
                <w:rFonts w:hint="eastAsia"/>
                <w:kern w:val="0"/>
                <w:sz w:val="24"/>
                <w:lang w:eastAsia="zh-CN" w:bidi="ar"/>
              </w:rPr>
              <w:t>喷漆</w:t>
            </w:r>
            <w:r>
              <w:rPr>
                <w:rFonts w:hint="eastAsia"/>
                <w:kern w:val="0"/>
                <w:sz w:val="24"/>
                <w:lang w:bidi="ar"/>
              </w:rPr>
              <w:t>废气</w:t>
            </w:r>
            <w:r>
              <w:rPr>
                <w:rFonts w:hint="eastAsia"/>
                <w:kern w:val="0"/>
                <w:sz w:val="24"/>
                <w:lang w:eastAsia="zh-CN" w:bidi="ar"/>
              </w:rPr>
              <w:t>、焊接烟尘和切割粉尘</w:t>
            </w:r>
            <w:r>
              <w:rPr>
                <w:rFonts w:hint="eastAsia"/>
                <w:kern w:val="0"/>
                <w:sz w:val="24"/>
                <w:lang w:bidi="ar"/>
              </w:rPr>
              <w:t>。</w:t>
            </w:r>
          </w:p>
          <w:p w14:paraId="22E3CF18">
            <w:pPr>
              <w:widowControl/>
              <w:spacing w:line="360" w:lineRule="auto"/>
              <w:ind w:firstLine="482" w:firstLineChars="200"/>
              <w:rPr>
                <w:b/>
                <w:bCs/>
                <w:kern w:val="0"/>
                <w:sz w:val="24"/>
                <w:lang w:bidi="ar"/>
              </w:rPr>
            </w:pPr>
            <w:r>
              <w:rPr>
                <w:rFonts w:hint="eastAsia"/>
                <w:b/>
                <w:bCs/>
                <w:kern w:val="0"/>
                <w:sz w:val="24"/>
                <w:lang w:bidi="ar"/>
              </w:rPr>
              <w:t>（1）</w:t>
            </w:r>
            <w:r>
              <w:rPr>
                <w:rFonts w:hint="eastAsia"/>
                <w:b/>
                <w:bCs/>
                <w:kern w:val="0"/>
                <w:sz w:val="24"/>
                <w:lang w:eastAsia="zh-CN" w:bidi="ar"/>
              </w:rPr>
              <w:t>喷漆</w:t>
            </w:r>
            <w:r>
              <w:rPr>
                <w:rFonts w:hint="eastAsia"/>
                <w:b/>
                <w:bCs/>
                <w:kern w:val="0"/>
                <w:sz w:val="24"/>
                <w:lang w:bidi="ar"/>
              </w:rPr>
              <w:t>废气</w:t>
            </w:r>
          </w:p>
          <w:p w14:paraId="4BEB5D72">
            <w:pPr>
              <w:widowControl w:val="0"/>
              <w:spacing w:line="360" w:lineRule="auto"/>
              <w:ind w:firstLine="480" w:firstLineChars="200"/>
              <w:jc w:val="both"/>
              <w:rPr>
                <w:rFonts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kern w:val="2"/>
                <w:sz w:val="24"/>
                <w:szCs w:val="24"/>
                <w:lang w:val="en-US" w:eastAsia="zh-CN" w:bidi="ar-SA"/>
              </w:rPr>
              <w:t>根据</w:t>
            </w:r>
            <w:r>
              <w:rPr>
                <w:rFonts w:hint="eastAsia" w:cs="Times New Roman"/>
                <w:color w:val="auto"/>
                <w:kern w:val="2"/>
                <w:sz w:val="24"/>
                <w:szCs w:val="24"/>
                <w:lang w:val="en-US" w:eastAsia="zh-CN" w:bidi="ar-SA"/>
              </w:rPr>
              <w:t>漆量平衡</w:t>
            </w:r>
            <w:r>
              <w:rPr>
                <w:rFonts w:ascii="Times New Roman" w:hAnsi="Times New Roman" w:eastAsia="宋体"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油性漆、水性漆</w:t>
            </w:r>
            <w:r>
              <w:rPr>
                <w:rFonts w:hint="eastAsia" w:cs="Times New Roman"/>
                <w:color w:val="auto"/>
                <w:kern w:val="2"/>
                <w:sz w:val="24"/>
                <w:szCs w:val="24"/>
                <w:lang w:val="en-US" w:eastAsia="zh-CN" w:bidi="ar-SA"/>
              </w:rPr>
              <w:t>固体分</w:t>
            </w:r>
            <w:r>
              <w:rPr>
                <w:rFonts w:ascii="Times New Roman" w:hAnsi="Times New Roman" w:eastAsia="宋体" w:cs="Times New Roman"/>
                <w:color w:val="auto"/>
                <w:kern w:val="2"/>
                <w:sz w:val="24"/>
                <w:szCs w:val="24"/>
                <w:lang w:val="en-US" w:eastAsia="zh-CN" w:bidi="ar-SA"/>
              </w:rPr>
              <w:t>利用率为</w:t>
            </w:r>
            <w:r>
              <w:rPr>
                <w:rFonts w:hint="eastAsia" w:cs="Times New Roman"/>
                <w:color w:val="auto"/>
                <w:kern w:val="2"/>
                <w:sz w:val="24"/>
                <w:szCs w:val="24"/>
                <w:lang w:val="en-US" w:eastAsia="zh-CN" w:bidi="ar-SA"/>
              </w:rPr>
              <w:t>65</w:t>
            </w:r>
            <w:r>
              <w:rPr>
                <w:rFonts w:ascii="Times New Roman" w:hAnsi="Times New Roman" w:eastAsia="宋体" w:cs="Times New Roman"/>
                <w:color w:val="auto"/>
                <w:kern w:val="2"/>
                <w:sz w:val="24"/>
                <w:szCs w:val="24"/>
                <w:lang w:val="en-US" w:eastAsia="zh-CN" w:bidi="ar-SA"/>
              </w:rPr>
              <w:t>%，即喷漆过程</w:t>
            </w:r>
            <w:r>
              <w:rPr>
                <w:rFonts w:hint="eastAsia" w:cs="Times New Roman"/>
                <w:color w:val="auto"/>
                <w:kern w:val="2"/>
                <w:sz w:val="24"/>
                <w:szCs w:val="24"/>
                <w:lang w:val="en-US" w:eastAsia="zh-CN" w:bidi="ar-SA"/>
              </w:rPr>
              <w:t>65</w:t>
            </w:r>
            <w:r>
              <w:rPr>
                <w:rFonts w:ascii="Times New Roman" w:hAnsi="Times New Roman" w:eastAsia="宋体" w:cs="Times New Roman"/>
                <w:color w:val="auto"/>
                <w:kern w:val="2"/>
                <w:sz w:val="24"/>
                <w:szCs w:val="24"/>
                <w:lang w:val="en-US" w:eastAsia="zh-CN" w:bidi="ar-SA"/>
              </w:rPr>
              <w:t>%固态组份覆盖在产品外表面成为涂层，</w:t>
            </w:r>
            <w:r>
              <w:rPr>
                <w:rFonts w:hint="eastAsia" w:cs="Times New Roman"/>
                <w:color w:val="auto"/>
                <w:kern w:val="2"/>
                <w:sz w:val="24"/>
                <w:szCs w:val="24"/>
                <w:lang w:val="en-US" w:eastAsia="zh-CN" w:bidi="ar-SA"/>
              </w:rPr>
              <w:t>35</w:t>
            </w:r>
            <w:r>
              <w:rPr>
                <w:rFonts w:ascii="Times New Roman" w:hAnsi="Times New Roman" w:eastAsia="宋体" w:cs="Times New Roman"/>
                <w:color w:val="auto"/>
                <w:kern w:val="2"/>
                <w:sz w:val="24"/>
                <w:szCs w:val="24"/>
                <w:lang w:val="en-US" w:eastAsia="zh-CN" w:bidi="ar-SA"/>
              </w:rPr>
              <w:t>%固态组份在喷涂过程中损耗，损耗中</w:t>
            </w:r>
            <w:r>
              <w:rPr>
                <w:rFonts w:hint="eastAsia" w:cs="Times New Roman"/>
                <w:color w:val="auto"/>
                <w:kern w:val="2"/>
                <w:sz w:val="24"/>
                <w:szCs w:val="24"/>
                <w:lang w:val="en-US" w:eastAsia="zh-CN" w:bidi="ar-SA"/>
              </w:rPr>
              <w:t>5</w:t>
            </w:r>
            <w:r>
              <w:rPr>
                <w:rFonts w:ascii="Times New Roman" w:hAnsi="Times New Roman" w:eastAsia="宋体" w:cs="Times New Roman"/>
                <w:color w:val="auto"/>
                <w:kern w:val="2"/>
                <w:sz w:val="24"/>
                <w:szCs w:val="24"/>
                <w:lang w:val="en-US" w:eastAsia="zh-CN" w:bidi="ar-SA"/>
              </w:rPr>
              <w:t>%固态组份作为漆渣沉降地面，</w:t>
            </w:r>
            <w:r>
              <w:rPr>
                <w:rFonts w:hint="eastAsia" w:cs="Times New Roman"/>
                <w:color w:val="auto"/>
                <w:kern w:val="2"/>
                <w:sz w:val="24"/>
                <w:szCs w:val="24"/>
                <w:lang w:val="en-US" w:eastAsia="zh-CN" w:bidi="ar-SA"/>
              </w:rPr>
              <w:t>30</w:t>
            </w:r>
            <w:r>
              <w:rPr>
                <w:rFonts w:ascii="Times New Roman" w:hAnsi="Times New Roman" w:eastAsia="宋体" w:cs="Times New Roman"/>
                <w:color w:val="auto"/>
                <w:kern w:val="2"/>
                <w:sz w:val="24"/>
                <w:szCs w:val="24"/>
                <w:lang w:val="en-US" w:eastAsia="zh-CN" w:bidi="ar-SA"/>
              </w:rPr>
              <w:t>%固态组份</w:t>
            </w:r>
            <w:r>
              <w:rPr>
                <w:rFonts w:hint="eastAsia" w:ascii="Times New Roman" w:hAnsi="Times New Roman" w:eastAsia="宋体" w:cs="Times New Roman"/>
                <w:color w:val="auto"/>
                <w:kern w:val="2"/>
                <w:sz w:val="24"/>
                <w:szCs w:val="24"/>
                <w:lang w:val="en-US" w:eastAsia="zh-CN" w:bidi="ar-SA"/>
              </w:rPr>
              <w:t>作为</w:t>
            </w:r>
            <w:r>
              <w:rPr>
                <w:rFonts w:ascii="Times New Roman" w:hAnsi="Times New Roman" w:eastAsia="宋体" w:cs="Times New Roman"/>
                <w:color w:val="auto"/>
                <w:kern w:val="2"/>
                <w:sz w:val="24"/>
                <w:szCs w:val="24"/>
                <w:lang w:val="en-US" w:eastAsia="zh-CN" w:bidi="ar-SA"/>
              </w:rPr>
              <w:t>漆雾颗粒物经</w:t>
            </w:r>
            <w:r>
              <w:rPr>
                <w:rFonts w:hint="eastAsia" w:cs="Times New Roman"/>
                <w:color w:val="auto"/>
                <w:kern w:val="2"/>
                <w:sz w:val="24"/>
                <w:szCs w:val="24"/>
                <w:lang w:val="en-US" w:eastAsia="zh-CN" w:bidi="ar-SA"/>
              </w:rPr>
              <w:t>引风机</w:t>
            </w:r>
            <w:r>
              <w:rPr>
                <w:rFonts w:ascii="Times New Roman" w:hAnsi="Times New Roman" w:eastAsia="宋体" w:cs="Times New Roman"/>
                <w:color w:val="auto"/>
                <w:kern w:val="2"/>
                <w:sz w:val="24"/>
                <w:szCs w:val="24"/>
                <w:lang w:val="en-US" w:eastAsia="zh-CN" w:bidi="ar-SA"/>
              </w:rPr>
              <w:t>有组织收集。</w:t>
            </w:r>
            <w:r>
              <w:rPr>
                <w:rFonts w:hint="eastAsia" w:ascii="Times New Roman" w:hAnsi="Times New Roman" w:eastAsia="宋体" w:cs="Times New Roman"/>
                <w:color w:val="auto"/>
                <w:kern w:val="2"/>
                <w:sz w:val="24"/>
                <w:szCs w:val="24"/>
                <w:lang w:val="en-US" w:eastAsia="zh-CN" w:bidi="ar-SA"/>
              </w:rPr>
              <w:t>有机废气</w:t>
            </w:r>
            <w:r>
              <w:rPr>
                <w:rFonts w:ascii="Times New Roman" w:hAnsi="Times New Roman" w:eastAsia="宋体" w:cs="Times New Roman"/>
                <w:color w:val="auto"/>
                <w:kern w:val="2"/>
                <w:sz w:val="24"/>
                <w:szCs w:val="24"/>
                <w:lang w:val="en-US" w:eastAsia="zh-CN" w:bidi="ar-SA"/>
              </w:rPr>
              <w:t>在喷漆过程中有</w:t>
            </w:r>
            <w:r>
              <w:rPr>
                <w:rFonts w:hint="eastAsia" w:ascii="Times New Roman" w:hAnsi="Times New Roman" w:eastAsia="宋体" w:cs="Times New Roman"/>
                <w:color w:val="auto"/>
                <w:kern w:val="2"/>
                <w:sz w:val="24"/>
                <w:szCs w:val="24"/>
                <w:lang w:val="en-US" w:eastAsia="zh-CN" w:bidi="ar-SA"/>
              </w:rPr>
              <w:t>40</w:t>
            </w:r>
            <w:r>
              <w:rPr>
                <w:rFonts w:ascii="Times New Roman" w:hAnsi="Times New Roman" w:eastAsia="宋体" w:cs="Times New Roman"/>
                <w:color w:val="auto"/>
                <w:kern w:val="2"/>
                <w:sz w:val="24"/>
                <w:szCs w:val="24"/>
                <w:lang w:val="en-US" w:eastAsia="zh-CN" w:bidi="ar-SA"/>
              </w:rPr>
              <w:t>%挥发，剩下</w:t>
            </w:r>
            <w:r>
              <w:rPr>
                <w:rFonts w:hint="eastAsia" w:cs="Times New Roman"/>
                <w:color w:val="auto"/>
                <w:kern w:val="2"/>
                <w:sz w:val="24"/>
                <w:szCs w:val="24"/>
                <w:lang w:val="en-US" w:eastAsia="zh-CN" w:bidi="ar-SA"/>
              </w:rPr>
              <w:t>60</w:t>
            </w:r>
            <w:r>
              <w:rPr>
                <w:rFonts w:ascii="Times New Roman" w:hAnsi="Times New Roman" w:eastAsia="宋体" w:cs="Times New Roman"/>
                <w:color w:val="auto"/>
                <w:kern w:val="2"/>
                <w:sz w:val="24"/>
                <w:szCs w:val="24"/>
                <w:lang w:val="en-US" w:eastAsia="zh-CN" w:bidi="ar-SA"/>
              </w:rPr>
              <w:t>%有机废气在</w:t>
            </w:r>
            <w:r>
              <w:rPr>
                <w:rFonts w:hint="eastAsia" w:ascii="Times New Roman" w:hAnsi="Times New Roman" w:eastAsia="宋体" w:cs="Times New Roman"/>
                <w:color w:val="auto"/>
                <w:kern w:val="2"/>
                <w:sz w:val="24"/>
                <w:szCs w:val="24"/>
                <w:lang w:val="en-US" w:eastAsia="zh-CN" w:bidi="ar-SA"/>
              </w:rPr>
              <w:t>晾干</w:t>
            </w:r>
            <w:r>
              <w:rPr>
                <w:rFonts w:ascii="Times New Roman" w:hAnsi="Times New Roman" w:eastAsia="宋体" w:cs="Times New Roman"/>
                <w:color w:val="auto"/>
                <w:kern w:val="2"/>
                <w:sz w:val="24"/>
                <w:szCs w:val="24"/>
                <w:lang w:val="en-US" w:eastAsia="zh-CN" w:bidi="ar-SA"/>
              </w:rPr>
              <w:t>过程中挥发。</w:t>
            </w:r>
          </w:p>
          <w:p w14:paraId="67D67D1D">
            <w:pPr>
              <w:keepNext w:val="0"/>
              <w:keepLines w:val="0"/>
              <w:pageBreakBefore w:val="0"/>
              <w:kinsoku/>
              <w:wordWrap/>
              <w:overflowPunct/>
              <w:topLinePunct w:val="0"/>
              <w:autoSpaceDE/>
              <w:autoSpaceDN/>
              <w:bidi w:val="0"/>
              <w:spacing w:line="360" w:lineRule="auto"/>
              <w:ind w:left="0" w:firstLine="480" w:firstLineChars="200"/>
              <w:jc w:val="both"/>
              <w:textAlignment w:val="auto"/>
              <w:rPr>
                <w:rFonts w:hint="eastAsia"/>
                <w:sz w:val="24"/>
              </w:rPr>
            </w:pPr>
            <w:r>
              <w:rPr>
                <w:rFonts w:hint="eastAsia" w:ascii="Times New Roman" w:hAnsi="Times New Roman" w:cs="Times New Roman"/>
                <w:color w:val="auto"/>
                <w:kern w:val="2"/>
                <w:sz w:val="24"/>
                <w:szCs w:val="24"/>
                <w:lang w:val="en-US" w:eastAsia="zh-CN" w:bidi="ar-SA"/>
              </w:rPr>
              <w:t>本项目</w:t>
            </w:r>
            <w:r>
              <w:rPr>
                <w:rFonts w:hint="eastAsia" w:cs="Times New Roman"/>
                <w:color w:val="auto"/>
                <w:kern w:val="2"/>
                <w:sz w:val="24"/>
                <w:szCs w:val="24"/>
                <w:lang w:val="en-US" w:eastAsia="zh-CN" w:bidi="ar-SA"/>
              </w:rPr>
              <w:t>调配后</w:t>
            </w:r>
            <w:r>
              <w:rPr>
                <w:rFonts w:hint="eastAsia" w:ascii="Times New Roman" w:hAnsi="Times New Roman" w:cs="Times New Roman"/>
                <w:color w:val="auto"/>
                <w:kern w:val="2"/>
                <w:sz w:val="24"/>
                <w:szCs w:val="24"/>
                <w:lang w:val="en-US" w:eastAsia="zh-CN" w:bidi="ar-SA"/>
              </w:rPr>
              <w:t>油性漆的年用量为0.5</w:t>
            </w:r>
            <w:r>
              <w:rPr>
                <w:rFonts w:hint="eastAsia" w:cs="Times New Roman"/>
                <w:color w:val="auto"/>
                <w:kern w:val="2"/>
                <w:sz w:val="24"/>
                <w:szCs w:val="24"/>
                <w:lang w:val="en-US" w:eastAsia="zh-CN" w:bidi="ar-SA"/>
              </w:rPr>
              <w:t>5</w:t>
            </w:r>
            <w:r>
              <w:rPr>
                <w:rFonts w:hint="eastAsia" w:ascii="Times New Roman" w:hAnsi="Times New Roman" w:cs="Times New Roman"/>
                <w:color w:val="auto"/>
                <w:kern w:val="2"/>
                <w:sz w:val="24"/>
                <w:szCs w:val="24"/>
                <w:lang w:val="en-US" w:eastAsia="zh-CN" w:bidi="ar-SA"/>
              </w:rPr>
              <w:t>t</w:t>
            </w:r>
            <w:r>
              <w:rPr>
                <w:rFonts w:hint="eastAsia" w:cs="Times New Roman"/>
                <w:color w:val="auto"/>
                <w:kern w:val="2"/>
                <w:sz w:val="24"/>
                <w:szCs w:val="24"/>
                <w:lang w:val="en-US" w:eastAsia="zh-CN" w:bidi="ar-SA"/>
              </w:rPr>
              <w:t>（油性漆0.5t，稀释剂0.05t）</w:t>
            </w:r>
            <w:r>
              <w:rPr>
                <w:rFonts w:ascii="Times New Roman" w:hAnsi="Times New Roman" w:eastAsia="宋体" w:cs="Times New Roman"/>
                <w:color w:val="auto"/>
                <w:kern w:val="2"/>
                <w:sz w:val="24"/>
                <w:szCs w:val="24"/>
                <w:lang w:val="en-US" w:eastAsia="zh-CN" w:bidi="ar-SA"/>
              </w:rPr>
              <w:t>，</w:t>
            </w:r>
            <w:r>
              <w:rPr>
                <w:rFonts w:hint="eastAsia" w:cs="Times New Roman"/>
                <w:color w:val="auto"/>
                <w:kern w:val="2"/>
                <w:sz w:val="24"/>
                <w:szCs w:val="24"/>
                <w:lang w:val="en-US" w:eastAsia="zh-CN" w:bidi="ar-SA"/>
              </w:rPr>
              <w:t>调配后</w:t>
            </w:r>
            <w:r>
              <w:rPr>
                <w:rFonts w:hint="eastAsia" w:ascii="Times New Roman" w:hAnsi="Times New Roman" w:cs="Times New Roman"/>
                <w:color w:val="auto"/>
                <w:kern w:val="2"/>
                <w:sz w:val="24"/>
                <w:szCs w:val="24"/>
                <w:lang w:val="en-US" w:eastAsia="zh-CN" w:bidi="ar-SA"/>
              </w:rPr>
              <w:t>水性漆的使用量为0.</w:t>
            </w:r>
            <w:r>
              <w:rPr>
                <w:rFonts w:hint="eastAsia" w:cs="Times New Roman"/>
                <w:color w:val="auto"/>
                <w:kern w:val="2"/>
                <w:sz w:val="24"/>
                <w:szCs w:val="24"/>
                <w:lang w:val="en-US" w:eastAsia="zh-CN" w:bidi="ar-SA"/>
              </w:rPr>
              <w:t>5</w:t>
            </w:r>
            <w:r>
              <w:rPr>
                <w:rFonts w:hint="eastAsia" w:ascii="Times New Roman" w:hAnsi="Times New Roman" w:cs="Times New Roman"/>
                <w:color w:val="auto"/>
                <w:kern w:val="2"/>
                <w:sz w:val="24"/>
                <w:szCs w:val="24"/>
                <w:lang w:val="en-US" w:eastAsia="zh-CN" w:bidi="ar-SA"/>
              </w:rPr>
              <w:t>t，</w:t>
            </w:r>
            <w:r>
              <w:rPr>
                <w:rFonts w:hint="eastAsia" w:cs="Times New Roman"/>
                <w:color w:val="auto"/>
                <w:kern w:val="2"/>
                <w:sz w:val="24"/>
                <w:szCs w:val="24"/>
                <w:lang w:val="en-US" w:eastAsia="zh-CN" w:bidi="ar-SA"/>
              </w:rPr>
              <w:t>根据漆量平衡</w:t>
            </w:r>
            <w:r>
              <w:rPr>
                <w:rFonts w:hint="eastAsia" w:ascii="Times New Roman" w:hAnsi="Times New Roman" w:eastAsia="宋体" w:cs="Times New Roman"/>
                <w:color w:val="auto"/>
                <w:kern w:val="2"/>
                <w:sz w:val="24"/>
                <w:szCs w:val="24"/>
                <w:lang w:val="en-US" w:eastAsia="zh-CN" w:bidi="ar-SA"/>
              </w:rPr>
              <w:t>油性漆喷</w:t>
            </w:r>
            <w:r>
              <w:rPr>
                <w:rFonts w:hint="eastAsia" w:cs="Times New Roman"/>
                <w:color w:val="auto"/>
                <w:kern w:val="2"/>
                <w:sz w:val="24"/>
                <w:szCs w:val="24"/>
                <w:lang w:val="en-US" w:eastAsia="zh-CN" w:bidi="ar-SA"/>
              </w:rPr>
              <w:t>涂</w:t>
            </w:r>
            <w:r>
              <w:rPr>
                <w:rFonts w:hint="eastAsia" w:ascii="Times New Roman" w:hAnsi="Times New Roman" w:eastAsia="宋体" w:cs="Times New Roman"/>
                <w:color w:val="auto"/>
                <w:kern w:val="2"/>
                <w:sz w:val="24"/>
                <w:szCs w:val="24"/>
                <w:lang w:val="en-US" w:eastAsia="zh-CN" w:bidi="ar-SA"/>
              </w:rPr>
              <w:t>过程中</w:t>
            </w:r>
            <w:r>
              <w:rPr>
                <w:rFonts w:ascii="Times New Roman" w:hAnsi="Times New Roman" w:eastAsia="宋体" w:cs="Times New Roman"/>
                <w:color w:val="auto"/>
                <w:kern w:val="2"/>
                <w:sz w:val="24"/>
                <w:szCs w:val="24"/>
                <w:lang w:val="en-US" w:eastAsia="zh-CN" w:bidi="ar-SA"/>
              </w:rPr>
              <w:t>VOCs产生量为</w:t>
            </w:r>
            <w:r>
              <w:rPr>
                <w:rFonts w:hint="eastAsia" w:ascii="Times New Roman" w:hAnsi="Times New Roman" w:cs="Times New Roman"/>
                <w:color w:val="auto"/>
                <w:kern w:val="2"/>
                <w:sz w:val="24"/>
                <w:szCs w:val="24"/>
                <w:lang w:val="en-US" w:eastAsia="zh-CN" w:bidi="ar-SA"/>
              </w:rPr>
              <w:t>0.1</w:t>
            </w:r>
            <w:r>
              <w:rPr>
                <w:rFonts w:hint="eastAsia" w:cs="Times New Roman"/>
                <w:color w:val="auto"/>
                <w:kern w:val="2"/>
                <w:sz w:val="24"/>
                <w:szCs w:val="24"/>
                <w:lang w:val="en-US" w:eastAsia="zh-CN" w:bidi="ar-SA"/>
              </w:rPr>
              <w:t>5</w:t>
            </w:r>
            <w:r>
              <w:rPr>
                <w:rFonts w:ascii="Times New Roman" w:hAnsi="Times New Roman" w:eastAsia="宋体" w:cs="Times New Roman"/>
                <w:color w:val="auto"/>
                <w:kern w:val="2"/>
                <w:sz w:val="24"/>
                <w:szCs w:val="24"/>
                <w:lang w:val="en-US" w:eastAsia="zh-CN" w:bidi="ar-SA"/>
              </w:rPr>
              <w:t>t/a，其中二甲苯含量为</w:t>
            </w:r>
            <w:r>
              <w:rPr>
                <w:rFonts w:hint="eastAsia" w:ascii="Times New Roman" w:hAnsi="Times New Roman" w:cs="Times New Roman"/>
                <w:color w:val="auto"/>
                <w:kern w:val="2"/>
                <w:sz w:val="24"/>
                <w:szCs w:val="24"/>
                <w:lang w:val="en-US" w:eastAsia="zh-CN" w:bidi="ar-SA"/>
              </w:rPr>
              <w:t>0.0</w:t>
            </w:r>
            <w:r>
              <w:rPr>
                <w:rFonts w:hint="eastAsia" w:cs="Times New Roman"/>
                <w:color w:val="auto"/>
                <w:kern w:val="2"/>
                <w:sz w:val="24"/>
                <w:szCs w:val="24"/>
                <w:lang w:val="en-US" w:eastAsia="zh-CN" w:bidi="ar-SA"/>
              </w:rPr>
              <w:t>7</w:t>
            </w:r>
            <w:r>
              <w:rPr>
                <w:rFonts w:ascii="Times New Roman" w:hAnsi="Times New Roman" w:eastAsia="宋体" w:cs="Times New Roman"/>
                <w:color w:val="auto"/>
                <w:kern w:val="2"/>
                <w:sz w:val="24"/>
                <w:szCs w:val="24"/>
                <w:lang w:val="en-US" w:eastAsia="zh-CN" w:bidi="ar-SA"/>
              </w:rPr>
              <w:t>t/a</w:t>
            </w:r>
            <w:r>
              <w:rPr>
                <w:rFonts w:hint="eastAsia"/>
                <w:lang w:eastAsia="zh-CN"/>
              </w:rPr>
              <w:t>，</w:t>
            </w:r>
            <w:r>
              <w:rPr>
                <w:rFonts w:hint="eastAsia" w:ascii="Times New Roman" w:hAnsi="Times New Roman" w:cs="Times New Roman"/>
                <w:color w:val="auto"/>
                <w:kern w:val="2"/>
                <w:sz w:val="24"/>
                <w:szCs w:val="24"/>
                <w:lang w:val="en-US" w:eastAsia="zh-CN" w:bidi="ar-SA"/>
              </w:rPr>
              <w:t>漆雾颗粒的产生量为0.12t/a</w:t>
            </w:r>
            <w:r>
              <w:rPr>
                <w:rFonts w:ascii="Times New Roman" w:hAnsi="Times New Roman" w:eastAsia="宋体"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水性漆</w:t>
            </w:r>
            <w:r>
              <w:rPr>
                <w:rFonts w:ascii="Times New Roman" w:hAnsi="Times New Roman" w:eastAsia="宋体" w:cs="Times New Roman"/>
                <w:color w:val="auto"/>
                <w:kern w:val="2"/>
                <w:sz w:val="24"/>
                <w:szCs w:val="24"/>
                <w:lang w:val="en-US" w:eastAsia="zh-CN" w:bidi="ar-SA"/>
              </w:rPr>
              <w:t>喷</w:t>
            </w:r>
            <w:r>
              <w:rPr>
                <w:rFonts w:hint="eastAsia" w:cs="Times New Roman"/>
                <w:color w:val="auto"/>
                <w:kern w:val="2"/>
                <w:sz w:val="24"/>
                <w:szCs w:val="24"/>
                <w:lang w:val="en-US" w:eastAsia="zh-CN" w:bidi="ar-SA"/>
              </w:rPr>
              <w:t>涂</w:t>
            </w:r>
            <w:r>
              <w:rPr>
                <w:rFonts w:ascii="Times New Roman" w:hAnsi="Times New Roman" w:eastAsia="宋体" w:cs="Times New Roman"/>
                <w:color w:val="auto"/>
                <w:kern w:val="2"/>
                <w:sz w:val="24"/>
                <w:szCs w:val="24"/>
                <w:lang w:val="en-US" w:eastAsia="zh-CN" w:bidi="ar-SA"/>
              </w:rPr>
              <w:t>过程VOCs产生量为</w:t>
            </w:r>
            <w:r>
              <w:rPr>
                <w:rFonts w:hint="eastAsia" w:ascii="Times New Roman" w:hAnsi="Times New Roman" w:cs="Times New Roman"/>
                <w:color w:val="auto"/>
                <w:kern w:val="2"/>
                <w:sz w:val="24"/>
                <w:szCs w:val="24"/>
                <w:lang w:val="en-US" w:eastAsia="zh-CN" w:bidi="ar-SA"/>
              </w:rPr>
              <w:t>0.</w:t>
            </w:r>
            <w:r>
              <w:rPr>
                <w:rFonts w:hint="eastAsia" w:cs="Times New Roman"/>
                <w:color w:val="auto"/>
                <w:kern w:val="2"/>
                <w:sz w:val="24"/>
                <w:szCs w:val="24"/>
                <w:lang w:val="en-US" w:eastAsia="zh-CN" w:bidi="ar-SA"/>
              </w:rPr>
              <w:t>045</w:t>
            </w:r>
            <w:r>
              <w:rPr>
                <w:rFonts w:ascii="Times New Roman" w:hAnsi="Times New Roman" w:eastAsia="宋体" w:cs="Times New Roman"/>
                <w:color w:val="auto"/>
                <w:kern w:val="2"/>
                <w:sz w:val="24"/>
                <w:szCs w:val="24"/>
                <w:lang w:val="en-US" w:eastAsia="zh-CN" w:bidi="ar-SA"/>
              </w:rPr>
              <w:t>t/a</w:t>
            </w:r>
            <w:r>
              <w:rPr>
                <w:rFonts w:hint="eastAsia" w:cs="Times New Roman"/>
                <w:color w:val="auto"/>
                <w:kern w:val="2"/>
                <w:sz w:val="24"/>
                <w:szCs w:val="24"/>
                <w:lang w:val="en-US" w:eastAsia="zh-CN" w:bidi="ar-SA"/>
              </w:rPr>
              <w:t>，</w:t>
            </w:r>
            <w:r>
              <w:rPr>
                <w:rFonts w:hint="eastAsia" w:ascii="Times New Roman" w:hAnsi="Times New Roman" w:cs="Times New Roman"/>
                <w:color w:val="auto"/>
                <w:kern w:val="2"/>
                <w:sz w:val="24"/>
                <w:szCs w:val="24"/>
                <w:lang w:val="en-US" w:eastAsia="zh-CN" w:bidi="ar-SA"/>
              </w:rPr>
              <w:t>漆雾颗粒的产生量为0.</w:t>
            </w:r>
            <w:r>
              <w:rPr>
                <w:rFonts w:hint="eastAsia" w:cs="Times New Roman"/>
                <w:color w:val="auto"/>
                <w:kern w:val="2"/>
                <w:sz w:val="24"/>
                <w:szCs w:val="24"/>
                <w:lang w:val="en-US" w:eastAsia="zh-CN" w:bidi="ar-SA"/>
              </w:rPr>
              <w:t>0735</w:t>
            </w:r>
            <w:r>
              <w:rPr>
                <w:rFonts w:hint="eastAsia" w:ascii="Times New Roman" w:hAnsi="Times New Roman" w:cs="Times New Roman"/>
                <w:color w:val="auto"/>
                <w:kern w:val="2"/>
                <w:sz w:val="24"/>
                <w:szCs w:val="24"/>
                <w:lang w:val="en-US" w:eastAsia="zh-CN" w:bidi="ar-SA"/>
              </w:rPr>
              <w:t>t/a</w:t>
            </w:r>
            <w:r>
              <w:rPr>
                <w:rFonts w:ascii="Times New Roman" w:hAnsi="Times New Roman" w:eastAsia="宋体" w:cs="Times New Roman"/>
                <w:color w:val="auto"/>
                <w:kern w:val="2"/>
                <w:sz w:val="24"/>
                <w:szCs w:val="24"/>
                <w:lang w:val="en-US" w:eastAsia="zh-CN" w:bidi="ar-SA"/>
              </w:rPr>
              <w:t>。引至</w:t>
            </w:r>
            <w:r>
              <w:rPr>
                <w:rFonts w:hint="eastAsia" w:ascii="Times New Roman" w:hAnsi="Times New Roman" w:cs="Times New Roman"/>
                <w:color w:val="auto"/>
                <w:kern w:val="2"/>
                <w:sz w:val="24"/>
                <w:szCs w:val="24"/>
                <w:lang w:val="en-US" w:eastAsia="zh-CN" w:bidi="ar-SA"/>
              </w:rPr>
              <w:t>一套“过滤棉+两级活性炭”装置</w:t>
            </w:r>
            <w:r>
              <w:rPr>
                <w:rFonts w:ascii="Times New Roman" w:hAnsi="Times New Roman" w:eastAsia="宋体" w:cs="Times New Roman"/>
                <w:color w:val="auto"/>
                <w:kern w:val="2"/>
                <w:sz w:val="24"/>
                <w:szCs w:val="24"/>
                <w:lang w:val="en-US" w:eastAsia="zh-CN" w:bidi="ar-SA"/>
              </w:rPr>
              <w:t>处理后经</w:t>
            </w:r>
            <w:r>
              <w:rPr>
                <w:rFonts w:hint="eastAsia" w:cs="Times New Roman"/>
                <w:color w:val="auto"/>
                <w:kern w:val="2"/>
                <w:sz w:val="24"/>
                <w:szCs w:val="24"/>
                <w:lang w:val="en-US" w:eastAsia="zh-CN" w:bidi="ar-SA"/>
              </w:rPr>
              <w:t>15m高</w:t>
            </w:r>
            <w:r>
              <w:rPr>
                <w:rFonts w:ascii="Times New Roman" w:hAnsi="Times New Roman" w:eastAsia="宋体" w:cs="Times New Roman"/>
                <w:color w:val="auto"/>
                <w:kern w:val="2"/>
                <w:sz w:val="24"/>
                <w:szCs w:val="24"/>
                <w:lang w:val="en-US" w:eastAsia="zh-CN" w:bidi="ar-SA"/>
              </w:rPr>
              <w:t>排气筒（</w:t>
            </w:r>
            <w:r>
              <w:rPr>
                <w:rFonts w:hint="eastAsia" w:cs="Times New Roman"/>
                <w:color w:val="auto"/>
                <w:kern w:val="2"/>
                <w:sz w:val="24"/>
                <w:szCs w:val="24"/>
                <w:lang w:val="en-US" w:eastAsia="zh-CN" w:bidi="ar-SA"/>
              </w:rPr>
              <w:t>DA001</w:t>
            </w:r>
            <w:r>
              <w:rPr>
                <w:rFonts w:ascii="Times New Roman" w:hAnsi="Times New Roman" w:eastAsia="宋体" w:cs="Times New Roman"/>
                <w:color w:val="auto"/>
                <w:kern w:val="2"/>
                <w:sz w:val="24"/>
                <w:szCs w:val="24"/>
                <w:lang w:val="en-US" w:eastAsia="zh-CN" w:bidi="ar-SA"/>
              </w:rPr>
              <w:t>）高空排放</w:t>
            </w:r>
            <w:r>
              <w:rPr>
                <w:rFonts w:hint="eastAsia" w:cs="Times New Roman"/>
                <w:color w:val="auto"/>
                <w:kern w:val="2"/>
                <w:sz w:val="24"/>
                <w:szCs w:val="24"/>
                <w:lang w:val="en-US" w:eastAsia="zh-CN" w:bidi="ar-SA"/>
              </w:rPr>
              <w:t>，废气收集效率为98%，漆雾颗粒的去除效率为85%，非甲烷总烃及二甲苯的去除效率为90%</w:t>
            </w:r>
            <w:r>
              <w:rPr>
                <w:rFonts w:hint="eastAsia"/>
                <w:sz w:val="24"/>
              </w:rPr>
              <w:t>。</w:t>
            </w:r>
          </w:p>
          <w:p w14:paraId="62BBAE86">
            <w:pPr>
              <w:keepNext w:val="0"/>
              <w:keepLines w:val="0"/>
              <w:pageBreakBefore w:val="0"/>
              <w:kinsoku/>
              <w:wordWrap/>
              <w:overflowPunct/>
              <w:topLinePunct w:val="0"/>
              <w:autoSpaceDE/>
              <w:autoSpaceDN/>
              <w:bidi w:val="0"/>
              <w:spacing w:line="360" w:lineRule="auto"/>
              <w:ind w:left="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本次环评按照以下经验公式计算得出</w:t>
            </w:r>
            <w:r>
              <w:rPr>
                <w:rFonts w:hint="default" w:ascii="Times New Roman" w:hAnsi="Times New Roman" w:eastAsia="宋体" w:cs="Times New Roman"/>
                <w:color w:val="auto"/>
                <w:sz w:val="24"/>
                <w:szCs w:val="24"/>
                <w:lang w:val="en-US" w:eastAsia="zh-CN"/>
              </w:rPr>
              <w:t>喷漆房</w:t>
            </w:r>
            <w:r>
              <w:rPr>
                <w:rFonts w:hint="default" w:ascii="Times New Roman" w:hAnsi="Times New Roman" w:eastAsia="宋体" w:cs="Times New Roman"/>
                <w:color w:val="auto"/>
                <w:sz w:val="24"/>
                <w:szCs w:val="24"/>
              </w:rPr>
              <w:t>负压所需风量L。</w:t>
            </w:r>
          </w:p>
          <w:p w14:paraId="01743869">
            <w:pPr>
              <w:keepNext w:val="0"/>
              <w:keepLines w:val="0"/>
              <w:pageBreakBefore w:val="0"/>
              <w:kinsoku/>
              <w:wordWrap/>
              <w:overflowPunct/>
              <w:topLinePunct w:val="0"/>
              <w:autoSpaceDE/>
              <w:autoSpaceDN/>
              <w:bidi w:val="0"/>
              <w:spacing w:line="360" w:lineRule="auto"/>
              <w:ind w:left="0" w:firstLine="480" w:firstLineChars="20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L=V*C</w:t>
            </w:r>
          </w:p>
          <w:p w14:paraId="7688B974">
            <w:pPr>
              <w:keepNext w:val="0"/>
              <w:keepLines w:val="0"/>
              <w:pageBreakBefore w:val="0"/>
              <w:kinsoku/>
              <w:wordWrap/>
              <w:overflowPunct/>
              <w:topLinePunct w:val="0"/>
              <w:autoSpaceDE/>
              <w:autoSpaceDN/>
              <w:bidi w:val="0"/>
              <w:spacing w:line="360" w:lineRule="auto"/>
              <w:ind w:left="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其中：V——</w:t>
            </w:r>
            <w:r>
              <w:rPr>
                <w:rFonts w:hint="default" w:ascii="Times New Roman" w:hAnsi="Times New Roman" w:eastAsia="宋体" w:cs="Times New Roman"/>
                <w:color w:val="auto"/>
                <w:sz w:val="24"/>
                <w:szCs w:val="24"/>
                <w:lang w:val="en-US" w:eastAsia="zh-CN"/>
              </w:rPr>
              <w:t>喷漆房</w:t>
            </w:r>
            <w:r>
              <w:rPr>
                <w:rFonts w:hint="default" w:ascii="Times New Roman" w:hAnsi="Times New Roman" w:eastAsia="宋体" w:cs="Times New Roman"/>
                <w:color w:val="auto"/>
                <w:sz w:val="24"/>
                <w:szCs w:val="24"/>
              </w:rPr>
              <w:t>体积（长*宽*高），</w:t>
            </w:r>
            <w:r>
              <w:rPr>
                <w:rFonts w:hint="default" w:ascii="Times New Roman" w:hAnsi="Times New Roman" w:eastAsia="宋体" w:cs="Times New Roman"/>
                <w:color w:val="auto"/>
                <w:sz w:val="24"/>
                <w:szCs w:val="24"/>
                <w:lang w:val="en-US" w:eastAsia="zh-CN"/>
              </w:rPr>
              <w:t>喷漆房内部体积按照</w:t>
            </w:r>
            <w:r>
              <w:rPr>
                <w:rFonts w:hint="eastAsia" w:cs="Times New Roman"/>
                <w:color w:val="auto"/>
                <w:sz w:val="24"/>
                <w:szCs w:val="24"/>
                <w:lang w:val="en-US" w:eastAsia="zh-CN"/>
              </w:rPr>
              <w:t>14</w:t>
            </w:r>
            <w:r>
              <w:rPr>
                <w:rFonts w:hint="default" w:ascii="Times New Roman" w:hAnsi="Times New Roman" w:eastAsia="宋体" w:cs="Times New Roman"/>
                <w:color w:val="auto"/>
                <w:sz w:val="24"/>
                <w:szCs w:val="24"/>
                <w:lang w:val="en-US" w:eastAsia="zh-CN"/>
              </w:rPr>
              <w:t>m×</w:t>
            </w:r>
            <w:r>
              <w:rPr>
                <w:rFonts w:hint="eastAsia" w:cs="Times New Roman"/>
                <w:color w:val="auto"/>
                <w:sz w:val="24"/>
                <w:szCs w:val="24"/>
                <w:lang w:val="en-US" w:eastAsia="zh-CN"/>
              </w:rPr>
              <w:t>16</w:t>
            </w:r>
            <w:r>
              <w:rPr>
                <w:rFonts w:hint="default" w:ascii="Times New Roman" w:hAnsi="Times New Roman" w:eastAsia="宋体" w:cs="Times New Roman"/>
                <w:color w:val="auto"/>
                <w:sz w:val="24"/>
                <w:szCs w:val="24"/>
                <w:lang w:val="en-US" w:eastAsia="zh-CN"/>
              </w:rPr>
              <w:t>m×</w:t>
            </w:r>
            <w:r>
              <w:rPr>
                <w:rFonts w:hint="eastAsia"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m=</w:t>
            </w:r>
            <w:r>
              <w:rPr>
                <w:rFonts w:hint="eastAsia" w:cs="Times New Roman"/>
                <w:color w:val="auto"/>
                <w:sz w:val="24"/>
                <w:szCs w:val="24"/>
                <w:lang w:val="en-US" w:eastAsia="zh-CN"/>
              </w:rPr>
              <w:t>1120</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lang w:eastAsia="zh-CN"/>
              </w:rPr>
              <w:t>计算</w:t>
            </w:r>
            <w:r>
              <w:rPr>
                <w:rFonts w:hint="default" w:ascii="Times New Roman" w:hAnsi="Times New Roman" w:eastAsia="宋体" w:cs="Times New Roman"/>
                <w:color w:val="auto"/>
                <w:sz w:val="24"/>
                <w:szCs w:val="24"/>
              </w:rPr>
              <w:t>；</w:t>
            </w:r>
          </w:p>
          <w:p w14:paraId="05A6017F">
            <w:pPr>
              <w:keepNext w:val="0"/>
              <w:keepLines w:val="0"/>
              <w:pageBreakBefore w:val="0"/>
              <w:widowControl/>
              <w:kinsoku/>
              <w:wordWrap/>
              <w:overflowPunct/>
              <w:topLinePunct w:val="0"/>
              <w:autoSpaceDE/>
              <w:autoSpaceDN/>
              <w:bidi w:val="0"/>
              <w:spacing w:line="360" w:lineRule="auto"/>
              <w:ind w:left="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C——换气次数，不小于</w:t>
            </w:r>
            <w:r>
              <w:rPr>
                <w:rFonts w:hint="eastAsia" w:cs="Times New Roman"/>
                <w:color w:val="auto"/>
                <w:sz w:val="24"/>
                <w:szCs w:val="24"/>
                <w:lang w:val="en-US" w:eastAsia="zh-CN"/>
              </w:rPr>
              <w:t>8</w:t>
            </w:r>
            <w:r>
              <w:rPr>
                <w:rFonts w:hint="default" w:ascii="Times New Roman" w:hAnsi="Times New Roman" w:eastAsia="宋体" w:cs="Times New Roman"/>
                <w:color w:val="auto"/>
                <w:sz w:val="24"/>
                <w:szCs w:val="24"/>
              </w:rPr>
              <w:t>次/h；</w:t>
            </w:r>
          </w:p>
          <w:p w14:paraId="64C61856">
            <w:pPr>
              <w:keepNext w:val="0"/>
              <w:keepLines w:val="0"/>
              <w:pageBreakBefore w:val="0"/>
              <w:kinsoku/>
              <w:wordWrap/>
              <w:overflowPunct/>
              <w:topLinePunct w:val="0"/>
              <w:autoSpaceDE/>
              <w:autoSpaceDN/>
              <w:bidi w:val="0"/>
              <w:spacing w:line="360" w:lineRule="auto"/>
              <w:ind w:left="0" w:firstLine="480" w:firstLineChars="200"/>
              <w:jc w:val="both"/>
              <w:textAlignment w:val="auto"/>
              <w:rPr>
                <w:sz w:val="24"/>
              </w:rPr>
            </w:pPr>
            <w:r>
              <w:rPr>
                <w:rFonts w:hint="default" w:ascii="Times New Roman" w:hAnsi="Times New Roman" w:eastAsia="宋体" w:cs="Times New Roman"/>
                <w:color w:val="auto"/>
                <w:sz w:val="24"/>
                <w:szCs w:val="24"/>
              </w:rPr>
              <w:t>经计算，</w:t>
            </w:r>
            <w:r>
              <w:rPr>
                <w:rFonts w:hint="default" w:ascii="Times New Roman" w:hAnsi="Times New Roman" w:eastAsia="宋体" w:cs="Times New Roman"/>
                <w:color w:val="auto"/>
                <w:sz w:val="24"/>
                <w:szCs w:val="24"/>
                <w:lang w:val="en-US" w:eastAsia="zh-CN"/>
              </w:rPr>
              <w:t>喷漆房</w:t>
            </w:r>
            <w:r>
              <w:rPr>
                <w:rFonts w:hint="default" w:ascii="Times New Roman" w:hAnsi="Times New Roman" w:eastAsia="宋体" w:cs="Times New Roman"/>
                <w:color w:val="auto"/>
                <w:sz w:val="24"/>
                <w:szCs w:val="24"/>
              </w:rPr>
              <w:t>负压风量约为</w:t>
            </w:r>
            <w:r>
              <w:rPr>
                <w:rFonts w:hint="eastAsia" w:cs="Times New Roman"/>
                <w:color w:val="auto"/>
                <w:sz w:val="24"/>
                <w:szCs w:val="24"/>
                <w:lang w:val="en-US" w:eastAsia="zh-CN"/>
              </w:rPr>
              <w:t>8960</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/h，本项目风量取</w:t>
            </w:r>
            <w:r>
              <w:rPr>
                <w:rFonts w:hint="eastAsia" w:cs="Times New Roman"/>
                <w:color w:val="auto"/>
                <w:sz w:val="24"/>
                <w:szCs w:val="24"/>
                <w:lang w:val="en-US" w:eastAsia="zh-CN"/>
              </w:rPr>
              <w:t>10</w:t>
            </w:r>
            <w:r>
              <w:rPr>
                <w:rFonts w:hint="default" w:ascii="Times New Roman" w:hAnsi="Times New Roman" w:eastAsia="宋体" w:cs="Times New Roman"/>
                <w:color w:val="auto"/>
                <w:sz w:val="24"/>
                <w:szCs w:val="24"/>
                <w:lang w:val="en-US" w:eastAsia="zh-CN"/>
              </w:rPr>
              <w:t>00</w:t>
            </w:r>
            <w:r>
              <w:rPr>
                <w:rFonts w:hint="default" w:ascii="Times New Roman" w:hAnsi="Times New Roman" w:eastAsia="宋体" w:cs="Times New Roman"/>
                <w:color w:val="auto"/>
                <w:sz w:val="24"/>
                <w:szCs w:val="24"/>
              </w:rPr>
              <w:t>0m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/h。</w:t>
            </w:r>
          </w:p>
          <w:p w14:paraId="4263A725">
            <w:pPr>
              <w:spacing w:line="360" w:lineRule="auto"/>
              <w:ind w:firstLine="482" w:firstLineChars="200"/>
              <w:rPr>
                <w:rFonts w:hint="eastAsia" w:eastAsia="宋体"/>
                <w:b/>
                <w:bCs/>
                <w:sz w:val="24"/>
                <w:lang w:eastAsia="zh-CN"/>
              </w:rPr>
            </w:pPr>
            <w:r>
              <w:rPr>
                <w:rFonts w:hint="eastAsia"/>
                <w:b/>
                <w:bCs/>
                <w:sz w:val="24"/>
              </w:rPr>
              <w:t>（2）</w:t>
            </w:r>
            <w:r>
              <w:rPr>
                <w:rFonts w:hint="eastAsia"/>
                <w:b/>
                <w:bCs/>
                <w:sz w:val="24"/>
                <w:lang w:eastAsia="zh-CN"/>
              </w:rPr>
              <w:t>焊接烟尘</w:t>
            </w:r>
          </w:p>
          <w:p w14:paraId="36832E91">
            <w:pPr>
              <w:keepNext w:val="0"/>
              <w:keepLines w:val="0"/>
              <w:pageBreakBefore w:val="0"/>
              <w:widowControl/>
              <w:kinsoku/>
              <w:wordWrap/>
              <w:overflowPunct/>
              <w:topLinePunct w:val="0"/>
              <w:autoSpaceDE/>
              <w:autoSpaceDN/>
              <w:bidi w:val="0"/>
              <w:spacing w:line="360" w:lineRule="auto"/>
              <w:ind w:lef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本项目焊接工位固定</w:t>
            </w:r>
            <w:r>
              <w:rPr>
                <w:rFonts w:hint="eastAsia" w:cs="Times New Roman"/>
                <w:sz w:val="24"/>
                <w:szCs w:val="24"/>
                <w:lang w:eastAsia="zh-CN"/>
              </w:rPr>
              <w:t>，</w:t>
            </w:r>
            <w:r>
              <w:rPr>
                <w:rFonts w:hint="default" w:ascii="Times New Roman" w:hAnsi="Times New Roman" w:eastAsia="宋体" w:cs="Times New Roman"/>
                <w:sz w:val="24"/>
                <w:szCs w:val="24"/>
              </w:rPr>
              <w:t>焊接过程产生的焊接烟尘经集气罩收集通过布袋除尘器处理后车间内无组织排放。</w:t>
            </w:r>
            <w:r>
              <w:rPr>
                <w:rFonts w:hint="default" w:ascii="Times New Roman" w:hAnsi="Times New Roman" w:eastAsia="宋体" w:cs="Times New Roman"/>
                <w:sz w:val="24"/>
                <w:szCs w:val="24"/>
                <w:lang w:val="en-US" w:eastAsia="zh-CN"/>
              </w:rPr>
              <w:t>根据</w:t>
            </w:r>
            <w:r>
              <w:rPr>
                <w:rFonts w:hint="default" w:ascii="Times New Roman" w:hAnsi="Times New Roman" w:eastAsia="宋体" w:cs="Times New Roman"/>
                <w:bCs/>
                <w:color w:val="auto"/>
                <w:kern w:val="0"/>
                <w:sz w:val="24"/>
                <w:szCs w:val="24"/>
                <w:lang w:val="en-US" w:eastAsia="zh-CN" w:bidi="ar-SA"/>
              </w:rPr>
              <w:t>《排放源统计调查产排污核算方法和系数手册》中“焊接-焊接件-</w:t>
            </w:r>
            <w:r>
              <w:rPr>
                <w:rFonts w:hint="eastAsia" w:cs="Times New Roman"/>
                <w:bCs/>
                <w:color w:val="auto"/>
                <w:kern w:val="0"/>
                <w:sz w:val="24"/>
                <w:szCs w:val="24"/>
                <w:lang w:val="en-US" w:eastAsia="zh-CN" w:bidi="ar-SA"/>
              </w:rPr>
              <w:t>实芯焊丝</w:t>
            </w:r>
            <w:r>
              <w:rPr>
                <w:rFonts w:hint="default" w:ascii="Times New Roman" w:hAnsi="Times New Roman" w:eastAsia="宋体" w:cs="Times New Roman"/>
                <w:bCs/>
                <w:color w:val="auto"/>
                <w:kern w:val="0"/>
                <w:sz w:val="24"/>
                <w:szCs w:val="24"/>
                <w:lang w:val="en-US" w:eastAsia="zh-CN" w:bidi="ar-SA"/>
              </w:rPr>
              <w:t>-</w:t>
            </w:r>
            <w:r>
              <w:rPr>
                <w:rFonts w:hint="eastAsia" w:cs="Times New Roman"/>
                <w:bCs/>
                <w:color w:val="auto"/>
                <w:kern w:val="0"/>
                <w:sz w:val="24"/>
                <w:szCs w:val="24"/>
                <w:lang w:val="en-US" w:eastAsia="zh-CN" w:bidi="ar-SA"/>
              </w:rPr>
              <w:t>二氧化碳保护</w:t>
            </w:r>
            <w:r>
              <w:rPr>
                <w:rFonts w:hint="default" w:ascii="Times New Roman" w:hAnsi="Times New Roman" w:eastAsia="宋体" w:cs="Times New Roman"/>
                <w:bCs/>
                <w:color w:val="auto"/>
                <w:kern w:val="0"/>
                <w:sz w:val="24"/>
                <w:szCs w:val="24"/>
                <w:lang w:val="en-US" w:eastAsia="zh-CN" w:bidi="ar-SA"/>
              </w:rPr>
              <w:t>焊”</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颗粒物的</w:t>
            </w:r>
            <w:r>
              <w:rPr>
                <w:rFonts w:hint="default" w:ascii="Times New Roman" w:hAnsi="Times New Roman" w:eastAsia="宋体" w:cs="Times New Roman"/>
                <w:sz w:val="24"/>
                <w:szCs w:val="24"/>
              </w:rPr>
              <w:t>产污系数为</w:t>
            </w:r>
            <w:r>
              <w:rPr>
                <w:rFonts w:hint="eastAsia" w:cs="Times New Roman"/>
                <w:sz w:val="24"/>
                <w:szCs w:val="24"/>
                <w:lang w:val="en-US" w:eastAsia="zh-CN"/>
              </w:rPr>
              <w:t>9.19</w:t>
            </w:r>
            <w:r>
              <w:rPr>
                <w:rFonts w:hint="default" w:ascii="Times New Roman" w:hAnsi="Times New Roman" w:eastAsia="宋体" w:cs="Times New Roman"/>
                <w:sz w:val="24"/>
                <w:szCs w:val="24"/>
              </w:rPr>
              <w:t>kg/t-</w:t>
            </w:r>
            <w:r>
              <w:rPr>
                <w:rFonts w:hint="default" w:ascii="Times New Roman" w:hAnsi="Times New Roman" w:eastAsia="宋体" w:cs="Times New Roman"/>
                <w:sz w:val="24"/>
                <w:szCs w:val="24"/>
                <w:lang w:val="en-US" w:eastAsia="zh-CN"/>
              </w:rPr>
              <w:t>原料</w:t>
            </w:r>
            <w:r>
              <w:rPr>
                <w:rFonts w:hint="default" w:ascii="Times New Roman" w:hAnsi="Times New Roman" w:eastAsia="宋体" w:cs="Times New Roman"/>
                <w:sz w:val="24"/>
                <w:szCs w:val="24"/>
              </w:rPr>
              <w:t>，本项目原料用量为</w:t>
            </w:r>
            <w:r>
              <w:rPr>
                <w:rFonts w:hint="eastAsia" w:ascii="Times New Roman" w:hAnsi="Times New Roman" w:eastAsia="宋体" w:cs="Times New Roman"/>
                <w:sz w:val="24"/>
                <w:szCs w:val="24"/>
                <w:lang w:val="en-US" w:eastAsia="zh-CN"/>
              </w:rPr>
              <w:t>25</w:t>
            </w:r>
            <w:r>
              <w:rPr>
                <w:rFonts w:hint="default" w:ascii="Times New Roman" w:hAnsi="Times New Roman" w:eastAsia="宋体" w:cs="Times New Roman"/>
                <w:sz w:val="24"/>
                <w:szCs w:val="24"/>
              </w:rPr>
              <w:t>t/a，则焊接烟尘产生量为0.</w:t>
            </w:r>
            <w:r>
              <w:rPr>
                <w:rFonts w:hint="eastAsia" w:cs="Times New Roman"/>
                <w:sz w:val="24"/>
                <w:szCs w:val="24"/>
                <w:lang w:val="en-US" w:eastAsia="zh-CN"/>
              </w:rPr>
              <w:t>23</w:t>
            </w:r>
            <w:r>
              <w:rPr>
                <w:rFonts w:hint="default" w:ascii="Times New Roman" w:hAnsi="Times New Roman" w:eastAsia="宋体" w:cs="Times New Roman"/>
                <w:sz w:val="24"/>
                <w:szCs w:val="24"/>
              </w:rPr>
              <w:t>t/a（0.</w:t>
            </w:r>
            <w:r>
              <w:rPr>
                <w:rFonts w:hint="eastAsia" w:cs="Times New Roman"/>
                <w:sz w:val="24"/>
                <w:szCs w:val="24"/>
                <w:lang w:val="en-US" w:eastAsia="zh-CN"/>
              </w:rPr>
              <w:t>0958</w:t>
            </w:r>
            <w:r>
              <w:rPr>
                <w:rFonts w:hint="default" w:ascii="Times New Roman" w:hAnsi="Times New Roman" w:eastAsia="宋体" w:cs="Times New Roman"/>
                <w:sz w:val="24"/>
                <w:szCs w:val="24"/>
              </w:rPr>
              <w:t>kg/h）。</w:t>
            </w:r>
          </w:p>
          <w:p w14:paraId="53E72E20">
            <w:pPr>
              <w:widowControl/>
              <w:spacing w:line="360" w:lineRule="auto"/>
              <w:ind w:firstLine="480" w:firstLineChars="200"/>
            </w:pPr>
            <w:r>
              <w:rPr>
                <w:rFonts w:hint="default" w:ascii="Times New Roman" w:hAnsi="Times New Roman" w:eastAsia="宋体" w:cs="Times New Roman"/>
                <w:sz w:val="24"/>
                <w:szCs w:val="24"/>
              </w:rPr>
              <w:t>本项目产生的焊接烟尘采用布袋除尘器处理，通过集气罩收集</w:t>
            </w:r>
            <w:r>
              <w:rPr>
                <w:rFonts w:hint="eastAsia" w:cs="Times New Roman"/>
                <w:sz w:val="24"/>
                <w:szCs w:val="24"/>
                <w:lang w:eastAsia="zh-CN"/>
              </w:rPr>
              <w:t>，</w:t>
            </w:r>
            <w:r>
              <w:rPr>
                <w:rFonts w:hint="default" w:ascii="Times New Roman" w:hAnsi="Times New Roman" w:eastAsia="宋体" w:cs="Times New Roman"/>
                <w:sz w:val="24"/>
                <w:szCs w:val="24"/>
              </w:rPr>
              <w:t>收集效率按80%计算，净化效率按90%计算，焊接工序按年工作</w:t>
            </w:r>
            <w:r>
              <w:rPr>
                <w:rFonts w:hint="eastAsia" w:ascii="Times New Roman" w:hAnsi="Times New Roman" w:eastAsia="宋体" w:cs="Times New Roman"/>
                <w:sz w:val="24"/>
                <w:szCs w:val="24"/>
                <w:lang w:val="en-US" w:eastAsia="zh-CN"/>
              </w:rPr>
              <w:t>24</w:t>
            </w:r>
            <w:r>
              <w:rPr>
                <w:rFonts w:hint="default" w:ascii="Times New Roman" w:hAnsi="Times New Roman" w:eastAsia="宋体" w:cs="Times New Roman"/>
                <w:sz w:val="24"/>
                <w:szCs w:val="24"/>
              </w:rPr>
              <w:t>00h计算，则焊接烟尘无组织排放量为0.</w:t>
            </w:r>
            <w:r>
              <w:rPr>
                <w:rFonts w:hint="eastAsia" w:cs="Times New Roman"/>
                <w:sz w:val="24"/>
                <w:szCs w:val="24"/>
                <w:lang w:val="en-US" w:eastAsia="zh-CN"/>
              </w:rPr>
              <w:t>0644</w:t>
            </w:r>
            <w:r>
              <w:rPr>
                <w:rFonts w:hint="default" w:ascii="Times New Roman" w:hAnsi="Times New Roman" w:eastAsia="宋体" w:cs="Times New Roman"/>
                <w:sz w:val="24"/>
                <w:szCs w:val="24"/>
              </w:rPr>
              <w:t>t/a（0.0</w:t>
            </w:r>
            <w:r>
              <w:rPr>
                <w:rFonts w:hint="eastAsia" w:cs="Times New Roman"/>
                <w:sz w:val="24"/>
                <w:szCs w:val="24"/>
                <w:lang w:val="en-US" w:eastAsia="zh-CN"/>
              </w:rPr>
              <w:t>268</w:t>
            </w:r>
            <w:r>
              <w:rPr>
                <w:rFonts w:hint="default" w:ascii="Times New Roman" w:hAnsi="Times New Roman" w:eastAsia="宋体" w:cs="Times New Roman"/>
                <w:sz w:val="24"/>
                <w:szCs w:val="24"/>
              </w:rPr>
              <w:t>kg/h）。</w:t>
            </w:r>
          </w:p>
          <w:p w14:paraId="05D08BD7">
            <w:pPr>
              <w:spacing w:line="360" w:lineRule="auto"/>
              <w:ind w:firstLine="482" w:firstLineChars="200"/>
              <w:rPr>
                <w:rFonts w:hint="eastAsia"/>
                <w:b/>
                <w:bCs/>
                <w:sz w:val="24"/>
                <w:lang w:eastAsia="zh-CN"/>
              </w:rPr>
            </w:pPr>
            <w:r>
              <w:rPr>
                <w:rFonts w:hint="eastAsia"/>
                <w:b/>
                <w:bCs/>
                <w:sz w:val="24"/>
                <w:lang w:eastAsia="zh-CN"/>
              </w:rPr>
              <w:t>（</w:t>
            </w:r>
            <w:r>
              <w:rPr>
                <w:rFonts w:hint="eastAsia"/>
                <w:b/>
                <w:bCs/>
                <w:sz w:val="24"/>
                <w:lang w:val="en-US" w:eastAsia="zh-CN"/>
              </w:rPr>
              <w:t>3</w:t>
            </w:r>
            <w:r>
              <w:rPr>
                <w:rFonts w:hint="eastAsia"/>
                <w:b/>
                <w:bCs/>
                <w:sz w:val="24"/>
                <w:lang w:eastAsia="zh-CN"/>
              </w:rPr>
              <w:t>）切割粉尘</w:t>
            </w:r>
          </w:p>
          <w:p w14:paraId="582719C4">
            <w:pPr>
              <w:spacing w:line="360" w:lineRule="auto"/>
              <w:ind w:firstLine="480" w:firstLineChars="200"/>
              <w:rPr>
                <w:rFonts w:hint="eastAsia" w:ascii="Times New Roman" w:hAnsi="Times New Roman" w:eastAsia="宋体" w:cs="Times New Roman"/>
                <w:sz w:val="24"/>
                <w:szCs w:val="24"/>
                <w:lang w:eastAsia="zh-CN"/>
              </w:rPr>
            </w:pPr>
            <w:r>
              <w:rPr>
                <w:rFonts w:hint="eastAsia"/>
                <w:sz w:val="24"/>
                <w:lang w:eastAsia="zh-CN"/>
              </w:rPr>
              <w:t>本项目下料切割过程会产生切割粉尘，</w:t>
            </w:r>
            <w:r>
              <w:rPr>
                <w:rFonts w:hint="default" w:ascii="Times New Roman" w:hAnsi="Times New Roman" w:eastAsia="宋体" w:cs="Times New Roman"/>
                <w:sz w:val="24"/>
                <w:szCs w:val="24"/>
              </w:rPr>
              <w:t>切割粉尘</w:t>
            </w:r>
            <w:r>
              <w:rPr>
                <w:rFonts w:hint="default" w:ascii="Times New Roman" w:hAnsi="Times New Roman" w:eastAsia="宋体" w:cs="Times New Roman"/>
                <w:sz w:val="24"/>
                <w:szCs w:val="24"/>
                <w:lang w:val="en-US" w:eastAsia="zh-CN"/>
              </w:rPr>
              <w:t>经</w:t>
            </w:r>
            <w:r>
              <w:rPr>
                <w:rFonts w:hint="default" w:ascii="Times New Roman" w:hAnsi="Times New Roman" w:eastAsia="宋体" w:cs="Times New Roman"/>
                <w:sz w:val="24"/>
                <w:szCs w:val="24"/>
              </w:rPr>
              <w:t>切割机自带</w:t>
            </w:r>
            <w:r>
              <w:rPr>
                <w:rFonts w:hint="default" w:ascii="Times New Roman" w:hAnsi="Times New Roman" w:eastAsia="宋体" w:cs="Times New Roman"/>
                <w:sz w:val="24"/>
                <w:szCs w:val="24"/>
                <w:lang w:val="en-US" w:eastAsia="zh-CN"/>
              </w:rPr>
              <w:t>集气罩收集后经设备</w:t>
            </w:r>
            <w:r>
              <w:rPr>
                <w:rFonts w:hint="eastAsia" w:cs="Times New Roman"/>
                <w:sz w:val="24"/>
                <w:szCs w:val="24"/>
                <w:lang w:val="en-US" w:eastAsia="zh-CN"/>
              </w:rPr>
              <w:t>自带布袋除尘器</w:t>
            </w:r>
            <w:r>
              <w:rPr>
                <w:rFonts w:hint="default" w:ascii="Times New Roman" w:hAnsi="Times New Roman" w:eastAsia="宋体" w:cs="Times New Roman"/>
                <w:sz w:val="24"/>
                <w:szCs w:val="24"/>
              </w:rPr>
              <w:t>处理，处理后</w:t>
            </w:r>
            <w:r>
              <w:rPr>
                <w:rFonts w:hint="default" w:ascii="Times New Roman" w:hAnsi="Times New Roman" w:eastAsia="宋体" w:cs="Times New Roman"/>
                <w:sz w:val="24"/>
                <w:szCs w:val="24"/>
                <w:lang w:val="en-US" w:eastAsia="zh-CN"/>
              </w:rPr>
              <w:t>车间内</w:t>
            </w:r>
            <w:r>
              <w:rPr>
                <w:rFonts w:hint="default" w:ascii="Times New Roman" w:hAnsi="Times New Roman" w:eastAsia="宋体" w:cs="Times New Roman"/>
                <w:sz w:val="24"/>
                <w:szCs w:val="24"/>
              </w:rPr>
              <w:t>无组织排放。</w:t>
            </w:r>
            <w:r>
              <w:rPr>
                <w:rFonts w:hint="default" w:ascii="Times New Roman" w:hAnsi="Times New Roman" w:eastAsia="宋体" w:cs="Times New Roman"/>
                <w:sz w:val="24"/>
                <w:szCs w:val="24"/>
                <w:lang w:val="en-US" w:eastAsia="zh-CN"/>
              </w:rPr>
              <w:t>根据</w:t>
            </w:r>
            <w:r>
              <w:rPr>
                <w:rFonts w:hint="default" w:ascii="Times New Roman" w:hAnsi="Times New Roman" w:eastAsia="宋体" w:cs="Times New Roman"/>
                <w:bCs/>
                <w:color w:val="auto"/>
                <w:kern w:val="0"/>
                <w:sz w:val="24"/>
                <w:szCs w:val="24"/>
                <w:lang w:val="en-US" w:eastAsia="zh-CN" w:bidi="ar-SA"/>
              </w:rPr>
              <w:t>《排放源统计调查产排污核算方法和系数手册》中“下料-下料件-钢板-等离子切割”</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颗粒物的</w:t>
            </w:r>
            <w:r>
              <w:rPr>
                <w:rFonts w:hint="default" w:ascii="Times New Roman" w:hAnsi="Times New Roman" w:eastAsia="宋体" w:cs="Times New Roman"/>
                <w:sz w:val="24"/>
                <w:szCs w:val="24"/>
              </w:rPr>
              <w:t>产污系数为1.1kg/t-</w:t>
            </w:r>
            <w:r>
              <w:rPr>
                <w:rFonts w:hint="default" w:ascii="Times New Roman" w:hAnsi="Times New Roman" w:eastAsia="宋体" w:cs="Times New Roman"/>
                <w:sz w:val="24"/>
                <w:szCs w:val="24"/>
                <w:lang w:val="en-US" w:eastAsia="zh-CN"/>
              </w:rPr>
              <w:t>原料</w:t>
            </w:r>
            <w:r>
              <w:rPr>
                <w:rFonts w:hint="default" w:ascii="Times New Roman" w:hAnsi="Times New Roman" w:eastAsia="宋体" w:cs="Times New Roman"/>
                <w:sz w:val="24"/>
                <w:szCs w:val="24"/>
              </w:rPr>
              <w:t>，本项目原料用量约为</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700t，则切割粉尘产生量为</w:t>
            </w:r>
            <w:r>
              <w:rPr>
                <w:rFonts w:hint="eastAsia" w:ascii="Times New Roman" w:hAnsi="Times New Roman" w:eastAsia="宋体" w:cs="Times New Roman"/>
                <w:sz w:val="24"/>
                <w:szCs w:val="24"/>
                <w:lang w:val="en-US" w:eastAsia="zh-CN"/>
              </w:rPr>
              <w:t>1.87</w:t>
            </w:r>
            <w:r>
              <w:rPr>
                <w:rFonts w:hint="default" w:ascii="Times New Roman" w:hAnsi="Times New Roman" w:eastAsia="宋体" w:cs="Times New Roman"/>
                <w:sz w:val="24"/>
                <w:szCs w:val="24"/>
              </w:rPr>
              <w:t>t/a（</w:t>
            </w:r>
            <w:r>
              <w:rPr>
                <w:rFonts w:hint="default" w:ascii="Times New Roman" w:hAnsi="Times New Roman" w:eastAsia="宋体" w:cs="Times New Roman"/>
                <w:sz w:val="24"/>
                <w:szCs w:val="24"/>
                <w:lang w:val="en-US" w:eastAsia="zh-CN"/>
              </w:rPr>
              <w:t>产生速率</w:t>
            </w:r>
            <w:r>
              <w:rPr>
                <w:rFonts w:hint="eastAsia" w:ascii="Times New Roman" w:hAnsi="Times New Roman" w:eastAsia="宋体" w:cs="Times New Roman"/>
                <w:sz w:val="24"/>
                <w:szCs w:val="24"/>
                <w:lang w:val="en-US" w:eastAsia="zh-CN"/>
              </w:rPr>
              <w:t>0.779</w:t>
            </w:r>
            <w:r>
              <w:rPr>
                <w:rFonts w:hint="default" w:ascii="Times New Roman" w:hAnsi="Times New Roman" w:eastAsia="宋体" w:cs="Times New Roman"/>
                <w:sz w:val="24"/>
                <w:szCs w:val="24"/>
              </w:rPr>
              <w:t>kg/h），</w:t>
            </w:r>
            <w:r>
              <w:rPr>
                <w:rFonts w:hint="default" w:ascii="Times New Roman" w:hAnsi="Times New Roman" w:eastAsia="宋体" w:cs="Times New Roman"/>
                <w:sz w:val="24"/>
                <w:szCs w:val="24"/>
                <w:lang w:val="en-US" w:eastAsia="zh-CN"/>
              </w:rPr>
              <w:t>集气罩</w:t>
            </w:r>
            <w:r>
              <w:rPr>
                <w:rFonts w:hint="default" w:ascii="Times New Roman" w:hAnsi="Times New Roman" w:eastAsia="宋体" w:cs="Times New Roman"/>
                <w:sz w:val="24"/>
                <w:szCs w:val="24"/>
              </w:rPr>
              <w:t>收集效率按90%计算，</w:t>
            </w:r>
            <w:r>
              <w:rPr>
                <w:rFonts w:hint="default" w:ascii="Times New Roman" w:hAnsi="Times New Roman" w:eastAsia="宋体" w:cs="Times New Roman"/>
                <w:sz w:val="24"/>
                <w:szCs w:val="24"/>
                <w:lang w:val="en-US" w:eastAsia="zh-CN"/>
              </w:rPr>
              <w:t>袋式</w:t>
            </w:r>
            <w:r>
              <w:rPr>
                <w:rFonts w:hint="default" w:ascii="Times New Roman" w:hAnsi="Times New Roman" w:eastAsia="宋体" w:cs="Times New Roman"/>
                <w:sz w:val="24"/>
                <w:szCs w:val="24"/>
              </w:rPr>
              <w:t>除尘器净化效率按95%计算，则经处理后切割粉尘排放量为</w:t>
            </w:r>
            <w:r>
              <w:rPr>
                <w:rFonts w:hint="eastAsia" w:ascii="Times New Roman" w:hAnsi="Times New Roman" w:eastAsia="宋体" w:cs="Times New Roman"/>
                <w:sz w:val="24"/>
                <w:szCs w:val="24"/>
                <w:lang w:val="en-US" w:eastAsia="zh-CN"/>
              </w:rPr>
              <w:t>0.271</w:t>
            </w:r>
            <w:r>
              <w:rPr>
                <w:rFonts w:hint="default" w:ascii="Times New Roman" w:hAnsi="Times New Roman" w:eastAsia="宋体" w:cs="Times New Roman"/>
                <w:sz w:val="24"/>
                <w:szCs w:val="24"/>
              </w:rPr>
              <w:t>t/a（包括未收集直接无组织</w:t>
            </w:r>
            <w:r>
              <w:rPr>
                <w:rFonts w:hint="default" w:ascii="Times New Roman" w:hAnsi="Times New Roman" w:eastAsia="宋体" w:cs="Times New Roman"/>
                <w:sz w:val="24"/>
                <w:szCs w:val="24"/>
                <w:lang w:val="en-US" w:eastAsia="zh-CN"/>
              </w:rPr>
              <w:t>排放</w:t>
            </w:r>
            <w:r>
              <w:rPr>
                <w:rFonts w:hint="default" w:ascii="Times New Roman" w:hAnsi="Times New Roman" w:eastAsia="宋体" w:cs="Times New Roman"/>
                <w:sz w:val="24"/>
                <w:szCs w:val="24"/>
              </w:rPr>
              <w:t>的</w:t>
            </w:r>
            <w:r>
              <w:rPr>
                <w:rFonts w:hint="default" w:ascii="Times New Roman" w:hAnsi="Times New Roman" w:eastAsia="宋体" w:cs="Times New Roman"/>
                <w:sz w:val="24"/>
                <w:szCs w:val="24"/>
                <w:lang w:val="en-US" w:eastAsia="zh-CN"/>
              </w:rPr>
              <w:t>粉尘</w:t>
            </w:r>
            <w:r>
              <w:rPr>
                <w:rFonts w:hint="default" w:ascii="Times New Roman" w:hAnsi="Times New Roman" w:eastAsia="宋体" w:cs="Times New Roman"/>
                <w:sz w:val="24"/>
                <w:szCs w:val="24"/>
              </w:rPr>
              <w:t>量）</w:t>
            </w:r>
            <w:r>
              <w:rPr>
                <w:rFonts w:hint="eastAsia" w:cs="Times New Roman"/>
                <w:sz w:val="24"/>
                <w:szCs w:val="24"/>
                <w:lang w:eastAsia="zh-CN"/>
              </w:rPr>
              <w:t>。</w:t>
            </w:r>
          </w:p>
          <w:p w14:paraId="76B0083A">
            <w:pPr>
              <w:spacing w:line="360" w:lineRule="auto"/>
              <w:ind w:firstLine="480" w:firstLineChars="200"/>
              <w:rPr>
                <w:sz w:val="24"/>
              </w:rPr>
            </w:pPr>
            <w:r>
              <w:rPr>
                <w:rFonts w:hint="eastAsia"/>
                <w:sz w:val="24"/>
              </w:rPr>
              <w:t>本项目有组织废气收集处理情况及处理措施见下列表格：</w:t>
            </w:r>
          </w:p>
          <w:p w14:paraId="35F7E105">
            <w:pPr>
              <w:widowControl/>
              <w:numPr>
                <w:ilvl w:val="0"/>
                <w:numId w:val="2"/>
              </w:numPr>
              <w:jc w:val="center"/>
              <w:rPr>
                <w:b/>
                <w:kern w:val="0"/>
                <w:szCs w:val="21"/>
              </w:rPr>
            </w:pPr>
            <w:r>
              <w:rPr>
                <w:b/>
                <w:kern w:val="0"/>
                <w:szCs w:val="21"/>
              </w:rPr>
              <w:t>废气收集设施相关参数一览表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2"/>
              <w:gridCol w:w="1052"/>
              <w:gridCol w:w="2134"/>
              <w:gridCol w:w="1308"/>
              <w:gridCol w:w="1230"/>
              <w:gridCol w:w="1442"/>
            </w:tblGrid>
            <w:tr w14:paraId="2DFFF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696" w:type="pct"/>
                  <w:vAlign w:val="center"/>
                </w:tcPr>
                <w:p w14:paraId="7A844DAA">
                  <w:pPr>
                    <w:spacing w:line="240" w:lineRule="atLeast"/>
                    <w:jc w:val="center"/>
                    <w:rPr>
                      <w:rFonts w:ascii="宋体" w:hAnsi="宋体" w:cs="宋体"/>
                      <w:b/>
                      <w:bCs/>
                    </w:rPr>
                  </w:pPr>
                  <w:r>
                    <w:rPr>
                      <w:rFonts w:hint="eastAsia" w:ascii="宋体" w:hAnsi="宋体" w:cs="宋体"/>
                      <w:b/>
                      <w:bCs/>
                    </w:rPr>
                    <w:t>生产环节</w:t>
                  </w:r>
                </w:p>
              </w:tc>
              <w:tc>
                <w:tcPr>
                  <w:tcW w:w="642" w:type="pct"/>
                  <w:vAlign w:val="center"/>
                </w:tcPr>
                <w:p w14:paraId="1CDAF61C">
                  <w:pPr>
                    <w:spacing w:line="240" w:lineRule="atLeast"/>
                    <w:jc w:val="center"/>
                    <w:rPr>
                      <w:rFonts w:ascii="宋体" w:hAnsi="宋体" w:cs="宋体"/>
                      <w:b/>
                      <w:bCs/>
                    </w:rPr>
                  </w:pPr>
                  <w:r>
                    <w:rPr>
                      <w:rFonts w:hint="eastAsia" w:ascii="宋体" w:hAnsi="宋体" w:cs="宋体"/>
                      <w:b/>
                      <w:bCs/>
                    </w:rPr>
                    <w:t>污染物</w:t>
                  </w:r>
                </w:p>
                <w:p w14:paraId="2390EB37">
                  <w:pPr>
                    <w:spacing w:line="240" w:lineRule="atLeast"/>
                    <w:jc w:val="center"/>
                    <w:rPr>
                      <w:rFonts w:ascii="宋体" w:hAnsi="宋体" w:cs="宋体"/>
                      <w:b/>
                      <w:bCs/>
                    </w:rPr>
                  </w:pPr>
                  <w:r>
                    <w:rPr>
                      <w:rFonts w:hint="eastAsia" w:ascii="宋体" w:hAnsi="宋体" w:cs="宋体"/>
                      <w:b/>
                      <w:bCs/>
                    </w:rPr>
                    <w:t>种类</w:t>
                  </w:r>
                </w:p>
              </w:tc>
              <w:tc>
                <w:tcPr>
                  <w:tcW w:w="1293" w:type="pct"/>
                  <w:vAlign w:val="center"/>
                </w:tcPr>
                <w:p w14:paraId="5290C028">
                  <w:pPr>
                    <w:spacing w:line="240" w:lineRule="atLeast"/>
                    <w:jc w:val="center"/>
                    <w:rPr>
                      <w:rFonts w:ascii="宋体" w:hAnsi="宋体" w:cs="宋体"/>
                      <w:b/>
                      <w:bCs/>
                    </w:rPr>
                  </w:pPr>
                  <w:r>
                    <w:rPr>
                      <w:rFonts w:hint="eastAsia" w:ascii="宋体" w:hAnsi="宋体" w:cs="宋体"/>
                      <w:b/>
                      <w:bCs/>
                    </w:rPr>
                    <w:t>收集方式</w:t>
                  </w:r>
                </w:p>
              </w:tc>
              <w:tc>
                <w:tcPr>
                  <w:tcW w:w="796" w:type="pct"/>
                  <w:vAlign w:val="center"/>
                </w:tcPr>
                <w:p w14:paraId="60FE38AB">
                  <w:pPr>
                    <w:spacing w:line="240" w:lineRule="atLeast"/>
                    <w:jc w:val="center"/>
                    <w:rPr>
                      <w:rFonts w:ascii="宋体" w:hAnsi="宋体" w:cs="宋体"/>
                      <w:b/>
                      <w:bCs/>
                    </w:rPr>
                  </w:pPr>
                  <w:r>
                    <w:rPr>
                      <w:rFonts w:hint="eastAsia" w:ascii="宋体" w:hAnsi="宋体" w:cs="宋体"/>
                      <w:b/>
                      <w:bCs/>
                    </w:rPr>
                    <w:t>收集设施</w:t>
                  </w:r>
                </w:p>
                <w:p w14:paraId="75E7C9CA">
                  <w:pPr>
                    <w:spacing w:line="240" w:lineRule="atLeast"/>
                    <w:jc w:val="center"/>
                    <w:rPr>
                      <w:rFonts w:ascii="宋体" w:hAnsi="宋体" w:cs="宋体"/>
                      <w:b/>
                      <w:bCs/>
                    </w:rPr>
                  </w:pPr>
                  <w:r>
                    <w:rPr>
                      <w:rFonts w:hint="eastAsia" w:ascii="宋体" w:hAnsi="宋体" w:cs="宋体"/>
                      <w:b/>
                      <w:bCs/>
                    </w:rPr>
                    <w:t>数量</w:t>
                  </w:r>
                </w:p>
              </w:tc>
              <w:tc>
                <w:tcPr>
                  <w:tcW w:w="749" w:type="pct"/>
                  <w:vAlign w:val="center"/>
                </w:tcPr>
                <w:p w14:paraId="4F118E5D">
                  <w:pPr>
                    <w:spacing w:line="240" w:lineRule="atLeast"/>
                    <w:jc w:val="center"/>
                    <w:rPr>
                      <w:rFonts w:ascii="宋体" w:hAnsi="宋体" w:cs="宋体"/>
                      <w:b/>
                      <w:bCs/>
                    </w:rPr>
                  </w:pPr>
                  <w:r>
                    <w:rPr>
                      <w:rFonts w:hint="eastAsia" w:ascii="宋体" w:hAnsi="宋体" w:cs="宋体"/>
                      <w:b/>
                      <w:bCs/>
                    </w:rPr>
                    <w:t>风机风量</w:t>
                  </w:r>
                </w:p>
              </w:tc>
              <w:tc>
                <w:tcPr>
                  <w:tcW w:w="822" w:type="pct"/>
                  <w:vAlign w:val="center"/>
                </w:tcPr>
                <w:p w14:paraId="09D76F6E">
                  <w:pPr>
                    <w:spacing w:line="240" w:lineRule="atLeast"/>
                    <w:jc w:val="center"/>
                    <w:rPr>
                      <w:rFonts w:ascii="宋体" w:hAnsi="宋体" w:cs="宋体"/>
                      <w:b/>
                      <w:bCs/>
                    </w:rPr>
                  </w:pPr>
                  <w:r>
                    <w:rPr>
                      <w:rFonts w:hint="eastAsia" w:ascii="宋体" w:hAnsi="宋体" w:cs="宋体"/>
                      <w:b/>
                      <w:bCs/>
                    </w:rPr>
                    <w:t>收集区域尺寸</w:t>
                  </w:r>
                </w:p>
              </w:tc>
            </w:tr>
            <w:tr w14:paraId="5DDAA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696" w:type="pct"/>
                  <w:vMerge w:val="restart"/>
                  <w:vAlign w:val="center"/>
                </w:tcPr>
                <w:p w14:paraId="44ED3050">
                  <w:pPr>
                    <w:spacing w:line="240" w:lineRule="atLeast"/>
                    <w:jc w:val="center"/>
                    <w:rPr>
                      <w:rFonts w:hint="eastAsia" w:eastAsia="宋体"/>
                      <w:lang w:eastAsia="zh-CN"/>
                    </w:rPr>
                  </w:pPr>
                  <w:r>
                    <w:rPr>
                      <w:rFonts w:hint="eastAsia"/>
                      <w:lang w:eastAsia="zh-CN"/>
                    </w:rPr>
                    <w:t>喷漆</w:t>
                  </w:r>
                </w:p>
              </w:tc>
              <w:tc>
                <w:tcPr>
                  <w:tcW w:w="642" w:type="pct"/>
                  <w:vAlign w:val="center"/>
                </w:tcPr>
                <w:p w14:paraId="7106C284">
                  <w:pPr>
                    <w:spacing w:line="240" w:lineRule="atLeast"/>
                    <w:jc w:val="center"/>
                  </w:pPr>
                  <w:r>
                    <w:rPr>
                      <w:rFonts w:hint="eastAsia"/>
                    </w:rPr>
                    <w:t>颗粒物</w:t>
                  </w:r>
                </w:p>
              </w:tc>
              <w:tc>
                <w:tcPr>
                  <w:tcW w:w="1293" w:type="pct"/>
                  <w:vMerge w:val="restart"/>
                  <w:vAlign w:val="center"/>
                </w:tcPr>
                <w:p w14:paraId="15AA308A">
                  <w:pPr>
                    <w:spacing w:line="240" w:lineRule="atLeast"/>
                    <w:jc w:val="center"/>
                  </w:pPr>
                  <w:r>
                    <w:rPr>
                      <w:rFonts w:hint="eastAsia"/>
                      <w:lang w:eastAsia="zh-CN"/>
                    </w:rPr>
                    <w:t>喷漆房</w:t>
                  </w:r>
                  <w:r>
                    <w:rPr>
                      <w:rFonts w:hint="eastAsia"/>
                    </w:rPr>
                    <w:t>密闭负压收集</w:t>
                  </w:r>
                </w:p>
              </w:tc>
              <w:tc>
                <w:tcPr>
                  <w:tcW w:w="796" w:type="pct"/>
                  <w:vMerge w:val="restart"/>
                  <w:vAlign w:val="center"/>
                </w:tcPr>
                <w:p w14:paraId="52A7D92D">
                  <w:pPr>
                    <w:spacing w:line="240" w:lineRule="atLeast"/>
                    <w:jc w:val="center"/>
                  </w:pPr>
                  <w:r>
                    <w:rPr>
                      <w:rFonts w:hint="eastAsia"/>
                      <w:lang w:val="en-US" w:eastAsia="zh-CN"/>
                    </w:rPr>
                    <w:t>1</w:t>
                  </w:r>
                  <w:r>
                    <w:rPr>
                      <w:rFonts w:hint="eastAsia"/>
                    </w:rPr>
                    <w:t>套</w:t>
                  </w:r>
                </w:p>
              </w:tc>
              <w:tc>
                <w:tcPr>
                  <w:tcW w:w="749" w:type="pct"/>
                  <w:vMerge w:val="restart"/>
                  <w:vAlign w:val="center"/>
                </w:tcPr>
                <w:p w14:paraId="12B92136">
                  <w:pPr>
                    <w:spacing w:line="240" w:lineRule="atLeast"/>
                    <w:jc w:val="center"/>
                  </w:pPr>
                  <w:r>
                    <w:rPr>
                      <w:rFonts w:hint="eastAsia"/>
                      <w:lang w:val="en-US" w:eastAsia="zh-CN"/>
                    </w:rPr>
                    <w:t>2</w:t>
                  </w:r>
                  <w:r>
                    <w:rPr>
                      <w:rFonts w:hint="eastAsia"/>
                    </w:rPr>
                    <w:t>000m</w:t>
                  </w:r>
                  <w:r>
                    <w:rPr>
                      <w:rFonts w:hint="eastAsia"/>
                      <w:vertAlign w:val="superscript"/>
                    </w:rPr>
                    <w:t>3</w:t>
                  </w:r>
                  <w:r>
                    <w:rPr>
                      <w:rFonts w:hint="eastAsia"/>
                    </w:rPr>
                    <w:t>/h</w:t>
                  </w:r>
                </w:p>
              </w:tc>
              <w:tc>
                <w:tcPr>
                  <w:tcW w:w="822" w:type="pct"/>
                  <w:vMerge w:val="restart"/>
                  <w:vAlign w:val="center"/>
                </w:tcPr>
                <w:p w14:paraId="35D6F01E">
                  <w:pPr>
                    <w:spacing w:line="240" w:lineRule="atLeast"/>
                    <w:jc w:val="center"/>
                  </w:pPr>
                  <w:r>
                    <w:rPr>
                      <w:rFonts w:hint="eastAsia"/>
                      <w:lang w:val="en-US" w:eastAsia="zh-CN"/>
                    </w:rPr>
                    <w:t>14</w:t>
                  </w:r>
                  <w:r>
                    <w:t>m*</w:t>
                  </w:r>
                  <w:r>
                    <w:rPr>
                      <w:rFonts w:hint="eastAsia"/>
                      <w:lang w:val="en-US" w:eastAsia="zh-CN"/>
                    </w:rPr>
                    <w:t>16</w:t>
                  </w:r>
                  <w:r>
                    <w:t>m*5m</w:t>
                  </w:r>
                </w:p>
              </w:tc>
            </w:tr>
            <w:tr w14:paraId="68C75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696" w:type="pct"/>
                  <w:vMerge w:val="continue"/>
                  <w:vAlign w:val="center"/>
                </w:tcPr>
                <w:p w14:paraId="2C3524D9">
                  <w:pPr>
                    <w:spacing w:line="240" w:lineRule="atLeast"/>
                    <w:jc w:val="center"/>
                    <w:rPr>
                      <w:rFonts w:hint="eastAsia"/>
                      <w:lang w:eastAsia="zh-CN"/>
                    </w:rPr>
                  </w:pPr>
                </w:p>
              </w:tc>
              <w:tc>
                <w:tcPr>
                  <w:tcW w:w="642" w:type="pct"/>
                  <w:vAlign w:val="center"/>
                </w:tcPr>
                <w:p w14:paraId="10E241C1">
                  <w:pPr>
                    <w:spacing w:line="240" w:lineRule="atLeast"/>
                    <w:jc w:val="center"/>
                    <w:rPr>
                      <w:rFonts w:hint="eastAsia" w:eastAsia="宋体"/>
                      <w:lang w:eastAsia="zh-CN"/>
                    </w:rPr>
                  </w:pPr>
                  <w:r>
                    <w:rPr>
                      <w:rFonts w:hint="eastAsia"/>
                      <w:lang w:eastAsia="zh-CN"/>
                    </w:rPr>
                    <w:t>非甲烷总烃</w:t>
                  </w:r>
                </w:p>
              </w:tc>
              <w:tc>
                <w:tcPr>
                  <w:tcW w:w="1293" w:type="pct"/>
                  <w:vMerge w:val="continue"/>
                  <w:vAlign w:val="center"/>
                </w:tcPr>
                <w:p w14:paraId="01BB6DCF">
                  <w:pPr>
                    <w:spacing w:line="240" w:lineRule="atLeast"/>
                    <w:jc w:val="center"/>
                    <w:rPr>
                      <w:rFonts w:hint="eastAsia"/>
                    </w:rPr>
                  </w:pPr>
                </w:p>
              </w:tc>
              <w:tc>
                <w:tcPr>
                  <w:tcW w:w="796" w:type="pct"/>
                  <w:vMerge w:val="continue"/>
                  <w:vAlign w:val="center"/>
                </w:tcPr>
                <w:p w14:paraId="35C9A68F">
                  <w:pPr>
                    <w:spacing w:line="240" w:lineRule="atLeast"/>
                    <w:jc w:val="center"/>
                    <w:rPr>
                      <w:rFonts w:hint="eastAsia"/>
                    </w:rPr>
                  </w:pPr>
                </w:p>
              </w:tc>
              <w:tc>
                <w:tcPr>
                  <w:tcW w:w="749" w:type="pct"/>
                  <w:vMerge w:val="continue"/>
                  <w:vAlign w:val="center"/>
                </w:tcPr>
                <w:p w14:paraId="5D8E2957">
                  <w:pPr>
                    <w:spacing w:line="240" w:lineRule="atLeast"/>
                    <w:jc w:val="center"/>
                    <w:rPr>
                      <w:rFonts w:hint="eastAsia"/>
                      <w:lang w:val="en-US" w:eastAsia="zh-CN"/>
                    </w:rPr>
                  </w:pPr>
                </w:p>
              </w:tc>
              <w:tc>
                <w:tcPr>
                  <w:tcW w:w="822" w:type="pct"/>
                  <w:vMerge w:val="continue"/>
                  <w:vAlign w:val="center"/>
                </w:tcPr>
                <w:p w14:paraId="41D8548E">
                  <w:pPr>
                    <w:spacing w:line="240" w:lineRule="atLeast"/>
                    <w:jc w:val="center"/>
                    <w:rPr>
                      <w:rFonts w:hint="eastAsia"/>
                      <w:lang w:val="en-US" w:eastAsia="zh-CN"/>
                    </w:rPr>
                  </w:pPr>
                </w:p>
              </w:tc>
            </w:tr>
            <w:tr w14:paraId="1B635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696" w:type="pct"/>
                  <w:vMerge w:val="continue"/>
                  <w:vAlign w:val="center"/>
                </w:tcPr>
                <w:p w14:paraId="5C0E360D">
                  <w:pPr>
                    <w:spacing w:line="240" w:lineRule="atLeast"/>
                    <w:jc w:val="center"/>
                    <w:rPr>
                      <w:rFonts w:hint="eastAsia"/>
                      <w:lang w:eastAsia="zh-CN"/>
                    </w:rPr>
                  </w:pPr>
                </w:p>
              </w:tc>
              <w:tc>
                <w:tcPr>
                  <w:tcW w:w="642" w:type="pct"/>
                  <w:vAlign w:val="center"/>
                </w:tcPr>
                <w:p w14:paraId="56F945E0">
                  <w:pPr>
                    <w:spacing w:line="240" w:lineRule="atLeast"/>
                    <w:jc w:val="center"/>
                    <w:rPr>
                      <w:rFonts w:hint="eastAsia"/>
                      <w:lang w:eastAsia="zh-CN"/>
                    </w:rPr>
                  </w:pPr>
                  <w:r>
                    <w:rPr>
                      <w:rFonts w:hint="eastAsia"/>
                      <w:lang w:eastAsia="zh-CN"/>
                    </w:rPr>
                    <w:t>二甲苯</w:t>
                  </w:r>
                </w:p>
              </w:tc>
              <w:tc>
                <w:tcPr>
                  <w:tcW w:w="1293" w:type="pct"/>
                  <w:vMerge w:val="continue"/>
                  <w:vAlign w:val="center"/>
                </w:tcPr>
                <w:p w14:paraId="352E7C0F">
                  <w:pPr>
                    <w:spacing w:line="240" w:lineRule="atLeast"/>
                    <w:jc w:val="center"/>
                    <w:rPr>
                      <w:rFonts w:hint="eastAsia"/>
                    </w:rPr>
                  </w:pPr>
                </w:p>
              </w:tc>
              <w:tc>
                <w:tcPr>
                  <w:tcW w:w="796" w:type="pct"/>
                  <w:vMerge w:val="continue"/>
                  <w:vAlign w:val="center"/>
                </w:tcPr>
                <w:p w14:paraId="2B21CC58">
                  <w:pPr>
                    <w:spacing w:line="240" w:lineRule="atLeast"/>
                    <w:jc w:val="center"/>
                    <w:rPr>
                      <w:rFonts w:hint="eastAsia"/>
                    </w:rPr>
                  </w:pPr>
                </w:p>
              </w:tc>
              <w:tc>
                <w:tcPr>
                  <w:tcW w:w="749" w:type="pct"/>
                  <w:vMerge w:val="continue"/>
                  <w:vAlign w:val="center"/>
                </w:tcPr>
                <w:p w14:paraId="307D4B62">
                  <w:pPr>
                    <w:spacing w:line="240" w:lineRule="atLeast"/>
                    <w:jc w:val="center"/>
                    <w:rPr>
                      <w:rFonts w:hint="eastAsia"/>
                      <w:lang w:val="en-US" w:eastAsia="zh-CN"/>
                    </w:rPr>
                  </w:pPr>
                </w:p>
              </w:tc>
              <w:tc>
                <w:tcPr>
                  <w:tcW w:w="822" w:type="pct"/>
                  <w:vMerge w:val="continue"/>
                  <w:vAlign w:val="center"/>
                </w:tcPr>
                <w:p w14:paraId="3CFC0B09">
                  <w:pPr>
                    <w:spacing w:line="240" w:lineRule="atLeast"/>
                    <w:jc w:val="center"/>
                    <w:rPr>
                      <w:rFonts w:hint="eastAsia"/>
                      <w:lang w:val="en-US" w:eastAsia="zh-CN"/>
                    </w:rPr>
                  </w:pPr>
                </w:p>
              </w:tc>
            </w:tr>
          </w:tbl>
          <w:p w14:paraId="7F2C2816">
            <w:r>
              <w:rPr>
                <w:b/>
                <w:kern w:val="0"/>
                <w:szCs w:val="21"/>
              </w:rPr>
              <w:t xml:space="preserve"> </w:t>
            </w:r>
          </w:p>
        </w:tc>
      </w:tr>
    </w:tbl>
    <w:p w14:paraId="66F8FD1B">
      <w:pPr>
        <w:adjustRightInd w:val="0"/>
        <w:snapToGrid w:val="0"/>
        <w:spacing w:line="360" w:lineRule="auto"/>
        <w:rPr>
          <w:rFonts w:ascii="宋体" w:cs="宋体"/>
          <w:b/>
          <w:kern w:val="0"/>
          <w:sz w:val="28"/>
          <w:szCs w:val="28"/>
        </w:rPr>
        <w:sectPr>
          <w:pgSz w:w="11907" w:h="16840"/>
          <w:pgMar w:top="1418" w:right="1418" w:bottom="1418" w:left="1418" w:header="851" w:footer="851" w:gutter="0"/>
          <w:pgBorders>
            <w:top w:val="none" w:sz="0" w:space="0"/>
            <w:left w:val="none" w:sz="0" w:space="0"/>
            <w:bottom w:val="none" w:sz="0" w:space="0"/>
            <w:right w:val="none" w:sz="0" w:space="0"/>
          </w:pgBorders>
          <w:cols w:space="720" w:num="1"/>
          <w:docGrid w:linePitch="312" w:charSpace="0"/>
        </w:sectPr>
      </w:pPr>
    </w:p>
    <w:tbl>
      <w:tblPr>
        <w:tblStyle w:val="26"/>
        <w:tblW w:w="15231" w:type="dxa"/>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15231"/>
      </w:tblGrid>
      <w:tr w14:paraId="2C84F730">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8918" w:hRule="atLeast"/>
        </w:trPr>
        <w:tc>
          <w:tcPr>
            <w:tcW w:w="15231" w:type="dxa"/>
          </w:tcPr>
          <w:p w14:paraId="34AA57D1">
            <w:pPr>
              <w:widowControl/>
              <w:numPr>
                <w:ilvl w:val="0"/>
                <w:numId w:val="2"/>
              </w:numPr>
              <w:jc w:val="center"/>
              <w:rPr>
                <w:b/>
              </w:rPr>
            </w:pPr>
            <w:r>
              <w:rPr>
                <w:rFonts w:hint="eastAsia"/>
                <w:b/>
                <w:kern w:val="0"/>
                <w:szCs w:val="21"/>
              </w:rPr>
              <w:t>本</w:t>
            </w:r>
            <w:r>
              <w:rPr>
                <w:b/>
                <w:kern w:val="0"/>
                <w:szCs w:val="21"/>
              </w:rPr>
              <w:t>项目有组织大气污染物排放情况一览表</w:t>
            </w:r>
          </w:p>
          <w:tbl>
            <w:tblPr>
              <w:tblStyle w:val="26"/>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52"/>
              <w:gridCol w:w="1148"/>
              <w:gridCol w:w="862"/>
              <w:gridCol w:w="766"/>
              <w:gridCol w:w="815"/>
              <w:gridCol w:w="683"/>
              <w:gridCol w:w="3474"/>
              <w:gridCol w:w="1051"/>
              <w:gridCol w:w="664"/>
              <w:gridCol w:w="430"/>
              <w:gridCol w:w="481"/>
              <w:gridCol w:w="886"/>
              <w:gridCol w:w="814"/>
              <w:gridCol w:w="746"/>
              <w:gridCol w:w="651"/>
              <w:gridCol w:w="814"/>
              <w:gridCol w:w="352"/>
            </w:tblGrid>
            <w:tr w14:paraId="6311E5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 w:hRule="atLeast"/>
              </w:trPr>
              <w:tc>
                <w:tcPr>
                  <w:tcW w:w="352" w:type="dxa"/>
                  <w:vMerge w:val="restart"/>
                  <w:tcMar>
                    <w:top w:w="12" w:type="dxa"/>
                    <w:left w:w="12" w:type="dxa"/>
                    <w:right w:w="12" w:type="dxa"/>
                  </w:tcMar>
                  <w:vAlign w:val="center"/>
                </w:tcPr>
                <w:p w14:paraId="1C7308FF">
                  <w:pPr>
                    <w:widowControl/>
                    <w:jc w:val="center"/>
                    <w:textAlignment w:val="center"/>
                    <w:rPr>
                      <w:b/>
                      <w:bCs/>
                      <w:sz w:val="21"/>
                      <w:szCs w:val="21"/>
                    </w:rPr>
                  </w:pPr>
                  <w:r>
                    <w:rPr>
                      <w:b/>
                      <w:bCs/>
                      <w:sz w:val="21"/>
                      <w:szCs w:val="21"/>
                    </w:rPr>
                    <w:t>产污</w:t>
                  </w:r>
                </w:p>
                <w:p w14:paraId="189BA900">
                  <w:pPr>
                    <w:widowControl/>
                    <w:jc w:val="center"/>
                    <w:textAlignment w:val="center"/>
                    <w:rPr>
                      <w:b/>
                      <w:bCs/>
                      <w:sz w:val="21"/>
                      <w:szCs w:val="21"/>
                    </w:rPr>
                  </w:pPr>
                  <w:r>
                    <w:rPr>
                      <w:b/>
                      <w:bCs/>
                      <w:sz w:val="21"/>
                      <w:szCs w:val="21"/>
                    </w:rPr>
                    <w:t>环节</w:t>
                  </w:r>
                </w:p>
              </w:tc>
              <w:tc>
                <w:tcPr>
                  <w:tcW w:w="1148" w:type="dxa"/>
                  <w:vMerge w:val="restart"/>
                  <w:tcMar>
                    <w:top w:w="12" w:type="dxa"/>
                    <w:left w:w="12" w:type="dxa"/>
                    <w:right w:w="12" w:type="dxa"/>
                  </w:tcMar>
                  <w:vAlign w:val="center"/>
                </w:tcPr>
                <w:p w14:paraId="3F2DEACD">
                  <w:pPr>
                    <w:widowControl/>
                    <w:jc w:val="center"/>
                    <w:textAlignment w:val="center"/>
                    <w:rPr>
                      <w:b/>
                      <w:bCs/>
                      <w:sz w:val="21"/>
                      <w:szCs w:val="21"/>
                    </w:rPr>
                  </w:pPr>
                  <w:r>
                    <w:rPr>
                      <w:b/>
                      <w:bCs/>
                      <w:sz w:val="21"/>
                      <w:szCs w:val="21"/>
                    </w:rPr>
                    <w:t>污染物种类</w:t>
                  </w:r>
                </w:p>
              </w:tc>
              <w:tc>
                <w:tcPr>
                  <w:tcW w:w="2443" w:type="dxa"/>
                  <w:gridSpan w:val="3"/>
                  <w:tcMar>
                    <w:top w:w="12" w:type="dxa"/>
                    <w:left w:w="12" w:type="dxa"/>
                    <w:right w:w="12" w:type="dxa"/>
                  </w:tcMar>
                  <w:vAlign w:val="center"/>
                </w:tcPr>
                <w:p w14:paraId="4BDAECB7">
                  <w:pPr>
                    <w:widowControl/>
                    <w:jc w:val="center"/>
                    <w:textAlignment w:val="center"/>
                    <w:rPr>
                      <w:b/>
                      <w:bCs/>
                      <w:sz w:val="21"/>
                      <w:szCs w:val="21"/>
                    </w:rPr>
                  </w:pPr>
                  <w:r>
                    <w:rPr>
                      <w:b/>
                      <w:bCs/>
                      <w:sz w:val="21"/>
                      <w:szCs w:val="21"/>
                    </w:rPr>
                    <w:t>产生情况</w:t>
                  </w:r>
                </w:p>
              </w:tc>
              <w:tc>
                <w:tcPr>
                  <w:tcW w:w="683" w:type="dxa"/>
                  <w:vMerge w:val="restart"/>
                  <w:tcMar>
                    <w:top w:w="12" w:type="dxa"/>
                    <w:left w:w="12" w:type="dxa"/>
                    <w:right w:w="12" w:type="dxa"/>
                  </w:tcMar>
                  <w:vAlign w:val="center"/>
                </w:tcPr>
                <w:p w14:paraId="7C2CB5E1">
                  <w:pPr>
                    <w:widowControl/>
                    <w:jc w:val="center"/>
                    <w:textAlignment w:val="center"/>
                    <w:rPr>
                      <w:b/>
                      <w:bCs/>
                      <w:sz w:val="21"/>
                      <w:szCs w:val="21"/>
                    </w:rPr>
                  </w:pPr>
                  <w:r>
                    <w:rPr>
                      <w:b/>
                      <w:bCs/>
                      <w:sz w:val="21"/>
                      <w:szCs w:val="21"/>
                    </w:rPr>
                    <w:t>排放</w:t>
                  </w:r>
                </w:p>
                <w:p w14:paraId="440C9C76">
                  <w:pPr>
                    <w:widowControl/>
                    <w:jc w:val="center"/>
                    <w:textAlignment w:val="center"/>
                    <w:rPr>
                      <w:b/>
                      <w:bCs/>
                      <w:sz w:val="21"/>
                      <w:szCs w:val="21"/>
                    </w:rPr>
                  </w:pPr>
                  <w:r>
                    <w:rPr>
                      <w:b/>
                      <w:bCs/>
                      <w:sz w:val="21"/>
                      <w:szCs w:val="21"/>
                    </w:rPr>
                    <w:t>形式</w:t>
                  </w:r>
                </w:p>
              </w:tc>
              <w:tc>
                <w:tcPr>
                  <w:tcW w:w="6100" w:type="dxa"/>
                  <w:gridSpan w:val="5"/>
                  <w:tcMar>
                    <w:top w:w="12" w:type="dxa"/>
                    <w:left w:w="12" w:type="dxa"/>
                    <w:right w:w="12" w:type="dxa"/>
                  </w:tcMar>
                  <w:vAlign w:val="center"/>
                </w:tcPr>
                <w:p w14:paraId="10560915">
                  <w:pPr>
                    <w:widowControl/>
                    <w:jc w:val="center"/>
                    <w:textAlignment w:val="center"/>
                    <w:rPr>
                      <w:b/>
                      <w:bCs/>
                      <w:sz w:val="21"/>
                      <w:szCs w:val="21"/>
                    </w:rPr>
                  </w:pPr>
                  <w:r>
                    <w:rPr>
                      <w:b/>
                      <w:bCs/>
                      <w:sz w:val="21"/>
                      <w:szCs w:val="21"/>
                    </w:rPr>
                    <w:t>治理设施</w:t>
                  </w:r>
                </w:p>
              </w:tc>
              <w:tc>
                <w:tcPr>
                  <w:tcW w:w="3097" w:type="dxa"/>
                  <w:gridSpan w:val="4"/>
                  <w:tcMar>
                    <w:top w:w="12" w:type="dxa"/>
                    <w:left w:w="12" w:type="dxa"/>
                    <w:right w:w="12" w:type="dxa"/>
                  </w:tcMar>
                  <w:vAlign w:val="center"/>
                </w:tcPr>
                <w:p w14:paraId="4989B5A6">
                  <w:pPr>
                    <w:widowControl/>
                    <w:jc w:val="center"/>
                    <w:textAlignment w:val="center"/>
                    <w:rPr>
                      <w:b/>
                      <w:bCs/>
                      <w:sz w:val="21"/>
                      <w:szCs w:val="21"/>
                    </w:rPr>
                  </w:pPr>
                  <w:r>
                    <w:rPr>
                      <w:b/>
                      <w:bCs/>
                      <w:sz w:val="21"/>
                      <w:szCs w:val="21"/>
                    </w:rPr>
                    <w:t>排放情况</w:t>
                  </w:r>
                </w:p>
              </w:tc>
              <w:tc>
                <w:tcPr>
                  <w:tcW w:w="814" w:type="dxa"/>
                  <w:tcMar>
                    <w:top w:w="12" w:type="dxa"/>
                    <w:left w:w="12" w:type="dxa"/>
                    <w:right w:w="12" w:type="dxa"/>
                  </w:tcMar>
                  <w:vAlign w:val="center"/>
                </w:tcPr>
                <w:p w14:paraId="294BA882">
                  <w:pPr>
                    <w:widowControl/>
                    <w:jc w:val="center"/>
                    <w:textAlignment w:val="center"/>
                    <w:rPr>
                      <w:b/>
                      <w:bCs/>
                      <w:sz w:val="21"/>
                      <w:szCs w:val="21"/>
                    </w:rPr>
                  </w:pPr>
                  <w:r>
                    <w:rPr>
                      <w:rFonts w:hint="eastAsia"/>
                      <w:b/>
                      <w:bCs/>
                      <w:sz w:val="21"/>
                      <w:szCs w:val="21"/>
                    </w:rPr>
                    <w:t>排放标准</w:t>
                  </w:r>
                </w:p>
              </w:tc>
              <w:tc>
                <w:tcPr>
                  <w:tcW w:w="352" w:type="dxa"/>
                  <w:vMerge w:val="restart"/>
                  <w:tcMar>
                    <w:top w:w="12" w:type="dxa"/>
                    <w:left w:w="12" w:type="dxa"/>
                    <w:right w:w="12" w:type="dxa"/>
                  </w:tcMar>
                  <w:vAlign w:val="center"/>
                </w:tcPr>
                <w:p w14:paraId="735438C2">
                  <w:pPr>
                    <w:widowControl/>
                    <w:jc w:val="center"/>
                    <w:textAlignment w:val="center"/>
                    <w:rPr>
                      <w:b/>
                      <w:bCs/>
                      <w:sz w:val="21"/>
                      <w:szCs w:val="21"/>
                    </w:rPr>
                  </w:pPr>
                  <w:r>
                    <w:rPr>
                      <w:rFonts w:hint="eastAsia"/>
                      <w:b/>
                      <w:bCs/>
                      <w:sz w:val="21"/>
                      <w:szCs w:val="21"/>
                    </w:rPr>
                    <w:t>是否</w:t>
                  </w:r>
                </w:p>
                <w:p w14:paraId="567E85AF">
                  <w:pPr>
                    <w:widowControl/>
                    <w:jc w:val="center"/>
                    <w:textAlignment w:val="center"/>
                    <w:rPr>
                      <w:sz w:val="21"/>
                      <w:szCs w:val="21"/>
                    </w:rPr>
                  </w:pPr>
                  <w:r>
                    <w:rPr>
                      <w:rFonts w:hint="eastAsia"/>
                      <w:b/>
                      <w:bCs/>
                      <w:sz w:val="21"/>
                      <w:szCs w:val="21"/>
                    </w:rPr>
                    <w:t>达标</w:t>
                  </w:r>
                </w:p>
              </w:tc>
            </w:tr>
            <w:tr w14:paraId="2562B2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352" w:type="dxa"/>
                  <w:vMerge w:val="continue"/>
                  <w:tcMar>
                    <w:top w:w="12" w:type="dxa"/>
                    <w:left w:w="12" w:type="dxa"/>
                    <w:right w:w="12" w:type="dxa"/>
                  </w:tcMar>
                  <w:vAlign w:val="center"/>
                </w:tcPr>
                <w:p w14:paraId="7D0377B2">
                  <w:pPr>
                    <w:jc w:val="center"/>
                    <w:rPr>
                      <w:b/>
                      <w:bCs/>
                      <w:sz w:val="21"/>
                      <w:szCs w:val="21"/>
                    </w:rPr>
                  </w:pPr>
                </w:p>
              </w:tc>
              <w:tc>
                <w:tcPr>
                  <w:tcW w:w="1148" w:type="dxa"/>
                  <w:vMerge w:val="continue"/>
                  <w:tcMar>
                    <w:top w:w="12" w:type="dxa"/>
                    <w:left w:w="12" w:type="dxa"/>
                    <w:right w:w="12" w:type="dxa"/>
                  </w:tcMar>
                  <w:vAlign w:val="center"/>
                </w:tcPr>
                <w:p w14:paraId="1F811275">
                  <w:pPr>
                    <w:jc w:val="center"/>
                    <w:rPr>
                      <w:b/>
                      <w:bCs/>
                      <w:sz w:val="21"/>
                      <w:szCs w:val="21"/>
                    </w:rPr>
                  </w:pPr>
                </w:p>
              </w:tc>
              <w:tc>
                <w:tcPr>
                  <w:tcW w:w="862" w:type="dxa"/>
                  <w:tcMar>
                    <w:top w:w="12" w:type="dxa"/>
                    <w:left w:w="12" w:type="dxa"/>
                    <w:right w:w="12" w:type="dxa"/>
                  </w:tcMar>
                  <w:vAlign w:val="center"/>
                </w:tcPr>
                <w:p w14:paraId="2EC01551">
                  <w:pPr>
                    <w:keepNext w:val="0"/>
                    <w:keepLines w:val="0"/>
                    <w:widowControl/>
                    <w:suppressLineNumbers w:val="0"/>
                    <w:jc w:val="center"/>
                    <w:textAlignment w:val="center"/>
                    <w:rPr>
                      <w:b/>
                      <w:bCs/>
                      <w:sz w:val="21"/>
                      <w:szCs w:val="21"/>
                    </w:rPr>
                  </w:pPr>
                  <w:r>
                    <w:rPr>
                      <w:b/>
                      <w:bCs/>
                      <w:sz w:val="21"/>
                      <w:szCs w:val="21"/>
                    </w:rPr>
                    <w:t>速率(kg/h)</w:t>
                  </w:r>
                </w:p>
              </w:tc>
              <w:tc>
                <w:tcPr>
                  <w:tcW w:w="766" w:type="dxa"/>
                  <w:tcMar>
                    <w:top w:w="12" w:type="dxa"/>
                    <w:left w:w="12" w:type="dxa"/>
                    <w:right w:w="12" w:type="dxa"/>
                  </w:tcMar>
                  <w:vAlign w:val="center"/>
                </w:tcPr>
                <w:p w14:paraId="61501DEF">
                  <w:pPr>
                    <w:keepNext w:val="0"/>
                    <w:keepLines w:val="0"/>
                    <w:widowControl/>
                    <w:suppressLineNumbers w:val="0"/>
                    <w:jc w:val="center"/>
                    <w:textAlignment w:val="center"/>
                    <w:rPr>
                      <w:b/>
                      <w:bCs/>
                      <w:sz w:val="21"/>
                      <w:szCs w:val="21"/>
                    </w:rPr>
                  </w:pPr>
                  <w:r>
                    <w:rPr>
                      <w:rFonts w:hint="eastAsia"/>
                      <w:b/>
                      <w:bCs/>
                      <w:sz w:val="21"/>
                      <w:szCs w:val="21"/>
                      <w:lang w:eastAsia="zh-CN"/>
                    </w:rPr>
                    <w:t>产生</w:t>
                  </w:r>
                  <w:r>
                    <w:rPr>
                      <w:b/>
                      <w:bCs/>
                      <w:sz w:val="21"/>
                      <w:szCs w:val="21"/>
                    </w:rPr>
                    <w:t>量(t/a)</w:t>
                  </w:r>
                </w:p>
              </w:tc>
              <w:tc>
                <w:tcPr>
                  <w:tcW w:w="815" w:type="dxa"/>
                  <w:tcMar>
                    <w:top w:w="12" w:type="dxa"/>
                    <w:left w:w="12" w:type="dxa"/>
                    <w:right w:w="12" w:type="dxa"/>
                  </w:tcMar>
                  <w:vAlign w:val="center"/>
                </w:tcPr>
                <w:p w14:paraId="39D18B79">
                  <w:pPr>
                    <w:widowControl/>
                    <w:jc w:val="center"/>
                    <w:textAlignment w:val="center"/>
                    <w:rPr>
                      <w:b/>
                      <w:bCs/>
                      <w:sz w:val="21"/>
                      <w:szCs w:val="21"/>
                    </w:rPr>
                  </w:pPr>
                  <w:r>
                    <w:rPr>
                      <w:b/>
                      <w:bCs/>
                      <w:sz w:val="21"/>
                      <w:szCs w:val="21"/>
                    </w:rPr>
                    <w:t>浓度</w:t>
                  </w:r>
                </w:p>
                <w:p w14:paraId="0FD8B815">
                  <w:pPr>
                    <w:keepNext w:val="0"/>
                    <w:keepLines w:val="0"/>
                    <w:widowControl/>
                    <w:suppressLineNumbers w:val="0"/>
                    <w:jc w:val="center"/>
                    <w:textAlignment w:val="center"/>
                    <w:rPr>
                      <w:b/>
                      <w:bCs/>
                      <w:sz w:val="21"/>
                      <w:szCs w:val="21"/>
                    </w:rPr>
                  </w:pPr>
                  <w:r>
                    <w:rPr>
                      <w:b/>
                      <w:bCs/>
                      <w:sz w:val="21"/>
                      <w:szCs w:val="21"/>
                    </w:rPr>
                    <w:t>(mg/m</w:t>
                  </w:r>
                  <w:r>
                    <w:rPr>
                      <w:b/>
                      <w:bCs/>
                      <w:sz w:val="21"/>
                      <w:szCs w:val="21"/>
                      <w:vertAlign w:val="superscript"/>
                    </w:rPr>
                    <w:t>3</w:t>
                  </w:r>
                  <w:r>
                    <w:rPr>
                      <w:b/>
                      <w:bCs/>
                      <w:sz w:val="21"/>
                      <w:szCs w:val="21"/>
                    </w:rPr>
                    <w:t>)</w:t>
                  </w:r>
                </w:p>
              </w:tc>
              <w:tc>
                <w:tcPr>
                  <w:tcW w:w="683" w:type="dxa"/>
                  <w:vMerge w:val="continue"/>
                  <w:tcMar>
                    <w:top w:w="12" w:type="dxa"/>
                    <w:left w:w="12" w:type="dxa"/>
                    <w:right w:w="12" w:type="dxa"/>
                  </w:tcMar>
                  <w:vAlign w:val="center"/>
                </w:tcPr>
                <w:p w14:paraId="56730D5F">
                  <w:pPr>
                    <w:widowControl/>
                    <w:jc w:val="center"/>
                    <w:textAlignment w:val="center"/>
                    <w:rPr>
                      <w:b/>
                      <w:bCs/>
                      <w:sz w:val="21"/>
                      <w:szCs w:val="21"/>
                    </w:rPr>
                  </w:pPr>
                </w:p>
              </w:tc>
              <w:tc>
                <w:tcPr>
                  <w:tcW w:w="3474" w:type="dxa"/>
                  <w:tcMar>
                    <w:top w:w="12" w:type="dxa"/>
                    <w:left w:w="12" w:type="dxa"/>
                    <w:right w:w="12" w:type="dxa"/>
                  </w:tcMar>
                  <w:vAlign w:val="center"/>
                </w:tcPr>
                <w:p w14:paraId="0ADEDF7E">
                  <w:pPr>
                    <w:widowControl/>
                    <w:jc w:val="center"/>
                    <w:textAlignment w:val="center"/>
                    <w:rPr>
                      <w:b/>
                      <w:bCs/>
                      <w:sz w:val="21"/>
                      <w:szCs w:val="21"/>
                    </w:rPr>
                  </w:pPr>
                  <w:r>
                    <w:rPr>
                      <w:b/>
                      <w:bCs/>
                      <w:sz w:val="21"/>
                      <w:szCs w:val="21"/>
                    </w:rPr>
                    <w:t>处理措施</w:t>
                  </w:r>
                </w:p>
              </w:tc>
              <w:tc>
                <w:tcPr>
                  <w:tcW w:w="1051" w:type="dxa"/>
                  <w:tcMar>
                    <w:top w:w="12" w:type="dxa"/>
                    <w:left w:w="12" w:type="dxa"/>
                    <w:right w:w="12" w:type="dxa"/>
                  </w:tcMar>
                  <w:vAlign w:val="center"/>
                </w:tcPr>
                <w:p w14:paraId="38B0AD06">
                  <w:pPr>
                    <w:widowControl/>
                    <w:jc w:val="center"/>
                    <w:textAlignment w:val="center"/>
                    <w:rPr>
                      <w:b/>
                      <w:bCs/>
                      <w:sz w:val="21"/>
                      <w:szCs w:val="21"/>
                    </w:rPr>
                  </w:pPr>
                  <w:r>
                    <w:rPr>
                      <w:b/>
                      <w:bCs/>
                      <w:sz w:val="21"/>
                      <w:szCs w:val="21"/>
                    </w:rPr>
                    <w:t>处理能力(m</w:t>
                  </w:r>
                  <w:r>
                    <w:rPr>
                      <w:b/>
                      <w:bCs/>
                      <w:sz w:val="21"/>
                      <w:szCs w:val="21"/>
                      <w:vertAlign w:val="superscript"/>
                    </w:rPr>
                    <w:t>3</w:t>
                  </w:r>
                  <w:r>
                    <w:rPr>
                      <w:b/>
                      <w:bCs/>
                      <w:sz w:val="21"/>
                      <w:szCs w:val="21"/>
                    </w:rPr>
                    <w:t>/h)</w:t>
                  </w:r>
                </w:p>
              </w:tc>
              <w:tc>
                <w:tcPr>
                  <w:tcW w:w="664" w:type="dxa"/>
                  <w:tcMar>
                    <w:top w:w="12" w:type="dxa"/>
                    <w:left w:w="12" w:type="dxa"/>
                    <w:right w:w="12" w:type="dxa"/>
                  </w:tcMar>
                  <w:vAlign w:val="center"/>
                </w:tcPr>
                <w:p w14:paraId="3E12D441">
                  <w:pPr>
                    <w:widowControl/>
                    <w:jc w:val="center"/>
                    <w:textAlignment w:val="center"/>
                    <w:rPr>
                      <w:rFonts w:hint="eastAsia" w:eastAsia="宋体"/>
                      <w:b/>
                      <w:bCs/>
                      <w:sz w:val="21"/>
                      <w:szCs w:val="21"/>
                      <w:lang w:eastAsia="zh-CN"/>
                    </w:rPr>
                  </w:pPr>
                  <w:r>
                    <w:rPr>
                      <w:rFonts w:hint="eastAsia"/>
                      <w:b/>
                      <w:bCs/>
                      <w:sz w:val="21"/>
                      <w:szCs w:val="21"/>
                      <w:lang w:eastAsia="zh-CN"/>
                    </w:rPr>
                    <w:t>收集效率</w:t>
                  </w:r>
                </w:p>
              </w:tc>
              <w:tc>
                <w:tcPr>
                  <w:tcW w:w="430" w:type="dxa"/>
                  <w:tcMar>
                    <w:top w:w="12" w:type="dxa"/>
                    <w:left w:w="12" w:type="dxa"/>
                    <w:right w:w="12" w:type="dxa"/>
                  </w:tcMar>
                  <w:vAlign w:val="center"/>
                </w:tcPr>
                <w:p w14:paraId="1BAA819F">
                  <w:pPr>
                    <w:widowControl/>
                    <w:jc w:val="center"/>
                    <w:textAlignment w:val="center"/>
                    <w:rPr>
                      <w:b/>
                      <w:bCs/>
                      <w:sz w:val="21"/>
                      <w:szCs w:val="21"/>
                    </w:rPr>
                  </w:pPr>
                  <w:r>
                    <w:rPr>
                      <w:b/>
                      <w:bCs/>
                      <w:sz w:val="21"/>
                      <w:szCs w:val="21"/>
                    </w:rPr>
                    <w:t>去除</w:t>
                  </w:r>
                </w:p>
                <w:p w14:paraId="0FCF7153">
                  <w:pPr>
                    <w:widowControl/>
                    <w:jc w:val="center"/>
                    <w:textAlignment w:val="center"/>
                    <w:rPr>
                      <w:b/>
                      <w:bCs/>
                      <w:sz w:val="21"/>
                      <w:szCs w:val="21"/>
                    </w:rPr>
                  </w:pPr>
                  <w:r>
                    <w:rPr>
                      <w:b/>
                      <w:bCs/>
                      <w:sz w:val="21"/>
                      <w:szCs w:val="21"/>
                    </w:rPr>
                    <w:t>率</w:t>
                  </w:r>
                </w:p>
              </w:tc>
              <w:tc>
                <w:tcPr>
                  <w:tcW w:w="481" w:type="dxa"/>
                  <w:tcMar>
                    <w:top w:w="12" w:type="dxa"/>
                    <w:left w:w="12" w:type="dxa"/>
                    <w:right w:w="12" w:type="dxa"/>
                  </w:tcMar>
                  <w:vAlign w:val="center"/>
                </w:tcPr>
                <w:p w14:paraId="577E05E5">
                  <w:pPr>
                    <w:widowControl/>
                    <w:jc w:val="center"/>
                    <w:textAlignment w:val="center"/>
                    <w:rPr>
                      <w:b/>
                      <w:bCs/>
                      <w:sz w:val="21"/>
                      <w:szCs w:val="21"/>
                    </w:rPr>
                  </w:pPr>
                  <w:r>
                    <w:rPr>
                      <w:b/>
                      <w:bCs/>
                      <w:sz w:val="21"/>
                      <w:szCs w:val="21"/>
                    </w:rPr>
                    <w:t>是否可</w:t>
                  </w:r>
                </w:p>
                <w:p w14:paraId="71D8300A">
                  <w:pPr>
                    <w:widowControl/>
                    <w:jc w:val="center"/>
                    <w:textAlignment w:val="center"/>
                    <w:rPr>
                      <w:b/>
                      <w:bCs/>
                      <w:sz w:val="21"/>
                      <w:szCs w:val="21"/>
                    </w:rPr>
                  </w:pPr>
                  <w:r>
                    <w:rPr>
                      <w:b/>
                      <w:bCs/>
                      <w:sz w:val="21"/>
                      <w:szCs w:val="21"/>
                    </w:rPr>
                    <w:t>行技术</w:t>
                  </w:r>
                </w:p>
              </w:tc>
              <w:tc>
                <w:tcPr>
                  <w:tcW w:w="886" w:type="dxa"/>
                  <w:tcMar>
                    <w:top w:w="12" w:type="dxa"/>
                    <w:left w:w="12" w:type="dxa"/>
                    <w:right w:w="12" w:type="dxa"/>
                  </w:tcMar>
                  <w:vAlign w:val="center"/>
                </w:tcPr>
                <w:p w14:paraId="2332ED03">
                  <w:pPr>
                    <w:keepNext w:val="0"/>
                    <w:keepLines w:val="0"/>
                    <w:widowControl/>
                    <w:suppressLineNumbers w:val="0"/>
                    <w:jc w:val="center"/>
                    <w:textAlignment w:val="center"/>
                    <w:rPr>
                      <w:b/>
                      <w:bCs/>
                      <w:sz w:val="21"/>
                      <w:szCs w:val="21"/>
                    </w:rPr>
                  </w:pPr>
                  <w:r>
                    <w:rPr>
                      <w:b/>
                      <w:bCs/>
                      <w:sz w:val="21"/>
                      <w:szCs w:val="21"/>
                    </w:rPr>
                    <w:t>速率(kg/h)</w:t>
                  </w:r>
                </w:p>
              </w:tc>
              <w:tc>
                <w:tcPr>
                  <w:tcW w:w="814" w:type="dxa"/>
                  <w:tcMar>
                    <w:top w:w="12" w:type="dxa"/>
                    <w:left w:w="12" w:type="dxa"/>
                    <w:right w:w="12" w:type="dxa"/>
                  </w:tcMar>
                  <w:vAlign w:val="center"/>
                </w:tcPr>
                <w:p w14:paraId="3F27F235">
                  <w:pPr>
                    <w:keepNext w:val="0"/>
                    <w:keepLines w:val="0"/>
                    <w:widowControl/>
                    <w:suppressLineNumbers w:val="0"/>
                    <w:jc w:val="center"/>
                    <w:textAlignment w:val="center"/>
                    <w:rPr>
                      <w:b/>
                      <w:bCs/>
                      <w:sz w:val="21"/>
                      <w:szCs w:val="21"/>
                    </w:rPr>
                  </w:pPr>
                  <w:r>
                    <w:rPr>
                      <w:b/>
                      <w:bCs/>
                      <w:sz w:val="21"/>
                      <w:szCs w:val="21"/>
                    </w:rPr>
                    <w:t>排放量(t/a)</w:t>
                  </w:r>
                </w:p>
              </w:tc>
              <w:tc>
                <w:tcPr>
                  <w:tcW w:w="746" w:type="dxa"/>
                  <w:tcMar>
                    <w:top w:w="12" w:type="dxa"/>
                    <w:left w:w="12" w:type="dxa"/>
                    <w:right w:w="12" w:type="dxa"/>
                  </w:tcMar>
                  <w:vAlign w:val="center"/>
                </w:tcPr>
                <w:p w14:paraId="6842E541">
                  <w:pPr>
                    <w:widowControl/>
                    <w:jc w:val="center"/>
                    <w:textAlignment w:val="center"/>
                    <w:rPr>
                      <w:b/>
                      <w:bCs/>
                      <w:sz w:val="21"/>
                      <w:szCs w:val="21"/>
                    </w:rPr>
                  </w:pPr>
                  <w:r>
                    <w:rPr>
                      <w:b/>
                      <w:bCs/>
                      <w:sz w:val="21"/>
                      <w:szCs w:val="21"/>
                    </w:rPr>
                    <w:t>浓度</w:t>
                  </w:r>
                </w:p>
                <w:p w14:paraId="2ECF2571">
                  <w:pPr>
                    <w:keepNext w:val="0"/>
                    <w:keepLines w:val="0"/>
                    <w:widowControl/>
                    <w:suppressLineNumbers w:val="0"/>
                    <w:jc w:val="center"/>
                    <w:textAlignment w:val="center"/>
                    <w:rPr>
                      <w:b/>
                      <w:bCs/>
                      <w:sz w:val="21"/>
                      <w:szCs w:val="21"/>
                    </w:rPr>
                  </w:pPr>
                  <w:r>
                    <w:rPr>
                      <w:b/>
                      <w:bCs/>
                      <w:sz w:val="21"/>
                      <w:szCs w:val="21"/>
                    </w:rPr>
                    <w:t>(mg/m</w:t>
                  </w:r>
                  <w:r>
                    <w:rPr>
                      <w:b/>
                      <w:bCs/>
                      <w:sz w:val="21"/>
                      <w:szCs w:val="21"/>
                      <w:vertAlign w:val="superscript"/>
                    </w:rPr>
                    <w:t>3</w:t>
                  </w:r>
                  <w:r>
                    <w:rPr>
                      <w:b/>
                      <w:bCs/>
                      <w:sz w:val="21"/>
                      <w:szCs w:val="21"/>
                    </w:rPr>
                    <w:t>)</w:t>
                  </w:r>
                </w:p>
              </w:tc>
              <w:tc>
                <w:tcPr>
                  <w:tcW w:w="651" w:type="dxa"/>
                  <w:tcMar>
                    <w:top w:w="12" w:type="dxa"/>
                    <w:left w:w="12" w:type="dxa"/>
                    <w:right w:w="12" w:type="dxa"/>
                  </w:tcMar>
                  <w:vAlign w:val="center"/>
                </w:tcPr>
                <w:p w14:paraId="1C320A7D">
                  <w:pPr>
                    <w:widowControl/>
                    <w:jc w:val="center"/>
                    <w:textAlignment w:val="center"/>
                    <w:rPr>
                      <w:b/>
                      <w:bCs/>
                      <w:sz w:val="21"/>
                      <w:szCs w:val="21"/>
                    </w:rPr>
                  </w:pPr>
                  <w:r>
                    <w:rPr>
                      <w:b/>
                      <w:bCs/>
                      <w:sz w:val="21"/>
                      <w:szCs w:val="21"/>
                    </w:rPr>
                    <w:t>排气</w:t>
                  </w:r>
                  <w:r>
                    <w:rPr>
                      <w:rFonts w:hint="eastAsia"/>
                      <w:b/>
                      <w:bCs/>
                      <w:sz w:val="21"/>
                      <w:szCs w:val="21"/>
                    </w:rPr>
                    <w:t>口</w:t>
                  </w:r>
                </w:p>
                <w:p w14:paraId="5160B61E">
                  <w:pPr>
                    <w:widowControl/>
                    <w:jc w:val="center"/>
                    <w:textAlignment w:val="center"/>
                    <w:rPr>
                      <w:b/>
                      <w:bCs/>
                      <w:sz w:val="21"/>
                      <w:szCs w:val="21"/>
                    </w:rPr>
                  </w:pPr>
                  <w:r>
                    <w:rPr>
                      <w:b/>
                      <w:bCs/>
                      <w:sz w:val="21"/>
                      <w:szCs w:val="21"/>
                    </w:rPr>
                    <w:t>编号</w:t>
                  </w:r>
                </w:p>
              </w:tc>
              <w:tc>
                <w:tcPr>
                  <w:tcW w:w="814" w:type="dxa"/>
                  <w:tcMar>
                    <w:top w:w="12" w:type="dxa"/>
                    <w:left w:w="12" w:type="dxa"/>
                    <w:right w:w="12" w:type="dxa"/>
                  </w:tcMar>
                  <w:vAlign w:val="center"/>
                </w:tcPr>
                <w:p w14:paraId="1F23641E">
                  <w:pPr>
                    <w:widowControl/>
                    <w:jc w:val="center"/>
                    <w:textAlignment w:val="center"/>
                    <w:rPr>
                      <w:b/>
                      <w:bCs/>
                      <w:sz w:val="21"/>
                      <w:szCs w:val="21"/>
                    </w:rPr>
                  </w:pPr>
                  <w:r>
                    <w:rPr>
                      <w:b/>
                      <w:bCs/>
                      <w:sz w:val="21"/>
                      <w:szCs w:val="21"/>
                    </w:rPr>
                    <w:t>浓度</w:t>
                  </w:r>
                </w:p>
                <w:p w14:paraId="60824DEA">
                  <w:pPr>
                    <w:widowControl/>
                    <w:jc w:val="center"/>
                    <w:textAlignment w:val="center"/>
                    <w:rPr>
                      <w:b/>
                      <w:bCs/>
                      <w:sz w:val="21"/>
                      <w:szCs w:val="21"/>
                    </w:rPr>
                  </w:pPr>
                  <w:r>
                    <w:rPr>
                      <w:b/>
                      <w:bCs/>
                      <w:sz w:val="21"/>
                      <w:szCs w:val="21"/>
                    </w:rPr>
                    <w:t>(mg/m</w:t>
                  </w:r>
                  <w:r>
                    <w:rPr>
                      <w:b/>
                      <w:bCs/>
                      <w:sz w:val="21"/>
                      <w:szCs w:val="21"/>
                      <w:vertAlign w:val="superscript"/>
                    </w:rPr>
                    <w:t>3</w:t>
                  </w:r>
                  <w:r>
                    <w:rPr>
                      <w:b/>
                      <w:bCs/>
                      <w:sz w:val="21"/>
                      <w:szCs w:val="21"/>
                    </w:rPr>
                    <w:t>)</w:t>
                  </w:r>
                </w:p>
              </w:tc>
              <w:tc>
                <w:tcPr>
                  <w:tcW w:w="352" w:type="dxa"/>
                  <w:vMerge w:val="continue"/>
                  <w:tcMar>
                    <w:top w:w="12" w:type="dxa"/>
                    <w:left w:w="12" w:type="dxa"/>
                    <w:right w:w="12" w:type="dxa"/>
                  </w:tcMar>
                  <w:vAlign w:val="center"/>
                </w:tcPr>
                <w:p w14:paraId="1092CF2C">
                  <w:pPr>
                    <w:widowControl/>
                    <w:jc w:val="center"/>
                    <w:textAlignment w:val="center"/>
                    <w:rPr>
                      <w:sz w:val="21"/>
                      <w:szCs w:val="21"/>
                    </w:rPr>
                  </w:pPr>
                </w:p>
              </w:tc>
            </w:tr>
            <w:tr w14:paraId="42E573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trPr>
              <w:tc>
                <w:tcPr>
                  <w:tcW w:w="352" w:type="dxa"/>
                  <w:vMerge w:val="restart"/>
                  <w:tcMar>
                    <w:top w:w="12" w:type="dxa"/>
                    <w:left w:w="12" w:type="dxa"/>
                    <w:right w:w="12" w:type="dxa"/>
                  </w:tcMar>
                  <w:vAlign w:val="center"/>
                </w:tcPr>
                <w:p w14:paraId="0B07D367">
                  <w:pPr>
                    <w:spacing w:line="240" w:lineRule="atLeast"/>
                    <w:jc w:val="center"/>
                    <w:rPr>
                      <w:rFonts w:hint="eastAsia" w:eastAsia="宋体"/>
                      <w:sz w:val="21"/>
                      <w:szCs w:val="21"/>
                      <w:lang w:eastAsia="zh-CN"/>
                    </w:rPr>
                  </w:pPr>
                  <w:r>
                    <w:rPr>
                      <w:rFonts w:hint="eastAsia"/>
                      <w:sz w:val="21"/>
                      <w:szCs w:val="21"/>
                      <w:lang w:eastAsia="zh-CN"/>
                    </w:rPr>
                    <w:t>喷漆</w:t>
                  </w:r>
                </w:p>
              </w:tc>
              <w:tc>
                <w:tcPr>
                  <w:tcW w:w="1148" w:type="dxa"/>
                  <w:tcMar>
                    <w:top w:w="12" w:type="dxa"/>
                    <w:left w:w="12" w:type="dxa"/>
                    <w:right w:w="12" w:type="dxa"/>
                  </w:tcMar>
                  <w:vAlign w:val="center"/>
                </w:tcPr>
                <w:p w14:paraId="19FA2290">
                  <w:pPr>
                    <w:spacing w:line="240" w:lineRule="atLeast"/>
                    <w:jc w:val="center"/>
                    <w:rPr>
                      <w:sz w:val="21"/>
                      <w:szCs w:val="21"/>
                    </w:rPr>
                  </w:pPr>
                  <w:r>
                    <w:rPr>
                      <w:rFonts w:hint="eastAsia"/>
                      <w:sz w:val="21"/>
                      <w:szCs w:val="21"/>
                    </w:rPr>
                    <w:t>颗粒物</w:t>
                  </w:r>
                </w:p>
              </w:tc>
              <w:tc>
                <w:tcPr>
                  <w:tcW w:w="862" w:type="dxa"/>
                  <w:tcMar>
                    <w:top w:w="12" w:type="dxa"/>
                    <w:left w:w="12" w:type="dxa"/>
                    <w:right w:w="12" w:type="dxa"/>
                  </w:tcMar>
                  <w:vAlign w:val="center"/>
                </w:tcPr>
                <w:p w14:paraId="6A423835">
                  <w:pPr>
                    <w:keepNext w:val="0"/>
                    <w:keepLines w:val="0"/>
                    <w:widowControl/>
                    <w:suppressLineNumbers w:val="0"/>
                    <w:jc w:val="center"/>
                    <w:textAlignment w:val="center"/>
                    <w:rPr>
                      <w:rFonts w:hint="default" w:eastAsia="宋体"/>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0.0194</w:t>
                  </w:r>
                </w:p>
              </w:tc>
              <w:tc>
                <w:tcPr>
                  <w:tcW w:w="766" w:type="dxa"/>
                  <w:tcMar>
                    <w:top w:w="12" w:type="dxa"/>
                    <w:left w:w="12" w:type="dxa"/>
                    <w:right w:w="12" w:type="dxa"/>
                  </w:tcMar>
                  <w:vAlign w:val="center"/>
                </w:tcPr>
                <w:p w14:paraId="7E46E4EB">
                  <w:pPr>
                    <w:keepNext w:val="0"/>
                    <w:keepLines w:val="0"/>
                    <w:widowControl/>
                    <w:suppressLineNumbers w:val="0"/>
                    <w:jc w:val="center"/>
                    <w:textAlignment w:val="center"/>
                    <w:rPr>
                      <w:rFonts w:hint="default"/>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0.1935</w:t>
                  </w:r>
                </w:p>
              </w:tc>
              <w:tc>
                <w:tcPr>
                  <w:tcW w:w="815" w:type="dxa"/>
                  <w:tcMar>
                    <w:top w:w="12" w:type="dxa"/>
                    <w:left w:w="12" w:type="dxa"/>
                    <w:right w:w="12" w:type="dxa"/>
                  </w:tcMar>
                  <w:vAlign w:val="center"/>
                </w:tcPr>
                <w:p w14:paraId="668E5578">
                  <w:pPr>
                    <w:keepNext w:val="0"/>
                    <w:keepLines w:val="0"/>
                    <w:widowControl/>
                    <w:suppressLineNumbers w:val="0"/>
                    <w:jc w:val="center"/>
                    <w:textAlignment w:val="center"/>
                    <w:rPr>
                      <w:sz w:val="21"/>
                      <w:szCs w:val="21"/>
                    </w:rPr>
                  </w:pPr>
                  <w:r>
                    <w:rPr>
                      <w:rFonts w:hint="default" w:ascii="Times New Roman" w:hAnsi="Times New Roman" w:eastAsia="宋体" w:cs="Times New Roman"/>
                      <w:i w:val="0"/>
                      <w:iCs w:val="0"/>
                      <w:color w:val="000000"/>
                      <w:kern w:val="0"/>
                      <w:sz w:val="21"/>
                      <w:szCs w:val="21"/>
                      <w:u w:val="none"/>
                      <w:lang w:val="en-US" w:eastAsia="zh-CN" w:bidi="ar"/>
                    </w:rPr>
                    <w:t>1.935</w:t>
                  </w:r>
                </w:p>
              </w:tc>
              <w:tc>
                <w:tcPr>
                  <w:tcW w:w="683" w:type="dxa"/>
                  <w:vMerge w:val="restart"/>
                  <w:tcMar>
                    <w:top w:w="12" w:type="dxa"/>
                    <w:left w:w="12" w:type="dxa"/>
                    <w:right w:w="12" w:type="dxa"/>
                  </w:tcMar>
                  <w:vAlign w:val="center"/>
                </w:tcPr>
                <w:p w14:paraId="46C27C61">
                  <w:pPr>
                    <w:jc w:val="center"/>
                    <w:rPr>
                      <w:sz w:val="21"/>
                      <w:szCs w:val="21"/>
                    </w:rPr>
                  </w:pPr>
                  <w:r>
                    <w:rPr>
                      <w:rFonts w:hint="eastAsia"/>
                      <w:sz w:val="21"/>
                      <w:szCs w:val="21"/>
                    </w:rPr>
                    <w:t>有组织</w:t>
                  </w:r>
                </w:p>
              </w:tc>
              <w:tc>
                <w:tcPr>
                  <w:tcW w:w="3474" w:type="dxa"/>
                  <w:vMerge w:val="restart"/>
                  <w:tcMar>
                    <w:top w:w="12" w:type="dxa"/>
                    <w:left w:w="12" w:type="dxa"/>
                    <w:right w:w="12" w:type="dxa"/>
                  </w:tcMar>
                  <w:vAlign w:val="center"/>
                </w:tcPr>
                <w:p w14:paraId="5A785811">
                  <w:pPr>
                    <w:widowControl/>
                    <w:jc w:val="center"/>
                    <w:textAlignment w:val="center"/>
                    <w:rPr>
                      <w:b/>
                      <w:sz w:val="21"/>
                      <w:szCs w:val="21"/>
                    </w:rPr>
                  </w:pPr>
                  <w:r>
                    <w:rPr>
                      <w:rFonts w:hint="eastAsia"/>
                      <w:b w:val="0"/>
                      <w:bCs/>
                      <w:sz w:val="21"/>
                      <w:szCs w:val="21"/>
                      <w:lang w:eastAsia="zh-CN"/>
                    </w:rPr>
                    <w:t>喷漆房密闭收集</w:t>
                  </w:r>
                  <w:r>
                    <w:rPr>
                      <w:rFonts w:hint="eastAsia"/>
                      <w:b w:val="0"/>
                      <w:bCs/>
                      <w:sz w:val="21"/>
                      <w:szCs w:val="21"/>
                    </w:rPr>
                    <w:t>引至一套</w:t>
                  </w:r>
                  <w:r>
                    <w:rPr>
                      <w:rFonts w:hint="eastAsia"/>
                      <w:b w:val="0"/>
                      <w:bCs/>
                      <w:sz w:val="21"/>
                      <w:szCs w:val="21"/>
                      <w:lang w:eastAsia="zh-CN"/>
                    </w:rPr>
                    <w:t>“过滤棉</w:t>
                  </w:r>
                  <w:r>
                    <w:rPr>
                      <w:rFonts w:hint="eastAsia"/>
                      <w:b w:val="0"/>
                      <w:bCs/>
                      <w:sz w:val="21"/>
                      <w:szCs w:val="21"/>
                      <w:lang w:val="en-US" w:eastAsia="zh-CN"/>
                    </w:rPr>
                    <w:t>+</w:t>
                  </w:r>
                  <w:r>
                    <w:rPr>
                      <w:rFonts w:hint="eastAsia"/>
                      <w:b w:val="0"/>
                      <w:bCs/>
                      <w:sz w:val="21"/>
                      <w:szCs w:val="21"/>
                    </w:rPr>
                    <w:t>两级活性炭</w:t>
                  </w:r>
                  <w:r>
                    <w:rPr>
                      <w:rFonts w:hint="eastAsia"/>
                      <w:b w:val="0"/>
                      <w:bCs/>
                      <w:sz w:val="21"/>
                      <w:szCs w:val="21"/>
                      <w:lang w:eastAsia="zh-CN"/>
                    </w:rPr>
                    <w:t>”</w:t>
                  </w:r>
                  <w:r>
                    <w:rPr>
                      <w:rFonts w:hint="eastAsia"/>
                      <w:b w:val="0"/>
                      <w:bCs/>
                      <w:sz w:val="21"/>
                      <w:szCs w:val="21"/>
                    </w:rPr>
                    <w:t>装置处理后经</w:t>
                  </w:r>
                  <w:r>
                    <w:rPr>
                      <w:rFonts w:hint="eastAsia"/>
                      <w:b w:val="0"/>
                      <w:bCs/>
                      <w:sz w:val="21"/>
                      <w:szCs w:val="21"/>
                      <w:lang w:eastAsia="zh-CN"/>
                    </w:rPr>
                    <w:t>15m高</w:t>
                  </w:r>
                  <w:r>
                    <w:rPr>
                      <w:rFonts w:hint="eastAsia"/>
                      <w:b w:val="0"/>
                      <w:bCs/>
                      <w:sz w:val="21"/>
                      <w:szCs w:val="21"/>
                    </w:rPr>
                    <w:t>排气筒（</w:t>
                  </w:r>
                  <w:r>
                    <w:rPr>
                      <w:rFonts w:hint="eastAsia"/>
                      <w:b w:val="0"/>
                      <w:bCs/>
                      <w:sz w:val="21"/>
                      <w:szCs w:val="21"/>
                      <w:lang w:eastAsia="zh-CN"/>
                    </w:rPr>
                    <w:t>DA001</w:t>
                  </w:r>
                  <w:r>
                    <w:rPr>
                      <w:rFonts w:hint="eastAsia"/>
                      <w:b w:val="0"/>
                      <w:bCs/>
                      <w:sz w:val="21"/>
                      <w:szCs w:val="21"/>
                    </w:rPr>
                    <w:t>）排放</w:t>
                  </w:r>
                </w:p>
              </w:tc>
              <w:tc>
                <w:tcPr>
                  <w:tcW w:w="1051" w:type="dxa"/>
                  <w:vMerge w:val="restart"/>
                  <w:tcMar>
                    <w:top w:w="12" w:type="dxa"/>
                    <w:left w:w="12" w:type="dxa"/>
                    <w:right w:w="12" w:type="dxa"/>
                  </w:tcMar>
                  <w:vAlign w:val="center"/>
                </w:tcPr>
                <w:p w14:paraId="50899A78">
                  <w:pPr>
                    <w:widowControl/>
                    <w:jc w:val="center"/>
                    <w:textAlignment w:val="center"/>
                    <w:rPr>
                      <w:rFonts w:hint="default" w:eastAsia="宋体"/>
                      <w:sz w:val="21"/>
                      <w:szCs w:val="21"/>
                      <w:lang w:val="en-US" w:eastAsia="zh-CN"/>
                    </w:rPr>
                  </w:pPr>
                  <w:r>
                    <w:rPr>
                      <w:rFonts w:hint="eastAsia"/>
                      <w:sz w:val="21"/>
                      <w:szCs w:val="21"/>
                      <w:lang w:val="en-US" w:eastAsia="zh-CN"/>
                    </w:rPr>
                    <w:t>10000</w:t>
                  </w:r>
                </w:p>
              </w:tc>
              <w:tc>
                <w:tcPr>
                  <w:tcW w:w="664" w:type="dxa"/>
                  <w:vMerge w:val="restart"/>
                  <w:tcMar>
                    <w:top w:w="12" w:type="dxa"/>
                    <w:left w:w="12" w:type="dxa"/>
                    <w:right w:w="12" w:type="dxa"/>
                  </w:tcMar>
                  <w:vAlign w:val="center"/>
                </w:tcPr>
                <w:p w14:paraId="18885CF2">
                  <w:pPr>
                    <w:widowControl/>
                    <w:jc w:val="center"/>
                    <w:textAlignment w:val="center"/>
                    <w:rPr>
                      <w:rFonts w:hint="default"/>
                      <w:sz w:val="21"/>
                      <w:szCs w:val="21"/>
                      <w:lang w:val="en-US" w:eastAsia="zh-CN"/>
                    </w:rPr>
                  </w:pPr>
                  <w:r>
                    <w:rPr>
                      <w:rFonts w:hint="eastAsia"/>
                      <w:sz w:val="21"/>
                      <w:szCs w:val="21"/>
                      <w:lang w:val="en-US" w:eastAsia="zh-CN"/>
                    </w:rPr>
                    <w:t>98%</w:t>
                  </w:r>
                </w:p>
              </w:tc>
              <w:tc>
                <w:tcPr>
                  <w:tcW w:w="430" w:type="dxa"/>
                  <w:tcMar>
                    <w:top w:w="12" w:type="dxa"/>
                    <w:left w:w="12" w:type="dxa"/>
                    <w:right w:w="12" w:type="dxa"/>
                  </w:tcMar>
                  <w:vAlign w:val="center"/>
                </w:tcPr>
                <w:p w14:paraId="34AD0E29">
                  <w:pPr>
                    <w:widowControl/>
                    <w:jc w:val="center"/>
                    <w:textAlignment w:val="center"/>
                    <w:rPr>
                      <w:sz w:val="21"/>
                      <w:szCs w:val="21"/>
                    </w:rPr>
                  </w:pPr>
                  <w:r>
                    <w:rPr>
                      <w:rFonts w:hint="eastAsia"/>
                      <w:sz w:val="21"/>
                      <w:szCs w:val="21"/>
                      <w:lang w:val="en-US" w:eastAsia="zh-CN"/>
                    </w:rPr>
                    <w:t>85</w:t>
                  </w:r>
                  <w:r>
                    <w:rPr>
                      <w:sz w:val="21"/>
                      <w:szCs w:val="21"/>
                    </w:rPr>
                    <w:t>%</w:t>
                  </w:r>
                </w:p>
              </w:tc>
              <w:tc>
                <w:tcPr>
                  <w:tcW w:w="481" w:type="dxa"/>
                  <w:vMerge w:val="restart"/>
                  <w:tcMar>
                    <w:top w:w="12" w:type="dxa"/>
                    <w:left w:w="12" w:type="dxa"/>
                    <w:right w:w="12" w:type="dxa"/>
                  </w:tcMar>
                  <w:vAlign w:val="center"/>
                </w:tcPr>
                <w:p w14:paraId="4F88D31B">
                  <w:pPr>
                    <w:widowControl/>
                    <w:jc w:val="center"/>
                    <w:textAlignment w:val="center"/>
                    <w:rPr>
                      <w:sz w:val="21"/>
                      <w:szCs w:val="21"/>
                    </w:rPr>
                  </w:pPr>
                  <w:r>
                    <w:rPr>
                      <w:rFonts w:hint="eastAsia"/>
                      <w:sz w:val="21"/>
                      <w:szCs w:val="21"/>
                    </w:rPr>
                    <w:t>是</w:t>
                  </w:r>
                </w:p>
              </w:tc>
              <w:tc>
                <w:tcPr>
                  <w:tcW w:w="886" w:type="dxa"/>
                  <w:tcMar>
                    <w:top w:w="12" w:type="dxa"/>
                    <w:left w:w="12" w:type="dxa"/>
                    <w:right w:w="12" w:type="dxa"/>
                  </w:tcMar>
                  <w:vAlign w:val="center"/>
                </w:tcPr>
                <w:p w14:paraId="02229349">
                  <w:pPr>
                    <w:keepNext w:val="0"/>
                    <w:keepLines w:val="0"/>
                    <w:widowControl/>
                    <w:suppressLineNumbers w:val="0"/>
                    <w:jc w:val="center"/>
                    <w:textAlignment w:val="center"/>
                    <w:rPr>
                      <w:rFonts w:hint="eastAsia" w:eastAsia="宋体"/>
                      <w:sz w:val="21"/>
                      <w:szCs w:val="21"/>
                      <w:lang w:eastAsia="zh-CN"/>
                    </w:rPr>
                  </w:pPr>
                  <w:r>
                    <w:rPr>
                      <w:rFonts w:hint="default" w:ascii="Times New Roman" w:hAnsi="Times New Roman" w:eastAsia="宋体" w:cs="Times New Roman"/>
                      <w:i w:val="0"/>
                      <w:iCs w:val="0"/>
                      <w:color w:val="000000"/>
                      <w:kern w:val="0"/>
                      <w:sz w:val="21"/>
                      <w:szCs w:val="21"/>
                      <w:u w:val="none"/>
                      <w:lang w:val="en-US" w:eastAsia="zh-CN" w:bidi="ar"/>
                    </w:rPr>
                    <w:t>0.0028</w:t>
                  </w:r>
                </w:p>
              </w:tc>
              <w:tc>
                <w:tcPr>
                  <w:tcW w:w="814" w:type="dxa"/>
                  <w:tcMar>
                    <w:top w:w="12" w:type="dxa"/>
                    <w:left w:w="12" w:type="dxa"/>
                    <w:right w:w="12" w:type="dxa"/>
                  </w:tcMar>
                  <w:vAlign w:val="center"/>
                </w:tcPr>
                <w:p w14:paraId="0D6AD9FF">
                  <w:pPr>
                    <w:keepNext w:val="0"/>
                    <w:keepLines w:val="0"/>
                    <w:widowControl/>
                    <w:suppressLineNumbers w:val="0"/>
                    <w:jc w:val="center"/>
                    <w:textAlignment w:val="center"/>
                    <w:rPr>
                      <w:rFonts w:hint="eastAsia" w:eastAsia="宋体"/>
                      <w:sz w:val="21"/>
                      <w:szCs w:val="21"/>
                      <w:lang w:eastAsia="zh-CN"/>
                    </w:rPr>
                  </w:pPr>
                  <w:r>
                    <w:rPr>
                      <w:rFonts w:hint="default" w:ascii="Times New Roman" w:hAnsi="Times New Roman" w:eastAsia="宋体" w:cs="Times New Roman"/>
                      <w:i w:val="0"/>
                      <w:iCs w:val="0"/>
                      <w:color w:val="000000"/>
                      <w:kern w:val="0"/>
                      <w:sz w:val="21"/>
                      <w:szCs w:val="21"/>
                      <w:u w:val="none"/>
                      <w:lang w:val="en-US" w:eastAsia="zh-CN" w:bidi="ar"/>
                    </w:rPr>
                    <w:t>0.0284</w:t>
                  </w:r>
                </w:p>
              </w:tc>
              <w:tc>
                <w:tcPr>
                  <w:tcW w:w="746" w:type="dxa"/>
                  <w:tcMar>
                    <w:top w:w="12" w:type="dxa"/>
                    <w:left w:w="12" w:type="dxa"/>
                    <w:right w:w="12" w:type="dxa"/>
                  </w:tcMar>
                  <w:vAlign w:val="center"/>
                </w:tcPr>
                <w:p w14:paraId="6F14965C">
                  <w:pPr>
                    <w:keepNext w:val="0"/>
                    <w:keepLines w:val="0"/>
                    <w:widowControl/>
                    <w:suppressLineNumbers w:val="0"/>
                    <w:jc w:val="center"/>
                    <w:textAlignment w:val="center"/>
                    <w:rPr>
                      <w:rFonts w:hint="eastAsia" w:eastAsia="宋体"/>
                      <w:sz w:val="21"/>
                      <w:szCs w:val="21"/>
                      <w:lang w:eastAsia="zh-CN"/>
                    </w:rPr>
                  </w:pPr>
                  <w:r>
                    <w:rPr>
                      <w:rFonts w:hint="default" w:ascii="Times New Roman" w:hAnsi="Times New Roman" w:eastAsia="宋体" w:cs="Times New Roman"/>
                      <w:i w:val="0"/>
                      <w:iCs w:val="0"/>
                      <w:color w:val="000000"/>
                      <w:kern w:val="0"/>
                      <w:sz w:val="21"/>
                      <w:szCs w:val="21"/>
                      <w:u w:val="none"/>
                      <w:lang w:val="en-US" w:eastAsia="zh-CN" w:bidi="ar"/>
                    </w:rPr>
                    <w:t>0.284</w:t>
                  </w:r>
                </w:p>
              </w:tc>
              <w:tc>
                <w:tcPr>
                  <w:tcW w:w="651" w:type="dxa"/>
                  <w:vMerge w:val="restart"/>
                  <w:tcMar>
                    <w:top w:w="12" w:type="dxa"/>
                    <w:left w:w="12" w:type="dxa"/>
                    <w:right w:w="12" w:type="dxa"/>
                  </w:tcMar>
                  <w:vAlign w:val="center"/>
                </w:tcPr>
                <w:p w14:paraId="0F859D8A">
                  <w:pPr>
                    <w:widowControl/>
                    <w:jc w:val="center"/>
                    <w:textAlignment w:val="center"/>
                    <w:rPr>
                      <w:sz w:val="21"/>
                      <w:szCs w:val="21"/>
                    </w:rPr>
                  </w:pPr>
                  <w:r>
                    <w:rPr>
                      <w:rFonts w:hint="eastAsia"/>
                      <w:sz w:val="21"/>
                      <w:szCs w:val="21"/>
                    </w:rPr>
                    <w:t>DA001</w:t>
                  </w:r>
                </w:p>
              </w:tc>
              <w:tc>
                <w:tcPr>
                  <w:tcW w:w="814" w:type="dxa"/>
                  <w:tcMar>
                    <w:top w:w="12" w:type="dxa"/>
                    <w:left w:w="12" w:type="dxa"/>
                    <w:right w:w="12" w:type="dxa"/>
                  </w:tcMar>
                  <w:vAlign w:val="center"/>
                </w:tcPr>
                <w:p w14:paraId="7D75D77A">
                  <w:pPr>
                    <w:widowControl/>
                    <w:jc w:val="center"/>
                    <w:textAlignment w:val="center"/>
                    <w:rPr>
                      <w:sz w:val="21"/>
                      <w:szCs w:val="21"/>
                    </w:rPr>
                  </w:pPr>
                  <w:r>
                    <w:rPr>
                      <w:rFonts w:hint="eastAsia"/>
                      <w:sz w:val="21"/>
                      <w:szCs w:val="21"/>
                    </w:rPr>
                    <w:t>120</w:t>
                  </w:r>
                </w:p>
              </w:tc>
              <w:tc>
                <w:tcPr>
                  <w:tcW w:w="352" w:type="dxa"/>
                  <w:tcMar>
                    <w:top w:w="12" w:type="dxa"/>
                    <w:left w:w="12" w:type="dxa"/>
                    <w:right w:w="12" w:type="dxa"/>
                  </w:tcMar>
                  <w:vAlign w:val="center"/>
                </w:tcPr>
                <w:p w14:paraId="5E4A7CDD">
                  <w:pPr>
                    <w:widowControl/>
                    <w:jc w:val="center"/>
                    <w:textAlignment w:val="center"/>
                    <w:rPr>
                      <w:sz w:val="21"/>
                      <w:szCs w:val="21"/>
                    </w:rPr>
                  </w:pPr>
                  <w:r>
                    <w:rPr>
                      <w:rFonts w:hint="eastAsia"/>
                      <w:sz w:val="21"/>
                      <w:szCs w:val="21"/>
                    </w:rPr>
                    <w:t>是</w:t>
                  </w:r>
                </w:p>
              </w:tc>
            </w:tr>
            <w:tr w14:paraId="26B25B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trPr>
              <w:tc>
                <w:tcPr>
                  <w:tcW w:w="352" w:type="dxa"/>
                  <w:vMerge w:val="continue"/>
                  <w:tcMar>
                    <w:top w:w="12" w:type="dxa"/>
                    <w:left w:w="12" w:type="dxa"/>
                    <w:right w:w="12" w:type="dxa"/>
                  </w:tcMar>
                  <w:vAlign w:val="center"/>
                </w:tcPr>
                <w:p w14:paraId="06AD6EA0">
                  <w:pPr>
                    <w:spacing w:line="240" w:lineRule="atLeast"/>
                    <w:jc w:val="center"/>
                    <w:rPr>
                      <w:rFonts w:hint="eastAsia"/>
                      <w:sz w:val="21"/>
                      <w:szCs w:val="21"/>
                    </w:rPr>
                  </w:pPr>
                </w:p>
              </w:tc>
              <w:tc>
                <w:tcPr>
                  <w:tcW w:w="1148" w:type="dxa"/>
                  <w:tcMar>
                    <w:top w:w="12" w:type="dxa"/>
                    <w:left w:w="12" w:type="dxa"/>
                    <w:right w:w="12" w:type="dxa"/>
                  </w:tcMar>
                  <w:vAlign w:val="center"/>
                </w:tcPr>
                <w:p w14:paraId="34A30CD0">
                  <w:pPr>
                    <w:spacing w:line="240" w:lineRule="atLeast"/>
                    <w:jc w:val="center"/>
                    <w:rPr>
                      <w:rFonts w:hint="eastAsia" w:eastAsia="宋体"/>
                      <w:sz w:val="21"/>
                      <w:szCs w:val="21"/>
                      <w:lang w:eastAsia="zh-CN"/>
                    </w:rPr>
                  </w:pPr>
                  <w:r>
                    <w:rPr>
                      <w:rFonts w:hint="eastAsia"/>
                      <w:sz w:val="21"/>
                      <w:szCs w:val="21"/>
                      <w:lang w:eastAsia="zh-CN"/>
                    </w:rPr>
                    <w:t>非甲烷总烃</w:t>
                  </w:r>
                </w:p>
              </w:tc>
              <w:tc>
                <w:tcPr>
                  <w:tcW w:w="862" w:type="dxa"/>
                  <w:tcMar>
                    <w:top w:w="12" w:type="dxa"/>
                    <w:left w:w="12" w:type="dxa"/>
                    <w:right w:w="12" w:type="dxa"/>
                  </w:tcMar>
                  <w:vAlign w:val="center"/>
                </w:tcPr>
                <w:p w14:paraId="2C20D341">
                  <w:pPr>
                    <w:keepNext w:val="0"/>
                    <w:keepLines w:val="0"/>
                    <w:widowControl/>
                    <w:suppressLineNumbers w:val="0"/>
                    <w:jc w:val="center"/>
                    <w:textAlignment w:val="center"/>
                    <w:rPr>
                      <w:rFonts w:hint="default" w:eastAsia="宋体"/>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0.0125</w:t>
                  </w:r>
                </w:p>
              </w:tc>
              <w:tc>
                <w:tcPr>
                  <w:tcW w:w="766" w:type="dxa"/>
                  <w:tcMar>
                    <w:top w:w="12" w:type="dxa"/>
                    <w:left w:w="12" w:type="dxa"/>
                    <w:right w:w="12" w:type="dxa"/>
                  </w:tcMar>
                  <w:vAlign w:val="center"/>
                </w:tcPr>
                <w:p w14:paraId="5E57E391">
                  <w:pPr>
                    <w:keepNext w:val="0"/>
                    <w:keepLines w:val="0"/>
                    <w:widowControl/>
                    <w:suppressLineNumbers w:val="0"/>
                    <w:jc w:val="center"/>
                    <w:textAlignment w:val="center"/>
                    <w:rPr>
                      <w:rFonts w:hint="default"/>
                      <w:kern w:val="0"/>
                      <w:sz w:val="21"/>
                      <w:szCs w:val="21"/>
                      <w:lang w:val="en-US" w:bidi="ar"/>
                    </w:rPr>
                  </w:pPr>
                  <w:r>
                    <w:rPr>
                      <w:rFonts w:hint="default" w:ascii="Times New Roman" w:hAnsi="Times New Roman" w:eastAsia="宋体" w:cs="Times New Roman"/>
                      <w:i w:val="0"/>
                      <w:iCs w:val="0"/>
                      <w:color w:val="000000"/>
                      <w:kern w:val="0"/>
                      <w:sz w:val="21"/>
                      <w:szCs w:val="21"/>
                      <w:u w:val="none"/>
                      <w:lang w:val="en-US" w:eastAsia="zh-CN" w:bidi="ar"/>
                    </w:rPr>
                    <w:t>0.125</w:t>
                  </w:r>
                </w:p>
              </w:tc>
              <w:tc>
                <w:tcPr>
                  <w:tcW w:w="815" w:type="dxa"/>
                  <w:tcMar>
                    <w:top w:w="12" w:type="dxa"/>
                    <w:left w:w="12" w:type="dxa"/>
                    <w:right w:w="12" w:type="dxa"/>
                  </w:tcMar>
                  <w:vAlign w:val="center"/>
                </w:tcPr>
                <w:p w14:paraId="7F18EEC5">
                  <w:pPr>
                    <w:keepNext w:val="0"/>
                    <w:keepLines w:val="0"/>
                    <w:widowControl/>
                    <w:suppressLineNumbers w:val="0"/>
                    <w:jc w:val="center"/>
                    <w:textAlignment w:val="center"/>
                    <w:rPr>
                      <w:rFonts w:hint="eastAsia"/>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1.250</w:t>
                  </w:r>
                </w:p>
              </w:tc>
              <w:tc>
                <w:tcPr>
                  <w:tcW w:w="683" w:type="dxa"/>
                  <w:vMerge w:val="continue"/>
                  <w:tcMar>
                    <w:top w:w="12" w:type="dxa"/>
                    <w:left w:w="12" w:type="dxa"/>
                    <w:right w:w="12" w:type="dxa"/>
                  </w:tcMar>
                  <w:vAlign w:val="center"/>
                </w:tcPr>
                <w:p w14:paraId="238CEB08">
                  <w:pPr>
                    <w:jc w:val="center"/>
                    <w:rPr>
                      <w:rFonts w:hint="eastAsia"/>
                      <w:sz w:val="21"/>
                      <w:szCs w:val="21"/>
                    </w:rPr>
                  </w:pPr>
                </w:p>
              </w:tc>
              <w:tc>
                <w:tcPr>
                  <w:tcW w:w="3474" w:type="dxa"/>
                  <w:vMerge w:val="continue"/>
                  <w:tcMar>
                    <w:top w:w="12" w:type="dxa"/>
                    <w:left w:w="12" w:type="dxa"/>
                    <w:right w:w="12" w:type="dxa"/>
                  </w:tcMar>
                  <w:vAlign w:val="center"/>
                </w:tcPr>
                <w:p w14:paraId="4C2DF947">
                  <w:pPr>
                    <w:widowControl/>
                    <w:jc w:val="center"/>
                    <w:textAlignment w:val="center"/>
                    <w:rPr>
                      <w:bCs/>
                      <w:sz w:val="21"/>
                      <w:szCs w:val="21"/>
                    </w:rPr>
                  </w:pPr>
                </w:p>
              </w:tc>
              <w:tc>
                <w:tcPr>
                  <w:tcW w:w="1051" w:type="dxa"/>
                  <w:vMerge w:val="continue"/>
                  <w:tcMar>
                    <w:top w:w="12" w:type="dxa"/>
                    <w:left w:w="12" w:type="dxa"/>
                    <w:right w:w="12" w:type="dxa"/>
                  </w:tcMar>
                  <w:vAlign w:val="center"/>
                </w:tcPr>
                <w:p w14:paraId="780452B0">
                  <w:pPr>
                    <w:widowControl/>
                    <w:jc w:val="center"/>
                    <w:textAlignment w:val="center"/>
                    <w:rPr>
                      <w:rFonts w:hint="eastAsia"/>
                      <w:sz w:val="21"/>
                      <w:szCs w:val="21"/>
                      <w:lang w:val="en-US" w:eastAsia="zh-CN"/>
                    </w:rPr>
                  </w:pPr>
                </w:p>
              </w:tc>
              <w:tc>
                <w:tcPr>
                  <w:tcW w:w="664" w:type="dxa"/>
                  <w:vMerge w:val="continue"/>
                  <w:tcMar>
                    <w:top w:w="12" w:type="dxa"/>
                    <w:left w:w="12" w:type="dxa"/>
                    <w:right w:w="12" w:type="dxa"/>
                  </w:tcMar>
                  <w:vAlign w:val="center"/>
                </w:tcPr>
                <w:p w14:paraId="20380E53">
                  <w:pPr>
                    <w:widowControl/>
                    <w:jc w:val="center"/>
                    <w:textAlignment w:val="center"/>
                    <w:rPr>
                      <w:rFonts w:hint="eastAsia"/>
                      <w:sz w:val="21"/>
                      <w:szCs w:val="21"/>
                      <w:lang w:val="en-US" w:eastAsia="zh-CN"/>
                    </w:rPr>
                  </w:pPr>
                </w:p>
              </w:tc>
              <w:tc>
                <w:tcPr>
                  <w:tcW w:w="430" w:type="dxa"/>
                  <w:tcMar>
                    <w:top w:w="12" w:type="dxa"/>
                    <w:left w:w="12" w:type="dxa"/>
                    <w:right w:w="12" w:type="dxa"/>
                  </w:tcMar>
                  <w:vAlign w:val="center"/>
                </w:tcPr>
                <w:p w14:paraId="3F2AF51F">
                  <w:pPr>
                    <w:widowControl/>
                    <w:jc w:val="center"/>
                    <w:textAlignment w:val="center"/>
                    <w:rPr>
                      <w:rFonts w:hint="default"/>
                      <w:sz w:val="21"/>
                      <w:szCs w:val="21"/>
                      <w:lang w:val="en-US" w:eastAsia="zh-CN"/>
                    </w:rPr>
                  </w:pPr>
                  <w:r>
                    <w:rPr>
                      <w:rFonts w:hint="eastAsia"/>
                      <w:sz w:val="21"/>
                      <w:szCs w:val="21"/>
                      <w:lang w:val="en-US" w:eastAsia="zh-CN"/>
                    </w:rPr>
                    <w:t>90%</w:t>
                  </w:r>
                </w:p>
              </w:tc>
              <w:tc>
                <w:tcPr>
                  <w:tcW w:w="481" w:type="dxa"/>
                  <w:vMerge w:val="continue"/>
                  <w:tcMar>
                    <w:top w:w="12" w:type="dxa"/>
                    <w:left w:w="12" w:type="dxa"/>
                    <w:right w:w="12" w:type="dxa"/>
                  </w:tcMar>
                  <w:vAlign w:val="center"/>
                </w:tcPr>
                <w:p w14:paraId="1CCF54CB">
                  <w:pPr>
                    <w:widowControl/>
                    <w:jc w:val="center"/>
                    <w:textAlignment w:val="center"/>
                    <w:rPr>
                      <w:rFonts w:hint="eastAsia"/>
                      <w:sz w:val="21"/>
                      <w:szCs w:val="21"/>
                    </w:rPr>
                  </w:pPr>
                </w:p>
              </w:tc>
              <w:tc>
                <w:tcPr>
                  <w:tcW w:w="886" w:type="dxa"/>
                  <w:tcMar>
                    <w:top w:w="12" w:type="dxa"/>
                    <w:left w:w="12" w:type="dxa"/>
                    <w:right w:w="12" w:type="dxa"/>
                  </w:tcMar>
                  <w:vAlign w:val="center"/>
                </w:tcPr>
                <w:p w14:paraId="04FA93C4">
                  <w:pPr>
                    <w:keepNext w:val="0"/>
                    <w:keepLines w:val="0"/>
                    <w:widowControl/>
                    <w:suppressLineNumbers w:val="0"/>
                    <w:jc w:val="center"/>
                    <w:textAlignment w:val="center"/>
                    <w:rPr>
                      <w:rFonts w:hint="eastAsia"/>
                      <w:kern w:val="0"/>
                      <w:sz w:val="21"/>
                      <w:szCs w:val="21"/>
                      <w:lang w:eastAsia="zh-CN" w:bidi="ar"/>
                    </w:rPr>
                  </w:pPr>
                  <w:r>
                    <w:rPr>
                      <w:rFonts w:hint="default" w:ascii="Times New Roman" w:hAnsi="Times New Roman" w:eastAsia="宋体" w:cs="Times New Roman"/>
                      <w:i w:val="0"/>
                      <w:iCs w:val="0"/>
                      <w:color w:val="000000"/>
                      <w:kern w:val="0"/>
                      <w:sz w:val="21"/>
                      <w:szCs w:val="21"/>
                      <w:u w:val="none"/>
                      <w:lang w:val="en-US" w:eastAsia="zh-CN" w:bidi="ar"/>
                    </w:rPr>
                    <w:t>0.0012</w:t>
                  </w:r>
                </w:p>
              </w:tc>
              <w:tc>
                <w:tcPr>
                  <w:tcW w:w="814" w:type="dxa"/>
                  <w:tcMar>
                    <w:top w:w="12" w:type="dxa"/>
                    <w:left w:w="12" w:type="dxa"/>
                    <w:right w:w="12" w:type="dxa"/>
                  </w:tcMar>
                  <w:vAlign w:val="center"/>
                </w:tcPr>
                <w:p w14:paraId="09EB46A1">
                  <w:pPr>
                    <w:keepNext w:val="0"/>
                    <w:keepLines w:val="0"/>
                    <w:widowControl/>
                    <w:suppressLineNumbers w:val="0"/>
                    <w:jc w:val="center"/>
                    <w:textAlignment w:val="center"/>
                    <w:rPr>
                      <w:rFonts w:hint="eastAsia"/>
                      <w:kern w:val="0"/>
                      <w:sz w:val="21"/>
                      <w:szCs w:val="21"/>
                      <w:lang w:eastAsia="zh-CN" w:bidi="ar"/>
                    </w:rPr>
                  </w:pPr>
                  <w:r>
                    <w:rPr>
                      <w:rFonts w:hint="default" w:ascii="Times New Roman" w:hAnsi="Times New Roman" w:eastAsia="宋体" w:cs="Times New Roman"/>
                      <w:i w:val="0"/>
                      <w:iCs w:val="0"/>
                      <w:color w:val="000000"/>
                      <w:kern w:val="0"/>
                      <w:sz w:val="21"/>
                      <w:szCs w:val="21"/>
                      <w:u w:val="none"/>
                      <w:lang w:val="en-US" w:eastAsia="zh-CN" w:bidi="ar"/>
                    </w:rPr>
                    <w:t>0.0123</w:t>
                  </w:r>
                </w:p>
              </w:tc>
              <w:tc>
                <w:tcPr>
                  <w:tcW w:w="746" w:type="dxa"/>
                  <w:tcMar>
                    <w:top w:w="12" w:type="dxa"/>
                    <w:left w:w="12" w:type="dxa"/>
                    <w:right w:w="12" w:type="dxa"/>
                  </w:tcMar>
                  <w:vAlign w:val="center"/>
                </w:tcPr>
                <w:p w14:paraId="0A07FD5C">
                  <w:pPr>
                    <w:keepNext w:val="0"/>
                    <w:keepLines w:val="0"/>
                    <w:widowControl/>
                    <w:suppressLineNumbers w:val="0"/>
                    <w:jc w:val="center"/>
                    <w:textAlignment w:val="center"/>
                    <w:rPr>
                      <w:rFonts w:hint="eastAsia"/>
                      <w:kern w:val="0"/>
                      <w:sz w:val="21"/>
                      <w:szCs w:val="21"/>
                      <w:lang w:eastAsia="zh-CN" w:bidi="ar"/>
                    </w:rPr>
                  </w:pPr>
                  <w:r>
                    <w:rPr>
                      <w:rFonts w:hint="default" w:ascii="Times New Roman" w:hAnsi="Times New Roman" w:eastAsia="宋体" w:cs="Times New Roman"/>
                      <w:i w:val="0"/>
                      <w:iCs w:val="0"/>
                      <w:color w:val="000000"/>
                      <w:kern w:val="0"/>
                      <w:sz w:val="21"/>
                      <w:szCs w:val="21"/>
                      <w:u w:val="none"/>
                      <w:lang w:val="en-US" w:eastAsia="zh-CN" w:bidi="ar"/>
                    </w:rPr>
                    <w:t>0.123</w:t>
                  </w:r>
                </w:p>
              </w:tc>
              <w:tc>
                <w:tcPr>
                  <w:tcW w:w="651" w:type="dxa"/>
                  <w:vMerge w:val="continue"/>
                  <w:tcMar>
                    <w:top w:w="12" w:type="dxa"/>
                    <w:left w:w="12" w:type="dxa"/>
                    <w:right w:w="12" w:type="dxa"/>
                  </w:tcMar>
                  <w:vAlign w:val="center"/>
                </w:tcPr>
                <w:p w14:paraId="4FF856E1">
                  <w:pPr>
                    <w:widowControl/>
                    <w:jc w:val="center"/>
                    <w:textAlignment w:val="center"/>
                    <w:rPr>
                      <w:rFonts w:hint="eastAsia"/>
                      <w:sz w:val="21"/>
                      <w:szCs w:val="21"/>
                    </w:rPr>
                  </w:pPr>
                </w:p>
              </w:tc>
              <w:tc>
                <w:tcPr>
                  <w:tcW w:w="814" w:type="dxa"/>
                  <w:tcMar>
                    <w:top w:w="12" w:type="dxa"/>
                    <w:left w:w="12" w:type="dxa"/>
                    <w:right w:w="12" w:type="dxa"/>
                  </w:tcMar>
                  <w:vAlign w:val="center"/>
                </w:tcPr>
                <w:p w14:paraId="42C81DB7">
                  <w:pPr>
                    <w:widowControl/>
                    <w:jc w:val="center"/>
                    <w:textAlignment w:val="center"/>
                    <w:rPr>
                      <w:rFonts w:hint="default" w:eastAsia="宋体"/>
                      <w:sz w:val="21"/>
                      <w:szCs w:val="21"/>
                      <w:lang w:val="en-US" w:eastAsia="zh-CN"/>
                    </w:rPr>
                  </w:pPr>
                  <w:r>
                    <w:rPr>
                      <w:rFonts w:hint="eastAsia"/>
                      <w:sz w:val="21"/>
                      <w:szCs w:val="21"/>
                      <w:lang w:val="en-US" w:eastAsia="zh-CN"/>
                    </w:rPr>
                    <w:t>70</w:t>
                  </w:r>
                </w:p>
              </w:tc>
              <w:tc>
                <w:tcPr>
                  <w:tcW w:w="352" w:type="dxa"/>
                  <w:tcMar>
                    <w:top w:w="12" w:type="dxa"/>
                    <w:left w:w="12" w:type="dxa"/>
                    <w:right w:w="12" w:type="dxa"/>
                  </w:tcMar>
                  <w:vAlign w:val="center"/>
                </w:tcPr>
                <w:p w14:paraId="03AB9452">
                  <w:pPr>
                    <w:widowControl/>
                    <w:jc w:val="center"/>
                    <w:textAlignment w:val="center"/>
                    <w:rPr>
                      <w:rFonts w:hint="eastAsia"/>
                      <w:sz w:val="21"/>
                      <w:szCs w:val="21"/>
                    </w:rPr>
                  </w:pPr>
                  <w:r>
                    <w:rPr>
                      <w:rFonts w:hint="eastAsia"/>
                      <w:sz w:val="21"/>
                      <w:szCs w:val="21"/>
                    </w:rPr>
                    <w:t>是</w:t>
                  </w:r>
                </w:p>
              </w:tc>
            </w:tr>
            <w:tr w14:paraId="175889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trPr>
              <w:tc>
                <w:tcPr>
                  <w:tcW w:w="352" w:type="dxa"/>
                  <w:vMerge w:val="continue"/>
                  <w:tcMar>
                    <w:top w:w="12" w:type="dxa"/>
                    <w:left w:w="12" w:type="dxa"/>
                    <w:right w:w="12" w:type="dxa"/>
                  </w:tcMar>
                  <w:vAlign w:val="center"/>
                </w:tcPr>
                <w:p w14:paraId="741AC9E0">
                  <w:pPr>
                    <w:spacing w:line="240" w:lineRule="atLeast"/>
                    <w:jc w:val="center"/>
                    <w:rPr>
                      <w:rFonts w:hint="eastAsia"/>
                      <w:sz w:val="21"/>
                      <w:szCs w:val="21"/>
                    </w:rPr>
                  </w:pPr>
                </w:p>
              </w:tc>
              <w:tc>
                <w:tcPr>
                  <w:tcW w:w="1148" w:type="dxa"/>
                  <w:tcMar>
                    <w:top w:w="12" w:type="dxa"/>
                    <w:left w:w="12" w:type="dxa"/>
                    <w:right w:w="12" w:type="dxa"/>
                  </w:tcMar>
                  <w:vAlign w:val="center"/>
                </w:tcPr>
                <w:p w14:paraId="5569760B">
                  <w:pPr>
                    <w:spacing w:line="240" w:lineRule="atLeast"/>
                    <w:jc w:val="center"/>
                    <w:rPr>
                      <w:rFonts w:hint="eastAsia" w:eastAsia="宋体"/>
                      <w:sz w:val="21"/>
                      <w:szCs w:val="21"/>
                      <w:lang w:eastAsia="zh-CN"/>
                    </w:rPr>
                  </w:pPr>
                  <w:r>
                    <w:rPr>
                      <w:rFonts w:hint="eastAsia"/>
                      <w:sz w:val="21"/>
                      <w:szCs w:val="21"/>
                      <w:lang w:eastAsia="zh-CN"/>
                    </w:rPr>
                    <w:t>二甲苯</w:t>
                  </w:r>
                </w:p>
              </w:tc>
              <w:tc>
                <w:tcPr>
                  <w:tcW w:w="862" w:type="dxa"/>
                  <w:tcMar>
                    <w:top w:w="12" w:type="dxa"/>
                    <w:left w:w="12" w:type="dxa"/>
                    <w:right w:w="12" w:type="dxa"/>
                  </w:tcMar>
                  <w:vAlign w:val="center"/>
                </w:tcPr>
                <w:p w14:paraId="603E744E">
                  <w:pPr>
                    <w:keepNext w:val="0"/>
                    <w:keepLines w:val="0"/>
                    <w:widowControl/>
                    <w:suppressLineNumbers w:val="0"/>
                    <w:jc w:val="center"/>
                    <w:textAlignment w:val="center"/>
                    <w:rPr>
                      <w:rFonts w:hint="default" w:eastAsia="宋体"/>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0.0070</w:t>
                  </w:r>
                </w:p>
              </w:tc>
              <w:tc>
                <w:tcPr>
                  <w:tcW w:w="766" w:type="dxa"/>
                  <w:tcMar>
                    <w:top w:w="12" w:type="dxa"/>
                    <w:left w:w="12" w:type="dxa"/>
                    <w:right w:w="12" w:type="dxa"/>
                  </w:tcMar>
                  <w:vAlign w:val="center"/>
                </w:tcPr>
                <w:p w14:paraId="15F87DC4">
                  <w:pPr>
                    <w:keepNext w:val="0"/>
                    <w:keepLines w:val="0"/>
                    <w:widowControl/>
                    <w:suppressLineNumbers w:val="0"/>
                    <w:jc w:val="center"/>
                    <w:textAlignment w:val="center"/>
                    <w:rPr>
                      <w:rFonts w:hint="eastAsia"/>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0.07</w:t>
                  </w:r>
                </w:p>
              </w:tc>
              <w:tc>
                <w:tcPr>
                  <w:tcW w:w="815" w:type="dxa"/>
                  <w:tcMar>
                    <w:top w:w="12" w:type="dxa"/>
                    <w:left w:w="12" w:type="dxa"/>
                    <w:right w:w="12" w:type="dxa"/>
                  </w:tcMar>
                  <w:vAlign w:val="center"/>
                </w:tcPr>
                <w:p w14:paraId="2A076D08">
                  <w:pPr>
                    <w:keepNext w:val="0"/>
                    <w:keepLines w:val="0"/>
                    <w:widowControl/>
                    <w:suppressLineNumbers w:val="0"/>
                    <w:jc w:val="center"/>
                    <w:textAlignment w:val="center"/>
                    <w:rPr>
                      <w:rFonts w:hint="eastAsia"/>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0.700</w:t>
                  </w:r>
                </w:p>
              </w:tc>
              <w:tc>
                <w:tcPr>
                  <w:tcW w:w="683" w:type="dxa"/>
                  <w:vMerge w:val="continue"/>
                  <w:tcMar>
                    <w:top w:w="12" w:type="dxa"/>
                    <w:left w:w="12" w:type="dxa"/>
                    <w:right w:w="12" w:type="dxa"/>
                  </w:tcMar>
                  <w:vAlign w:val="center"/>
                </w:tcPr>
                <w:p w14:paraId="5D50DE5D">
                  <w:pPr>
                    <w:jc w:val="center"/>
                    <w:rPr>
                      <w:rFonts w:hint="eastAsia"/>
                      <w:sz w:val="21"/>
                      <w:szCs w:val="21"/>
                    </w:rPr>
                  </w:pPr>
                </w:p>
              </w:tc>
              <w:tc>
                <w:tcPr>
                  <w:tcW w:w="3474" w:type="dxa"/>
                  <w:vMerge w:val="continue"/>
                  <w:tcMar>
                    <w:top w:w="12" w:type="dxa"/>
                    <w:left w:w="12" w:type="dxa"/>
                    <w:right w:w="12" w:type="dxa"/>
                  </w:tcMar>
                  <w:vAlign w:val="center"/>
                </w:tcPr>
                <w:p w14:paraId="251CCEEC">
                  <w:pPr>
                    <w:widowControl/>
                    <w:jc w:val="center"/>
                    <w:textAlignment w:val="center"/>
                    <w:rPr>
                      <w:bCs/>
                      <w:sz w:val="21"/>
                      <w:szCs w:val="21"/>
                    </w:rPr>
                  </w:pPr>
                </w:p>
              </w:tc>
              <w:tc>
                <w:tcPr>
                  <w:tcW w:w="1051" w:type="dxa"/>
                  <w:vMerge w:val="continue"/>
                  <w:tcMar>
                    <w:top w:w="12" w:type="dxa"/>
                    <w:left w:w="12" w:type="dxa"/>
                    <w:right w:w="12" w:type="dxa"/>
                  </w:tcMar>
                  <w:vAlign w:val="center"/>
                </w:tcPr>
                <w:p w14:paraId="43414FF7">
                  <w:pPr>
                    <w:widowControl/>
                    <w:jc w:val="center"/>
                    <w:textAlignment w:val="center"/>
                    <w:rPr>
                      <w:rFonts w:hint="eastAsia"/>
                      <w:sz w:val="21"/>
                      <w:szCs w:val="21"/>
                      <w:lang w:val="en-US" w:eastAsia="zh-CN"/>
                    </w:rPr>
                  </w:pPr>
                </w:p>
              </w:tc>
              <w:tc>
                <w:tcPr>
                  <w:tcW w:w="664" w:type="dxa"/>
                  <w:vMerge w:val="continue"/>
                  <w:tcMar>
                    <w:top w:w="12" w:type="dxa"/>
                    <w:left w:w="12" w:type="dxa"/>
                    <w:right w:w="12" w:type="dxa"/>
                  </w:tcMar>
                  <w:vAlign w:val="center"/>
                </w:tcPr>
                <w:p w14:paraId="1227329B">
                  <w:pPr>
                    <w:widowControl/>
                    <w:jc w:val="center"/>
                    <w:textAlignment w:val="center"/>
                    <w:rPr>
                      <w:rFonts w:hint="eastAsia"/>
                      <w:sz w:val="21"/>
                      <w:szCs w:val="21"/>
                      <w:lang w:val="en-US" w:eastAsia="zh-CN"/>
                    </w:rPr>
                  </w:pPr>
                </w:p>
              </w:tc>
              <w:tc>
                <w:tcPr>
                  <w:tcW w:w="430" w:type="dxa"/>
                  <w:tcMar>
                    <w:top w:w="12" w:type="dxa"/>
                    <w:left w:w="12" w:type="dxa"/>
                    <w:right w:w="12" w:type="dxa"/>
                  </w:tcMar>
                  <w:vAlign w:val="center"/>
                </w:tcPr>
                <w:p w14:paraId="708D16D8">
                  <w:pPr>
                    <w:widowControl/>
                    <w:jc w:val="center"/>
                    <w:textAlignment w:val="center"/>
                    <w:rPr>
                      <w:rFonts w:hint="default"/>
                      <w:sz w:val="21"/>
                      <w:szCs w:val="21"/>
                      <w:lang w:val="en-US" w:eastAsia="zh-CN"/>
                    </w:rPr>
                  </w:pPr>
                  <w:r>
                    <w:rPr>
                      <w:rFonts w:hint="eastAsia"/>
                      <w:sz w:val="21"/>
                      <w:szCs w:val="21"/>
                      <w:lang w:val="en-US" w:eastAsia="zh-CN"/>
                    </w:rPr>
                    <w:t>90%</w:t>
                  </w:r>
                </w:p>
              </w:tc>
              <w:tc>
                <w:tcPr>
                  <w:tcW w:w="481" w:type="dxa"/>
                  <w:vMerge w:val="continue"/>
                  <w:tcMar>
                    <w:top w:w="12" w:type="dxa"/>
                    <w:left w:w="12" w:type="dxa"/>
                    <w:right w:w="12" w:type="dxa"/>
                  </w:tcMar>
                  <w:vAlign w:val="center"/>
                </w:tcPr>
                <w:p w14:paraId="44A98BAD">
                  <w:pPr>
                    <w:widowControl/>
                    <w:jc w:val="center"/>
                    <w:textAlignment w:val="center"/>
                    <w:rPr>
                      <w:rFonts w:hint="eastAsia"/>
                      <w:sz w:val="21"/>
                      <w:szCs w:val="21"/>
                    </w:rPr>
                  </w:pPr>
                </w:p>
              </w:tc>
              <w:tc>
                <w:tcPr>
                  <w:tcW w:w="886" w:type="dxa"/>
                  <w:tcMar>
                    <w:top w:w="12" w:type="dxa"/>
                    <w:left w:w="12" w:type="dxa"/>
                    <w:right w:w="12" w:type="dxa"/>
                  </w:tcMar>
                  <w:vAlign w:val="center"/>
                </w:tcPr>
                <w:p w14:paraId="0858E232">
                  <w:pPr>
                    <w:keepNext w:val="0"/>
                    <w:keepLines w:val="0"/>
                    <w:widowControl/>
                    <w:suppressLineNumbers w:val="0"/>
                    <w:jc w:val="center"/>
                    <w:textAlignment w:val="center"/>
                    <w:rPr>
                      <w:rFonts w:hint="eastAsia"/>
                      <w:kern w:val="0"/>
                      <w:sz w:val="21"/>
                      <w:szCs w:val="21"/>
                      <w:lang w:eastAsia="zh-CN" w:bidi="ar"/>
                    </w:rPr>
                  </w:pPr>
                  <w:r>
                    <w:rPr>
                      <w:rFonts w:hint="default" w:ascii="Times New Roman" w:hAnsi="Times New Roman" w:eastAsia="宋体" w:cs="Times New Roman"/>
                      <w:i w:val="0"/>
                      <w:iCs w:val="0"/>
                      <w:color w:val="000000"/>
                      <w:kern w:val="0"/>
                      <w:sz w:val="21"/>
                      <w:szCs w:val="21"/>
                      <w:u w:val="none"/>
                      <w:lang w:val="en-US" w:eastAsia="zh-CN" w:bidi="ar"/>
                    </w:rPr>
                    <w:t>0.0007</w:t>
                  </w:r>
                </w:p>
              </w:tc>
              <w:tc>
                <w:tcPr>
                  <w:tcW w:w="814" w:type="dxa"/>
                  <w:tcMar>
                    <w:top w:w="12" w:type="dxa"/>
                    <w:left w:w="12" w:type="dxa"/>
                    <w:right w:w="12" w:type="dxa"/>
                  </w:tcMar>
                  <w:vAlign w:val="center"/>
                </w:tcPr>
                <w:p w14:paraId="5421F725">
                  <w:pPr>
                    <w:keepNext w:val="0"/>
                    <w:keepLines w:val="0"/>
                    <w:widowControl/>
                    <w:suppressLineNumbers w:val="0"/>
                    <w:jc w:val="center"/>
                    <w:textAlignment w:val="center"/>
                    <w:rPr>
                      <w:rFonts w:hint="eastAsia"/>
                      <w:kern w:val="0"/>
                      <w:sz w:val="21"/>
                      <w:szCs w:val="21"/>
                      <w:lang w:eastAsia="zh-CN" w:bidi="ar"/>
                    </w:rPr>
                  </w:pPr>
                  <w:r>
                    <w:rPr>
                      <w:rFonts w:hint="default" w:ascii="Times New Roman" w:hAnsi="Times New Roman" w:eastAsia="宋体" w:cs="Times New Roman"/>
                      <w:i w:val="0"/>
                      <w:iCs w:val="0"/>
                      <w:color w:val="000000"/>
                      <w:kern w:val="0"/>
                      <w:sz w:val="21"/>
                      <w:szCs w:val="21"/>
                      <w:u w:val="none"/>
                      <w:lang w:val="en-US" w:eastAsia="zh-CN" w:bidi="ar"/>
                    </w:rPr>
                    <w:t>0.00686</w:t>
                  </w:r>
                </w:p>
              </w:tc>
              <w:tc>
                <w:tcPr>
                  <w:tcW w:w="746" w:type="dxa"/>
                  <w:tcMar>
                    <w:top w:w="12" w:type="dxa"/>
                    <w:left w:w="12" w:type="dxa"/>
                    <w:right w:w="12" w:type="dxa"/>
                  </w:tcMar>
                  <w:vAlign w:val="center"/>
                </w:tcPr>
                <w:p w14:paraId="094F68DB">
                  <w:pPr>
                    <w:keepNext w:val="0"/>
                    <w:keepLines w:val="0"/>
                    <w:widowControl/>
                    <w:suppressLineNumbers w:val="0"/>
                    <w:jc w:val="center"/>
                    <w:textAlignment w:val="center"/>
                    <w:rPr>
                      <w:rFonts w:hint="eastAsia"/>
                      <w:kern w:val="0"/>
                      <w:sz w:val="21"/>
                      <w:szCs w:val="21"/>
                      <w:lang w:eastAsia="zh-CN" w:bidi="ar"/>
                    </w:rPr>
                  </w:pPr>
                  <w:r>
                    <w:rPr>
                      <w:rFonts w:hint="default" w:ascii="Times New Roman" w:hAnsi="Times New Roman" w:eastAsia="宋体" w:cs="Times New Roman"/>
                      <w:i w:val="0"/>
                      <w:iCs w:val="0"/>
                      <w:color w:val="000000"/>
                      <w:kern w:val="0"/>
                      <w:sz w:val="21"/>
                      <w:szCs w:val="21"/>
                      <w:u w:val="none"/>
                      <w:lang w:val="en-US" w:eastAsia="zh-CN" w:bidi="ar"/>
                    </w:rPr>
                    <w:t>0.069</w:t>
                  </w:r>
                </w:p>
              </w:tc>
              <w:tc>
                <w:tcPr>
                  <w:tcW w:w="651" w:type="dxa"/>
                  <w:vMerge w:val="continue"/>
                  <w:tcMar>
                    <w:top w:w="12" w:type="dxa"/>
                    <w:left w:w="12" w:type="dxa"/>
                    <w:right w:w="12" w:type="dxa"/>
                  </w:tcMar>
                  <w:vAlign w:val="center"/>
                </w:tcPr>
                <w:p w14:paraId="2A21CB8F">
                  <w:pPr>
                    <w:widowControl/>
                    <w:jc w:val="center"/>
                    <w:textAlignment w:val="center"/>
                    <w:rPr>
                      <w:rFonts w:hint="eastAsia"/>
                      <w:sz w:val="21"/>
                      <w:szCs w:val="21"/>
                    </w:rPr>
                  </w:pPr>
                </w:p>
              </w:tc>
              <w:tc>
                <w:tcPr>
                  <w:tcW w:w="814" w:type="dxa"/>
                  <w:tcMar>
                    <w:top w:w="12" w:type="dxa"/>
                    <w:left w:w="12" w:type="dxa"/>
                    <w:right w:w="12" w:type="dxa"/>
                  </w:tcMar>
                  <w:vAlign w:val="center"/>
                </w:tcPr>
                <w:p w14:paraId="49596065">
                  <w:pPr>
                    <w:widowControl/>
                    <w:jc w:val="center"/>
                    <w:textAlignment w:val="center"/>
                    <w:rPr>
                      <w:rFonts w:hint="default" w:eastAsia="宋体"/>
                      <w:sz w:val="21"/>
                      <w:szCs w:val="21"/>
                      <w:lang w:val="en-US" w:eastAsia="zh-CN"/>
                    </w:rPr>
                  </w:pPr>
                  <w:r>
                    <w:rPr>
                      <w:rFonts w:hint="eastAsia"/>
                      <w:sz w:val="21"/>
                      <w:szCs w:val="21"/>
                      <w:lang w:val="en-US" w:eastAsia="zh-CN"/>
                    </w:rPr>
                    <w:t>20</w:t>
                  </w:r>
                </w:p>
              </w:tc>
              <w:tc>
                <w:tcPr>
                  <w:tcW w:w="352" w:type="dxa"/>
                  <w:tcMar>
                    <w:top w:w="12" w:type="dxa"/>
                    <w:left w:w="12" w:type="dxa"/>
                    <w:right w:w="12" w:type="dxa"/>
                  </w:tcMar>
                  <w:vAlign w:val="center"/>
                </w:tcPr>
                <w:p w14:paraId="31054CD9">
                  <w:pPr>
                    <w:widowControl/>
                    <w:jc w:val="center"/>
                    <w:textAlignment w:val="center"/>
                    <w:rPr>
                      <w:rFonts w:hint="eastAsia"/>
                      <w:sz w:val="21"/>
                      <w:szCs w:val="21"/>
                    </w:rPr>
                  </w:pPr>
                  <w:r>
                    <w:rPr>
                      <w:rFonts w:hint="eastAsia"/>
                      <w:sz w:val="21"/>
                      <w:szCs w:val="21"/>
                    </w:rPr>
                    <w:t>是</w:t>
                  </w:r>
                </w:p>
              </w:tc>
            </w:tr>
          </w:tbl>
          <w:p w14:paraId="64EE91CB">
            <w:pPr>
              <w:widowControl/>
              <w:numPr>
                <w:ilvl w:val="0"/>
                <w:numId w:val="2"/>
              </w:numPr>
              <w:jc w:val="center"/>
              <w:rPr>
                <w:b/>
                <w:kern w:val="0"/>
                <w:szCs w:val="21"/>
              </w:rPr>
            </w:pPr>
            <w:r>
              <w:rPr>
                <w:b/>
                <w:kern w:val="0"/>
                <w:szCs w:val="21"/>
              </w:rPr>
              <w:t xml:space="preserve">  本项目非正常</w:t>
            </w:r>
            <w:r>
              <w:rPr>
                <w:rFonts w:hint="eastAsia"/>
                <w:b/>
                <w:kern w:val="0"/>
                <w:szCs w:val="21"/>
                <w:lang w:eastAsia="zh-CN"/>
              </w:rPr>
              <w:t>工况</w:t>
            </w:r>
            <w:r>
              <w:rPr>
                <w:b/>
                <w:kern w:val="0"/>
                <w:szCs w:val="21"/>
              </w:rPr>
              <w:t>排放一览表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6"/>
              <w:gridCol w:w="1747"/>
              <w:gridCol w:w="2741"/>
              <w:gridCol w:w="1294"/>
              <w:gridCol w:w="1408"/>
              <w:gridCol w:w="2138"/>
              <w:gridCol w:w="1279"/>
              <w:gridCol w:w="1522"/>
              <w:gridCol w:w="1504"/>
            </w:tblGrid>
            <w:tr w14:paraId="5F779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5" w:type="pct"/>
                  <w:vAlign w:val="center"/>
                </w:tcPr>
                <w:p w14:paraId="3E58A078">
                  <w:pPr>
                    <w:widowControl/>
                    <w:jc w:val="center"/>
                    <w:textAlignment w:val="center"/>
                    <w:rPr>
                      <w:b/>
                      <w:bCs/>
                      <w:kern w:val="0"/>
                      <w:szCs w:val="21"/>
                      <w:lang w:bidi="ar"/>
                    </w:rPr>
                  </w:pPr>
                  <w:r>
                    <w:rPr>
                      <w:b/>
                      <w:bCs/>
                      <w:kern w:val="0"/>
                      <w:szCs w:val="21"/>
                      <w:lang w:bidi="ar"/>
                    </w:rPr>
                    <w:t>工序</w:t>
                  </w:r>
                </w:p>
              </w:tc>
              <w:tc>
                <w:tcPr>
                  <w:tcW w:w="582" w:type="pct"/>
                  <w:vAlign w:val="center"/>
                </w:tcPr>
                <w:p w14:paraId="6433F9BB">
                  <w:pPr>
                    <w:widowControl/>
                    <w:jc w:val="center"/>
                    <w:textAlignment w:val="center"/>
                    <w:rPr>
                      <w:b/>
                      <w:bCs/>
                      <w:kern w:val="0"/>
                      <w:szCs w:val="21"/>
                      <w:lang w:bidi="ar"/>
                    </w:rPr>
                  </w:pPr>
                  <w:r>
                    <w:rPr>
                      <w:b/>
                      <w:bCs/>
                      <w:kern w:val="0"/>
                      <w:szCs w:val="21"/>
                      <w:lang w:bidi="ar"/>
                    </w:rPr>
                    <w:t>废气处理设施</w:t>
                  </w:r>
                </w:p>
              </w:tc>
              <w:tc>
                <w:tcPr>
                  <w:tcW w:w="913" w:type="pct"/>
                  <w:vAlign w:val="center"/>
                </w:tcPr>
                <w:p w14:paraId="3C04E66C">
                  <w:pPr>
                    <w:widowControl/>
                    <w:jc w:val="center"/>
                    <w:textAlignment w:val="center"/>
                    <w:rPr>
                      <w:b/>
                      <w:bCs/>
                      <w:kern w:val="0"/>
                      <w:szCs w:val="21"/>
                      <w:lang w:bidi="ar"/>
                    </w:rPr>
                  </w:pPr>
                  <w:r>
                    <w:rPr>
                      <w:b/>
                      <w:bCs/>
                      <w:kern w:val="0"/>
                      <w:szCs w:val="21"/>
                      <w:lang w:bidi="ar"/>
                    </w:rPr>
                    <w:t>非正常情况</w:t>
                  </w:r>
                </w:p>
              </w:tc>
              <w:tc>
                <w:tcPr>
                  <w:tcW w:w="431" w:type="pct"/>
                  <w:vAlign w:val="center"/>
                </w:tcPr>
                <w:p w14:paraId="40A41DA5">
                  <w:pPr>
                    <w:widowControl/>
                    <w:jc w:val="center"/>
                    <w:textAlignment w:val="center"/>
                    <w:rPr>
                      <w:b/>
                      <w:bCs/>
                      <w:kern w:val="0"/>
                      <w:szCs w:val="21"/>
                      <w:lang w:bidi="ar"/>
                    </w:rPr>
                  </w:pPr>
                  <w:r>
                    <w:rPr>
                      <w:b/>
                      <w:bCs/>
                      <w:kern w:val="0"/>
                      <w:szCs w:val="21"/>
                      <w:lang w:bidi="ar"/>
                    </w:rPr>
                    <w:t>频次</w:t>
                  </w:r>
                </w:p>
              </w:tc>
              <w:tc>
                <w:tcPr>
                  <w:tcW w:w="469" w:type="pct"/>
                  <w:vAlign w:val="center"/>
                </w:tcPr>
                <w:p w14:paraId="747760CA">
                  <w:pPr>
                    <w:widowControl/>
                    <w:jc w:val="center"/>
                    <w:textAlignment w:val="center"/>
                    <w:rPr>
                      <w:b/>
                      <w:bCs/>
                      <w:kern w:val="0"/>
                      <w:szCs w:val="21"/>
                      <w:lang w:bidi="ar"/>
                    </w:rPr>
                  </w:pPr>
                  <w:r>
                    <w:rPr>
                      <w:b/>
                      <w:bCs/>
                      <w:kern w:val="0"/>
                      <w:szCs w:val="21"/>
                      <w:lang w:bidi="ar"/>
                    </w:rPr>
                    <w:t>污染物</w:t>
                  </w:r>
                </w:p>
              </w:tc>
              <w:tc>
                <w:tcPr>
                  <w:tcW w:w="712" w:type="pct"/>
                  <w:vAlign w:val="center"/>
                </w:tcPr>
                <w:p w14:paraId="1C57E2F9">
                  <w:pPr>
                    <w:widowControl/>
                    <w:jc w:val="center"/>
                    <w:textAlignment w:val="center"/>
                    <w:rPr>
                      <w:b/>
                      <w:bCs/>
                      <w:kern w:val="0"/>
                      <w:szCs w:val="21"/>
                      <w:lang w:bidi="ar"/>
                    </w:rPr>
                  </w:pPr>
                  <w:r>
                    <w:rPr>
                      <w:b/>
                      <w:bCs/>
                      <w:kern w:val="0"/>
                      <w:szCs w:val="21"/>
                      <w:lang w:bidi="ar"/>
                    </w:rPr>
                    <w:t>排放浓度（</w:t>
                  </w:r>
                  <w:r>
                    <w:rPr>
                      <w:b/>
                      <w:bCs/>
                      <w:szCs w:val="21"/>
                    </w:rPr>
                    <w:t>mg/m</w:t>
                  </w:r>
                  <w:r>
                    <w:rPr>
                      <w:b/>
                      <w:bCs/>
                      <w:szCs w:val="21"/>
                      <w:vertAlign w:val="superscript"/>
                    </w:rPr>
                    <w:t>3</w:t>
                  </w:r>
                  <w:r>
                    <w:rPr>
                      <w:b/>
                      <w:bCs/>
                      <w:kern w:val="0"/>
                      <w:szCs w:val="21"/>
                      <w:lang w:bidi="ar"/>
                    </w:rPr>
                    <w:t>）</w:t>
                  </w:r>
                </w:p>
              </w:tc>
              <w:tc>
                <w:tcPr>
                  <w:tcW w:w="426" w:type="pct"/>
                  <w:vAlign w:val="center"/>
                </w:tcPr>
                <w:p w14:paraId="18225F84">
                  <w:pPr>
                    <w:widowControl/>
                    <w:jc w:val="center"/>
                    <w:textAlignment w:val="center"/>
                    <w:rPr>
                      <w:b/>
                      <w:bCs/>
                      <w:kern w:val="0"/>
                      <w:szCs w:val="21"/>
                      <w:lang w:bidi="ar"/>
                    </w:rPr>
                  </w:pPr>
                  <w:r>
                    <w:rPr>
                      <w:b/>
                      <w:bCs/>
                      <w:kern w:val="0"/>
                      <w:szCs w:val="21"/>
                      <w:lang w:bidi="ar"/>
                    </w:rPr>
                    <w:t>持续时间</w:t>
                  </w:r>
                </w:p>
              </w:tc>
              <w:tc>
                <w:tcPr>
                  <w:tcW w:w="507" w:type="pct"/>
                  <w:vAlign w:val="center"/>
                </w:tcPr>
                <w:p w14:paraId="009DCB4D">
                  <w:pPr>
                    <w:widowControl/>
                    <w:jc w:val="center"/>
                    <w:textAlignment w:val="center"/>
                    <w:rPr>
                      <w:b/>
                      <w:bCs/>
                      <w:kern w:val="0"/>
                      <w:szCs w:val="21"/>
                      <w:lang w:bidi="ar"/>
                    </w:rPr>
                  </w:pPr>
                  <w:r>
                    <w:rPr>
                      <w:b/>
                      <w:bCs/>
                      <w:kern w:val="0"/>
                      <w:szCs w:val="21"/>
                      <w:lang w:bidi="ar"/>
                    </w:rPr>
                    <w:t>排放量（</w:t>
                  </w:r>
                  <w:r>
                    <w:rPr>
                      <w:rFonts w:hint="eastAsia"/>
                      <w:b/>
                      <w:bCs/>
                      <w:kern w:val="0"/>
                      <w:szCs w:val="21"/>
                      <w:lang w:bidi="ar"/>
                    </w:rPr>
                    <w:t>kg</w:t>
                  </w:r>
                  <w:r>
                    <w:rPr>
                      <w:b/>
                      <w:bCs/>
                      <w:kern w:val="0"/>
                      <w:szCs w:val="21"/>
                      <w:lang w:bidi="ar"/>
                    </w:rPr>
                    <w:t>）</w:t>
                  </w:r>
                </w:p>
              </w:tc>
              <w:tc>
                <w:tcPr>
                  <w:tcW w:w="501" w:type="pct"/>
                  <w:vAlign w:val="center"/>
                </w:tcPr>
                <w:p w14:paraId="795687F7">
                  <w:pPr>
                    <w:widowControl/>
                    <w:jc w:val="center"/>
                    <w:textAlignment w:val="center"/>
                    <w:rPr>
                      <w:b/>
                      <w:bCs/>
                      <w:kern w:val="0"/>
                      <w:szCs w:val="21"/>
                      <w:lang w:bidi="ar"/>
                    </w:rPr>
                  </w:pPr>
                  <w:r>
                    <w:rPr>
                      <w:b/>
                      <w:bCs/>
                      <w:kern w:val="0"/>
                      <w:szCs w:val="21"/>
                      <w:lang w:bidi="ar"/>
                    </w:rPr>
                    <w:t>措施</w:t>
                  </w:r>
                </w:p>
              </w:tc>
            </w:tr>
            <w:tr w14:paraId="3872B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5" w:type="pct"/>
                  <w:vMerge w:val="restart"/>
                  <w:vAlign w:val="center"/>
                </w:tcPr>
                <w:p w14:paraId="26E922B0">
                  <w:pPr>
                    <w:widowControl/>
                    <w:jc w:val="center"/>
                    <w:textAlignment w:val="center"/>
                    <w:rPr>
                      <w:rFonts w:hint="eastAsia" w:eastAsia="宋体"/>
                      <w:kern w:val="0"/>
                      <w:szCs w:val="21"/>
                      <w:lang w:eastAsia="zh-CN" w:bidi="ar"/>
                    </w:rPr>
                  </w:pPr>
                  <w:r>
                    <w:rPr>
                      <w:rFonts w:hint="eastAsia"/>
                      <w:lang w:eastAsia="zh-CN"/>
                    </w:rPr>
                    <w:t>喷漆</w:t>
                  </w:r>
                </w:p>
              </w:tc>
              <w:tc>
                <w:tcPr>
                  <w:tcW w:w="582" w:type="pct"/>
                  <w:vMerge w:val="restart"/>
                  <w:vAlign w:val="center"/>
                </w:tcPr>
                <w:p w14:paraId="3C481ED8">
                  <w:pPr>
                    <w:widowControl/>
                    <w:jc w:val="center"/>
                    <w:textAlignment w:val="center"/>
                    <w:rPr>
                      <w:kern w:val="0"/>
                      <w:szCs w:val="21"/>
                      <w:lang w:bidi="ar"/>
                    </w:rPr>
                  </w:pPr>
                  <w:r>
                    <w:rPr>
                      <w:rFonts w:hint="eastAsia"/>
                      <w:b w:val="0"/>
                      <w:bCs/>
                      <w:sz w:val="21"/>
                      <w:szCs w:val="21"/>
                    </w:rPr>
                    <w:t>两级活性炭装置</w:t>
                  </w:r>
                </w:p>
              </w:tc>
              <w:tc>
                <w:tcPr>
                  <w:tcW w:w="913" w:type="pct"/>
                  <w:vMerge w:val="restart"/>
                  <w:vAlign w:val="center"/>
                </w:tcPr>
                <w:p w14:paraId="61B5DD9A">
                  <w:pPr>
                    <w:widowControl/>
                    <w:jc w:val="center"/>
                    <w:textAlignment w:val="center"/>
                    <w:rPr>
                      <w:kern w:val="0"/>
                      <w:szCs w:val="21"/>
                      <w:lang w:bidi="ar"/>
                    </w:rPr>
                  </w:pPr>
                  <w:r>
                    <w:rPr>
                      <w:kern w:val="0"/>
                      <w:szCs w:val="21"/>
                      <w:lang w:bidi="ar"/>
                    </w:rPr>
                    <w:t>风机设备故障</w:t>
                  </w:r>
                  <w:r>
                    <w:rPr>
                      <w:rFonts w:hint="eastAsia"/>
                      <w:kern w:val="0"/>
                      <w:szCs w:val="21"/>
                      <w:lang w:bidi="ar"/>
                    </w:rPr>
                    <w:t>，处理效率为50%</w:t>
                  </w:r>
                </w:p>
              </w:tc>
              <w:tc>
                <w:tcPr>
                  <w:tcW w:w="431" w:type="pct"/>
                  <w:vMerge w:val="restart"/>
                  <w:vAlign w:val="center"/>
                </w:tcPr>
                <w:p w14:paraId="0A0F19F0">
                  <w:pPr>
                    <w:widowControl/>
                    <w:jc w:val="center"/>
                    <w:textAlignment w:val="center"/>
                    <w:rPr>
                      <w:kern w:val="0"/>
                      <w:szCs w:val="21"/>
                      <w:lang w:bidi="ar"/>
                    </w:rPr>
                  </w:pPr>
                  <w:r>
                    <w:rPr>
                      <w:kern w:val="0"/>
                      <w:szCs w:val="21"/>
                      <w:lang w:bidi="ar"/>
                    </w:rPr>
                    <w:t>1次/3年</w:t>
                  </w:r>
                </w:p>
              </w:tc>
              <w:tc>
                <w:tcPr>
                  <w:tcW w:w="469" w:type="pct"/>
                  <w:vAlign w:val="center"/>
                </w:tcPr>
                <w:p w14:paraId="1042F80B">
                  <w:pPr>
                    <w:spacing w:line="240" w:lineRule="atLeast"/>
                    <w:jc w:val="center"/>
                    <w:rPr>
                      <w:szCs w:val="21"/>
                    </w:rPr>
                  </w:pPr>
                  <w:r>
                    <w:rPr>
                      <w:rFonts w:hint="eastAsia"/>
                      <w:sz w:val="21"/>
                      <w:szCs w:val="21"/>
                    </w:rPr>
                    <w:t>颗粒物</w:t>
                  </w:r>
                </w:p>
              </w:tc>
              <w:tc>
                <w:tcPr>
                  <w:tcW w:w="2138" w:type="dxa"/>
                  <w:vAlign w:val="center"/>
                </w:tcPr>
                <w:p w14:paraId="77B26915">
                  <w:pPr>
                    <w:keepNext w:val="0"/>
                    <w:keepLines w:val="0"/>
                    <w:widowControl/>
                    <w:suppressLineNumbers w:val="0"/>
                    <w:jc w:val="center"/>
                    <w:textAlignment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0.568</w:t>
                  </w:r>
                </w:p>
              </w:tc>
              <w:tc>
                <w:tcPr>
                  <w:tcW w:w="426" w:type="pct"/>
                  <w:vMerge w:val="restart"/>
                  <w:vAlign w:val="center"/>
                </w:tcPr>
                <w:p w14:paraId="6DB91E71">
                  <w:pPr>
                    <w:widowControl/>
                    <w:jc w:val="center"/>
                    <w:textAlignment w:val="center"/>
                    <w:rPr>
                      <w:kern w:val="0"/>
                      <w:szCs w:val="21"/>
                      <w:lang w:bidi="ar"/>
                    </w:rPr>
                  </w:pPr>
                  <w:r>
                    <w:rPr>
                      <w:rFonts w:hint="eastAsia"/>
                      <w:kern w:val="0"/>
                      <w:szCs w:val="21"/>
                      <w:lang w:bidi="ar"/>
                    </w:rPr>
                    <w:t>30</w:t>
                  </w:r>
                  <w:r>
                    <w:rPr>
                      <w:kern w:val="0"/>
                      <w:szCs w:val="21"/>
                      <w:lang w:bidi="ar"/>
                    </w:rPr>
                    <w:t>min</w:t>
                  </w:r>
                </w:p>
              </w:tc>
              <w:tc>
                <w:tcPr>
                  <w:tcW w:w="507" w:type="pct"/>
                  <w:vAlign w:val="center"/>
                </w:tcPr>
                <w:p w14:paraId="0B87513A">
                  <w:pPr>
                    <w:widowControl/>
                    <w:jc w:val="center"/>
                    <w:textAlignment w:val="center"/>
                    <w:rPr>
                      <w:rFonts w:hint="default" w:eastAsia="宋体"/>
                      <w:kern w:val="0"/>
                      <w:szCs w:val="21"/>
                      <w:lang w:val="en-US" w:eastAsia="zh-CN" w:bidi="ar"/>
                    </w:rPr>
                  </w:pPr>
                  <w:r>
                    <w:rPr>
                      <w:rFonts w:hint="eastAsia"/>
                      <w:kern w:val="0"/>
                      <w:szCs w:val="21"/>
                      <w:lang w:val="en-US" w:eastAsia="zh-CN" w:bidi="ar"/>
                    </w:rPr>
                    <w:t>2.8</w:t>
                  </w:r>
                </w:p>
              </w:tc>
              <w:tc>
                <w:tcPr>
                  <w:tcW w:w="501" w:type="pct"/>
                  <w:vMerge w:val="restart"/>
                  <w:vAlign w:val="center"/>
                </w:tcPr>
                <w:p w14:paraId="2E624351">
                  <w:pPr>
                    <w:widowControl/>
                    <w:jc w:val="center"/>
                    <w:textAlignment w:val="center"/>
                    <w:rPr>
                      <w:rFonts w:hint="eastAsia" w:eastAsia="宋体"/>
                      <w:kern w:val="0"/>
                      <w:szCs w:val="21"/>
                      <w:lang w:eastAsia="zh-CN" w:bidi="ar"/>
                    </w:rPr>
                  </w:pPr>
                  <w:r>
                    <w:rPr>
                      <w:rFonts w:hint="eastAsia"/>
                      <w:kern w:val="0"/>
                      <w:szCs w:val="21"/>
                      <w:lang w:eastAsia="zh-CN" w:bidi="ar"/>
                    </w:rPr>
                    <w:t>喷漆工序停止</w:t>
                  </w:r>
                </w:p>
              </w:tc>
            </w:tr>
            <w:tr w14:paraId="73A84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5" w:type="pct"/>
                  <w:vMerge w:val="continue"/>
                  <w:vAlign w:val="center"/>
                </w:tcPr>
                <w:p w14:paraId="60172A49">
                  <w:pPr>
                    <w:widowControl/>
                    <w:jc w:val="center"/>
                    <w:textAlignment w:val="center"/>
                    <w:rPr>
                      <w:rFonts w:hint="eastAsia"/>
                    </w:rPr>
                  </w:pPr>
                </w:p>
              </w:tc>
              <w:tc>
                <w:tcPr>
                  <w:tcW w:w="582" w:type="pct"/>
                  <w:vMerge w:val="continue"/>
                  <w:vAlign w:val="center"/>
                </w:tcPr>
                <w:p w14:paraId="6B92E8F1">
                  <w:pPr>
                    <w:widowControl/>
                    <w:jc w:val="center"/>
                    <w:textAlignment w:val="center"/>
                    <w:rPr>
                      <w:rFonts w:hint="eastAsia"/>
                      <w:szCs w:val="21"/>
                    </w:rPr>
                  </w:pPr>
                </w:p>
              </w:tc>
              <w:tc>
                <w:tcPr>
                  <w:tcW w:w="913" w:type="pct"/>
                  <w:vMerge w:val="continue"/>
                  <w:vAlign w:val="center"/>
                </w:tcPr>
                <w:p w14:paraId="62362A0D">
                  <w:pPr>
                    <w:widowControl/>
                    <w:jc w:val="center"/>
                    <w:textAlignment w:val="center"/>
                    <w:rPr>
                      <w:kern w:val="0"/>
                      <w:szCs w:val="21"/>
                      <w:lang w:bidi="ar"/>
                    </w:rPr>
                  </w:pPr>
                </w:p>
              </w:tc>
              <w:tc>
                <w:tcPr>
                  <w:tcW w:w="431" w:type="pct"/>
                  <w:vMerge w:val="continue"/>
                  <w:vAlign w:val="center"/>
                </w:tcPr>
                <w:p w14:paraId="3EA1C7CE">
                  <w:pPr>
                    <w:widowControl/>
                    <w:jc w:val="center"/>
                    <w:textAlignment w:val="center"/>
                    <w:rPr>
                      <w:kern w:val="0"/>
                      <w:szCs w:val="21"/>
                      <w:lang w:bidi="ar"/>
                    </w:rPr>
                  </w:pPr>
                </w:p>
              </w:tc>
              <w:tc>
                <w:tcPr>
                  <w:tcW w:w="469" w:type="pct"/>
                  <w:vAlign w:val="center"/>
                </w:tcPr>
                <w:p w14:paraId="357C4FBC">
                  <w:pPr>
                    <w:spacing w:line="240" w:lineRule="atLeast"/>
                    <w:jc w:val="center"/>
                    <w:rPr>
                      <w:rFonts w:hint="eastAsia"/>
                      <w:szCs w:val="21"/>
                    </w:rPr>
                  </w:pPr>
                  <w:r>
                    <w:rPr>
                      <w:rFonts w:hint="eastAsia"/>
                      <w:sz w:val="21"/>
                      <w:szCs w:val="21"/>
                      <w:lang w:eastAsia="zh-CN"/>
                    </w:rPr>
                    <w:t>非甲烷总烃</w:t>
                  </w:r>
                </w:p>
              </w:tc>
              <w:tc>
                <w:tcPr>
                  <w:tcW w:w="2138" w:type="dxa"/>
                  <w:vAlign w:val="center"/>
                </w:tcPr>
                <w:p w14:paraId="371D2C2C">
                  <w:pPr>
                    <w:keepNext w:val="0"/>
                    <w:keepLines w:val="0"/>
                    <w:widowControl/>
                    <w:suppressLineNumbers w:val="0"/>
                    <w:jc w:val="center"/>
                    <w:textAlignment w:val="center"/>
                    <w:rPr>
                      <w:rFonts w:hint="default" w:ascii="Times New Roman" w:hAnsi="Times New Roman" w:cs="Times New Roman"/>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0.246</w:t>
                  </w:r>
                </w:p>
              </w:tc>
              <w:tc>
                <w:tcPr>
                  <w:tcW w:w="426" w:type="pct"/>
                  <w:vMerge w:val="continue"/>
                  <w:vAlign w:val="center"/>
                </w:tcPr>
                <w:p w14:paraId="078B4608">
                  <w:pPr>
                    <w:widowControl/>
                    <w:jc w:val="center"/>
                    <w:textAlignment w:val="center"/>
                    <w:rPr>
                      <w:rFonts w:hint="eastAsia"/>
                      <w:kern w:val="0"/>
                      <w:szCs w:val="21"/>
                      <w:lang w:bidi="ar"/>
                    </w:rPr>
                  </w:pPr>
                </w:p>
              </w:tc>
              <w:tc>
                <w:tcPr>
                  <w:tcW w:w="507" w:type="pct"/>
                  <w:vAlign w:val="center"/>
                </w:tcPr>
                <w:p w14:paraId="4E8417BA">
                  <w:pPr>
                    <w:widowControl/>
                    <w:jc w:val="center"/>
                    <w:textAlignment w:val="center"/>
                    <w:rPr>
                      <w:rFonts w:hint="default"/>
                      <w:kern w:val="0"/>
                      <w:szCs w:val="21"/>
                      <w:lang w:val="en-US" w:eastAsia="zh-CN" w:bidi="ar"/>
                    </w:rPr>
                  </w:pPr>
                  <w:r>
                    <w:rPr>
                      <w:rFonts w:hint="eastAsia"/>
                      <w:kern w:val="0"/>
                      <w:szCs w:val="21"/>
                      <w:lang w:val="en-US" w:eastAsia="zh-CN" w:bidi="ar"/>
                    </w:rPr>
                    <w:t>1.2</w:t>
                  </w:r>
                </w:p>
              </w:tc>
              <w:tc>
                <w:tcPr>
                  <w:tcW w:w="501" w:type="pct"/>
                  <w:vMerge w:val="continue"/>
                  <w:vAlign w:val="center"/>
                </w:tcPr>
                <w:p w14:paraId="133854D6">
                  <w:pPr>
                    <w:widowControl/>
                    <w:jc w:val="center"/>
                    <w:textAlignment w:val="center"/>
                    <w:rPr>
                      <w:rFonts w:hint="eastAsia"/>
                      <w:kern w:val="0"/>
                      <w:szCs w:val="21"/>
                      <w:lang w:bidi="ar"/>
                    </w:rPr>
                  </w:pPr>
                </w:p>
              </w:tc>
            </w:tr>
            <w:tr w14:paraId="69D27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5" w:type="pct"/>
                  <w:vMerge w:val="continue"/>
                  <w:vAlign w:val="center"/>
                </w:tcPr>
                <w:p w14:paraId="24FAF071">
                  <w:pPr>
                    <w:widowControl/>
                    <w:jc w:val="center"/>
                    <w:textAlignment w:val="center"/>
                    <w:rPr>
                      <w:rFonts w:hint="eastAsia"/>
                    </w:rPr>
                  </w:pPr>
                </w:p>
              </w:tc>
              <w:tc>
                <w:tcPr>
                  <w:tcW w:w="582" w:type="pct"/>
                  <w:vMerge w:val="continue"/>
                  <w:vAlign w:val="center"/>
                </w:tcPr>
                <w:p w14:paraId="2F904D99">
                  <w:pPr>
                    <w:widowControl/>
                    <w:jc w:val="center"/>
                    <w:textAlignment w:val="center"/>
                    <w:rPr>
                      <w:rFonts w:hint="eastAsia"/>
                      <w:szCs w:val="21"/>
                    </w:rPr>
                  </w:pPr>
                </w:p>
              </w:tc>
              <w:tc>
                <w:tcPr>
                  <w:tcW w:w="913" w:type="pct"/>
                  <w:vMerge w:val="continue"/>
                  <w:vAlign w:val="center"/>
                </w:tcPr>
                <w:p w14:paraId="5967EC25">
                  <w:pPr>
                    <w:widowControl/>
                    <w:jc w:val="center"/>
                    <w:textAlignment w:val="center"/>
                    <w:rPr>
                      <w:kern w:val="0"/>
                      <w:szCs w:val="21"/>
                      <w:lang w:bidi="ar"/>
                    </w:rPr>
                  </w:pPr>
                </w:p>
              </w:tc>
              <w:tc>
                <w:tcPr>
                  <w:tcW w:w="431" w:type="pct"/>
                  <w:vMerge w:val="continue"/>
                  <w:vAlign w:val="center"/>
                </w:tcPr>
                <w:p w14:paraId="750A272E">
                  <w:pPr>
                    <w:widowControl/>
                    <w:jc w:val="center"/>
                    <w:textAlignment w:val="center"/>
                    <w:rPr>
                      <w:kern w:val="0"/>
                      <w:szCs w:val="21"/>
                      <w:lang w:bidi="ar"/>
                    </w:rPr>
                  </w:pPr>
                </w:p>
              </w:tc>
              <w:tc>
                <w:tcPr>
                  <w:tcW w:w="469" w:type="pct"/>
                  <w:vAlign w:val="center"/>
                </w:tcPr>
                <w:p w14:paraId="221A8655">
                  <w:pPr>
                    <w:spacing w:line="240" w:lineRule="atLeast"/>
                    <w:jc w:val="center"/>
                    <w:rPr>
                      <w:rFonts w:hint="eastAsia"/>
                      <w:szCs w:val="21"/>
                    </w:rPr>
                  </w:pPr>
                  <w:r>
                    <w:rPr>
                      <w:rFonts w:hint="eastAsia"/>
                      <w:sz w:val="21"/>
                      <w:szCs w:val="21"/>
                      <w:lang w:eastAsia="zh-CN"/>
                    </w:rPr>
                    <w:t>二甲苯</w:t>
                  </w:r>
                </w:p>
              </w:tc>
              <w:tc>
                <w:tcPr>
                  <w:tcW w:w="2138" w:type="dxa"/>
                  <w:vAlign w:val="center"/>
                </w:tcPr>
                <w:p w14:paraId="7E558AED">
                  <w:pPr>
                    <w:keepNext w:val="0"/>
                    <w:keepLines w:val="0"/>
                    <w:widowControl/>
                    <w:suppressLineNumbers w:val="0"/>
                    <w:jc w:val="center"/>
                    <w:textAlignment w:val="center"/>
                    <w:rPr>
                      <w:rFonts w:hint="default" w:ascii="Times New Roman" w:hAnsi="Times New Roman" w:cs="Times New Roman"/>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0.138</w:t>
                  </w:r>
                </w:p>
              </w:tc>
              <w:tc>
                <w:tcPr>
                  <w:tcW w:w="426" w:type="pct"/>
                  <w:vMerge w:val="continue"/>
                  <w:vAlign w:val="center"/>
                </w:tcPr>
                <w:p w14:paraId="76B4E5D2">
                  <w:pPr>
                    <w:widowControl/>
                    <w:jc w:val="center"/>
                    <w:textAlignment w:val="center"/>
                    <w:rPr>
                      <w:rFonts w:hint="eastAsia"/>
                      <w:kern w:val="0"/>
                      <w:szCs w:val="21"/>
                      <w:lang w:bidi="ar"/>
                    </w:rPr>
                  </w:pPr>
                </w:p>
              </w:tc>
              <w:tc>
                <w:tcPr>
                  <w:tcW w:w="507" w:type="pct"/>
                  <w:vAlign w:val="center"/>
                </w:tcPr>
                <w:p w14:paraId="488BA4C1">
                  <w:pPr>
                    <w:widowControl/>
                    <w:jc w:val="center"/>
                    <w:textAlignment w:val="center"/>
                    <w:rPr>
                      <w:rFonts w:hint="default"/>
                      <w:kern w:val="0"/>
                      <w:szCs w:val="21"/>
                      <w:lang w:val="en-US" w:eastAsia="zh-CN" w:bidi="ar"/>
                    </w:rPr>
                  </w:pPr>
                  <w:r>
                    <w:rPr>
                      <w:rFonts w:hint="eastAsia"/>
                      <w:kern w:val="0"/>
                      <w:szCs w:val="21"/>
                      <w:lang w:val="en-US" w:eastAsia="zh-CN" w:bidi="ar"/>
                    </w:rPr>
                    <w:t>0.7</w:t>
                  </w:r>
                </w:p>
              </w:tc>
              <w:tc>
                <w:tcPr>
                  <w:tcW w:w="501" w:type="pct"/>
                  <w:vMerge w:val="continue"/>
                  <w:vAlign w:val="center"/>
                </w:tcPr>
                <w:p w14:paraId="266BA35E">
                  <w:pPr>
                    <w:widowControl/>
                    <w:jc w:val="center"/>
                    <w:textAlignment w:val="center"/>
                    <w:rPr>
                      <w:rFonts w:hint="eastAsia"/>
                      <w:kern w:val="0"/>
                      <w:szCs w:val="21"/>
                      <w:lang w:bidi="ar"/>
                    </w:rPr>
                  </w:pPr>
                </w:p>
              </w:tc>
            </w:tr>
          </w:tbl>
          <w:p w14:paraId="33442F53">
            <w:pPr>
              <w:widowControl/>
              <w:numPr>
                <w:ilvl w:val="0"/>
                <w:numId w:val="2"/>
              </w:numPr>
              <w:jc w:val="center"/>
              <w:rPr>
                <w:b/>
              </w:rPr>
            </w:pPr>
            <w:r>
              <w:rPr>
                <w:rFonts w:hint="eastAsia"/>
                <w:b/>
                <w:kern w:val="0"/>
                <w:szCs w:val="21"/>
              </w:rPr>
              <w:t>项目大气排放口基本情况一览表</w:t>
            </w:r>
          </w:p>
          <w:tbl>
            <w:tblPr>
              <w:tblStyle w:val="26"/>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4"/>
              <w:gridCol w:w="997"/>
              <w:gridCol w:w="1357"/>
              <w:gridCol w:w="1042"/>
              <w:gridCol w:w="2051"/>
              <w:gridCol w:w="2132"/>
              <w:gridCol w:w="865"/>
              <w:gridCol w:w="1027"/>
              <w:gridCol w:w="1201"/>
              <w:gridCol w:w="1315"/>
              <w:gridCol w:w="1363"/>
              <w:gridCol w:w="1018"/>
            </w:tblGrid>
            <w:tr w14:paraId="46DF9B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211" w:type="pct"/>
                  <w:vMerge w:val="restart"/>
                  <w:tcBorders>
                    <w:tl2br w:val="nil"/>
                    <w:tr2bl w:val="nil"/>
                  </w:tcBorders>
                  <w:tcMar>
                    <w:top w:w="12" w:type="dxa"/>
                    <w:left w:w="12" w:type="dxa"/>
                    <w:right w:w="12" w:type="dxa"/>
                  </w:tcMar>
                  <w:vAlign w:val="center"/>
                </w:tcPr>
                <w:p w14:paraId="78E7964F">
                  <w:pPr>
                    <w:widowControl/>
                    <w:jc w:val="center"/>
                    <w:textAlignment w:val="center"/>
                    <w:rPr>
                      <w:b/>
                      <w:bCs/>
                    </w:rPr>
                  </w:pPr>
                  <w:r>
                    <w:rPr>
                      <w:rFonts w:hint="eastAsia"/>
                      <w:b/>
                      <w:bCs/>
                    </w:rPr>
                    <w:t>序号</w:t>
                  </w:r>
                </w:p>
              </w:tc>
              <w:tc>
                <w:tcPr>
                  <w:tcW w:w="332" w:type="pct"/>
                  <w:vMerge w:val="restart"/>
                  <w:tcBorders>
                    <w:tl2br w:val="nil"/>
                    <w:tr2bl w:val="nil"/>
                  </w:tcBorders>
                  <w:tcMar>
                    <w:top w:w="12" w:type="dxa"/>
                    <w:left w:w="12" w:type="dxa"/>
                    <w:right w:w="12" w:type="dxa"/>
                  </w:tcMar>
                  <w:vAlign w:val="center"/>
                </w:tcPr>
                <w:p w14:paraId="53152F36">
                  <w:pPr>
                    <w:widowControl/>
                    <w:jc w:val="center"/>
                    <w:textAlignment w:val="center"/>
                    <w:rPr>
                      <w:b/>
                      <w:bCs/>
                    </w:rPr>
                  </w:pPr>
                  <w:r>
                    <w:rPr>
                      <w:rFonts w:hint="eastAsia"/>
                      <w:b/>
                      <w:bCs/>
                    </w:rPr>
                    <w:t>排放口</w:t>
                  </w:r>
                </w:p>
                <w:p w14:paraId="53463240">
                  <w:pPr>
                    <w:widowControl/>
                    <w:jc w:val="center"/>
                    <w:textAlignment w:val="center"/>
                    <w:rPr>
                      <w:b/>
                      <w:bCs/>
                    </w:rPr>
                  </w:pPr>
                  <w:r>
                    <w:rPr>
                      <w:rFonts w:hint="eastAsia"/>
                      <w:b/>
                      <w:bCs/>
                    </w:rPr>
                    <w:t>编号</w:t>
                  </w:r>
                </w:p>
              </w:tc>
              <w:tc>
                <w:tcPr>
                  <w:tcW w:w="452" w:type="pct"/>
                  <w:vMerge w:val="restart"/>
                  <w:tcBorders>
                    <w:tl2br w:val="nil"/>
                    <w:tr2bl w:val="nil"/>
                  </w:tcBorders>
                  <w:tcMar>
                    <w:top w:w="12" w:type="dxa"/>
                    <w:left w:w="12" w:type="dxa"/>
                    <w:right w:w="12" w:type="dxa"/>
                  </w:tcMar>
                  <w:vAlign w:val="center"/>
                </w:tcPr>
                <w:p w14:paraId="257D61E3">
                  <w:pPr>
                    <w:widowControl/>
                    <w:jc w:val="center"/>
                    <w:textAlignment w:val="center"/>
                    <w:rPr>
                      <w:b/>
                      <w:bCs/>
                    </w:rPr>
                  </w:pPr>
                  <w:r>
                    <w:rPr>
                      <w:rFonts w:hint="eastAsia"/>
                      <w:b/>
                      <w:bCs/>
                    </w:rPr>
                    <w:t>污染物种类</w:t>
                  </w:r>
                </w:p>
              </w:tc>
              <w:tc>
                <w:tcPr>
                  <w:tcW w:w="347" w:type="pct"/>
                  <w:tcBorders>
                    <w:tl2br w:val="nil"/>
                    <w:tr2bl w:val="nil"/>
                  </w:tcBorders>
                  <w:tcMar>
                    <w:top w:w="12" w:type="dxa"/>
                    <w:left w:w="12" w:type="dxa"/>
                    <w:right w:w="12" w:type="dxa"/>
                  </w:tcMar>
                  <w:vAlign w:val="center"/>
                </w:tcPr>
                <w:p w14:paraId="4735E5FE">
                  <w:pPr>
                    <w:widowControl/>
                    <w:jc w:val="center"/>
                    <w:textAlignment w:val="center"/>
                    <w:rPr>
                      <w:b/>
                      <w:bCs/>
                    </w:rPr>
                  </w:pPr>
                  <w:r>
                    <w:rPr>
                      <w:rFonts w:hint="eastAsia"/>
                      <w:b/>
                      <w:bCs/>
                    </w:rPr>
                    <w:t>排放标准</w:t>
                  </w:r>
                </w:p>
              </w:tc>
              <w:tc>
                <w:tcPr>
                  <w:tcW w:w="1393" w:type="pct"/>
                  <w:gridSpan w:val="2"/>
                  <w:tcBorders>
                    <w:tl2br w:val="nil"/>
                    <w:tr2bl w:val="nil"/>
                  </w:tcBorders>
                  <w:tcMar>
                    <w:top w:w="12" w:type="dxa"/>
                    <w:left w:w="12" w:type="dxa"/>
                    <w:right w:w="12" w:type="dxa"/>
                  </w:tcMar>
                  <w:vAlign w:val="center"/>
                </w:tcPr>
                <w:p w14:paraId="399315A1">
                  <w:pPr>
                    <w:widowControl/>
                    <w:jc w:val="center"/>
                    <w:textAlignment w:val="center"/>
                    <w:rPr>
                      <w:b/>
                      <w:bCs/>
                    </w:rPr>
                  </w:pPr>
                  <w:r>
                    <w:rPr>
                      <w:rFonts w:hint="eastAsia"/>
                      <w:b/>
                      <w:bCs/>
                    </w:rPr>
                    <w:t>排放口地理坐标</w:t>
                  </w:r>
                </w:p>
              </w:tc>
              <w:tc>
                <w:tcPr>
                  <w:tcW w:w="1030" w:type="pct"/>
                  <w:gridSpan w:val="3"/>
                  <w:tcBorders>
                    <w:tl2br w:val="nil"/>
                    <w:tr2bl w:val="nil"/>
                  </w:tcBorders>
                  <w:tcMar>
                    <w:top w:w="12" w:type="dxa"/>
                    <w:left w:w="12" w:type="dxa"/>
                    <w:right w:w="12" w:type="dxa"/>
                  </w:tcMar>
                  <w:vAlign w:val="center"/>
                </w:tcPr>
                <w:p w14:paraId="60452387">
                  <w:pPr>
                    <w:widowControl/>
                    <w:jc w:val="center"/>
                    <w:textAlignment w:val="center"/>
                    <w:rPr>
                      <w:b/>
                      <w:bCs/>
                    </w:rPr>
                  </w:pPr>
                  <w:r>
                    <w:rPr>
                      <w:rFonts w:hint="eastAsia"/>
                      <w:b/>
                      <w:bCs/>
                    </w:rPr>
                    <w:t>排气筒参数</w:t>
                  </w:r>
                </w:p>
              </w:tc>
              <w:tc>
                <w:tcPr>
                  <w:tcW w:w="1231" w:type="pct"/>
                  <w:gridSpan w:val="3"/>
                  <w:tcBorders>
                    <w:tl2br w:val="nil"/>
                    <w:tr2bl w:val="nil"/>
                  </w:tcBorders>
                  <w:noWrap/>
                  <w:tcMar>
                    <w:top w:w="12" w:type="dxa"/>
                    <w:left w:w="12" w:type="dxa"/>
                    <w:right w:w="12" w:type="dxa"/>
                  </w:tcMar>
                  <w:vAlign w:val="center"/>
                </w:tcPr>
                <w:p w14:paraId="00C9E2CE">
                  <w:pPr>
                    <w:widowControl/>
                    <w:jc w:val="center"/>
                    <w:textAlignment w:val="center"/>
                    <w:rPr>
                      <w:b/>
                      <w:bCs/>
                    </w:rPr>
                  </w:pPr>
                  <w:r>
                    <w:rPr>
                      <w:rFonts w:hint="eastAsia"/>
                      <w:b/>
                      <w:bCs/>
                    </w:rPr>
                    <w:t>监测要求</w:t>
                  </w:r>
                </w:p>
              </w:tc>
            </w:tr>
            <w:tr w14:paraId="667B39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4" w:hRule="atLeast"/>
              </w:trPr>
              <w:tc>
                <w:tcPr>
                  <w:tcW w:w="211" w:type="pct"/>
                  <w:vMerge w:val="continue"/>
                  <w:tcBorders>
                    <w:tl2br w:val="nil"/>
                    <w:tr2bl w:val="nil"/>
                  </w:tcBorders>
                  <w:tcMar>
                    <w:top w:w="12" w:type="dxa"/>
                    <w:left w:w="12" w:type="dxa"/>
                    <w:right w:w="12" w:type="dxa"/>
                  </w:tcMar>
                  <w:vAlign w:val="center"/>
                </w:tcPr>
                <w:p w14:paraId="39D80C3E">
                  <w:pPr>
                    <w:widowControl/>
                    <w:jc w:val="center"/>
                    <w:textAlignment w:val="center"/>
                    <w:rPr>
                      <w:b/>
                      <w:bCs/>
                    </w:rPr>
                  </w:pPr>
                </w:p>
              </w:tc>
              <w:tc>
                <w:tcPr>
                  <w:tcW w:w="332" w:type="pct"/>
                  <w:vMerge w:val="continue"/>
                  <w:tcBorders>
                    <w:tl2br w:val="nil"/>
                    <w:tr2bl w:val="nil"/>
                  </w:tcBorders>
                  <w:tcMar>
                    <w:top w:w="12" w:type="dxa"/>
                    <w:left w:w="12" w:type="dxa"/>
                    <w:right w:w="12" w:type="dxa"/>
                  </w:tcMar>
                  <w:vAlign w:val="center"/>
                </w:tcPr>
                <w:p w14:paraId="77FA598F">
                  <w:pPr>
                    <w:widowControl/>
                    <w:jc w:val="center"/>
                    <w:textAlignment w:val="center"/>
                    <w:rPr>
                      <w:b/>
                      <w:bCs/>
                    </w:rPr>
                  </w:pPr>
                </w:p>
              </w:tc>
              <w:tc>
                <w:tcPr>
                  <w:tcW w:w="452" w:type="pct"/>
                  <w:vMerge w:val="continue"/>
                  <w:tcBorders>
                    <w:tl2br w:val="nil"/>
                    <w:tr2bl w:val="nil"/>
                  </w:tcBorders>
                  <w:tcMar>
                    <w:top w:w="12" w:type="dxa"/>
                    <w:left w:w="12" w:type="dxa"/>
                    <w:right w:w="12" w:type="dxa"/>
                  </w:tcMar>
                  <w:vAlign w:val="center"/>
                </w:tcPr>
                <w:p w14:paraId="6B3CC253">
                  <w:pPr>
                    <w:widowControl/>
                    <w:jc w:val="center"/>
                    <w:textAlignment w:val="center"/>
                    <w:rPr>
                      <w:b/>
                      <w:bCs/>
                    </w:rPr>
                  </w:pPr>
                </w:p>
              </w:tc>
              <w:tc>
                <w:tcPr>
                  <w:tcW w:w="347" w:type="pct"/>
                  <w:tcBorders>
                    <w:tl2br w:val="nil"/>
                    <w:tr2bl w:val="nil"/>
                  </w:tcBorders>
                  <w:tcMar>
                    <w:top w:w="12" w:type="dxa"/>
                    <w:left w:w="12" w:type="dxa"/>
                    <w:right w:w="12" w:type="dxa"/>
                  </w:tcMar>
                  <w:vAlign w:val="center"/>
                </w:tcPr>
                <w:p w14:paraId="5DEC5FFC">
                  <w:pPr>
                    <w:widowControl/>
                    <w:jc w:val="center"/>
                    <w:textAlignment w:val="center"/>
                    <w:rPr>
                      <w:b/>
                      <w:bCs/>
                    </w:rPr>
                  </w:pPr>
                  <w:r>
                    <w:rPr>
                      <w:b/>
                      <w:bCs/>
                    </w:rPr>
                    <w:t>浓度</w:t>
                  </w:r>
                </w:p>
                <w:p w14:paraId="61A889E6">
                  <w:pPr>
                    <w:widowControl/>
                    <w:jc w:val="center"/>
                    <w:textAlignment w:val="center"/>
                    <w:rPr>
                      <w:b/>
                      <w:bCs/>
                    </w:rPr>
                  </w:pPr>
                  <w:r>
                    <w:rPr>
                      <w:b/>
                      <w:bCs/>
                    </w:rPr>
                    <w:t>(mg/m</w:t>
                  </w:r>
                  <w:r>
                    <w:rPr>
                      <w:b/>
                      <w:bCs/>
                      <w:vertAlign w:val="superscript"/>
                    </w:rPr>
                    <w:t>3</w:t>
                  </w:r>
                  <w:r>
                    <w:rPr>
                      <w:b/>
                      <w:bCs/>
                    </w:rPr>
                    <w:t>)</w:t>
                  </w:r>
                </w:p>
              </w:tc>
              <w:tc>
                <w:tcPr>
                  <w:tcW w:w="683" w:type="pct"/>
                  <w:tcBorders>
                    <w:tl2br w:val="nil"/>
                    <w:tr2bl w:val="nil"/>
                  </w:tcBorders>
                  <w:tcMar>
                    <w:top w:w="12" w:type="dxa"/>
                    <w:left w:w="12" w:type="dxa"/>
                    <w:right w:w="12" w:type="dxa"/>
                  </w:tcMar>
                  <w:vAlign w:val="center"/>
                </w:tcPr>
                <w:p w14:paraId="49AFB5AF">
                  <w:pPr>
                    <w:widowControl/>
                    <w:jc w:val="center"/>
                    <w:textAlignment w:val="center"/>
                    <w:rPr>
                      <w:b/>
                      <w:bCs/>
                    </w:rPr>
                  </w:pPr>
                  <w:r>
                    <w:rPr>
                      <w:rFonts w:hint="eastAsia"/>
                      <w:b/>
                      <w:bCs/>
                    </w:rPr>
                    <w:t>经度</w:t>
                  </w:r>
                </w:p>
              </w:tc>
              <w:tc>
                <w:tcPr>
                  <w:tcW w:w="709" w:type="pct"/>
                  <w:tcBorders>
                    <w:tl2br w:val="nil"/>
                    <w:tr2bl w:val="nil"/>
                  </w:tcBorders>
                  <w:tcMar>
                    <w:top w:w="12" w:type="dxa"/>
                    <w:left w:w="12" w:type="dxa"/>
                    <w:right w:w="12" w:type="dxa"/>
                  </w:tcMar>
                  <w:vAlign w:val="center"/>
                </w:tcPr>
                <w:p w14:paraId="13301698">
                  <w:pPr>
                    <w:widowControl/>
                    <w:jc w:val="center"/>
                    <w:textAlignment w:val="center"/>
                    <w:rPr>
                      <w:b/>
                      <w:bCs/>
                    </w:rPr>
                  </w:pPr>
                  <w:r>
                    <w:rPr>
                      <w:rFonts w:hint="eastAsia"/>
                      <w:b/>
                      <w:bCs/>
                    </w:rPr>
                    <w:t>纬度</w:t>
                  </w:r>
                </w:p>
              </w:tc>
              <w:tc>
                <w:tcPr>
                  <w:tcW w:w="288" w:type="pct"/>
                  <w:tcBorders>
                    <w:tl2br w:val="nil"/>
                    <w:tr2bl w:val="nil"/>
                  </w:tcBorders>
                  <w:tcMar>
                    <w:top w:w="12" w:type="dxa"/>
                    <w:left w:w="12" w:type="dxa"/>
                    <w:right w:w="12" w:type="dxa"/>
                  </w:tcMar>
                  <w:vAlign w:val="center"/>
                </w:tcPr>
                <w:p w14:paraId="49887717">
                  <w:pPr>
                    <w:widowControl/>
                    <w:jc w:val="center"/>
                    <w:textAlignment w:val="center"/>
                    <w:rPr>
                      <w:b/>
                      <w:bCs/>
                    </w:rPr>
                  </w:pPr>
                  <w:r>
                    <w:rPr>
                      <w:rFonts w:hint="eastAsia"/>
                      <w:b/>
                      <w:bCs/>
                    </w:rPr>
                    <w:t>高度</w:t>
                  </w:r>
                </w:p>
                <w:p w14:paraId="1B49F5A8">
                  <w:pPr>
                    <w:widowControl/>
                    <w:jc w:val="center"/>
                    <w:textAlignment w:val="center"/>
                    <w:rPr>
                      <w:b/>
                      <w:bCs/>
                    </w:rPr>
                  </w:pPr>
                  <w:r>
                    <w:rPr>
                      <w:rFonts w:hint="eastAsia"/>
                      <w:b/>
                      <w:bCs/>
                    </w:rPr>
                    <w:t>（m）</w:t>
                  </w:r>
                </w:p>
              </w:tc>
              <w:tc>
                <w:tcPr>
                  <w:tcW w:w="342" w:type="pct"/>
                  <w:tcBorders>
                    <w:tl2br w:val="nil"/>
                    <w:tr2bl w:val="nil"/>
                  </w:tcBorders>
                  <w:tcMar>
                    <w:top w:w="12" w:type="dxa"/>
                    <w:left w:w="12" w:type="dxa"/>
                    <w:right w:w="12" w:type="dxa"/>
                  </w:tcMar>
                  <w:vAlign w:val="center"/>
                </w:tcPr>
                <w:p w14:paraId="3D93185C">
                  <w:pPr>
                    <w:widowControl/>
                    <w:jc w:val="center"/>
                    <w:textAlignment w:val="center"/>
                    <w:rPr>
                      <w:b/>
                      <w:bCs/>
                    </w:rPr>
                  </w:pPr>
                  <w:r>
                    <w:rPr>
                      <w:rFonts w:hint="eastAsia"/>
                      <w:b/>
                      <w:bCs/>
                    </w:rPr>
                    <w:t>出口内径（m）</w:t>
                  </w:r>
                </w:p>
              </w:tc>
              <w:tc>
                <w:tcPr>
                  <w:tcW w:w="400" w:type="pct"/>
                  <w:tcBorders>
                    <w:tl2br w:val="nil"/>
                    <w:tr2bl w:val="nil"/>
                  </w:tcBorders>
                  <w:tcMar>
                    <w:top w:w="12" w:type="dxa"/>
                    <w:left w:w="12" w:type="dxa"/>
                    <w:right w:w="12" w:type="dxa"/>
                  </w:tcMar>
                  <w:vAlign w:val="center"/>
                </w:tcPr>
                <w:p w14:paraId="6971036D">
                  <w:pPr>
                    <w:widowControl/>
                    <w:jc w:val="center"/>
                    <w:textAlignment w:val="center"/>
                    <w:rPr>
                      <w:b/>
                      <w:bCs/>
                    </w:rPr>
                  </w:pPr>
                  <w:r>
                    <w:rPr>
                      <w:rFonts w:hint="eastAsia"/>
                      <w:b/>
                      <w:bCs/>
                    </w:rPr>
                    <w:t>温度</w:t>
                  </w:r>
                </w:p>
                <w:p w14:paraId="28B6F56B">
                  <w:pPr>
                    <w:widowControl/>
                    <w:jc w:val="center"/>
                    <w:textAlignment w:val="center"/>
                    <w:rPr>
                      <w:b/>
                      <w:bCs/>
                    </w:rPr>
                  </w:pPr>
                  <w:r>
                    <w:rPr>
                      <w:rFonts w:hint="eastAsia"/>
                      <w:b/>
                      <w:bCs/>
                    </w:rPr>
                    <w:t>（℃）</w:t>
                  </w:r>
                </w:p>
              </w:tc>
              <w:tc>
                <w:tcPr>
                  <w:tcW w:w="438" w:type="pct"/>
                  <w:tcBorders>
                    <w:tl2br w:val="nil"/>
                    <w:tr2bl w:val="nil"/>
                  </w:tcBorders>
                  <w:noWrap/>
                  <w:tcMar>
                    <w:top w:w="12" w:type="dxa"/>
                    <w:left w:w="12" w:type="dxa"/>
                    <w:right w:w="12" w:type="dxa"/>
                  </w:tcMar>
                  <w:vAlign w:val="center"/>
                </w:tcPr>
                <w:p w14:paraId="606F5990">
                  <w:pPr>
                    <w:widowControl/>
                    <w:jc w:val="center"/>
                    <w:textAlignment w:val="center"/>
                    <w:rPr>
                      <w:b/>
                      <w:bCs/>
                    </w:rPr>
                  </w:pPr>
                  <w:r>
                    <w:rPr>
                      <w:rFonts w:hint="eastAsia"/>
                      <w:b/>
                      <w:bCs/>
                    </w:rPr>
                    <w:t>监测点位</w:t>
                  </w:r>
                </w:p>
              </w:tc>
              <w:tc>
                <w:tcPr>
                  <w:tcW w:w="454" w:type="pct"/>
                  <w:tcBorders>
                    <w:tl2br w:val="nil"/>
                    <w:tr2bl w:val="nil"/>
                  </w:tcBorders>
                  <w:noWrap/>
                  <w:tcMar>
                    <w:top w:w="12" w:type="dxa"/>
                    <w:left w:w="12" w:type="dxa"/>
                    <w:right w:w="12" w:type="dxa"/>
                  </w:tcMar>
                  <w:vAlign w:val="center"/>
                </w:tcPr>
                <w:p w14:paraId="28A1FCD2">
                  <w:pPr>
                    <w:widowControl/>
                    <w:jc w:val="center"/>
                    <w:textAlignment w:val="center"/>
                    <w:rPr>
                      <w:b/>
                      <w:bCs/>
                    </w:rPr>
                  </w:pPr>
                  <w:r>
                    <w:rPr>
                      <w:rFonts w:hint="eastAsia"/>
                      <w:b/>
                      <w:bCs/>
                    </w:rPr>
                    <w:t>监测因子</w:t>
                  </w:r>
                </w:p>
              </w:tc>
              <w:tc>
                <w:tcPr>
                  <w:tcW w:w="339" w:type="pct"/>
                  <w:tcBorders>
                    <w:tl2br w:val="nil"/>
                    <w:tr2bl w:val="nil"/>
                  </w:tcBorders>
                  <w:noWrap/>
                  <w:tcMar>
                    <w:top w:w="12" w:type="dxa"/>
                    <w:left w:w="12" w:type="dxa"/>
                    <w:right w:w="12" w:type="dxa"/>
                  </w:tcMar>
                  <w:vAlign w:val="center"/>
                </w:tcPr>
                <w:p w14:paraId="3F1DE39E">
                  <w:pPr>
                    <w:widowControl/>
                    <w:jc w:val="center"/>
                    <w:textAlignment w:val="center"/>
                    <w:rPr>
                      <w:b/>
                      <w:bCs/>
                    </w:rPr>
                  </w:pPr>
                  <w:r>
                    <w:rPr>
                      <w:rFonts w:hint="eastAsia"/>
                      <w:b/>
                      <w:bCs/>
                    </w:rPr>
                    <w:t>监测频次</w:t>
                  </w:r>
                </w:p>
              </w:tc>
            </w:tr>
            <w:tr w14:paraId="3F8C4A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211" w:type="pct"/>
                  <w:vMerge w:val="restart"/>
                  <w:tcBorders>
                    <w:tl2br w:val="nil"/>
                    <w:tr2bl w:val="nil"/>
                  </w:tcBorders>
                  <w:tcMar>
                    <w:top w:w="12" w:type="dxa"/>
                    <w:left w:w="12" w:type="dxa"/>
                    <w:right w:w="12" w:type="dxa"/>
                  </w:tcMar>
                  <w:vAlign w:val="center"/>
                </w:tcPr>
                <w:p w14:paraId="1039A4DF">
                  <w:pPr>
                    <w:widowControl/>
                    <w:jc w:val="center"/>
                    <w:textAlignment w:val="center"/>
                  </w:pPr>
                  <w:r>
                    <w:rPr>
                      <w:rFonts w:hint="eastAsia"/>
                    </w:rPr>
                    <w:t>1</w:t>
                  </w:r>
                </w:p>
              </w:tc>
              <w:tc>
                <w:tcPr>
                  <w:tcW w:w="332" w:type="pct"/>
                  <w:vMerge w:val="restart"/>
                  <w:tcBorders>
                    <w:tl2br w:val="nil"/>
                    <w:tr2bl w:val="nil"/>
                  </w:tcBorders>
                  <w:tcMar>
                    <w:top w:w="12" w:type="dxa"/>
                    <w:left w:w="12" w:type="dxa"/>
                    <w:right w:w="12" w:type="dxa"/>
                  </w:tcMar>
                  <w:vAlign w:val="center"/>
                </w:tcPr>
                <w:p w14:paraId="39D2CFB8">
                  <w:pPr>
                    <w:widowControl/>
                    <w:jc w:val="center"/>
                    <w:textAlignment w:val="center"/>
                  </w:pPr>
                  <w:r>
                    <w:rPr>
                      <w:rFonts w:hint="eastAsia"/>
                    </w:rPr>
                    <w:t>DA001</w:t>
                  </w:r>
                </w:p>
              </w:tc>
              <w:tc>
                <w:tcPr>
                  <w:tcW w:w="452" w:type="pct"/>
                  <w:tcBorders>
                    <w:tl2br w:val="nil"/>
                    <w:tr2bl w:val="nil"/>
                  </w:tcBorders>
                  <w:tcMar>
                    <w:top w:w="12" w:type="dxa"/>
                    <w:left w:w="12" w:type="dxa"/>
                    <w:right w:w="12" w:type="dxa"/>
                  </w:tcMar>
                  <w:vAlign w:val="center"/>
                </w:tcPr>
                <w:p w14:paraId="58404371">
                  <w:pPr>
                    <w:spacing w:line="240" w:lineRule="atLeast"/>
                    <w:jc w:val="center"/>
                  </w:pPr>
                  <w:r>
                    <w:rPr>
                      <w:rFonts w:hint="eastAsia"/>
                      <w:sz w:val="21"/>
                      <w:szCs w:val="21"/>
                    </w:rPr>
                    <w:t>颗粒物</w:t>
                  </w:r>
                </w:p>
              </w:tc>
              <w:tc>
                <w:tcPr>
                  <w:tcW w:w="347" w:type="pct"/>
                  <w:tcBorders>
                    <w:tl2br w:val="nil"/>
                    <w:tr2bl w:val="nil"/>
                  </w:tcBorders>
                  <w:tcMar>
                    <w:top w:w="12" w:type="dxa"/>
                    <w:left w:w="12" w:type="dxa"/>
                    <w:right w:w="12" w:type="dxa"/>
                  </w:tcMar>
                  <w:vAlign w:val="center"/>
                </w:tcPr>
                <w:p w14:paraId="13A762D0">
                  <w:pPr>
                    <w:widowControl/>
                    <w:jc w:val="center"/>
                    <w:textAlignment w:val="center"/>
                  </w:pPr>
                  <w:r>
                    <w:rPr>
                      <w:rFonts w:hint="eastAsia"/>
                      <w:sz w:val="21"/>
                      <w:szCs w:val="21"/>
                    </w:rPr>
                    <w:t>120</w:t>
                  </w:r>
                </w:p>
              </w:tc>
              <w:tc>
                <w:tcPr>
                  <w:tcW w:w="683" w:type="pct"/>
                  <w:vMerge w:val="restart"/>
                  <w:tcBorders>
                    <w:tl2br w:val="nil"/>
                    <w:tr2bl w:val="nil"/>
                  </w:tcBorders>
                  <w:tcMar>
                    <w:top w:w="12" w:type="dxa"/>
                    <w:left w:w="12" w:type="dxa"/>
                    <w:right w:w="12" w:type="dxa"/>
                  </w:tcMar>
                  <w:vAlign w:val="center"/>
                </w:tcPr>
                <w:p w14:paraId="0F63AE74">
                  <w:pPr>
                    <w:widowControl/>
                    <w:jc w:val="center"/>
                    <w:textAlignment w:val="center"/>
                    <w:rPr>
                      <w:rFonts w:hint="default" w:ascii="Times New Roman" w:hAnsi="Times New Roman" w:cs="Times New Roman"/>
                    </w:rPr>
                  </w:pPr>
                  <w:r>
                    <w:rPr>
                      <w:rFonts w:hint="default" w:ascii="Times New Roman" w:hAnsi="Times New Roman" w:cs="Times New Roman"/>
                    </w:rPr>
                    <w:t>116°49′50.996″</w:t>
                  </w:r>
                </w:p>
              </w:tc>
              <w:tc>
                <w:tcPr>
                  <w:tcW w:w="709" w:type="pct"/>
                  <w:vMerge w:val="restart"/>
                  <w:tcBorders>
                    <w:tl2br w:val="nil"/>
                    <w:tr2bl w:val="nil"/>
                  </w:tcBorders>
                  <w:tcMar>
                    <w:top w:w="12" w:type="dxa"/>
                    <w:left w:w="12" w:type="dxa"/>
                    <w:right w:w="12" w:type="dxa"/>
                  </w:tcMar>
                  <w:vAlign w:val="center"/>
                </w:tcPr>
                <w:p w14:paraId="3D3F51EC">
                  <w:pPr>
                    <w:widowControl/>
                    <w:jc w:val="center"/>
                    <w:textAlignment w:val="center"/>
                    <w:rPr>
                      <w:rFonts w:hint="default" w:ascii="Times New Roman" w:hAnsi="Times New Roman" w:cs="Times New Roman"/>
                    </w:rPr>
                  </w:pPr>
                  <w:r>
                    <w:rPr>
                      <w:rFonts w:hint="default" w:ascii="Times New Roman" w:hAnsi="Times New Roman" w:cs="Times New Roman"/>
                    </w:rPr>
                    <w:t>34°3′27.726″</w:t>
                  </w:r>
                </w:p>
              </w:tc>
              <w:tc>
                <w:tcPr>
                  <w:tcW w:w="288" w:type="pct"/>
                  <w:vMerge w:val="restart"/>
                  <w:tcBorders>
                    <w:tl2br w:val="nil"/>
                    <w:tr2bl w:val="nil"/>
                  </w:tcBorders>
                  <w:tcMar>
                    <w:top w:w="12" w:type="dxa"/>
                    <w:left w:w="12" w:type="dxa"/>
                    <w:right w:w="12" w:type="dxa"/>
                  </w:tcMar>
                  <w:vAlign w:val="center"/>
                </w:tcPr>
                <w:p w14:paraId="649B7761">
                  <w:pPr>
                    <w:widowControl/>
                    <w:jc w:val="center"/>
                    <w:textAlignment w:val="center"/>
                    <w:rPr>
                      <w:rFonts w:hint="default" w:eastAsia="宋体"/>
                      <w:lang w:val="en-US" w:eastAsia="zh-CN"/>
                    </w:rPr>
                  </w:pPr>
                  <w:r>
                    <w:rPr>
                      <w:rFonts w:hint="eastAsia"/>
                      <w:lang w:val="en-US" w:eastAsia="zh-CN"/>
                    </w:rPr>
                    <w:t>15</w:t>
                  </w:r>
                </w:p>
              </w:tc>
              <w:tc>
                <w:tcPr>
                  <w:tcW w:w="342" w:type="pct"/>
                  <w:vMerge w:val="restart"/>
                  <w:tcBorders>
                    <w:tl2br w:val="nil"/>
                    <w:tr2bl w:val="nil"/>
                  </w:tcBorders>
                  <w:tcMar>
                    <w:top w:w="12" w:type="dxa"/>
                    <w:left w:w="12" w:type="dxa"/>
                    <w:right w:w="12" w:type="dxa"/>
                  </w:tcMar>
                  <w:vAlign w:val="center"/>
                </w:tcPr>
                <w:p w14:paraId="70113068">
                  <w:pPr>
                    <w:widowControl/>
                    <w:jc w:val="center"/>
                    <w:textAlignment w:val="center"/>
                    <w:rPr>
                      <w:rFonts w:hint="default"/>
                      <w:lang w:val="en-US"/>
                    </w:rPr>
                  </w:pPr>
                  <w:r>
                    <w:rPr>
                      <w:rFonts w:hint="eastAsia"/>
                      <w:lang w:val="en-US" w:eastAsia="zh-CN"/>
                    </w:rPr>
                    <w:t>0.8</w:t>
                  </w:r>
                </w:p>
              </w:tc>
              <w:tc>
                <w:tcPr>
                  <w:tcW w:w="400" w:type="pct"/>
                  <w:vMerge w:val="restart"/>
                  <w:tcBorders>
                    <w:tl2br w:val="nil"/>
                    <w:tr2bl w:val="nil"/>
                  </w:tcBorders>
                  <w:tcMar>
                    <w:top w:w="12" w:type="dxa"/>
                    <w:left w:w="12" w:type="dxa"/>
                    <w:right w:w="12" w:type="dxa"/>
                  </w:tcMar>
                  <w:vAlign w:val="center"/>
                </w:tcPr>
                <w:p w14:paraId="4A26CD31">
                  <w:pPr>
                    <w:widowControl/>
                    <w:jc w:val="center"/>
                    <w:textAlignment w:val="center"/>
                  </w:pPr>
                  <w:r>
                    <w:rPr>
                      <w:rFonts w:hint="eastAsia"/>
                    </w:rPr>
                    <w:t>20</w:t>
                  </w:r>
                </w:p>
              </w:tc>
              <w:tc>
                <w:tcPr>
                  <w:tcW w:w="438" w:type="pct"/>
                  <w:vMerge w:val="restart"/>
                  <w:tcBorders>
                    <w:tl2br w:val="nil"/>
                    <w:tr2bl w:val="nil"/>
                  </w:tcBorders>
                  <w:noWrap/>
                  <w:tcMar>
                    <w:top w:w="12" w:type="dxa"/>
                    <w:left w:w="12" w:type="dxa"/>
                    <w:right w:w="12" w:type="dxa"/>
                  </w:tcMar>
                  <w:vAlign w:val="center"/>
                </w:tcPr>
                <w:p w14:paraId="3D0BD0D6">
                  <w:pPr>
                    <w:widowControl/>
                    <w:jc w:val="center"/>
                    <w:textAlignment w:val="center"/>
                  </w:pPr>
                  <w:r>
                    <w:rPr>
                      <w:rFonts w:hint="eastAsia"/>
                    </w:rPr>
                    <w:t>排气筒出口</w:t>
                  </w:r>
                </w:p>
              </w:tc>
              <w:tc>
                <w:tcPr>
                  <w:tcW w:w="1363" w:type="dxa"/>
                  <w:tcBorders>
                    <w:tl2br w:val="nil"/>
                    <w:tr2bl w:val="nil"/>
                  </w:tcBorders>
                  <w:noWrap/>
                  <w:tcMar>
                    <w:top w:w="12" w:type="dxa"/>
                    <w:left w:w="12" w:type="dxa"/>
                    <w:right w:w="12" w:type="dxa"/>
                  </w:tcMar>
                  <w:vAlign w:val="center"/>
                </w:tcPr>
                <w:p w14:paraId="7F6FA88C">
                  <w:pPr>
                    <w:spacing w:line="240" w:lineRule="atLeast"/>
                    <w:jc w:val="center"/>
                  </w:pPr>
                  <w:r>
                    <w:rPr>
                      <w:rFonts w:hint="eastAsia"/>
                      <w:sz w:val="21"/>
                      <w:szCs w:val="21"/>
                    </w:rPr>
                    <w:t>颗粒物</w:t>
                  </w:r>
                </w:p>
              </w:tc>
              <w:tc>
                <w:tcPr>
                  <w:tcW w:w="339" w:type="pct"/>
                  <w:tcBorders>
                    <w:tl2br w:val="nil"/>
                    <w:tr2bl w:val="nil"/>
                  </w:tcBorders>
                  <w:noWrap/>
                  <w:tcMar>
                    <w:top w:w="12" w:type="dxa"/>
                    <w:left w:w="12" w:type="dxa"/>
                    <w:right w:w="12" w:type="dxa"/>
                  </w:tcMar>
                  <w:vAlign w:val="center"/>
                </w:tcPr>
                <w:p w14:paraId="6CEA5543">
                  <w:pPr>
                    <w:widowControl/>
                    <w:jc w:val="center"/>
                    <w:textAlignment w:val="center"/>
                  </w:pPr>
                  <w:r>
                    <w:rPr>
                      <w:rFonts w:hint="eastAsia"/>
                    </w:rPr>
                    <w:t>1次/年</w:t>
                  </w:r>
                </w:p>
              </w:tc>
            </w:tr>
            <w:tr w14:paraId="095D55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211" w:type="pct"/>
                  <w:vMerge w:val="continue"/>
                  <w:tcBorders>
                    <w:tl2br w:val="nil"/>
                    <w:tr2bl w:val="nil"/>
                  </w:tcBorders>
                  <w:tcMar>
                    <w:top w:w="12" w:type="dxa"/>
                    <w:left w:w="12" w:type="dxa"/>
                    <w:right w:w="12" w:type="dxa"/>
                  </w:tcMar>
                  <w:vAlign w:val="center"/>
                </w:tcPr>
                <w:p w14:paraId="1F0B1513">
                  <w:pPr>
                    <w:widowControl/>
                    <w:jc w:val="center"/>
                    <w:textAlignment w:val="center"/>
                    <w:rPr>
                      <w:rFonts w:hint="eastAsia"/>
                    </w:rPr>
                  </w:pPr>
                </w:p>
              </w:tc>
              <w:tc>
                <w:tcPr>
                  <w:tcW w:w="332" w:type="pct"/>
                  <w:vMerge w:val="continue"/>
                  <w:tcBorders>
                    <w:tl2br w:val="nil"/>
                    <w:tr2bl w:val="nil"/>
                  </w:tcBorders>
                  <w:tcMar>
                    <w:top w:w="12" w:type="dxa"/>
                    <w:left w:w="12" w:type="dxa"/>
                    <w:right w:w="12" w:type="dxa"/>
                  </w:tcMar>
                  <w:vAlign w:val="center"/>
                </w:tcPr>
                <w:p w14:paraId="12FEB266">
                  <w:pPr>
                    <w:widowControl/>
                    <w:jc w:val="center"/>
                    <w:textAlignment w:val="center"/>
                    <w:rPr>
                      <w:rFonts w:hint="eastAsia"/>
                    </w:rPr>
                  </w:pPr>
                </w:p>
              </w:tc>
              <w:tc>
                <w:tcPr>
                  <w:tcW w:w="452" w:type="pct"/>
                  <w:tcBorders>
                    <w:tl2br w:val="nil"/>
                    <w:tr2bl w:val="nil"/>
                  </w:tcBorders>
                  <w:tcMar>
                    <w:top w:w="12" w:type="dxa"/>
                    <w:left w:w="12" w:type="dxa"/>
                    <w:right w:w="12" w:type="dxa"/>
                  </w:tcMar>
                  <w:vAlign w:val="center"/>
                </w:tcPr>
                <w:p w14:paraId="54E834A5">
                  <w:pPr>
                    <w:spacing w:line="240" w:lineRule="atLeast"/>
                    <w:jc w:val="center"/>
                    <w:rPr>
                      <w:rFonts w:hint="eastAsia"/>
                    </w:rPr>
                  </w:pPr>
                  <w:r>
                    <w:rPr>
                      <w:rFonts w:hint="eastAsia"/>
                      <w:sz w:val="21"/>
                      <w:szCs w:val="21"/>
                      <w:lang w:eastAsia="zh-CN"/>
                    </w:rPr>
                    <w:t>非甲烷总烃</w:t>
                  </w:r>
                </w:p>
              </w:tc>
              <w:tc>
                <w:tcPr>
                  <w:tcW w:w="347" w:type="pct"/>
                  <w:tcBorders>
                    <w:tl2br w:val="nil"/>
                    <w:tr2bl w:val="nil"/>
                  </w:tcBorders>
                  <w:tcMar>
                    <w:top w:w="12" w:type="dxa"/>
                    <w:left w:w="12" w:type="dxa"/>
                    <w:right w:w="12" w:type="dxa"/>
                  </w:tcMar>
                  <w:vAlign w:val="center"/>
                </w:tcPr>
                <w:p w14:paraId="12EDF033">
                  <w:pPr>
                    <w:widowControl/>
                    <w:jc w:val="center"/>
                    <w:textAlignment w:val="center"/>
                    <w:rPr>
                      <w:rFonts w:hint="eastAsia"/>
                    </w:rPr>
                  </w:pPr>
                  <w:r>
                    <w:rPr>
                      <w:rFonts w:hint="eastAsia"/>
                      <w:sz w:val="21"/>
                      <w:szCs w:val="21"/>
                      <w:lang w:val="en-US" w:eastAsia="zh-CN"/>
                    </w:rPr>
                    <w:t>70</w:t>
                  </w:r>
                </w:p>
              </w:tc>
              <w:tc>
                <w:tcPr>
                  <w:tcW w:w="683" w:type="pct"/>
                  <w:vMerge w:val="continue"/>
                  <w:tcBorders>
                    <w:tl2br w:val="nil"/>
                    <w:tr2bl w:val="nil"/>
                  </w:tcBorders>
                  <w:tcMar>
                    <w:top w:w="12" w:type="dxa"/>
                    <w:left w:w="12" w:type="dxa"/>
                    <w:right w:w="12" w:type="dxa"/>
                  </w:tcMar>
                  <w:vAlign w:val="center"/>
                </w:tcPr>
                <w:p w14:paraId="0129D9C8">
                  <w:pPr>
                    <w:widowControl/>
                    <w:jc w:val="center"/>
                    <w:textAlignment w:val="center"/>
                    <w:rPr>
                      <w:kern w:val="0"/>
                      <w:szCs w:val="21"/>
                      <w:lang w:bidi="ar"/>
                    </w:rPr>
                  </w:pPr>
                </w:p>
              </w:tc>
              <w:tc>
                <w:tcPr>
                  <w:tcW w:w="709" w:type="pct"/>
                  <w:vMerge w:val="continue"/>
                  <w:tcBorders>
                    <w:tl2br w:val="nil"/>
                    <w:tr2bl w:val="nil"/>
                  </w:tcBorders>
                  <w:tcMar>
                    <w:top w:w="12" w:type="dxa"/>
                    <w:left w:w="12" w:type="dxa"/>
                    <w:right w:w="12" w:type="dxa"/>
                  </w:tcMar>
                  <w:vAlign w:val="center"/>
                </w:tcPr>
                <w:p w14:paraId="50821AC0">
                  <w:pPr>
                    <w:widowControl/>
                    <w:jc w:val="center"/>
                    <w:textAlignment w:val="center"/>
                    <w:rPr>
                      <w:kern w:val="0"/>
                      <w:szCs w:val="21"/>
                      <w:lang w:bidi="ar"/>
                    </w:rPr>
                  </w:pPr>
                </w:p>
              </w:tc>
              <w:tc>
                <w:tcPr>
                  <w:tcW w:w="288" w:type="pct"/>
                  <w:vMerge w:val="continue"/>
                  <w:tcBorders>
                    <w:tl2br w:val="nil"/>
                    <w:tr2bl w:val="nil"/>
                  </w:tcBorders>
                  <w:tcMar>
                    <w:top w:w="12" w:type="dxa"/>
                    <w:left w:w="12" w:type="dxa"/>
                    <w:right w:w="12" w:type="dxa"/>
                  </w:tcMar>
                  <w:vAlign w:val="center"/>
                </w:tcPr>
                <w:p w14:paraId="6E95891F">
                  <w:pPr>
                    <w:widowControl/>
                    <w:jc w:val="center"/>
                    <w:textAlignment w:val="center"/>
                    <w:rPr>
                      <w:rFonts w:hint="eastAsia"/>
                    </w:rPr>
                  </w:pPr>
                </w:p>
              </w:tc>
              <w:tc>
                <w:tcPr>
                  <w:tcW w:w="342" w:type="pct"/>
                  <w:vMerge w:val="continue"/>
                  <w:tcBorders>
                    <w:tl2br w:val="nil"/>
                    <w:tr2bl w:val="nil"/>
                  </w:tcBorders>
                  <w:tcMar>
                    <w:top w:w="12" w:type="dxa"/>
                    <w:left w:w="12" w:type="dxa"/>
                    <w:right w:w="12" w:type="dxa"/>
                  </w:tcMar>
                  <w:vAlign w:val="center"/>
                </w:tcPr>
                <w:p w14:paraId="7AAF93E5">
                  <w:pPr>
                    <w:widowControl/>
                    <w:jc w:val="center"/>
                    <w:textAlignment w:val="center"/>
                    <w:rPr>
                      <w:rFonts w:hint="eastAsia"/>
                      <w:lang w:val="en-US" w:eastAsia="zh-CN"/>
                    </w:rPr>
                  </w:pPr>
                </w:p>
              </w:tc>
              <w:tc>
                <w:tcPr>
                  <w:tcW w:w="400" w:type="pct"/>
                  <w:vMerge w:val="continue"/>
                  <w:tcBorders>
                    <w:tl2br w:val="nil"/>
                    <w:tr2bl w:val="nil"/>
                  </w:tcBorders>
                  <w:tcMar>
                    <w:top w:w="12" w:type="dxa"/>
                    <w:left w:w="12" w:type="dxa"/>
                    <w:right w:w="12" w:type="dxa"/>
                  </w:tcMar>
                  <w:vAlign w:val="center"/>
                </w:tcPr>
                <w:p w14:paraId="2B0A1139">
                  <w:pPr>
                    <w:widowControl/>
                    <w:jc w:val="center"/>
                    <w:textAlignment w:val="center"/>
                    <w:rPr>
                      <w:rFonts w:hint="eastAsia"/>
                    </w:rPr>
                  </w:pPr>
                </w:p>
              </w:tc>
              <w:tc>
                <w:tcPr>
                  <w:tcW w:w="438" w:type="pct"/>
                  <w:vMerge w:val="continue"/>
                  <w:tcBorders>
                    <w:tl2br w:val="nil"/>
                    <w:tr2bl w:val="nil"/>
                  </w:tcBorders>
                  <w:noWrap/>
                  <w:tcMar>
                    <w:top w:w="12" w:type="dxa"/>
                    <w:left w:w="12" w:type="dxa"/>
                    <w:right w:w="12" w:type="dxa"/>
                  </w:tcMar>
                  <w:vAlign w:val="center"/>
                </w:tcPr>
                <w:p w14:paraId="080D966A">
                  <w:pPr>
                    <w:widowControl/>
                    <w:jc w:val="center"/>
                    <w:textAlignment w:val="center"/>
                    <w:rPr>
                      <w:rFonts w:hint="eastAsia"/>
                    </w:rPr>
                  </w:pPr>
                </w:p>
              </w:tc>
              <w:tc>
                <w:tcPr>
                  <w:tcW w:w="1363" w:type="dxa"/>
                  <w:tcBorders>
                    <w:tl2br w:val="nil"/>
                    <w:tr2bl w:val="nil"/>
                  </w:tcBorders>
                  <w:noWrap/>
                  <w:tcMar>
                    <w:top w:w="12" w:type="dxa"/>
                    <w:left w:w="12" w:type="dxa"/>
                    <w:right w:w="12" w:type="dxa"/>
                  </w:tcMar>
                  <w:vAlign w:val="center"/>
                </w:tcPr>
                <w:p w14:paraId="14B48C2B">
                  <w:pPr>
                    <w:spacing w:line="240" w:lineRule="atLeast"/>
                    <w:jc w:val="center"/>
                    <w:rPr>
                      <w:rFonts w:hint="eastAsia"/>
                    </w:rPr>
                  </w:pPr>
                  <w:r>
                    <w:rPr>
                      <w:rFonts w:hint="eastAsia"/>
                      <w:sz w:val="21"/>
                      <w:szCs w:val="21"/>
                      <w:lang w:eastAsia="zh-CN"/>
                    </w:rPr>
                    <w:t>非甲烷总烃</w:t>
                  </w:r>
                </w:p>
              </w:tc>
              <w:tc>
                <w:tcPr>
                  <w:tcW w:w="339" w:type="pct"/>
                  <w:tcBorders>
                    <w:tl2br w:val="nil"/>
                    <w:tr2bl w:val="nil"/>
                  </w:tcBorders>
                  <w:noWrap/>
                  <w:tcMar>
                    <w:top w:w="12" w:type="dxa"/>
                    <w:left w:w="12" w:type="dxa"/>
                    <w:right w:w="12" w:type="dxa"/>
                  </w:tcMar>
                  <w:vAlign w:val="center"/>
                </w:tcPr>
                <w:p w14:paraId="45DCBB06">
                  <w:pPr>
                    <w:widowControl/>
                    <w:jc w:val="center"/>
                    <w:textAlignment w:val="center"/>
                    <w:rPr>
                      <w:rFonts w:hint="eastAsia"/>
                    </w:rPr>
                  </w:pPr>
                  <w:r>
                    <w:rPr>
                      <w:rFonts w:hint="eastAsia"/>
                    </w:rPr>
                    <w:t>1次/年</w:t>
                  </w:r>
                </w:p>
              </w:tc>
            </w:tr>
            <w:tr w14:paraId="6C5AEB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211" w:type="pct"/>
                  <w:vMerge w:val="continue"/>
                  <w:tcBorders>
                    <w:tl2br w:val="nil"/>
                    <w:tr2bl w:val="nil"/>
                  </w:tcBorders>
                  <w:tcMar>
                    <w:top w:w="12" w:type="dxa"/>
                    <w:left w:w="12" w:type="dxa"/>
                    <w:right w:w="12" w:type="dxa"/>
                  </w:tcMar>
                  <w:vAlign w:val="center"/>
                </w:tcPr>
                <w:p w14:paraId="25F3C42C">
                  <w:pPr>
                    <w:widowControl/>
                    <w:jc w:val="center"/>
                    <w:textAlignment w:val="center"/>
                    <w:rPr>
                      <w:rFonts w:hint="eastAsia"/>
                    </w:rPr>
                  </w:pPr>
                </w:p>
              </w:tc>
              <w:tc>
                <w:tcPr>
                  <w:tcW w:w="332" w:type="pct"/>
                  <w:vMerge w:val="continue"/>
                  <w:tcBorders>
                    <w:tl2br w:val="nil"/>
                    <w:tr2bl w:val="nil"/>
                  </w:tcBorders>
                  <w:tcMar>
                    <w:top w:w="12" w:type="dxa"/>
                    <w:left w:w="12" w:type="dxa"/>
                    <w:right w:w="12" w:type="dxa"/>
                  </w:tcMar>
                  <w:vAlign w:val="center"/>
                </w:tcPr>
                <w:p w14:paraId="380DF2BE">
                  <w:pPr>
                    <w:widowControl/>
                    <w:jc w:val="center"/>
                    <w:textAlignment w:val="center"/>
                    <w:rPr>
                      <w:rFonts w:hint="eastAsia"/>
                    </w:rPr>
                  </w:pPr>
                </w:p>
              </w:tc>
              <w:tc>
                <w:tcPr>
                  <w:tcW w:w="452" w:type="pct"/>
                  <w:tcBorders>
                    <w:tl2br w:val="nil"/>
                    <w:tr2bl w:val="nil"/>
                  </w:tcBorders>
                  <w:tcMar>
                    <w:top w:w="12" w:type="dxa"/>
                    <w:left w:w="12" w:type="dxa"/>
                    <w:right w:w="12" w:type="dxa"/>
                  </w:tcMar>
                  <w:vAlign w:val="center"/>
                </w:tcPr>
                <w:p w14:paraId="28B8C2E9">
                  <w:pPr>
                    <w:spacing w:line="240" w:lineRule="atLeast"/>
                    <w:jc w:val="center"/>
                    <w:rPr>
                      <w:rFonts w:hint="eastAsia"/>
                    </w:rPr>
                  </w:pPr>
                  <w:r>
                    <w:rPr>
                      <w:rFonts w:hint="eastAsia"/>
                      <w:sz w:val="21"/>
                      <w:szCs w:val="21"/>
                      <w:lang w:eastAsia="zh-CN"/>
                    </w:rPr>
                    <w:t>二甲苯</w:t>
                  </w:r>
                </w:p>
              </w:tc>
              <w:tc>
                <w:tcPr>
                  <w:tcW w:w="347" w:type="pct"/>
                  <w:tcBorders>
                    <w:tl2br w:val="nil"/>
                    <w:tr2bl w:val="nil"/>
                  </w:tcBorders>
                  <w:tcMar>
                    <w:top w:w="12" w:type="dxa"/>
                    <w:left w:w="12" w:type="dxa"/>
                    <w:right w:w="12" w:type="dxa"/>
                  </w:tcMar>
                  <w:vAlign w:val="center"/>
                </w:tcPr>
                <w:p w14:paraId="470575BE">
                  <w:pPr>
                    <w:widowControl/>
                    <w:jc w:val="center"/>
                    <w:textAlignment w:val="center"/>
                    <w:rPr>
                      <w:rFonts w:hint="eastAsia"/>
                    </w:rPr>
                  </w:pPr>
                  <w:r>
                    <w:rPr>
                      <w:rFonts w:hint="eastAsia"/>
                      <w:sz w:val="21"/>
                      <w:szCs w:val="21"/>
                      <w:lang w:val="en-US" w:eastAsia="zh-CN"/>
                    </w:rPr>
                    <w:t>20</w:t>
                  </w:r>
                </w:p>
              </w:tc>
              <w:tc>
                <w:tcPr>
                  <w:tcW w:w="683" w:type="pct"/>
                  <w:vMerge w:val="continue"/>
                  <w:tcBorders>
                    <w:tl2br w:val="nil"/>
                    <w:tr2bl w:val="nil"/>
                  </w:tcBorders>
                  <w:tcMar>
                    <w:top w:w="12" w:type="dxa"/>
                    <w:left w:w="12" w:type="dxa"/>
                    <w:right w:w="12" w:type="dxa"/>
                  </w:tcMar>
                  <w:vAlign w:val="center"/>
                </w:tcPr>
                <w:p w14:paraId="01EE3E7A">
                  <w:pPr>
                    <w:widowControl/>
                    <w:jc w:val="center"/>
                    <w:textAlignment w:val="center"/>
                    <w:rPr>
                      <w:kern w:val="0"/>
                      <w:szCs w:val="21"/>
                      <w:lang w:bidi="ar"/>
                    </w:rPr>
                  </w:pPr>
                </w:p>
              </w:tc>
              <w:tc>
                <w:tcPr>
                  <w:tcW w:w="709" w:type="pct"/>
                  <w:vMerge w:val="continue"/>
                  <w:tcBorders>
                    <w:tl2br w:val="nil"/>
                    <w:tr2bl w:val="nil"/>
                  </w:tcBorders>
                  <w:tcMar>
                    <w:top w:w="12" w:type="dxa"/>
                    <w:left w:w="12" w:type="dxa"/>
                    <w:right w:w="12" w:type="dxa"/>
                  </w:tcMar>
                  <w:vAlign w:val="center"/>
                </w:tcPr>
                <w:p w14:paraId="0C8A4CAE">
                  <w:pPr>
                    <w:widowControl/>
                    <w:jc w:val="center"/>
                    <w:textAlignment w:val="center"/>
                    <w:rPr>
                      <w:kern w:val="0"/>
                      <w:szCs w:val="21"/>
                      <w:lang w:bidi="ar"/>
                    </w:rPr>
                  </w:pPr>
                </w:p>
              </w:tc>
              <w:tc>
                <w:tcPr>
                  <w:tcW w:w="288" w:type="pct"/>
                  <w:vMerge w:val="continue"/>
                  <w:tcBorders>
                    <w:tl2br w:val="nil"/>
                    <w:tr2bl w:val="nil"/>
                  </w:tcBorders>
                  <w:tcMar>
                    <w:top w:w="12" w:type="dxa"/>
                    <w:left w:w="12" w:type="dxa"/>
                    <w:right w:w="12" w:type="dxa"/>
                  </w:tcMar>
                  <w:vAlign w:val="center"/>
                </w:tcPr>
                <w:p w14:paraId="45F17684">
                  <w:pPr>
                    <w:widowControl/>
                    <w:jc w:val="center"/>
                    <w:textAlignment w:val="center"/>
                    <w:rPr>
                      <w:rFonts w:hint="eastAsia"/>
                    </w:rPr>
                  </w:pPr>
                </w:p>
              </w:tc>
              <w:tc>
                <w:tcPr>
                  <w:tcW w:w="342" w:type="pct"/>
                  <w:vMerge w:val="continue"/>
                  <w:tcBorders>
                    <w:tl2br w:val="nil"/>
                    <w:tr2bl w:val="nil"/>
                  </w:tcBorders>
                  <w:tcMar>
                    <w:top w:w="12" w:type="dxa"/>
                    <w:left w:w="12" w:type="dxa"/>
                    <w:right w:w="12" w:type="dxa"/>
                  </w:tcMar>
                  <w:vAlign w:val="center"/>
                </w:tcPr>
                <w:p w14:paraId="4C988452">
                  <w:pPr>
                    <w:widowControl/>
                    <w:jc w:val="center"/>
                    <w:textAlignment w:val="center"/>
                    <w:rPr>
                      <w:rFonts w:hint="eastAsia"/>
                      <w:lang w:val="en-US" w:eastAsia="zh-CN"/>
                    </w:rPr>
                  </w:pPr>
                </w:p>
              </w:tc>
              <w:tc>
                <w:tcPr>
                  <w:tcW w:w="400" w:type="pct"/>
                  <w:vMerge w:val="continue"/>
                  <w:tcBorders>
                    <w:tl2br w:val="nil"/>
                    <w:tr2bl w:val="nil"/>
                  </w:tcBorders>
                  <w:tcMar>
                    <w:top w:w="12" w:type="dxa"/>
                    <w:left w:w="12" w:type="dxa"/>
                    <w:right w:w="12" w:type="dxa"/>
                  </w:tcMar>
                  <w:vAlign w:val="center"/>
                </w:tcPr>
                <w:p w14:paraId="41D1920A">
                  <w:pPr>
                    <w:widowControl/>
                    <w:jc w:val="center"/>
                    <w:textAlignment w:val="center"/>
                    <w:rPr>
                      <w:rFonts w:hint="eastAsia"/>
                    </w:rPr>
                  </w:pPr>
                </w:p>
              </w:tc>
              <w:tc>
                <w:tcPr>
                  <w:tcW w:w="438" w:type="pct"/>
                  <w:vMerge w:val="continue"/>
                  <w:tcBorders>
                    <w:tl2br w:val="nil"/>
                    <w:tr2bl w:val="nil"/>
                  </w:tcBorders>
                  <w:noWrap/>
                  <w:tcMar>
                    <w:top w:w="12" w:type="dxa"/>
                    <w:left w:w="12" w:type="dxa"/>
                    <w:right w:w="12" w:type="dxa"/>
                  </w:tcMar>
                  <w:vAlign w:val="center"/>
                </w:tcPr>
                <w:p w14:paraId="57D5FE4C">
                  <w:pPr>
                    <w:widowControl/>
                    <w:jc w:val="center"/>
                    <w:textAlignment w:val="center"/>
                    <w:rPr>
                      <w:rFonts w:hint="eastAsia"/>
                    </w:rPr>
                  </w:pPr>
                </w:p>
              </w:tc>
              <w:tc>
                <w:tcPr>
                  <w:tcW w:w="1363" w:type="dxa"/>
                  <w:tcBorders>
                    <w:tl2br w:val="nil"/>
                    <w:tr2bl w:val="nil"/>
                  </w:tcBorders>
                  <w:noWrap/>
                  <w:tcMar>
                    <w:top w:w="12" w:type="dxa"/>
                    <w:left w:w="12" w:type="dxa"/>
                    <w:right w:w="12" w:type="dxa"/>
                  </w:tcMar>
                  <w:vAlign w:val="center"/>
                </w:tcPr>
                <w:p w14:paraId="5797109A">
                  <w:pPr>
                    <w:spacing w:line="240" w:lineRule="atLeast"/>
                    <w:jc w:val="center"/>
                    <w:rPr>
                      <w:rFonts w:hint="eastAsia"/>
                    </w:rPr>
                  </w:pPr>
                  <w:r>
                    <w:rPr>
                      <w:rFonts w:hint="eastAsia"/>
                      <w:sz w:val="21"/>
                      <w:szCs w:val="21"/>
                      <w:lang w:eastAsia="zh-CN"/>
                    </w:rPr>
                    <w:t>二甲苯</w:t>
                  </w:r>
                </w:p>
              </w:tc>
              <w:tc>
                <w:tcPr>
                  <w:tcW w:w="339" w:type="pct"/>
                  <w:tcBorders>
                    <w:tl2br w:val="nil"/>
                    <w:tr2bl w:val="nil"/>
                  </w:tcBorders>
                  <w:noWrap/>
                  <w:tcMar>
                    <w:top w:w="12" w:type="dxa"/>
                    <w:left w:w="12" w:type="dxa"/>
                    <w:right w:w="12" w:type="dxa"/>
                  </w:tcMar>
                  <w:vAlign w:val="center"/>
                </w:tcPr>
                <w:p w14:paraId="6A4ACB99">
                  <w:pPr>
                    <w:widowControl/>
                    <w:jc w:val="center"/>
                    <w:textAlignment w:val="center"/>
                    <w:rPr>
                      <w:rFonts w:hint="eastAsia"/>
                    </w:rPr>
                  </w:pPr>
                  <w:r>
                    <w:rPr>
                      <w:rFonts w:hint="eastAsia"/>
                    </w:rPr>
                    <w:t>1次/年</w:t>
                  </w:r>
                </w:p>
              </w:tc>
            </w:tr>
          </w:tbl>
          <w:p w14:paraId="727A55A1"/>
        </w:tc>
      </w:tr>
    </w:tbl>
    <w:p w14:paraId="7CD48C2C">
      <w:pPr>
        <w:pStyle w:val="15"/>
        <w:sectPr>
          <w:pgSz w:w="16840" w:h="11907" w:orient="landscape"/>
          <w:pgMar w:top="1418" w:right="850" w:bottom="1418" w:left="850" w:header="851" w:footer="851" w:gutter="0"/>
          <w:pgBorders>
            <w:top w:val="none" w:sz="0" w:space="0"/>
            <w:left w:val="none" w:sz="0" w:space="0"/>
            <w:bottom w:val="none" w:sz="0" w:space="0"/>
            <w:right w:val="none" w:sz="0" w:space="0"/>
          </w:pgBorders>
          <w:cols w:space="720" w:num="1"/>
          <w:docGrid w:linePitch="312" w:charSpace="0"/>
        </w:sectPr>
      </w:pPr>
    </w:p>
    <w:tbl>
      <w:tblPr>
        <w:tblStyle w:val="26"/>
        <w:tblW w:w="927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8843"/>
      </w:tblGrid>
      <w:tr w14:paraId="6E22B3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427" w:type="dxa"/>
            <w:vAlign w:val="center"/>
          </w:tcPr>
          <w:p w14:paraId="4EEFFC76">
            <w:pPr>
              <w:adjustRightInd w:val="0"/>
              <w:snapToGrid w:val="0"/>
              <w:jc w:val="center"/>
              <w:rPr>
                <w:rFonts w:ascii="宋体" w:hAnsi="宋体" w:cs="宋体"/>
                <w:b/>
                <w:bCs/>
                <w:szCs w:val="21"/>
              </w:rPr>
            </w:pPr>
            <w:r>
              <w:rPr>
                <w:rFonts w:hint="eastAsia" w:ascii="宋体" w:hAnsi="宋体" w:cs="宋体"/>
                <w:b/>
                <w:bCs/>
                <w:szCs w:val="21"/>
              </w:rPr>
              <w:t>运营</w:t>
            </w:r>
          </w:p>
          <w:p w14:paraId="4FB3D920">
            <w:pPr>
              <w:adjustRightInd w:val="0"/>
              <w:snapToGrid w:val="0"/>
              <w:jc w:val="center"/>
              <w:rPr>
                <w:rFonts w:ascii="宋体" w:hAnsi="宋体" w:cs="宋体"/>
                <w:b/>
                <w:bCs/>
                <w:szCs w:val="21"/>
              </w:rPr>
            </w:pPr>
            <w:r>
              <w:rPr>
                <w:rFonts w:hint="eastAsia" w:ascii="宋体" w:hAnsi="宋体" w:cs="宋体"/>
                <w:b/>
                <w:bCs/>
                <w:szCs w:val="21"/>
              </w:rPr>
              <w:t>期环</w:t>
            </w:r>
          </w:p>
          <w:p w14:paraId="262CC582">
            <w:pPr>
              <w:adjustRightInd w:val="0"/>
              <w:snapToGrid w:val="0"/>
              <w:jc w:val="center"/>
              <w:rPr>
                <w:rFonts w:ascii="宋体" w:hAnsi="宋体" w:cs="宋体"/>
                <w:b/>
                <w:bCs/>
                <w:szCs w:val="21"/>
              </w:rPr>
            </w:pPr>
            <w:r>
              <w:rPr>
                <w:rFonts w:hint="eastAsia" w:ascii="宋体" w:hAnsi="宋体" w:cs="宋体"/>
                <w:b/>
                <w:bCs/>
                <w:szCs w:val="21"/>
              </w:rPr>
              <w:t>境影</w:t>
            </w:r>
          </w:p>
          <w:p w14:paraId="220A9263">
            <w:pPr>
              <w:adjustRightInd w:val="0"/>
              <w:snapToGrid w:val="0"/>
              <w:jc w:val="center"/>
              <w:rPr>
                <w:rFonts w:ascii="宋体" w:hAnsi="宋体" w:cs="宋体"/>
                <w:b/>
                <w:bCs/>
                <w:szCs w:val="21"/>
              </w:rPr>
            </w:pPr>
            <w:r>
              <w:rPr>
                <w:rFonts w:hint="eastAsia" w:ascii="宋体" w:hAnsi="宋体" w:cs="宋体"/>
                <w:b/>
                <w:bCs/>
                <w:szCs w:val="21"/>
              </w:rPr>
              <w:t>响和</w:t>
            </w:r>
          </w:p>
          <w:p w14:paraId="74CF5038">
            <w:pPr>
              <w:adjustRightInd w:val="0"/>
              <w:snapToGrid w:val="0"/>
              <w:jc w:val="center"/>
              <w:rPr>
                <w:rFonts w:ascii="宋体" w:hAnsi="宋体" w:cs="宋体"/>
                <w:b/>
                <w:bCs/>
                <w:szCs w:val="21"/>
              </w:rPr>
            </w:pPr>
            <w:r>
              <w:rPr>
                <w:rFonts w:hint="eastAsia" w:ascii="宋体" w:hAnsi="宋体" w:cs="宋体"/>
                <w:b/>
                <w:bCs/>
                <w:szCs w:val="21"/>
              </w:rPr>
              <w:t>保护</w:t>
            </w:r>
          </w:p>
          <w:p w14:paraId="0D5EA960">
            <w:pPr>
              <w:adjustRightInd w:val="0"/>
              <w:snapToGrid w:val="0"/>
              <w:jc w:val="center"/>
            </w:pPr>
            <w:r>
              <w:rPr>
                <w:rFonts w:hint="eastAsia" w:ascii="宋体" w:hAnsi="宋体" w:cs="宋体"/>
                <w:b/>
                <w:bCs/>
                <w:szCs w:val="21"/>
              </w:rPr>
              <w:t>措施</w:t>
            </w:r>
          </w:p>
        </w:tc>
        <w:tc>
          <w:tcPr>
            <w:tcW w:w="8843" w:type="dxa"/>
            <w:vAlign w:val="center"/>
          </w:tcPr>
          <w:p w14:paraId="305DDADF">
            <w:pPr>
              <w:spacing w:line="360" w:lineRule="auto"/>
              <w:ind w:firstLine="482" w:firstLineChars="200"/>
              <w:rPr>
                <w:b/>
                <w:bCs/>
                <w:sz w:val="24"/>
              </w:rPr>
            </w:pPr>
            <w:r>
              <w:rPr>
                <w:rFonts w:hint="eastAsia"/>
                <w:b/>
                <w:bCs/>
                <w:sz w:val="24"/>
              </w:rPr>
              <w:t>大气环境影响分析：</w:t>
            </w:r>
          </w:p>
          <w:p w14:paraId="448BE75E">
            <w:pPr>
              <w:spacing w:line="360" w:lineRule="auto"/>
              <w:ind w:firstLine="480" w:firstLineChars="200"/>
              <w:rPr>
                <w:sz w:val="24"/>
              </w:rPr>
            </w:pPr>
            <w:r>
              <w:rPr>
                <w:sz w:val="24"/>
              </w:rPr>
              <w:t>本项目</w:t>
            </w:r>
            <w:r>
              <w:rPr>
                <w:rFonts w:hint="eastAsia"/>
                <w:sz w:val="24"/>
              </w:rPr>
              <w:t>废气处理措施如下：</w:t>
            </w:r>
          </w:p>
          <w:p w14:paraId="31F833A6">
            <w:pPr>
              <w:spacing w:line="360" w:lineRule="auto"/>
              <w:ind w:firstLine="480" w:firstLineChars="200"/>
              <w:rPr>
                <w:kern w:val="0"/>
                <w:sz w:val="24"/>
                <w:lang w:bidi="ar"/>
              </w:rPr>
            </w:pPr>
            <w:r>
              <w:rPr>
                <w:kern w:val="0"/>
                <w:sz w:val="24"/>
                <w:lang w:bidi="ar"/>
              </w:rPr>
              <w:t>①</w:t>
            </w:r>
            <w:r>
              <w:rPr>
                <w:rFonts w:hint="eastAsia"/>
                <w:kern w:val="0"/>
                <w:sz w:val="24"/>
                <w:lang w:eastAsia="zh-CN" w:bidi="ar"/>
              </w:rPr>
              <w:t>喷漆</w:t>
            </w:r>
            <w:r>
              <w:rPr>
                <w:kern w:val="0"/>
                <w:sz w:val="24"/>
                <w:lang w:bidi="ar"/>
              </w:rPr>
              <w:t>废气：</w:t>
            </w:r>
            <w:r>
              <w:rPr>
                <w:rFonts w:hint="eastAsia"/>
                <w:kern w:val="0"/>
                <w:sz w:val="24"/>
                <w:lang w:eastAsia="zh-CN" w:bidi="ar"/>
              </w:rPr>
              <w:t>本项目喷漆废气经</w:t>
            </w:r>
            <w:r>
              <w:rPr>
                <w:rFonts w:hint="eastAsia"/>
                <w:kern w:val="0"/>
                <w:sz w:val="24"/>
                <w:lang w:bidi="ar"/>
              </w:rPr>
              <w:t>喷漆房密闭收集引至一套</w:t>
            </w:r>
            <w:r>
              <w:rPr>
                <w:rFonts w:hint="eastAsia"/>
                <w:lang w:eastAsia="zh-CN"/>
              </w:rPr>
              <w:t>“</w:t>
            </w:r>
            <w:r>
              <w:rPr>
                <w:rFonts w:hint="eastAsia"/>
                <w:sz w:val="24"/>
                <w:szCs w:val="32"/>
                <w:lang w:eastAsia="zh-CN"/>
              </w:rPr>
              <w:t>过滤棉</w:t>
            </w:r>
            <w:r>
              <w:rPr>
                <w:rFonts w:hint="eastAsia"/>
                <w:lang w:val="en-US" w:eastAsia="zh-CN"/>
              </w:rPr>
              <w:t>+</w:t>
            </w:r>
            <w:r>
              <w:rPr>
                <w:rFonts w:hint="eastAsia"/>
                <w:kern w:val="0"/>
                <w:sz w:val="24"/>
                <w:lang w:bidi="ar"/>
              </w:rPr>
              <w:t>两级活性炭</w:t>
            </w:r>
            <w:r>
              <w:rPr>
                <w:rFonts w:hint="eastAsia"/>
                <w:lang w:eastAsia="zh-CN"/>
              </w:rPr>
              <w:t>”</w:t>
            </w:r>
            <w:r>
              <w:rPr>
                <w:rFonts w:hint="eastAsia"/>
                <w:kern w:val="0"/>
                <w:sz w:val="24"/>
                <w:lang w:bidi="ar"/>
              </w:rPr>
              <w:t>装置处理后经</w:t>
            </w:r>
            <w:r>
              <w:rPr>
                <w:rFonts w:hint="eastAsia"/>
                <w:kern w:val="0"/>
                <w:sz w:val="24"/>
                <w:lang w:eastAsia="zh-CN" w:bidi="ar"/>
              </w:rPr>
              <w:t>15m高</w:t>
            </w:r>
            <w:r>
              <w:rPr>
                <w:rFonts w:hint="eastAsia"/>
                <w:kern w:val="0"/>
                <w:sz w:val="24"/>
                <w:lang w:bidi="ar"/>
              </w:rPr>
              <w:t>排气筒（</w:t>
            </w:r>
            <w:r>
              <w:rPr>
                <w:rFonts w:hint="eastAsia"/>
                <w:kern w:val="0"/>
                <w:sz w:val="24"/>
                <w:lang w:eastAsia="zh-CN" w:bidi="ar"/>
              </w:rPr>
              <w:t>DA001</w:t>
            </w:r>
            <w:r>
              <w:rPr>
                <w:rFonts w:hint="eastAsia"/>
                <w:kern w:val="0"/>
                <w:sz w:val="24"/>
                <w:lang w:bidi="ar"/>
              </w:rPr>
              <w:t>）排放</w:t>
            </w:r>
            <w:r>
              <w:rPr>
                <w:kern w:val="0"/>
                <w:sz w:val="24"/>
                <w:lang w:bidi="ar"/>
              </w:rPr>
              <w:t>；</w:t>
            </w:r>
          </w:p>
          <w:p w14:paraId="6A2E6879">
            <w:pPr>
              <w:spacing w:line="360" w:lineRule="auto"/>
              <w:ind w:firstLine="480" w:firstLineChars="200"/>
              <w:rPr>
                <w:rFonts w:hint="eastAsia"/>
                <w:sz w:val="24"/>
              </w:rPr>
            </w:pPr>
            <w:r>
              <w:rPr>
                <w:sz w:val="24"/>
              </w:rPr>
              <w:t>②</w:t>
            </w:r>
            <w:r>
              <w:rPr>
                <w:rFonts w:hint="eastAsia"/>
                <w:sz w:val="24"/>
                <w:lang w:eastAsia="zh-CN"/>
              </w:rPr>
              <w:t>焊接烟尘</w:t>
            </w:r>
            <w:r>
              <w:rPr>
                <w:rFonts w:hint="eastAsia"/>
                <w:sz w:val="24"/>
              </w:rPr>
              <w:t>：焊接工位固定，焊接烟尘经集气罩收集后通过布袋除尘器处理后车间内无组织排放。</w:t>
            </w:r>
          </w:p>
          <w:p w14:paraId="1A86A03C">
            <w:pPr>
              <w:spacing w:line="360" w:lineRule="auto"/>
              <w:ind w:firstLine="480" w:firstLineChars="200"/>
              <w:rPr>
                <w:rFonts w:hint="eastAsia" w:eastAsia="宋体"/>
                <w:kern w:val="0"/>
                <w:sz w:val="24"/>
                <w:lang w:eastAsia="zh-CN" w:bidi="ar"/>
              </w:rPr>
            </w:pPr>
            <w:r>
              <w:rPr>
                <w:rFonts w:hint="eastAsia" w:ascii="宋体" w:hAnsi="宋体" w:eastAsia="宋体" w:cs="宋体"/>
                <w:sz w:val="24"/>
              </w:rPr>
              <w:t>③</w:t>
            </w:r>
            <w:r>
              <w:rPr>
                <w:rFonts w:hint="eastAsia" w:ascii="宋体" w:hAnsi="宋体" w:eastAsia="宋体" w:cs="宋体"/>
                <w:sz w:val="24"/>
                <w:lang w:eastAsia="zh-CN"/>
              </w:rPr>
              <w:t>切割粉尘：</w:t>
            </w:r>
            <w:r>
              <w:rPr>
                <w:rFonts w:hint="default" w:ascii="Times New Roman" w:hAnsi="Times New Roman" w:eastAsia="宋体" w:cs="Times New Roman"/>
                <w:sz w:val="24"/>
                <w:szCs w:val="24"/>
                <w:lang w:val="en-US" w:eastAsia="zh-CN"/>
              </w:rPr>
              <w:t>经</w:t>
            </w:r>
            <w:r>
              <w:rPr>
                <w:rFonts w:hint="default" w:ascii="Times New Roman" w:hAnsi="Times New Roman" w:eastAsia="宋体" w:cs="Times New Roman"/>
                <w:sz w:val="24"/>
                <w:szCs w:val="24"/>
              </w:rPr>
              <w:t>切割机自带</w:t>
            </w:r>
            <w:r>
              <w:rPr>
                <w:rFonts w:hint="default" w:ascii="Times New Roman" w:hAnsi="Times New Roman" w:eastAsia="宋体" w:cs="Times New Roman"/>
                <w:sz w:val="24"/>
                <w:szCs w:val="24"/>
                <w:lang w:val="en-US" w:eastAsia="zh-CN"/>
              </w:rPr>
              <w:t>集气罩收集后经设备</w:t>
            </w:r>
            <w:r>
              <w:rPr>
                <w:rFonts w:hint="eastAsia" w:cs="Times New Roman"/>
                <w:sz w:val="24"/>
                <w:szCs w:val="24"/>
                <w:lang w:val="en-US" w:eastAsia="zh-CN"/>
              </w:rPr>
              <w:t>自带布袋除尘器</w:t>
            </w:r>
            <w:r>
              <w:rPr>
                <w:rFonts w:hint="default" w:ascii="Times New Roman" w:hAnsi="Times New Roman" w:eastAsia="宋体" w:cs="Times New Roman"/>
                <w:sz w:val="24"/>
                <w:szCs w:val="24"/>
              </w:rPr>
              <w:t>处理，处理后</w:t>
            </w:r>
            <w:r>
              <w:rPr>
                <w:rFonts w:hint="default" w:ascii="Times New Roman" w:hAnsi="Times New Roman" w:eastAsia="宋体" w:cs="Times New Roman"/>
                <w:sz w:val="24"/>
                <w:szCs w:val="24"/>
                <w:lang w:val="en-US" w:eastAsia="zh-CN"/>
              </w:rPr>
              <w:t>车间内</w:t>
            </w:r>
            <w:r>
              <w:rPr>
                <w:rFonts w:hint="default" w:ascii="Times New Roman" w:hAnsi="Times New Roman" w:eastAsia="宋体" w:cs="Times New Roman"/>
                <w:sz w:val="24"/>
                <w:szCs w:val="24"/>
              </w:rPr>
              <w:t>无组织排放。</w:t>
            </w:r>
          </w:p>
          <w:p w14:paraId="339A92C3">
            <w:pPr>
              <w:spacing w:line="360" w:lineRule="auto"/>
              <w:ind w:firstLine="480" w:firstLineChars="200"/>
              <w:rPr>
                <w:sz w:val="24"/>
              </w:rPr>
            </w:pPr>
            <w:r>
              <w:rPr>
                <w:rFonts w:hint="eastAsia"/>
                <w:sz w:val="24"/>
              </w:rPr>
              <w:t>技术可行性分析：</w:t>
            </w:r>
          </w:p>
          <w:p w14:paraId="3F9B3AE6">
            <w:pPr>
              <w:spacing w:line="360" w:lineRule="auto"/>
              <w:ind w:firstLine="480" w:firstLineChars="200"/>
              <w:rPr>
                <w:sz w:val="24"/>
              </w:rPr>
            </w:pPr>
            <w:r>
              <w:rPr>
                <w:rFonts w:hint="eastAsia"/>
                <w:sz w:val="24"/>
              </w:rPr>
              <w:t>本项目</w:t>
            </w:r>
            <w:r>
              <w:rPr>
                <w:rFonts w:hint="eastAsia"/>
                <w:color w:val="auto"/>
                <w:sz w:val="24"/>
              </w:rPr>
              <w:t>有机废气采用二活性炭吸附处理，根据</w:t>
            </w:r>
            <w:r>
              <w:rPr>
                <w:bCs/>
                <w:color w:val="auto"/>
                <w:sz w:val="24"/>
              </w:rPr>
              <w:t>《挥发性有机物治理实用手册》</w:t>
            </w:r>
            <w:r>
              <w:rPr>
                <w:rFonts w:hint="eastAsia"/>
                <w:color w:val="auto"/>
                <w:sz w:val="24"/>
              </w:rPr>
              <w:t>，活性炭吸附法属于可行性技术</w:t>
            </w:r>
            <w:r>
              <w:rPr>
                <w:rFonts w:hint="eastAsia"/>
                <w:color w:val="auto"/>
                <w:sz w:val="24"/>
                <w:lang w:eastAsia="zh-CN"/>
              </w:rPr>
              <w:t>；</w:t>
            </w:r>
            <w:r>
              <w:rPr>
                <w:rFonts w:hint="eastAsia"/>
                <w:color w:val="auto"/>
                <w:sz w:val="24"/>
                <w:lang w:val="en-US" w:eastAsia="zh-CN"/>
              </w:rPr>
              <w:t>漆雾颗粒采用过滤棉吸附处理，参考</w:t>
            </w:r>
            <w:r>
              <w:rPr>
                <w:rFonts w:ascii="Times New Roman" w:hAnsi="Times New Roman"/>
                <w:kern w:val="0"/>
                <w:sz w:val="24"/>
              </w:rPr>
              <w:t>《排放源统计调查产排污核算方法和系数手册》中“工业行业产排污系数手册”的“33-37 机械行业系数手册”中</w:t>
            </w:r>
            <w:r>
              <w:rPr>
                <w:rFonts w:hint="eastAsia"/>
                <w:kern w:val="0"/>
                <w:sz w:val="24"/>
                <w:lang w:eastAsia="zh-CN"/>
              </w:rPr>
              <w:t>“</w:t>
            </w:r>
            <w:r>
              <w:rPr>
                <w:rFonts w:hint="eastAsia" w:ascii="Times New Roman" w:hAnsi="Times New Roman"/>
                <w:kern w:val="0"/>
                <w:sz w:val="24"/>
                <w:lang w:val="en-US" w:eastAsia="zh-CN"/>
              </w:rPr>
              <w:t>喷漆/喷漆后烘干</w:t>
            </w:r>
            <w:r>
              <w:rPr>
                <w:rFonts w:hint="eastAsia"/>
                <w:kern w:val="0"/>
                <w:sz w:val="24"/>
                <w:lang w:eastAsia="zh-CN"/>
              </w:rPr>
              <w:t>”</w:t>
            </w:r>
            <w:r>
              <w:rPr>
                <w:rFonts w:hint="eastAsia" w:ascii="Times New Roman" w:hAnsi="Times New Roman"/>
                <w:kern w:val="0"/>
                <w:sz w:val="24"/>
                <w:lang w:val="en-US" w:eastAsia="zh-CN"/>
              </w:rPr>
              <w:t>可以采取吸附装置处理，因此采用</w:t>
            </w:r>
            <w:r>
              <w:rPr>
                <w:rFonts w:hint="eastAsia"/>
                <w:color w:val="auto"/>
                <w:sz w:val="24"/>
                <w:lang w:val="en-US" w:eastAsia="zh-CN"/>
              </w:rPr>
              <w:t>过滤棉吸附为可行措施。</w:t>
            </w:r>
          </w:p>
          <w:p w14:paraId="2B7B3692">
            <w:pPr>
              <w:spacing w:line="360" w:lineRule="auto"/>
              <w:ind w:firstLine="480" w:firstLineChars="200"/>
            </w:pPr>
            <w:r>
              <w:rPr>
                <w:sz w:val="24"/>
              </w:rPr>
              <w:t>本项目位于</w:t>
            </w:r>
            <w:r>
              <w:rPr>
                <w:rFonts w:hint="eastAsia"/>
                <w:sz w:val="24"/>
              </w:rPr>
              <w:t>淮北</w:t>
            </w:r>
            <w:r>
              <w:rPr>
                <w:sz w:val="24"/>
              </w:rPr>
              <w:t>市，</w:t>
            </w:r>
            <w:r>
              <w:rPr>
                <w:rFonts w:hint="eastAsia"/>
                <w:sz w:val="24"/>
                <w:lang w:val="zh-CN"/>
              </w:rPr>
              <w:t>淮北</w:t>
            </w:r>
            <w:r>
              <w:rPr>
                <w:sz w:val="24"/>
                <w:lang w:val="zh-CN"/>
              </w:rPr>
              <w:t>市为</w:t>
            </w:r>
            <w:r>
              <w:rPr>
                <w:sz w:val="24"/>
              </w:rPr>
              <w:t>环境</w:t>
            </w:r>
            <w:r>
              <w:rPr>
                <w:rFonts w:hint="eastAsia"/>
                <w:sz w:val="24"/>
              </w:rPr>
              <w:t>空气</w:t>
            </w:r>
            <w:r>
              <w:rPr>
                <w:sz w:val="24"/>
              </w:rPr>
              <w:t>质量</w:t>
            </w:r>
            <w:r>
              <w:rPr>
                <w:rFonts w:hint="eastAsia"/>
                <w:sz w:val="24"/>
              </w:rPr>
              <w:t>不</w:t>
            </w:r>
            <w:r>
              <w:rPr>
                <w:sz w:val="24"/>
              </w:rPr>
              <w:t>达标区，NO</w:t>
            </w:r>
            <w:r>
              <w:rPr>
                <w:sz w:val="24"/>
                <w:vertAlign w:val="subscript"/>
              </w:rPr>
              <w:t>2</w:t>
            </w:r>
            <w:r>
              <w:rPr>
                <w:sz w:val="24"/>
              </w:rPr>
              <w:t>、SO</w:t>
            </w:r>
            <w:r>
              <w:rPr>
                <w:sz w:val="24"/>
                <w:vertAlign w:val="subscript"/>
              </w:rPr>
              <w:t>2</w:t>
            </w:r>
            <w:r>
              <w:rPr>
                <w:sz w:val="24"/>
              </w:rPr>
              <w:t>、CO、PM</w:t>
            </w:r>
            <w:r>
              <w:rPr>
                <w:sz w:val="24"/>
                <w:vertAlign w:val="subscript"/>
              </w:rPr>
              <w:t>10</w:t>
            </w:r>
            <w:r>
              <w:rPr>
                <w:sz w:val="24"/>
              </w:rPr>
              <w:t>年平均浓度值均满足《环境空气质量标准》（GB3095-2012）中二级标准，PM</w:t>
            </w:r>
            <w:r>
              <w:rPr>
                <w:sz w:val="24"/>
                <w:vertAlign w:val="subscript"/>
              </w:rPr>
              <w:t>2.5</w:t>
            </w:r>
            <w:r>
              <w:rPr>
                <w:sz w:val="24"/>
              </w:rPr>
              <w:t>、O</w:t>
            </w:r>
            <w:r>
              <w:rPr>
                <w:sz w:val="24"/>
                <w:vertAlign w:val="subscript"/>
              </w:rPr>
              <w:t>3</w:t>
            </w:r>
            <w:r>
              <w:rPr>
                <w:sz w:val="24"/>
              </w:rPr>
              <w:t>浓度值</w:t>
            </w:r>
            <w:r>
              <w:rPr>
                <w:rFonts w:hint="eastAsia"/>
                <w:sz w:val="24"/>
              </w:rPr>
              <w:t>不</w:t>
            </w:r>
            <w:r>
              <w:rPr>
                <w:sz w:val="24"/>
              </w:rPr>
              <w:t>满足《环境空气质量标准》(GB3095-2012)中二级标准</w:t>
            </w:r>
            <w:r>
              <w:rPr>
                <w:rFonts w:hint="eastAsia"/>
                <w:sz w:val="24"/>
              </w:rPr>
              <w:t>；</w:t>
            </w:r>
            <w:r>
              <w:rPr>
                <w:sz w:val="24"/>
                <w:szCs w:val="22"/>
              </w:rPr>
              <w:t>根据补充监测结果，</w:t>
            </w:r>
            <w:r>
              <w:rPr>
                <w:rFonts w:hint="eastAsia"/>
                <w:sz w:val="24"/>
                <w:szCs w:val="22"/>
              </w:rPr>
              <w:t>监测期间</w:t>
            </w:r>
            <w:r>
              <w:rPr>
                <w:sz w:val="24"/>
                <w:szCs w:val="22"/>
              </w:rPr>
              <w:t>项目区域环境空气</w:t>
            </w:r>
            <w:r>
              <w:rPr>
                <w:rFonts w:hint="eastAsia"/>
                <w:sz w:val="24"/>
                <w:szCs w:val="22"/>
              </w:rPr>
              <w:t>TSP</w:t>
            </w:r>
            <w:r>
              <w:rPr>
                <w:rFonts w:hint="eastAsia"/>
                <w:sz w:val="24"/>
                <w:szCs w:val="22"/>
                <w:lang w:eastAsia="zh-CN"/>
              </w:rPr>
              <w:t>、非甲烷总烃</w:t>
            </w:r>
            <w:r>
              <w:rPr>
                <w:rFonts w:hint="eastAsia"/>
                <w:sz w:val="24"/>
                <w:szCs w:val="22"/>
              </w:rPr>
              <w:t>日均</w:t>
            </w:r>
            <w:r>
              <w:rPr>
                <w:sz w:val="24"/>
                <w:szCs w:val="22"/>
              </w:rPr>
              <w:t>值满足《环境空气质量标准》（GB3095-2012）中的二级标准要求</w:t>
            </w:r>
            <w:r>
              <w:rPr>
                <w:sz w:val="24"/>
              </w:rPr>
              <w:t>。根据废气污染物排放量核算结果，项目废气经处理后排放量较小，本项目对周边大气环境影响较小。</w:t>
            </w:r>
          </w:p>
          <w:p w14:paraId="4F8FEC21">
            <w:pPr>
              <w:spacing w:line="360" w:lineRule="auto"/>
              <w:ind w:firstLine="482" w:firstLineChars="200"/>
              <w:rPr>
                <w:b/>
                <w:bCs/>
                <w:sz w:val="24"/>
              </w:rPr>
            </w:pPr>
            <w:r>
              <w:rPr>
                <w:rFonts w:hint="eastAsia"/>
                <w:b/>
                <w:bCs/>
                <w:sz w:val="24"/>
              </w:rPr>
              <w:t>（二）废水</w:t>
            </w:r>
          </w:p>
          <w:p w14:paraId="3D47501C">
            <w:pPr>
              <w:spacing w:line="360" w:lineRule="auto"/>
              <w:ind w:firstLine="480" w:firstLineChars="200"/>
              <w:rPr>
                <w:sz w:val="24"/>
              </w:rPr>
            </w:pPr>
            <w:r>
              <w:rPr>
                <w:rFonts w:hint="eastAsia"/>
                <w:sz w:val="24"/>
              </w:rPr>
              <w:t>本</w:t>
            </w:r>
            <w:r>
              <w:rPr>
                <w:sz w:val="24"/>
              </w:rPr>
              <w:t>项目用水主要为</w:t>
            </w:r>
            <w:r>
              <w:rPr>
                <w:rFonts w:hint="eastAsia"/>
                <w:sz w:val="24"/>
              </w:rPr>
              <w:t>职工生活用水、食堂用水及循环冷却用水；项目废水主要为职工生活污水及食堂餐饮废水。循环冷却用水不外排，</w:t>
            </w:r>
            <w:r>
              <w:rPr>
                <w:rFonts w:hint="eastAsia"/>
                <w:sz w:val="24"/>
                <w:lang w:eastAsia="zh-CN"/>
              </w:rPr>
              <w:t>生活污水经化粪池预处理，食堂餐饮废水经隔油池预处理，预处理后</w:t>
            </w:r>
            <w:r>
              <w:rPr>
                <w:rFonts w:hint="eastAsia"/>
                <w:sz w:val="24"/>
              </w:rPr>
              <w:t>一同汇入厂区总排口后经市政污水管网进入淮北市龙湖工业园污水处理厂，处理达标后排入龙河。本项目废水产生、处理及排放情况见下表。</w:t>
            </w:r>
          </w:p>
          <w:p w14:paraId="5E1A2A1B">
            <w:pPr>
              <w:pStyle w:val="15"/>
              <w:spacing w:line="360" w:lineRule="auto"/>
              <w:ind w:left="0" w:leftChars="0" w:firstLine="0" w:firstLineChars="0"/>
              <w:rPr>
                <w:sz w:val="24"/>
              </w:rPr>
            </w:pPr>
          </w:p>
        </w:tc>
      </w:tr>
    </w:tbl>
    <w:p w14:paraId="1EA83E54">
      <w:pPr>
        <w:sectPr>
          <w:pgSz w:w="11907" w:h="16840"/>
          <w:pgMar w:top="850" w:right="1418" w:bottom="850" w:left="1418" w:header="851" w:footer="851" w:gutter="0"/>
          <w:pgBorders>
            <w:top w:val="none" w:sz="0" w:space="0"/>
            <w:left w:val="none" w:sz="0" w:space="0"/>
            <w:bottom w:val="none" w:sz="0" w:space="0"/>
            <w:right w:val="none" w:sz="0" w:space="0"/>
          </w:pgBorders>
          <w:cols w:space="720" w:num="1"/>
          <w:docGrid w:linePitch="312" w:charSpace="0"/>
        </w:sect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56"/>
      </w:tblGrid>
      <w:tr w14:paraId="2D459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3" w:hRule="atLeast"/>
        </w:trPr>
        <w:tc>
          <w:tcPr>
            <w:tcW w:w="15356" w:type="dxa"/>
          </w:tcPr>
          <w:p w14:paraId="1394CD99">
            <w:pPr>
              <w:widowControl/>
              <w:numPr>
                <w:ilvl w:val="0"/>
                <w:numId w:val="2"/>
              </w:numPr>
              <w:jc w:val="center"/>
            </w:pPr>
            <w:r>
              <w:rPr>
                <w:b/>
                <w:kern w:val="0"/>
                <w:szCs w:val="21"/>
              </w:rPr>
              <w:t>项目</w:t>
            </w:r>
            <w:r>
              <w:rPr>
                <w:rFonts w:hint="eastAsia"/>
                <w:b/>
                <w:kern w:val="0"/>
                <w:szCs w:val="21"/>
              </w:rPr>
              <w:t>废水</w:t>
            </w:r>
            <w:r>
              <w:rPr>
                <w:b/>
                <w:kern w:val="0"/>
                <w:szCs w:val="21"/>
              </w:rPr>
              <w:t>污染物</w:t>
            </w:r>
            <w:r>
              <w:rPr>
                <w:rFonts w:hint="eastAsia"/>
                <w:b/>
                <w:kern w:val="0"/>
                <w:szCs w:val="21"/>
              </w:rPr>
              <w:t>产生、处理及</w:t>
            </w:r>
            <w:r>
              <w:rPr>
                <w:b/>
                <w:kern w:val="0"/>
                <w:szCs w:val="21"/>
              </w:rPr>
              <w:t>排放情况一览表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6"/>
              <w:gridCol w:w="895"/>
              <w:gridCol w:w="1317"/>
              <w:gridCol w:w="1196"/>
              <w:gridCol w:w="990"/>
              <w:gridCol w:w="784"/>
              <w:gridCol w:w="769"/>
              <w:gridCol w:w="820"/>
              <w:gridCol w:w="820"/>
              <w:gridCol w:w="1011"/>
              <w:gridCol w:w="1196"/>
              <w:gridCol w:w="956"/>
              <w:gridCol w:w="1017"/>
              <w:gridCol w:w="745"/>
              <w:gridCol w:w="784"/>
              <w:gridCol w:w="1038"/>
            </w:tblGrid>
            <w:tr w14:paraId="1DA69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0" w:type="pct"/>
                  <w:vMerge w:val="restart"/>
                  <w:vAlign w:val="center"/>
                </w:tcPr>
                <w:p w14:paraId="5A2CF7F5">
                  <w:pPr>
                    <w:widowControl/>
                    <w:jc w:val="center"/>
                    <w:textAlignment w:val="center"/>
                    <w:rPr>
                      <w:b/>
                      <w:bCs/>
                      <w:sz w:val="21"/>
                      <w:szCs w:val="21"/>
                    </w:rPr>
                  </w:pPr>
                  <w:r>
                    <w:rPr>
                      <w:b/>
                      <w:bCs/>
                      <w:sz w:val="21"/>
                      <w:szCs w:val="21"/>
                    </w:rPr>
                    <w:t>产污环节</w:t>
                  </w:r>
                </w:p>
              </w:tc>
              <w:tc>
                <w:tcPr>
                  <w:tcW w:w="295" w:type="pct"/>
                  <w:vMerge w:val="restart"/>
                  <w:vAlign w:val="center"/>
                </w:tcPr>
                <w:p w14:paraId="3CFFB66E">
                  <w:pPr>
                    <w:widowControl/>
                    <w:jc w:val="center"/>
                    <w:textAlignment w:val="center"/>
                    <w:rPr>
                      <w:b/>
                      <w:bCs/>
                      <w:sz w:val="21"/>
                      <w:szCs w:val="21"/>
                    </w:rPr>
                  </w:pPr>
                  <w:r>
                    <w:rPr>
                      <w:b/>
                      <w:bCs/>
                      <w:sz w:val="21"/>
                      <w:szCs w:val="21"/>
                    </w:rPr>
                    <w:t>类别</w:t>
                  </w:r>
                </w:p>
              </w:tc>
              <w:tc>
                <w:tcPr>
                  <w:tcW w:w="435" w:type="pct"/>
                  <w:vMerge w:val="restart"/>
                  <w:vAlign w:val="center"/>
                </w:tcPr>
                <w:p w14:paraId="237FA164">
                  <w:pPr>
                    <w:widowControl/>
                    <w:jc w:val="center"/>
                    <w:textAlignment w:val="center"/>
                    <w:rPr>
                      <w:b/>
                      <w:bCs/>
                      <w:sz w:val="21"/>
                      <w:szCs w:val="21"/>
                    </w:rPr>
                  </w:pPr>
                  <w:r>
                    <w:rPr>
                      <w:b/>
                      <w:bCs/>
                      <w:sz w:val="21"/>
                      <w:szCs w:val="21"/>
                    </w:rPr>
                    <w:t>污染物种类</w:t>
                  </w:r>
                </w:p>
              </w:tc>
              <w:tc>
                <w:tcPr>
                  <w:tcW w:w="722" w:type="pct"/>
                  <w:gridSpan w:val="2"/>
                  <w:vAlign w:val="center"/>
                </w:tcPr>
                <w:p w14:paraId="1C503B9C">
                  <w:pPr>
                    <w:widowControl/>
                    <w:jc w:val="center"/>
                    <w:textAlignment w:val="center"/>
                    <w:rPr>
                      <w:b/>
                      <w:bCs/>
                      <w:sz w:val="21"/>
                      <w:szCs w:val="21"/>
                    </w:rPr>
                  </w:pPr>
                  <w:r>
                    <w:rPr>
                      <w:b/>
                      <w:bCs/>
                      <w:sz w:val="21"/>
                      <w:szCs w:val="21"/>
                    </w:rPr>
                    <w:t>产生情况</w:t>
                  </w:r>
                </w:p>
              </w:tc>
              <w:tc>
                <w:tcPr>
                  <w:tcW w:w="1389" w:type="pct"/>
                  <w:gridSpan w:val="5"/>
                  <w:vAlign w:val="center"/>
                </w:tcPr>
                <w:p w14:paraId="25E0D558">
                  <w:pPr>
                    <w:jc w:val="center"/>
                    <w:rPr>
                      <w:b/>
                      <w:bCs/>
                      <w:sz w:val="21"/>
                      <w:szCs w:val="21"/>
                    </w:rPr>
                  </w:pPr>
                  <w:r>
                    <w:rPr>
                      <w:b/>
                      <w:bCs/>
                      <w:sz w:val="21"/>
                      <w:szCs w:val="21"/>
                    </w:rPr>
                    <w:t>治理设施</w:t>
                  </w:r>
                </w:p>
              </w:tc>
              <w:tc>
                <w:tcPr>
                  <w:tcW w:w="1895" w:type="pct"/>
                  <w:gridSpan w:val="6"/>
                  <w:vAlign w:val="center"/>
                </w:tcPr>
                <w:p w14:paraId="3FD239D2">
                  <w:pPr>
                    <w:jc w:val="center"/>
                    <w:rPr>
                      <w:b/>
                      <w:bCs/>
                      <w:sz w:val="21"/>
                      <w:szCs w:val="21"/>
                    </w:rPr>
                  </w:pPr>
                  <w:r>
                    <w:rPr>
                      <w:b/>
                      <w:bCs/>
                      <w:sz w:val="21"/>
                      <w:szCs w:val="21"/>
                    </w:rPr>
                    <w:t>排放情况</w:t>
                  </w:r>
                </w:p>
              </w:tc>
            </w:tr>
            <w:tr w14:paraId="0AB44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0" w:type="pct"/>
                  <w:vMerge w:val="continue"/>
                  <w:vAlign w:val="center"/>
                </w:tcPr>
                <w:p w14:paraId="1C2ED1CE">
                  <w:pPr>
                    <w:jc w:val="center"/>
                    <w:rPr>
                      <w:b/>
                      <w:bCs/>
                      <w:sz w:val="21"/>
                      <w:szCs w:val="21"/>
                    </w:rPr>
                  </w:pPr>
                </w:p>
              </w:tc>
              <w:tc>
                <w:tcPr>
                  <w:tcW w:w="295" w:type="pct"/>
                  <w:vMerge w:val="continue"/>
                  <w:vAlign w:val="center"/>
                </w:tcPr>
                <w:p w14:paraId="221F7017">
                  <w:pPr>
                    <w:jc w:val="center"/>
                    <w:rPr>
                      <w:b/>
                      <w:bCs/>
                      <w:sz w:val="21"/>
                      <w:szCs w:val="21"/>
                    </w:rPr>
                  </w:pPr>
                </w:p>
              </w:tc>
              <w:tc>
                <w:tcPr>
                  <w:tcW w:w="435" w:type="pct"/>
                  <w:vMerge w:val="continue"/>
                  <w:vAlign w:val="center"/>
                </w:tcPr>
                <w:p w14:paraId="46C951F9">
                  <w:pPr>
                    <w:jc w:val="center"/>
                    <w:rPr>
                      <w:b/>
                      <w:bCs/>
                      <w:sz w:val="21"/>
                      <w:szCs w:val="21"/>
                    </w:rPr>
                  </w:pPr>
                </w:p>
              </w:tc>
              <w:tc>
                <w:tcPr>
                  <w:tcW w:w="395" w:type="pct"/>
                  <w:vAlign w:val="center"/>
                </w:tcPr>
                <w:p w14:paraId="155A8754">
                  <w:pPr>
                    <w:widowControl/>
                    <w:jc w:val="center"/>
                    <w:textAlignment w:val="center"/>
                    <w:rPr>
                      <w:b/>
                      <w:bCs/>
                      <w:sz w:val="21"/>
                      <w:szCs w:val="21"/>
                    </w:rPr>
                  </w:pPr>
                  <w:r>
                    <w:rPr>
                      <w:b/>
                      <w:bCs/>
                      <w:sz w:val="21"/>
                      <w:szCs w:val="21"/>
                    </w:rPr>
                    <w:t>产生量(t/a)</w:t>
                  </w:r>
                </w:p>
              </w:tc>
              <w:tc>
                <w:tcPr>
                  <w:tcW w:w="327" w:type="pct"/>
                  <w:vAlign w:val="center"/>
                </w:tcPr>
                <w:p w14:paraId="4AEE594B">
                  <w:pPr>
                    <w:widowControl/>
                    <w:jc w:val="center"/>
                    <w:textAlignment w:val="center"/>
                    <w:rPr>
                      <w:b/>
                      <w:bCs/>
                      <w:sz w:val="21"/>
                      <w:szCs w:val="21"/>
                    </w:rPr>
                  </w:pPr>
                  <w:r>
                    <w:rPr>
                      <w:b/>
                      <w:bCs/>
                      <w:sz w:val="21"/>
                      <w:szCs w:val="21"/>
                    </w:rPr>
                    <w:t>浓度(mg/L)</w:t>
                  </w:r>
                </w:p>
              </w:tc>
              <w:tc>
                <w:tcPr>
                  <w:tcW w:w="259" w:type="pct"/>
                  <w:vAlign w:val="center"/>
                </w:tcPr>
                <w:p w14:paraId="0F8F1966">
                  <w:pPr>
                    <w:widowControl/>
                    <w:jc w:val="center"/>
                    <w:textAlignment w:val="center"/>
                    <w:rPr>
                      <w:b/>
                      <w:bCs/>
                      <w:sz w:val="21"/>
                      <w:szCs w:val="21"/>
                    </w:rPr>
                  </w:pPr>
                  <w:r>
                    <w:rPr>
                      <w:b/>
                      <w:bCs/>
                      <w:sz w:val="21"/>
                      <w:szCs w:val="21"/>
                    </w:rPr>
                    <w:t>处理措施</w:t>
                  </w:r>
                </w:p>
              </w:tc>
              <w:tc>
                <w:tcPr>
                  <w:tcW w:w="254" w:type="pct"/>
                  <w:vAlign w:val="center"/>
                </w:tcPr>
                <w:p w14:paraId="60F3EC90">
                  <w:pPr>
                    <w:widowControl/>
                    <w:jc w:val="center"/>
                    <w:textAlignment w:val="center"/>
                    <w:rPr>
                      <w:b/>
                      <w:bCs/>
                      <w:sz w:val="21"/>
                      <w:szCs w:val="21"/>
                    </w:rPr>
                  </w:pPr>
                  <w:r>
                    <w:rPr>
                      <w:b/>
                      <w:bCs/>
                      <w:sz w:val="21"/>
                      <w:szCs w:val="21"/>
                    </w:rPr>
                    <w:t>处理效率</w:t>
                  </w:r>
                </w:p>
              </w:tc>
              <w:tc>
                <w:tcPr>
                  <w:tcW w:w="271" w:type="pct"/>
                  <w:vAlign w:val="center"/>
                </w:tcPr>
                <w:p w14:paraId="4492A42E">
                  <w:pPr>
                    <w:widowControl/>
                    <w:jc w:val="center"/>
                    <w:textAlignment w:val="center"/>
                    <w:rPr>
                      <w:b/>
                      <w:bCs/>
                      <w:sz w:val="21"/>
                      <w:szCs w:val="21"/>
                    </w:rPr>
                  </w:pPr>
                  <w:r>
                    <w:rPr>
                      <w:b/>
                      <w:bCs/>
                      <w:sz w:val="21"/>
                      <w:szCs w:val="21"/>
                    </w:rPr>
                    <w:t>处理工艺</w:t>
                  </w:r>
                </w:p>
              </w:tc>
              <w:tc>
                <w:tcPr>
                  <w:tcW w:w="271" w:type="pct"/>
                  <w:vAlign w:val="center"/>
                </w:tcPr>
                <w:p w14:paraId="754028C3">
                  <w:pPr>
                    <w:widowControl/>
                    <w:jc w:val="center"/>
                    <w:textAlignment w:val="center"/>
                    <w:rPr>
                      <w:b/>
                      <w:bCs/>
                      <w:sz w:val="21"/>
                      <w:szCs w:val="21"/>
                    </w:rPr>
                  </w:pPr>
                  <w:r>
                    <w:rPr>
                      <w:b/>
                      <w:bCs/>
                      <w:sz w:val="21"/>
                      <w:szCs w:val="21"/>
                    </w:rPr>
                    <w:t>处理能力</w:t>
                  </w:r>
                </w:p>
              </w:tc>
              <w:tc>
                <w:tcPr>
                  <w:tcW w:w="334" w:type="pct"/>
                  <w:vAlign w:val="center"/>
                </w:tcPr>
                <w:p w14:paraId="17389D84">
                  <w:pPr>
                    <w:widowControl/>
                    <w:jc w:val="center"/>
                    <w:textAlignment w:val="center"/>
                    <w:rPr>
                      <w:b/>
                      <w:bCs/>
                      <w:sz w:val="21"/>
                      <w:szCs w:val="21"/>
                    </w:rPr>
                  </w:pPr>
                  <w:r>
                    <w:rPr>
                      <w:b/>
                      <w:bCs/>
                      <w:sz w:val="21"/>
                      <w:szCs w:val="21"/>
                    </w:rPr>
                    <w:t>是否可行技术</w:t>
                  </w:r>
                </w:p>
              </w:tc>
              <w:tc>
                <w:tcPr>
                  <w:tcW w:w="395" w:type="pct"/>
                  <w:vAlign w:val="center"/>
                </w:tcPr>
                <w:p w14:paraId="45F9140F">
                  <w:pPr>
                    <w:widowControl/>
                    <w:jc w:val="center"/>
                    <w:textAlignment w:val="center"/>
                    <w:rPr>
                      <w:b/>
                      <w:bCs/>
                      <w:sz w:val="21"/>
                      <w:szCs w:val="21"/>
                    </w:rPr>
                  </w:pPr>
                  <w:r>
                    <w:rPr>
                      <w:b/>
                      <w:bCs/>
                      <w:sz w:val="21"/>
                      <w:szCs w:val="21"/>
                    </w:rPr>
                    <w:t>排放量(t/a)</w:t>
                  </w:r>
                </w:p>
              </w:tc>
              <w:tc>
                <w:tcPr>
                  <w:tcW w:w="316" w:type="pct"/>
                  <w:vAlign w:val="center"/>
                </w:tcPr>
                <w:p w14:paraId="578CF7B8">
                  <w:pPr>
                    <w:widowControl/>
                    <w:jc w:val="center"/>
                    <w:textAlignment w:val="center"/>
                    <w:rPr>
                      <w:b/>
                      <w:bCs/>
                      <w:sz w:val="21"/>
                      <w:szCs w:val="21"/>
                    </w:rPr>
                  </w:pPr>
                  <w:r>
                    <w:rPr>
                      <w:b/>
                      <w:bCs/>
                      <w:sz w:val="21"/>
                      <w:szCs w:val="21"/>
                    </w:rPr>
                    <w:t>浓度(mg/L)</w:t>
                  </w:r>
                </w:p>
              </w:tc>
              <w:tc>
                <w:tcPr>
                  <w:tcW w:w="336" w:type="pct"/>
                  <w:vAlign w:val="center"/>
                </w:tcPr>
                <w:p w14:paraId="5635ABB5">
                  <w:pPr>
                    <w:widowControl/>
                    <w:jc w:val="center"/>
                    <w:textAlignment w:val="center"/>
                    <w:rPr>
                      <w:b/>
                      <w:bCs/>
                      <w:sz w:val="21"/>
                      <w:szCs w:val="21"/>
                    </w:rPr>
                  </w:pPr>
                  <w:r>
                    <w:rPr>
                      <w:b/>
                      <w:bCs/>
                      <w:sz w:val="21"/>
                      <w:szCs w:val="21"/>
                    </w:rPr>
                    <w:t>排放口编号</w:t>
                  </w:r>
                </w:p>
              </w:tc>
              <w:tc>
                <w:tcPr>
                  <w:tcW w:w="246" w:type="pct"/>
                  <w:vAlign w:val="center"/>
                </w:tcPr>
                <w:p w14:paraId="42EBB116">
                  <w:pPr>
                    <w:widowControl/>
                    <w:jc w:val="center"/>
                    <w:textAlignment w:val="center"/>
                    <w:rPr>
                      <w:b/>
                      <w:bCs/>
                      <w:sz w:val="21"/>
                      <w:szCs w:val="21"/>
                    </w:rPr>
                  </w:pPr>
                  <w:r>
                    <w:rPr>
                      <w:b/>
                      <w:bCs/>
                      <w:sz w:val="21"/>
                      <w:szCs w:val="21"/>
                    </w:rPr>
                    <w:t>排放方式</w:t>
                  </w:r>
                </w:p>
              </w:tc>
              <w:tc>
                <w:tcPr>
                  <w:tcW w:w="259" w:type="pct"/>
                  <w:vAlign w:val="center"/>
                </w:tcPr>
                <w:p w14:paraId="60DA0F03">
                  <w:pPr>
                    <w:widowControl/>
                    <w:jc w:val="center"/>
                    <w:textAlignment w:val="center"/>
                    <w:rPr>
                      <w:b/>
                      <w:bCs/>
                      <w:sz w:val="21"/>
                      <w:szCs w:val="21"/>
                    </w:rPr>
                  </w:pPr>
                  <w:r>
                    <w:rPr>
                      <w:b/>
                      <w:bCs/>
                      <w:sz w:val="21"/>
                      <w:szCs w:val="21"/>
                    </w:rPr>
                    <w:t>排放去向</w:t>
                  </w:r>
                </w:p>
              </w:tc>
              <w:tc>
                <w:tcPr>
                  <w:tcW w:w="342" w:type="pct"/>
                  <w:vAlign w:val="center"/>
                </w:tcPr>
                <w:p w14:paraId="18FAFCD0">
                  <w:pPr>
                    <w:widowControl/>
                    <w:jc w:val="center"/>
                    <w:textAlignment w:val="center"/>
                    <w:rPr>
                      <w:b/>
                      <w:bCs/>
                      <w:sz w:val="21"/>
                      <w:szCs w:val="21"/>
                    </w:rPr>
                  </w:pPr>
                  <w:r>
                    <w:rPr>
                      <w:b/>
                      <w:bCs/>
                      <w:sz w:val="21"/>
                      <w:szCs w:val="21"/>
                    </w:rPr>
                    <w:t>排放规律</w:t>
                  </w:r>
                </w:p>
              </w:tc>
            </w:tr>
            <w:tr w14:paraId="5EC61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0" w:type="pct"/>
                  <w:vMerge w:val="restart"/>
                  <w:vAlign w:val="center"/>
                </w:tcPr>
                <w:p w14:paraId="3970AD69">
                  <w:pPr>
                    <w:jc w:val="center"/>
                    <w:rPr>
                      <w:sz w:val="21"/>
                      <w:szCs w:val="21"/>
                    </w:rPr>
                  </w:pPr>
                  <w:r>
                    <w:rPr>
                      <w:sz w:val="21"/>
                      <w:szCs w:val="21"/>
                    </w:rPr>
                    <w:t>生活</w:t>
                  </w:r>
                </w:p>
              </w:tc>
              <w:tc>
                <w:tcPr>
                  <w:tcW w:w="295" w:type="pct"/>
                  <w:vMerge w:val="restart"/>
                  <w:vAlign w:val="center"/>
                </w:tcPr>
                <w:p w14:paraId="09AE5DED">
                  <w:pPr>
                    <w:jc w:val="center"/>
                    <w:rPr>
                      <w:sz w:val="21"/>
                      <w:szCs w:val="21"/>
                    </w:rPr>
                  </w:pPr>
                  <w:r>
                    <w:rPr>
                      <w:sz w:val="21"/>
                      <w:szCs w:val="21"/>
                    </w:rPr>
                    <w:t>生活污水</w:t>
                  </w:r>
                </w:p>
              </w:tc>
              <w:tc>
                <w:tcPr>
                  <w:tcW w:w="435" w:type="pct"/>
                  <w:vAlign w:val="center"/>
                </w:tcPr>
                <w:p w14:paraId="34BCC1EB">
                  <w:pPr>
                    <w:adjustRightInd w:val="0"/>
                    <w:jc w:val="center"/>
                    <w:rPr>
                      <w:bCs/>
                      <w:kern w:val="0"/>
                      <w:sz w:val="21"/>
                      <w:szCs w:val="21"/>
                    </w:rPr>
                  </w:pPr>
                  <w:r>
                    <w:rPr>
                      <w:bCs/>
                      <w:kern w:val="0"/>
                      <w:sz w:val="21"/>
                      <w:szCs w:val="21"/>
                    </w:rPr>
                    <w:t>水量</w:t>
                  </w:r>
                </w:p>
              </w:tc>
              <w:tc>
                <w:tcPr>
                  <w:tcW w:w="1196" w:type="dxa"/>
                  <w:vAlign w:val="center"/>
                </w:tcPr>
                <w:p w14:paraId="58EB5FE5">
                  <w:pPr>
                    <w:keepNext w:val="0"/>
                    <w:keepLines w:val="0"/>
                    <w:widowControl/>
                    <w:suppressLineNumbers w:val="0"/>
                    <w:jc w:val="center"/>
                    <w:textAlignment w:val="center"/>
                    <w:rPr>
                      <w:rFonts w:hint="default" w:eastAsia="宋体"/>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2371.5</w:t>
                  </w:r>
                </w:p>
              </w:tc>
              <w:tc>
                <w:tcPr>
                  <w:tcW w:w="327" w:type="pct"/>
                  <w:vAlign w:val="center"/>
                </w:tcPr>
                <w:p w14:paraId="7F4CF2B8">
                  <w:pPr>
                    <w:widowControl/>
                    <w:jc w:val="center"/>
                    <w:textAlignment w:val="center"/>
                    <w:rPr>
                      <w:bCs/>
                      <w:kern w:val="0"/>
                      <w:sz w:val="21"/>
                      <w:szCs w:val="21"/>
                    </w:rPr>
                  </w:pPr>
                  <w:r>
                    <w:rPr>
                      <w:bCs/>
                      <w:kern w:val="0"/>
                      <w:sz w:val="21"/>
                      <w:szCs w:val="21"/>
                    </w:rPr>
                    <w:t>/</w:t>
                  </w:r>
                </w:p>
              </w:tc>
              <w:tc>
                <w:tcPr>
                  <w:tcW w:w="259" w:type="pct"/>
                  <w:vMerge w:val="restart"/>
                  <w:vAlign w:val="center"/>
                </w:tcPr>
                <w:p w14:paraId="1F8803A2">
                  <w:pPr>
                    <w:jc w:val="center"/>
                    <w:rPr>
                      <w:sz w:val="21"/>
                      <w:szCs w:val="21"/>
                    </w:rPr>
                  </w:pPr>
                  <w:r>
                    <w:rPr>
                      <w:sz w:val="21"/>
                      <w:szCs w:val="21"/>
                    </w:rPr>
                    <w:t>化粪池</w:t>
                  </w:r>
                </w:p>
              </w:tc>
              <w:tc>
                <w:tcPr>
                  <w:tcW w:w="254" w:type="pct"/>
                  <w:vAlign w:val="center"/>
                </w:tcPr>
                <w:p w14:paraId="123ECEDA">
                  <w:pPr>
                    <w:adjustRightInd w:val="0"/>
                    <w:jc w:val="center"/>
                    <w:rPr>
                      <w:bCs/>
                      <w:kern w:val="0"/>
                      <w:sz w:val="21"/>
                      <w:szCs w:val="21"/>
                    </w:rPr>
                  </w:pPr>
                  <w:r>
                    <w:rPr>
                      <w:sz w:val="21"/>
                      <w:szCs w:val="21"/>
                    </w:rPr>
                    <w:t>/</w:t>
                  </w:r>
                </w:p>
              </w:tc>
              <w:tc>
                <w:tcPr>
                  <w:tcW w:w="271" w:type="pct"/>
                  <w:vMerge w:val="restart"/>
                  <w:vAlign w:val="center"/>
                </w:tcPr>
                <w:p w14:paraId="103F4F1B">
                  <w:pPr>
                    <w:jc w:val="center"/>
                    <w:rPr>
                      <w:sz w:val="21"/>
                      <w:szCs w:val="21"/>
                    </w:rPr>
                  </w:pPr>
                  <w:r>
                    <w:rPr>
                      <w:kern w:val="0"/>
                      <w:sz w:val="21"/>
                      <w:szCs w:val="21"/>
                    </w:rPr>
                    <w:t>化粪池</w:t>
                  </w:r>
                </w:p>
              </w:tc>
              <w:tc>
                <w:tcPr>
                  <w:tcW w:w="271" w:type="pct"/>
                  <w:vMerge w:val="restart"/>
                  <w:vAlign w:val="center"/>
                </w:tcPr>
                <w:p w14:paraId="60C6EBE5">
                  <w:pPr>
                    <w:jc w:val="center"/>
                    <w:rPr>
                      <w:rFonts w:hint="eastAsia" w:eastAsia="宋体"/>
                      <w:sz w:val="21"/>
                      <w:szCs w:val="21"/>
                      <w:lang w:eastAsia="zh-CN"/>
                    </w:rPr>
                  </w:pPr>
                  <w:r>
                    <w:rPr>
                      <w:rFonts w:hint="eastAsia"/>
                      <w:sz w:val="21"/>
                      <w:szCs w:val="21"/>
                      <w:lang w:val="en-US" w:eastAsia="zh-CN"/>
                    </w:rPr>
                    <w:t>/</w:t>
                  </w:r>
                </w:p>
              </w:tc>
              <w:tc>
                <w:tcPr>
                  <w:tcW w:w="334" w:type="pct"/>
                  <w:vMerge w:val="restart"/>
                  <w:vAlign w:val="center"/>
                </w:tcPr>
                <w:p w14:paraId="48FD6A7D">
                  <w:pPr>
                    <w:jc w:val="center"/>
                    <w:rPr>
                      <w:sz w:val="21"/>
                      <w:szCs w:val="21"/>
                    </w:rPr>
                  </w:pPr>
                  <w:r>
                    <w:rPr>
                      <w:sz w:val="21"/>
                      <w:szCs w:val="21"/>
                    </w:rPr>
                    <w:t>是</w:t>
                  </w:r>
                </w:p>
              </w:tc>
              <w:tc>
                <w:tcPr>
                  <w:tcW w:w="1196" w:type="dxa"/>
                  <w:vAlign w:val="center"/>
                </w:tcPr>
                <w:p w14:paraId="4F70AFFE">
                  <w:pPr>
                    <w:keepNext w:val="0"/>
                    <w:keepLines w:val="0"/>
                    <w:widowControl/>
                    <w:suppressLineNumbers w:val="0"/>
                    <w:jc w:val="center"/>
                    <w:textAlignment w:val="center"/>
                    <w:rPr>
                      <w:sz w:val="21"/>
                      <w:szCs w:val="21"/>
                    </w:rPr>
                  </w:pPr>
                  <w:r>
                    <w:rPr>
                      <w:rFonts w:hint="default" w:ascii="Times New Roman" w:hAnsi="Times New Roman" w:eastAsia="宋体" w:cs="Times New Roman"/>
                      <w:i w:val="0"/>
                      <w:iCs w:val="0"/>
                      <w:color w:val="000000"/>
                      <w:kern w:val="0"/>
                      <w:sz w:val="21"/>
                      <w:szCs w:val="21"/>
                      <w:u w:val="none"/>
                      <w:lang w:val="en-US" w:eastAsia="zh-CN" w:bidi="ar"/>
                    </w:rPr>
                    <w:t>2371.5</w:t>
                  </w:r>
                </w:p>
              </w:tc>
              <w:tc>
                <w:tcPr>
                  <w:tcW w:w="316" w:type="pct"/>
                  <w:vAlign w:val="center"/>
                </w:tcPr>
                <w:p w14:paraId="5B2E9565">
                  <w:pPr>
                    <w:widowControl/>
                    <w:jc w:val="center"/>
                    <w:textAlignment w:val="center"/>
                    <w:rPr>
                      <w:bCs/>
                      <w:kern w:val="0"/>
                      <w:sz w:val="21"/>
                      <w:szCs w:val="21"/>
                    </w:rPr>
                  </w:pPr>
                  <w:r>
                    <w:rPr>
                      <w:bCs/>
                      <w:kern w:val="0"/>
                      <w:sz w:val="21"/>
                      <w:szCs w:val="21"/>
                    </w:rPr>
                    <w:t>/</w:t>
                  </w:r>
                </w:p>
              </w:tc>
              <w:tc>
                <w:tcPr>
                  <w:tcW w:w="336" w:type="pct"/>
                  <w:vMerge w:val="restart"/>
                  <w:vAlign w:val="center"/>
                </w:tcPr>
                <w:p w14:paraId="29E2C98A">
                  <w:pPr>
                    <w:jc w:val="center"/>
                    <w:rPr>
                      <w:sz w:val="21"/>
                      <w:szCs w:val="21"/>
                    </w:rPr>
                  </w:pPr>
                  <w:r>
                    <w:rPr>
                      <w:sz w:val="21"/>
                      <w:szCs w:val="21"/>
                    </w:rPr>
                    <w:t>DW001</w:t>
                  </w:r>
                </w:p>
              </w:tc>
              <w:tc>
                <w:tcPr>
                  <w:tcW w:w="246" w:type="pct"/>
                  <w:vMerge w:val="restart"/>
                  <w:vAlign w:val="center"/>
                </w:tcPr>
                <w:p w14:paraId="396D4300">
                  <w:pPr>
                    <w:jc w:val="center"/>
                    <w:rPr>
                      <w:sz w:val="21"/>
                      <w:szCs w:val="21"/>
                    </w:rPr>
                  </w:pPr>
                  <w:r>
                    <w:rPr>
                      <w:sz w:val="21"/>
                      <w:szCs w:val="21"/>
                    </w:rPr>
                    <w:t>间接排放</w:t>
                  </w:r>
                </w:p>
              </w:tc>
              <w:tc>
                <w:tcPr>
                  <w:tcW w:w="259" w:type="pct"/>
                  <w:vMerge w:val="restart"/>
                  <w:vAlign w:val="center"/>
                </w:tcPr>
                <w:p w14:paraId="4FA784BA">
                  <w:pPr>
                    <w:jc w:val="center"/>
                    <w:rPr>
                      <w:sz w:val="21"/>
                      <w:szCs w:val="21"/>
                    </w:rPr>
                  </w:pPr>
                  <w:r>
                    <w:rPr>
                      <w:sz w:val="21"/>
                      <w:szCs w:val="21"/>
                    </w:rPr>
                    <w:t>淮北市龙湖工业园污水处理厂</w:t>
                  </w:r>
                </w:p>
              </w:tc>
              <w:tc>
                <w:tcPr>
                  <w:tcW w:w="342" w:type="pct"/>
                  <w:vMerge w:val="restart"/>
                  <w:vAlign w:val="center"/>
                </w:tcPr>
                <w:p w14:paraId="70EB43D8">
                  <w:pPr>
                    <w:jc w:val="center"/>
                    <w:rPr>
                      <w:sz w:val="21"/>
                      <w:szCs w:val="21"/>
                    </w:rPr>
                  </w:pPr>
                  <w:r>
                    <w:rPr>
                      <w:sz w:val="21"/>
                      <w:szCs w:val="21"/>
                    </w:rPr>
                    <w:t>间断排放，排放期间流量不稳定，但有周期性规律</w:t>
                  </w:r>
                </w:p>
              </w:tc>
            </w:tr>
            <w:tr w14:paraId="2E7D4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0" w:type="pct"/>
                  <w:vMerge w:val="continue"/>
                  <w:vAlign w:val="center"/>
                </w:tcPr>
                <w:p w14:paraId="7026AAE9">
                  <w:pPr>
                    <w:jc w:val="center"/>
                    <w:rPr>
                      <w:sz w:val="21"/>
                      <w:szCs w:val="21"/>
                    </w:rPr>
                  </w:pPr>
                </w:p>
              </w:tc>
              <w:tc>
                <w:tcPr>
                  <w:tcW w:w="295" w:type="pct"/>
                  <w:vMerge w:val="continue"/>
                  <w:vAlign w:val="center"/>
                </w:tcPr>
                <w:p w14:paraId="21161940">
                  <w:pPr>
                    <w:jc w:val="center"/>
                    <w:rPr>
                      <w:sz w:val="21"/>
                      <w:szCs w:val="21"/>
                    </w:rPr>
                  </w:pPr>
                </w:p>
              </w:tc>
              <w:tc>
                <w:tcPr>
                  <w:tcW w:w="435" w:type="pct"/>
                  <w:vAlign w:val="center"/>
                </w:tcPr>
                <w:p w14:paraId="761564AA">
                  <w:pPr>
                    <w:adjustRightInd w:val="0"/>
                    <w:jc w:val="center"/>
                    <w:rPr>
                      <w:bCs/>
                      <w:kern w:val="0"/>
                      <w:sz w:val="21"/>
                      <w:szCs w:val="21"/>
                    </w:rPr>
                  </w:pPr>
                  <w:r>
                    <w:rPr>
                      <w:bCs/>
                      <w:kern w:val="0"/>
                      <w:sz w:val="21"/>
                      <w:szCs w:val="21"/>
                    </w:rPr>
                    <w:t>COD</w:t>
                  </w:r>
                </w:p>
              </w:tc>
              <w:tc>
                <w:tcPr>
                  <w:tcW w:w="1196" w:type="dxa"/>
                  <w:vAlign w:val="center"/>
                </w:tcPr>
                <w:p w14:paraId="0D67B836">
                  <w:pPr>
                    <w:keepNext w:val="0"/>
                    <w:keepLines w:val="0"/>
                    <w:widowControl/>
                    <w:suppressLineNumbers w:val="0"/>
                    <w:jc w:val="center"/>
                    <w:textAlignment w:val="center"/>
                    <w:rPr>
                      <w:sz w:val="21"/>
                      <w:szCs w:val="21"/>
                    </w:rPr>
                  </w:pPr>
                  <w:r>
                    <w:rPr>
                      <w:rFonts w:hint="default" w:ascii="Times New Roman" w:hAnsi="Times New Roman" w:eastAsia="宋体" w:cs="Times New Roman"/>
                      <w:i w:val="0"/>
                      <w:iCs w:val="0"/>
                      <w:color w:val="000000"/>
                      <w:kern w:val="0"/>
                      <w:sz w:val="21"/>
                      <w:szCs w:val="21"/>
                      <w:u w:val="none"/>
                      <w:lang w:val="en-US" w:eastAsia="zh-CN" w:bidi="ar"/>
                    </w:rPr>
                    <w:t>0.711</w:t>
                  </w:r>
                </w:p>
              </w:tc>
              <w:tc>
                <w:tcPr>
                  <w:tcW w:w="327" w:type="pct"/>
                  <w:vAlign w:val="center"/>
                </w:tcPr>
                <w:p w14:paraId="184C1A8C">
                  <w:pPr>
                    <w:widowControl/>
                    <w:jc w:val="center"/>
                    <w:textAlignment w:val="top"/>
                    <w:rPr>
                      <w:sz w:val="21"/>
                      <w:szCs w:val="21"/>
                    </w:rPr>
                  </w:pPr>
                  <w:r>
                    <w:rPr>
                      <w:sz w:val="21"/>
                      <w:szCs w:val="21"/>
                    </w:rPr>
                    <w:t>300</w:t>
                  </w:r>
                </w:p>
              </w:tc>
              <w:tc>
                <w:tcPr>
                  <w:tcW w:w="259" w:type="pct"/>
                  <w:vMerge w:val="continue"/>
                  <w:vAlign w:val="center"/>
                </w:tcPr>
                <w:p w14:paraId="1B934FDB">
                  <w:pPr>
                    <w:jc w:val="center"/>
                    <w:rPr>
                      <w:sz w:val="21"/>
                      <w:szCs w:val="21"/>
                    </w:rPr>
                  </w:pPr>
                </w:p>
              </w:tc>
              <w:tc>
                <w:tcPr>
                  <w:tcW w:w="254" w:type="pct"/>
                  <w:vAlign w:val="center"/>
                </w:tcPr>
                <w:p w14:paraId="47501A3D">
                  <w:pPr>
                    <w:jc w:val="center"/>
                    <w:rPr>
                      <w:sz w:val="21"/>
                      <w:szCs w:val="21"/>
                    </w:rPr>
                  </w:pPr>
                  <w:r>
                    <w:rPr>
                      <w:sz w:val="21"/>
                      <w:szCs w:val="21"/>
                    </w:rPr>
                    <w:t>15%</w:t>
                  </w:r>
                </w:p>
              </w:tc>
              <w:tc>
                <w:tcPr>
                  <w:tcW w:w="271" w:type="pct"/>
                  <w:vMerge w:val="continue"/>
                  <w:vAlign w:val="center"/>
                </w:tcPr>
                <w:p w14:paraId="10D67BA9">
                  <w:pPr>
                    <w:jc w:val="center"/>
                    <w:rPr>
                      <w:sz w:val="21"/>
                      <w:szCs w:val="21"/>
                    </w:rPr>
                  </w:pPr>
                </w:p>
              </w:tc>
              <w:tc>
                <w:tcPr>
                  <w:tcW w:w="271" w:type="pct"/>
                  <w:vMerge w:val="continue"/>
                  <w:vAlign w:val="center"/>
                </w:tcPr>
                <w:p w14:paraId="4ECDB1A1">
                  <w:pPr>
                    <w:jc w:val="center"/>
                    <w:rPr>
                      <w:sz w:val="21"/>
                      <w:szCs w:val="21"/>
                    </w:rPr>
                  </w:pPr>
                </w:p>
              </w:tc>
              <w:tc>
                <w:tcPr>
                  <w:tcW w:w="334" w:type="pct"/>
                  <w:vMerge w:val="continue"/>
                  <w:vAlign w:val="center"/>
                </w:tcPr>
                <w:p w14:paraId="414BA25A">
                  <w:pPr>
                    <w:jc w:val="center"/>
                    <w:rPr>
                      <w:sz w:val="21"/>
                      <w:szCs w:val="21"/>
                    </w:rPr>
                  </w:pPr>
                </w:p>
              </w:tc>
              <w:tc>
                <w:tcPr>
                  <w:tcW w:w="1196" w:type="dxa"/>
                  <w:vAlign w:val="center"/>
                </w:tcPr>
                <w:p w14:paraId="554FA9A0">
                  <w:pPr>
                    <w:keepNext w:val="0"/>
                    <w:keepLines w:val="0"/>
                    <w:widowControl/>
                    <w:suppressLineNumbers w:val="0"/>
                    <w:jc w:val="center"/>
                    <w:textAlignment w:val="center"/>
                    <w:rPr>
                      <w:sz w:val="21"/>
                      <w:szCs w:val="21"/>
                    </w:rPr>
                  </w:pPr>
                  <w:r>
                    <w:rPr>
                      <w:rFonts w:hint="default" w:ascii="Times New Roman" w:hAnsi="Times New Roman" w:eastAsia="宋体" w:cs="Times New Roman"/>
                      <w:i w:val="0"/>
                      <w:iCs w:val="0"/>
                      <w:color w:val="000000"/>
                      <w:kern w:val="0"/>
                      <w:sz w:val="21"/>
                      <w:szCs w:val="21"/>
                      <w:u w:val="none"/>
                      <w:lang w:val="en-US" w:eastAsia="zh-CN" w:bidi="ar"/>
                    </w:rPr>
                    <w:t>0.605</w:t>
                  </w:r>
                </w:p>
              </w:tc>
              <w:tc>
                <w:tcPr>
                  <w:tcW w:w="316" w:type="pct"/>
                  <w:vAlign w:val="center"/>
                </w:tcPr>
                <w:p w14:paraId="4FD35EE4">
                  <w:pPr>
                    <w:widowControl/>
                    <w:jc w:val="center"/>
                    <w:textAlignment w:val="top"/>
                    <w:rPr>
                      <w:sz w:val="21"/>
                      <w:szCs w:val="21"/>
                    </w:rPr>
                  </w:pPr>
                  <w:r>
                    <w:rPr>
                      <w:sz w:val="21"/>
                      <w:szCs w:val="21"/>
                    </w:rPr>
                    <w:t>255</w:t>
                  </w:r>
                </w:p>
              </w:tc>
              <w:tc>
                <w:tcPr>
                  <w:tcW w:w="336" w:type="pct"/>
                  <w:vMerge w:val="continue"/>
                  <w:vAlign w:val="center"/>
                </w:tcPr>
                <w:p w14:paraId="78AC5E16">
                  <w:pPr>
                    <w:jc w:val="center"/>
                    <w:rPr>
                      <w:sz w:val="21"/>
                      <w:szCs w:val="21"/>
                    </w:rPr>
                  </w:pPr>
                </w:p>
              </w:tc>
              <w:tc>
                <w:tcPr>
                  <w:tcW w:w="246" w:type="pct"/>
                  <w:vMerge w:val="continue"/>
                  <w:vAlign w:val="center"/>
                </w:tcPr>
                <w:p w14:paraId="1E4CEFCD">
                  <w:pPr>
                    <w:jc w:val="center"/>
                    <w:rPr>
                      <w:sz w:val="21"/>
                      <w:szCs w:val="21"/>
                    </w:rPr>
                  </w:pPr>
                </w:p>
              </w:tc>
              <w:tc>
                <w:tcPr>
                  <w:tcW w:w="259" w:type="pct"/>
                  <w:vMerge w:val="continue"/>
                  <w:vAlign w:val="center"/>
                </w:tcPr>
                <w:p w14:paraId="22DA0FD3">
                  <w:pPr>
                    <w:jc w:val="center"/>
                    <w:rPr>
                      <w:sz w:val="21"/>
                      <w:szCs w:val="21"/>
                    </w:rPr>
                  </w:pPr>
                </w:p>
              </w:tc>
              <w:tc>
                <w:tcPr>
                  <w:tcW w:w="342" w:type="pct"/>
                  <w:vMerge w:val="continue"/>
                  <w:vAlign w:val="center"/>
                </w:tcPr>
                <w:p w14:paraId="20CE2E56">
                  <w:pPr>
                    <w:jc w:val="center"/>
                    <w:rPr>
                      <w:sz w:val="21"/>
                      <w:szCs w:val="21"/>
                    </w:rPr>
                  </w:pPr>
                </w:p>
              </w:tc>
            </w:tr>
            <w:tr w14:paraId="3AC71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0" w:type="pct"/>
                  <w:vMerge w:val="continue"/>
                  <w:vAlign w:val="center"/>
                </w:tcPr>
                <w:p w14:paraId="055B9205">
                  <w:pPr>
                    <w:jc w:val="center"/>
                    <w:rPr>
                      <w:sz w:val="21"/>
                      <w:szCs w:val="21"/>
                    </w:rPr>
                  </w:pPr>
                </w:p>
              </w:tc>
              <w:tc>
                <w:tcPr>
                  <w:tcW w:w="295" w:type="pct"/>
                  <w:vMerge w:val="continue"/>
                  <w:vAlign w:val="center"/>
                </w:tcPr>
                <w:p w14:paraId="3D01E7F1">
                  <w:pPr>
                    <w:jc w:val="center"/>
                    <w:rPr>
                      <w:sz w:val="21"/>
                      <w:szCs w:val="21"/>
                    </w:rPr>
                  </w:pPr>
                </w:p>
              </w:tc>
              <w:tc>
                <w:tcPr>
                  <w:tcW w:w="435" w:type="pct"/>
                  <w:vAlign w:val="center"/>
                </w:tcPr>
                <w:p w14:paraId="281C7244">
                  <w:pPr>
                    <w:adjustRightInd w:val="0"/>
                    <w:jc w:val="center"/>
                    <w:rPr>
                      <w:bCs/>
                      <w:kern w:val="0"/>
                      <w:sz w:val="21"/>
                      <w:szCs w:val="21"/>
                    </w:rPr>
                  </w:pPr>
                  <w:r>
                    <w:rPr>
                      <w:bCs/>
                      <w:kern w:val="0"/>
                      <w:sz w:val="21"/>
                      <w:szCs w:val="21"/>
                    </w:rPr>
                    <w:t>BOD</w:t>
                  </w:r>
                  <w:r>
                    <w:rPr>
                      <w:bCs/>
                      <w:kern w:val="0"/>
                      <w:sz w:val="21"/>
                      <w:szCs w:val="21"/>
                      <w:vertAlign w:val="subscript"/>
                    </w:rPr>
                    <w:t>5</w:t>
                  </w:r>
                </w:p>
              </w:tc>
              <w:tc>
                <w:tcPr>
                  <w:tcW w:w="1196" w:type="dxa"/>
                  <w:vAlign w:val="center"/>
                </w:tcPr>
                <w:p w14:paraId="46FE6727">
                  <w:pPr>
                    <w:keepNext w:val="0"/>
                    <w:keepLines w:val="0"/>
                    <w:widowControl/>
                    <w:suppressLineNumbers w:val="0"/>
                    <w:jc w:val="center"/>
                    <w:textAlignment w:val="center"/>
                    <w:rPr>
                      <w:sz w:val="21"/>
                      <w:szCs w:val="21"/>
                    </w:rPr>
                  </w:pPr>
                  <w:r>
                    <w:rPr>
                      <w:rFonts w:hint="default" w:ascii="Times New Roman" w:hAnsi="Times New Roman" w:eastAsia="宋体" w:cs="Times New Roman"/>
                      <w:i w:val="0"/>
                      <w:iCs w:val="0"/>
                      <w:color w:val="000000"/>
                      <w:kern w:val="0"/>
                      <w:sz w:val="21"/>
                      <w:szCs w:val="21"/>
                      <w:u w:val="none"/>
                      <w:lang w:val="en-US" w:eastAsia="zh-CN" w:bidi="ar"/>
                    </w:rPr>
                    <w:t>0.356</w:t>
                  </w:r>
                </w:p>
              </w:tc>
              <w:tc>
                <w:tcPr>
                  <w:tcW w:w="327" w:type="pct"/>
                  <w:vAlign w:val="center"/>
                </w:tcPr>
                <w:p w14:paraId="31F80CF8">
                  <w:pPr>
                    <w:widowControl/>
                    <w:jc w:val="center"/>
                    <w:textAlignment w:val="top"/>
                    <w:rPr>
                      <w:sz w:val="21"/>
                      <w:szCs w:val="21"/>
                    </w:rPr>
                  </w:pPr>
                  <w:r>
                    <w:rPr>
                      <w:sz w:val="21"/>
                      <w:szCs w:val="21"/>
                    </w:rPr>
                    <w:t>150</w:t>
                  </w:r>
                </w:p>
              </w:tc>
              <w:tc>
                <w:tcPr>
                  <w:tcW w:w="259" w:type="pct"/>
                  <w:vMerge w:val="continue"/>
                  <w:vAlign w:val="center"/>
                </w:tcPr>
                <w:p w14:paraId="60AB8230">
                  <w:pPr>
                    <w:jc w:val="center"/>
                    <w:rPr>
                      <w:sz w:val="21"/>
                      <w:szCs w:val="21"/>
                    </w:rPr>
                  </w:pPr>
                </w:p>
              </w:tc>
              <w:tc>
                <w:tcPr>
                  <w:tcW w:w="254" w:type="pct"/>
                  <w:vAlign w:val="center"/>
                </w:tcPr>
                <w:p w14:paraId="338E1265">
                  <w:pPr>
                    <w:jc w:val="center"/>
                    <w:rPr>
                      <w:sz w:val="21"/>
                      <w:szCs w:val="21"/>
                    </w:rPr>
                  </w:pPr>
                  <w:r>
                    <w:rPr>
                      <w:sz w:val="21"/>
                      <w:szCs w:val="21"/>
                    </w:rPr>
                    <w:t>10%</w:t>
                  </w:r>
                </w:p>
              </w:tc>
              <w:tc>
                <w:tcPr>
                  <w:tcW w:w="271" w:type="pct"/>
                  <w:vMerge w:val="continue"/>
                  <w:vAlign w:val="center"/>
                </w:tcPr>
                <w:p w14:paraId="0A4B1641">
                  <w:pPr>
                    <w:jc w:val="center"/>
                    <w:rPr>
                      <w:sz w:val="21"/>
                      <w:szCs w:val="21"/>
                    </w:rPr>
                  </w:pPr>
                </w:p>
              </w:tc>
              <w:tc>
                <w:tcPr>
                  <w:tcW w:w="271" w:type="pct"/>
                  <w:vMerge w:val="continue"/>
                  <w:vAlign w:val="center"/>
                </w:tcPr>
                <w:p w14:paraId="71BE241B">
                  <w:pPr>
                    <w:jc w:val="center"/>
                    <w:rPr>
                      <w:sz w:val="21"/>
                      <w:szCs w:val="21"/>
                    </w:rPr>
                  </w:pPr>
                </w:p>
              </w:tc>
              <w:tc>
                <w:tcPr>
                  <w:tcW w:w="334" w:type="pct"/>
                  <w:vMerge w:val="continue"/>
                  <w:vAlign w:val="center"/>
                </w:tcPr>
                <w:p w14:paraId="62DC12D9">
                  <w:pPr>
                    <w:jc w:val="center"/>
                    <w:rPr>
                      <w:sz w:val="21"/>
                      <w:szCs w:val="21"/>
                    </w:rPr>
                  </w:pPr>
                </w:p>
              </w:tc>
              <w:tc>
                <w:tcPr>
                  <w:tcW w:w="1196" w:type="dxa"/>
                  <w:vAlign w:val="center"/>
                </w:tcPr>
                <w:p w14:paraId="5E56D89F">
                  <w:pPr>
                    <w:keepNext w:val="0"/>
                    <w:keepLines w:val="0"/>
                    <w:widowControl/>
                    <w:suppressLineNumbers w:val="0"/>
                    <w:jc w:val="center"/>
                    <w:textAlignment w:val="center"/>
                    <w:rPr>
                      <w:sz w:val="21"/>
                      <w:szCs w:val="21"/>
                    </w:rPr>
                  </w:pPr>
                  <w:r>
                    <w:rPr>
                      <w:rFonts w:hint="default" w:ascii="Times New Roman" w:hAnsi="Times New Roman" w:eastAsia="宋体" w:cs="Times New Roman"/>
                      <w:i w:val="0"/>
                      <w:iCs w:val="0"/>
                      <w:color w:val="000000"/>
                      <w:kern w:val="0"/>
                      <w:sz w:val="21"/>
                      <w:szCs w:val="21"/>
                      <w:u w:val="none"/>
                      <w:lang w:val="en-US" w:eastAsia="zh-CN" w:bidi="ar"/>
                    </w:rPr>
                    <w:t>0.320</w:t>
                  </w:r>
                </w:p>
              </w:tc>
              <w:tc>
                <w:tcPr>
                  <w:tcW w:w="316" w:type="pct"/>
                  <w:vAlign w:val="center"/>
                </w:tcPr>
                <w:p w14:paraId="2CE42400">
                  <w:pPr>
                    <w:widowControl/>
                    <w:jc w:val="center"/>
                    <w:textAlignment w:val="top"/>
                    <w:rPr>
                      <w:sz w:val="21"/>
                      <w:szCs w:val="21"/>
                    </w:rPr>
                  </w:pPr>
                  <w:r>
                    <w:rPr>
                      <w:sz w:val="21"/>
                      <w:szCs w:val="21"/>
                    </w:rPr>
                    <w:t>135</w:t>
                  </w:r>
                </w:p>
              </w:tc>
              <w:tc>
                <w:tcPr>
                  <w:tcW w:w="336" w:type="pct"/>
                  <w:vMerge w:val="continue"/>
                  <w:vAlign w:val="center"/>
                </w:tcPr>
                <w:p w14:paraId="0E911BE5">
                  <w:pPr>
                    <w:jc w:val="center"/>
                    <w:rPr>
                      <w:sz w:val="21"/>
                      <w:szCs w:val="21"/>
                    </w:rPr>
                  </w:pPr>
                </w:p>
              </w:tc>
              <w:tc>
                <w:tcPr>
                  <w:tcW w:w="246" w:type="pct"/>
                  <w:vMerge w:val="continue"/>
                  <w:vAlign w:val="center"/>
                </w:tcPr>
                <w:p w14:paraId="0A4AFE36">
                  <w:pPr>
                    <w:jc w:val="center"/>
                    <w:rPr>
                      <w:sz w:val="21"/>
                      <w:szCs w:val="21"/>
                    </w:rPr>
                  </w:pPr>
                </w:p>
              </w:tc>
              <w:tc>
                <w:tcPr>
                  <w:tcW w:w="259" w:type="pct"/>
                  <w:vMerge w:val="continue"/>
                  <w:vAlign w:val="center"/>
                </w:tcPr>
                <w:p w14:paraId="39222F4E">
                  <w:pPr>
                    <w:jc w:val="center"/>
                    <w:rPr>
                      <w:sz w:val="21"/>
                      <w:szCs w:val="21"/>
                    </w:rPr>
                  </w:pPr>
                </w:p>
              </w:tc>
              <w:tc>
                <w:tcPr>
                  <w:tcW w:w="342" w:type="pct"/>
                  <w:vMerge w:val="continue"/>
                  <w:vAlign w:val="center"/>
                </w:tcPr>
                <w:p w14:paraId="67DB2014">
                  <w:pPr>
                    <w:jc w:val="center"/>
                    <w:rPr>
                      <w:sz w:val="21"/>
                      <w:szCs w:val="21"/>
                    </w:rPr>
                  </w:pPr>
                </w:p>
              </w:tc>
            </w:tr>
            <w:tr w14:paraId="3C42A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0" w:type="pct"/>
                  <w:vMerge w:val="continue"/>
                  <w:vAlign w:val="center"/>
                </w:tcPr>
                <w:p w14:paraId="719E1EB8">
                  <w:pPr>
                    <w:jc w:val="center"/>
                    <w:rPr>
                      <w:sz w:val="21"/>
                      <w:szCs w:val="21"/>
                    </w:rPr>
                  </w:pPr>
                </w:p>
              </w:tc>
              <w:tc>
                <w:tcPr>
                  <w:tcW w:w="295" w:type="pct"/>
                  <w:vMerge w:val="continue"/>
                  <w:vAlign w:val="center"/>
                </w:tcPr>
                <w:p w14:paraId="38CACA7F">
                  <w:pPr>
                    <w:jc w:val="center"/>
                    <w:rPr>
                      <w:sz w:val="21"/>
                      <w:szCs w:val="21"/>
                    </w:rPr>
                  </w:pPr>
                </w:p>
              </w:tc>
              <w:tc>
                <w:tcPr>
                  <w:tcW w:w="435" w:type="pct"/>
                  <w:vAlign w:val="center"/>
                </w:tcPr>
                <w:p w14:paraId="6A3FAD49">
                  <w:pPr>
                    <w:adjustRightInd w:val="0"/>
                    <w:jc w:val="center"/>
                    <w:rPr>
                      <w:bCs/>
                      <w:kern w:val="0"/>
                      <w:sz w:val="21"/>
                      <w:szCs w:val="21"/>
                    </w:rPr>
                  </w:pPr>
                  <w:r>
                    <w:rPr>
                      <w:bCs/>
                      <w:kern w:val="0"/>
                      <w:sz w:val="21"/>
                      <w:szCs w:val="21"/>
                    </w:rPr>
                    <w:t>SS</w:t>
                  </w:r>
                </w:p>
              </w:tc>
              <w:tc>
                <w:tcPr>
                  <w:tcW w:w="1196" w:type="dxa"/>
                  <w:vAlign w:val="center"/>
                </w:tcPr>
                <w:p w14:paraId="779B598B">
                  <w:pPr>
                    <w:keepNext w:val="0"/>
                    <w:keepLines w:val="0"/>
                    <w:widowControl/>
                    <w:suppressLineNumbers w:val="0"/>
                    <w:jc w:val="center"/>
                    <w:textAlignment w:val="center"/>
                    <w:rPr>
                      <w:sz w:val="21"/>
                      <w:szCs w:val="21"/>
                    </w:rPr>
                  </w:pPr>
                  <w:r>
                    <w:rPr>
                      <w:rFonts w:hint="default" w:ascii="Times New Roman" w:hAnsi="Times New Roman" w:eastAsia="宋体" w:cs="Times New Roman"/>
                      <w:i w:val="0"/>
                      <w:iCs w:val="0"/>
                      <w:color w:val="000000"/>
                      <w:kern w:val="0"/>
                      <w:sz w:val="21"/>
                      <w:szCs w:val="21"/>
                      <w:u w:val="none"/>
                      <w:lang w:val="en-US" w:eastAsia="zh-CN" w:bidi="ar"/>
                    </w:rPr>
                    <w:t>0.285</w:t>
                  </w:r>
                </w:p>
              </w:tc>
              <w:tc>
                <w:tcPr>
                  <w:tcW w:w="327" w:type="pct"/>
                  <w:vAlign w:val="center"/>
                </w:tcPr>
                <w:p w14:paraId="489094BB">
                  <w:pPr>
                    <w:widowControl/>
                    <w:jc w:val="center"/>
                    <w:textAlignment w:val="top"/>
                    <w:rPr>
                      <w:sz w:val="21"/>
                      <w:szCs w:val="21"/>
                    </w:rPr>
                  </w:pPr>
                  <w:r>
                    <w:rPr>
                      <w:sz w:val="21"/>
                      <w:szCs w:val="21"/>
                    </w:rPr>
                    <w:t>120</w:t>
                  </w:r>
                </w:p>
              </w:tc>
              <w:tc>
                <w:tcPr>
                  <w:tcW w:w="259" w:type="pct"/>
                  <w:vMerge w:val="continue"/>
                  <w:vAlign w:val="center"/>
                </w:tcPr>
                <w:p w14:paraId="1326AF69">
                  <w:pPr>
                    <w:jc w:val="center"/>
                    <w:rPr>
                      <w:sz w:val="21"/>
                      <w:szCs w:val="21"/>
                    </w:rPr>
                  </w:pPr>
                </w:p>
              </w:tc>
              <w:tc>
                <w:tcPr>
                  <w:tcW w:w="254" w:type="pct"/>
                  <w:vAlign w:val="center"/>
                </w:tcPr>
                <w:p w14:paraId="185DBAD2">
                  <w:pPr>
                    <w:jc w:val="center"/>
                    <w:rPr>
                      <w:sz w:val="21"/>
                      <w:szCs w:val="21"/>
                    </w:rPr>
                  </w:pPr>
                  <w:r>
                    <w:rPr>
                      <w:sz w:val="21"/>
                      <w:szCs w:val="21"/>
                    </w:rPr>
                    <w:t>30%</w:t>
                  </w:r>
                </w:p>
              </w:tc>
              <w:tc>
                <w:tcPr>
                  <w:tcW w:w="271" w:type="pct"/>
                  <w:vMerge w:val="continue"/>
                  <w:vAlign w:val="center"/>
                </w:tcPr>
                <w:p w14:paraId="03861880">
                  <w:pPr>
                    <w:jc w:val="center"/>
                    <w:rPr>
                      <w:sz w:val="21"/>
                      <w:szCs w:val="21"/>
                    </w:rPr>
                  </w:pPr>
                </w:p>
              </w:tc>
              <w:tc>
                <w:tcPr>
                  <w:tcW w:w="271" w:type="pct"/>
                  <w:vMerge w:val="continue"/>
                  <w:vAlign w:val="center"/>
                </w:tcPr>
                <w:p w14:paraId="069E752A">
                  <w:pPr>
                    <w:jc w:val="center"/>
                    <w:rPr>
                      <w:sz w:val="21"/>
                      <w:szCs w:val="21"/>
                    </w:rPr>
                  </w:pPr>
                </w:p>
              </w:tc>
              <w:tc>
                <w:tcPr>
                  <w:tcW w:w="334" w:type="pct"/>
                  <w:vMerge w:val="continue"/>
                  <w:vAlign w:val="center"/>
                </w:tcPr>
                <w:p w14:paraId="09DACABC">
                  <w:pPr>
                    <w:jc w:val="center"/>
                    <w:rPr>
                      <w:sz w:val="21"/>
                      <w:szCs w:val="21"/>
                    </w:rPr>
                  </w:pPr>
                </w:p>
              </w:tc>
              <w:tc>
                <w:tcPr>
                  <w:tcW w:w="1196" w:type="dxa"/>
                  <w:vAlign w:val="center"/>
                </w:tcPr>
                <w:p w14:paraId="67C3FFF3">
                  <w:pPr>
                    <w:keepNext w:val="0"/>
                    <w:keepLines w:val="0"/>
                    <w:widowControl/>
                    <w:suppressLineNumbers w:val="0"/>
                    <w:jc w:val="center"/>
                    <w:textAlignment w:val="center"/>
                    <w:rPr>
                      <w:sz w:val="21"/>
                      <w:szCs w:val="21"/>
                    </w:rPr>
                  </w:pPr>
                  <w:r>
                    <w:rPr>
                      <w:rFonts w:hint="default" w:ascii="Times New Roman" w:hAnsi="Times New Roman" w:eastAsia="宋体" w:cs="Times New Roman"/>
                      <w:i w:val="0"/>
                      <w:iCs w:val="0"/>
                      <w:color w:val="000000"/>
                      <w:kern w:val="0"/>
                      <w:sz w:val="21"/>
                      <w:szCs w:val="21"/>
                      <w:u w:val="none"/>
                      <w:lang w:val="en-US" w:eastAsia="zh-CN" w:bidi="ar"/>
                    </w:rPr>
                    <w:t>0.199</w:t>
                  </w:r>
                </w:p>
              </w:tc>
              <w:tc>
                <w:tcPr>
                  <w:tcW w:w="316" w:type="pct"/>
                  <w:vAlign w:val="center"/>
                </w:tcPr>
                <w:p w14:paraId="1D9FA7D3">
                  <w:pPr>
                    <w:widowControl/>
                    <w:jc w:val="center"/>
                    <w:textAlignment w:val="top"/>
                    <w:rPr>
                      <w:sz w:val="21"/>
                      <w:szCs w:val="21"/>
                    </w:rPr>
                  </w:pPr>
                  <w:r>
                    <w:rPr>
                      <w:sz w:val="21"/>
                      <w:szCs w:val="21"/>
                    </w:rPr>
                    <w:t>84</w:t>
                  </w:r>
                </w:p>
              </w:tc>
              <w:tc>
                <w:tcPr>
                  <w:tcW w:w="336" w:type="pct"/>
                  <w:vMerge w:val="continue"/>
                  <w:vAlign w:val="center"/>
                </w:tcPr>
                <w:p w14:paraId="2B35CE6F">
                  <w:pPr>
                    <w:jc w:val="center"/>
                    <w:rPr>
                      <w:sz w:val="21"/>
                      <w:szCs w:val="21"/>
                    </w:rPr>
                  </w:pPr>
                </w:p>
              </w:tc>
              <w:tc>
                <w:tcPr>
                  <w:tcW w:w="246" w:type="pct"/>
                  <w:vMerge w:val="continue"/>
                  <w:vAlign w:val="center"/>
                </w:tcPr>
                <w:p w14:paraId="41FDC004">
                  <w:pPr>
                    <w:jc w:val="center"/>
                    <w:rPr>
                      <w:sz w:val="21"/>
                      <w:szCs w:val="21"/>
                    </w:rPr>
                  </w:pPr>
                </w:p>
              </w:tc>
              <w:tc>
                <w:tcPr>
                  <w:tcW w:w="259" w:type="pct"/>
                  <w:vMerge w:val="continue"/>
                  <w:vAlign w:val="center"/>
                </w:tcPr>
                <w:p w14:paraId="74F0F64F">
                  <w:pPr>
                    <w:jc w:val="center"/>
                    <w:rPr>
                      <w:sz w:val="21"/>
                      <w:szCs w:val="21"/>
                    </w:rPr>
                  </w:pPr>
                </w:p>
              </w:tc>
              <w:tc>
                <w:tcPr>
                  <w:tcW w:w="342" w:type="pct"/>
                  <w:vMerge w:val="continue"/>
                  <w:vAlign w:val="center"/>
                </w:tcPr>
                <w:p w14:paraId="104F5663">
                  <w:pPr>
                    <w:jc w:val="center"/>
                    <w:rPr>
                      <w:sz w:val="21"/>
                      <w:szCs w:val="21"/>
                    </w:rPr>
                  </w:pPr>
                </w:p>
              </w:tc>
            </w:tr>
            <w:tr w14:paraId="32010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0" w:type="pct"/>
                  <w:vMerge w:val="continue"/>
                  <w:vAlign w:val="center"/>
                </w:tcPr>
                <w:p w14:paraId="335EF717">
                  <w:pPr>
                    <w:jc w:val="center"/>
                    <w:rPr>
                      <w:sz w:val="21"/>
                      <w:szCs w:val="21"/>
                    </w:rPr>
                  </w:pPr>
                </w:p>
              </w:tc>
              <w:tc>
                <w:tcPr>
                  <w:tcW w:w="295" w:type="pct"/>
                  <w:vMerge w:val="continue"/>
                  <w:vAlign w:val="center"/>
                </w:tcPr>
                <w:p w14:paraId="12C2A8C8">
                  <w:pPr>
                    <w:jc w:val="center"/>
                    <w:rPr>
                      <w:sz w:val="21"/>
                      <w:szCs w:val="21"/>
                    </w:rPr>
                  </w:pPr>
                </w:p>
              </w:tc>
              <w:tc>
                <w:tcPr>
                  <w:tcW w:w="435" w:type="pct"/>
                  <w:vAlign w:val="center"/>
                </w:tcPr>
                <w:p w14:paraId="04E2C7EE">
                  <w:pPr>
                    <w:adjustRightInd w:val="0"/>
                    <w:jc w:val="center"/>
                    <w:rPr>
                      <w:bCs/>
                      <w:kern w:val="0"/>
                      <w:sz w:val="21"/>
                      <w:szCs w:val="21"/>
                    </w:rPr>
                  </w:pPr>
                  <w:r>
                    <w:rPr>
                      <w:bCs/>
                      <w:kern w:val="0"/>
                      <w:sz w:val="21"/>
                      <w:szCs w:val="21"/>
                    </w:rPr>
                    <w:t>NH</w:t>
                  </w:r>
                  <w:r>
                    <w:rPr>
                      <w:bCs/>
                      <w:kern w:val="0"/>
                      <w:sz w:val="21"/>
                      <w:szCs w:val="21"/>
                      <w:vertAlign w:val="subscript"/>
                    </w:rPr>
                    <w:t>3</w:t>
                  </w:r>
                  <w:r>
                    <w:rPr>
                      <w:bCs/>
                      <w:kern w:val="0"/>
                      <w:sz w:val="21"/>
                      <w:szCs w:val="21"/>
                    </w:rPr>
                    <w:t>-N</w:t>
                  </w:r>
                </w:p>
              </w:tc>
              <w:tc>
                <w:tcPr>
                  <w:tcW w:w="1196" w:type="dxa"/>
                  <w:vAlign w:val="center"/>
                </w:tcPr>
                <w:p w14:paraId="01144D88">
                  <w:pPr>
                    <w:keepNext w:val="0"/>
                    <w:keepLines w:val="0"/>
                    <w:widowControl/>
                    <w:suppressLineNumbers w:val="0"/>
                    <w:jc w:val="center"/>
                    <w:textAlignment w:val="center"/>
                    <w:rPr>
                      <w:sz w:val="21"/>
                      <w:szCs w:val="21"/>
                    </w:rPr>
                  </w:pPr>
                  <w:r>
                    <w:rPr>
                      <w:rFonts w:hint="default" w:ascii="Times New Roman" w:hAnsi="Times New Roman" w:eastAsia="宋体" w:cs="Times New Roman"/>
                      <w:i w:val="0"/>
                      <w:iCs w:val="0"/>
                      <w:color w:val="000000"/>
                      <w:kern w:val="0"/>
                      <w:sz w:val="21"/>
                      <w:szCs w:val="21"/>
                      <w:u w:val="none"/>
                      <w:lang w:val="en-US" w:eastAsia="zh-CN" w:bidi="ar"/>
                    </w:rPr>
                    <w:t>0.071</w:t>
                  </w:r>
                </w:p>
              </w:tc>
              <w:tc>
                <w:tcPr>
                  <w:tcW w:w="327" w:type="pct"/>
                  <w:vAlign w:val="center"/>
                </w:tcPr>
                <w:p w14:paraId="5CDEC9E3">
                  <w:pPr>
                    <w:widowControl/>
                    <w:jc w:val="center"/>
                    <w:textAlignment w:val="top"/>
                    <w:rPr>
                      <w:sz w:val="21"/>
                      <w:szCs w:val="21"/>
                    </w:rPr>
                  </w:pPr>
                  <w:r>
                    <w:rPr>
                      <w:sz w:val="21"/>
                      <w:szCs w:val="21"/>
                    </w:rPr>
                    <w:t>30</w:t>
                  </w:r>
                </w:p>
              </w:tc>
              <w:tc>
                <w:tcPr>
                  <w:tcW w:w="259" w:type="pct"/>
                  <w:vMerge w:val="continue"/>
                  <w:vAlign w:val="center"/>
                </w:tcPr>
                <w:p w14:paraId="63F7A81D">
                  <w:pPr>
                    <w:jc w:val="center"/>
                    <w:rPr>
                      <w:sz w:val="21"/>
                      <w:szCs w:val="21"/>
                    </w:rPr>
                  </w:pPr>
                </w:p>
              </w:tc>
              <w:tc>
                <w:tcPr>
                  <w:tcW w:w="254" w:type="pct"/>
                  <w:vAlign w:val="center"/>
                </w:tcPr>
                <w:p w14:paraId="299E4154">
                  <w:pPr>
                    <w:jc w:val="center"/>
                    <w:rPr>
                      <w:sz w:val="21"/>
                      <w:szCs w:val="21"/>
                    </w:rPr>
                  </w:pPr>
                  <w:r>
                    <w:rPr>
                      <w:sz w:val="21"/>
                      <w:szCs w:val="21"/>
                    </w:rPr>
                    <w:t>/</w:t>
                  </w:r>
                </w:p>
              </w:tc>
              <w:tc>
                <w:tcPr>
                  <w:tcW w:w="271" w:type="pct"/>
                  <w:vMerge w:val="continue"/>
                  <w:vAlign w:val="center"/>
                </w:tcPr>
                <w:p w14:paraId="46BB4313">
                  <w:pPr>
                    <w:jc w:val="center"/>
                    <w:rPr>
                      <w:sz w:val="21"/>
                      <w:szCs w:val="21"/>
                    </w:rPr>
                  </w:pPr>
                </w:p>
              </w:tc>
              <w:tc>
                <w:tcPr>
                  <w:tcW w:w="271" w:type="pct"/>
                  <w:vMerge w:val="continue"/>
                  <w:vAlign w:val="center"/>
                </w:tcPr>
                <w:p w14:paraId="26DD7519">
                  <w:pPr>
                    <w:jc w:val="center"/>
                    <w:rPr>
                      <w:sz w:val="21"/>
                      <w:szCs w:val="21"/>
                    </w:rPr>
                  </w:pPr>
                </w:p>
              </w:tc>
              <w:tc>
                <w:tcPr>
                  <w:tcW w:w="334" w:type="pct"/>
                  <w:vMerge w:val="continue"/>
                  <w:vAlign w:val="center"/>
                </w:tcPr>
                <w:p w14:paraId="4971FD0C">
                  <w:pPr>
                    <w:jc w:val="center"/>
                    <w:rPr>
                      <w:sz w:val="21"/>
                      <w:szCs w:val="21"/>
                    </w:rPr>
                  </w:pPr>
                </w:p>
              </w:tc>
              <w:tc>
                <w:tcPr>
                  <w:tcW w:w="1196" w:type="dxa"/>
                  <w:vAlign w:val="center"/>
                </w:tcPr>
                <w:p w14:paraId="309C6E07">
                  <w:pPr>
                    <w:keepNext w:val="0"/>
                    <w:keepLines w:val="0"/>
                    <w:widowControl/>
                    <w:suppressLineNumbers w:val="0"/>
                    <w:jc w:val="center"/>
                    <w:textAlignment w:val="center"/>
                    <w:rPr>
                      <w:sz w:val="21"/>
                      <w:szCs w:val="21"/>
                    </w:rPr>
                  </w:pPr>
                  <w:r>
                    <w:rPr>
                      <w:rFonts w:hint="default" w:ascii="Times New Roman" w:hAnsi="Times New Roman" w:eastAsia="宋体" w:cs="Times New Roman"/>
                      <w:i w:val="0"/>
                      <w:iCs w:val="0"/>
                      <w:color w:val="000000"/>
                      <w:kern w:val="0"/>
                      <w:sz w:val="21"/>
                      <w:szCs w:val="21"/>
                      <w:u w:val="none"/>
                      <w:lang w:val="en-US" w:eastAsia="zh-CN" w:bidi="ar"/>
                    </w:rPr>
                    <w:t>0.071</w:t>
                  </w:r>
                </w:p>
              </w:tc>
              <w:tc>
                <w:tcPr>
                  <w:tcW w:w="316" w:type="pct"/>
                  <w:vAlign w:val="center"/>
                </w:tcPr>
                <w:p w14:paraId="39F3C080">
                  <w:pPr>
                    <w:widowControl/>
                    <w:jc w:val="center"/>
                    <w:textAlignment w:val="top"/>
                    <w:rPr>
                      <w:sz w:val="21"/>
                      <w:szCs w:val="21"/>
                    </w:rPr>
                  </w:pPr>
                  <w:r>
                    <w:rPr>
                      <w:sz w:val="21"/>
                      <w:szCs w:val="21"/>
                    </w:rPr>
                    <w:t>30</w:t>
                  </w:r>
                </w:p>
              </w:tc>
              <w:tc>
                <w:tcPr>
                  <w:tcW w:w="336" w:type="pct"/>
                  <w:vMerge w:val="continue"/>
                  <w:vAlign w:val="center"/>
                </w:tcPr>
                <w:p w14:paraId="1EF2023F">
                  <w:pPr>
                    <w:jc w:val="center"/>
                    <w:rPr>
                      <w:sz w:val="21"/>
                      <w:szCs w:val="21"/>
                    </w:rPr>
                  </w:pPr>
                </w:p>
              </w:tc>
              <w:tc>
                <w:tcPr>
                  <w:tcW w:w="246" w:type="pct"/>
                  <w:vMerge w:val="continue"/>
                  <w:vAlign w:val="center"/>
                </w:tcPr>
                <w:p w14:paraId="4868E579">
                  <w:pPr>
                    <w:jc w:val="center"/>
                    <w:rPr>
                      <w:sz w:val="21"/>
                      <w:szCs w:val="21"/>
                    </w:rPr>
                  </w:pPr>
                </w:p>
              </w:tc>
              <w:tc>
                <w:tcPr>
                  <w:tcW w:w="259" w:type="pct"/>
                  <w:vMerge w:val="continue"/>
                  <w:vAlign w:val="center"/>
                </w:tcPr>
                <w:p w14:paraId="7CE925A6">
                  <w:pPr>
                    <w:jc w:val="center"/>
                    <w:rPr>
                      <w:sz w:val="21"/>
                      <w:szCs w:val="21"/>
                    </w:rPr>
                  </w:pPr>
                </w:p>
              </w:tc>
              <w:tc>
                <w:tcPr>
                  <w:tcW w:w="342" w:type="pct"/>
                  <w:vMerge w:val="continue"/>
                  <w:vAlign w:val="center"/>
                </w:tcPr>
                <w:p w14:paraId="0D9266D9">
                  <w:pPr>
                    <w:jc w:val="center"/>
                    <w:rPr>
                      <w:sz w:val="21"/>
                      <w:szCs w:val="21"/>
                    </w:rPr>
                  </w:pPr>
                </w:p>
              </w:tc>
            </w:tr>
            <w:tr w14:paraId="210E3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0" w:type="pct"/>
                  <w:vMerge w:val="continue"/>
                  <w:vAlign w:val="center"/>
                </w:tcPr>
                <w:p w14:paraId="50BB4025">
                  <w:pPr>
                    <w:jc w:val="center"/>
                    <w:rPr>
                      <w:sz w:val="21"/>
                      <w:szCs w:val="21"/>
                    </w:rPr>
                  </w:pPr>
                </w:p>
              </w:tc>
              <w:tc>
                <w:tcPr>
                  <w:tcW w:w="295" w:type="pct"/>
                  <w:vMerge w:val="continue"/>
                  <w:vAlign w:val="center"/>
                </w:tcPr>
                <w:p w14:paraId="1C422EA5">
                  <w:pPr>
                    <w:jc w:val="center"/>
                    <w:rPr>
                      <w:sz w:val="21"/>
                      <w:szCs w:val="21"/>
                    </w:rPr>
                  </w:pPr>
                </w:p>
              </w:tc>
              <w:tc>
                <w:tcPr>
                  <w:tcW w:w="435" w:type="pct"/>
                  <w:vAlign w:val="center"/>
                </w:tcPr>
                <w:p w14:paraId="2F5605A7">
                  <w:pPr>
                    <w:adjustRightInd w:val="0"/>
                    <w:jc w:val="center"/>
                    <w:rPr>
                      <w:bCs/>
                      <w:kern w:val="0"/>
                      <w:sz w:val="21"/>
                      <w:szCs w:val="21"/>
                    </w:rPr>
                  </w:pPr>
                  <w:r>
                    <w:rPr>
                      <w:bCs/>
                      <w:kern w:val="0"/>
                      <w:sz w:val="21"/>
                      <w:szCs w:val="21"/>
                    </w:rPr>
                    <w:t>TP</w:t>
                  </w:r>
                </w:p>
              </w:tc>
              <w:tc>
                <w:tcPr>
                  <w:tcW w:w="1196" w:type="dxa"/>
                  <w:vAlign w:val="center"/>
                </w:tcPr>
                <w:p w14:paraId="11DF2A38">
                  <w:pPr>
                    <w:keepNext w:val="0"/>
                    <w:keepLines w:val="0"/>
                    <w:widowControl/>
                    <w:suppressLineNumbers w:val="0"/>
                    <w:jc w:val="center"/>
                    <w:textAlignment w:val="center"/>
                    <w:rPr>
                      <w:sz w:val="21"/>
                      <w:szCs w:val="21"/>
                    </w:rPr>
                  </w:pPr>
                  <w:r>
                    <w:rPr>
                      <w:rFonts w:hint="default" w:ascii="Times New Roman" w:hAnsi="Times New Roman" w:eastAsia="宋体" w:cs="Times New Roman"/>
                      <w:i w:val="0"/>
                      <w:iCs w:val="0"/>
                      <w:color w:val="000000"/>
                      <w:kern w:val="0"/>
                      <w:sz w:val="21"/>
                      <w:szCs w:val="21"/>
                      <w:u w:val="none"/>
                      <w:lang w:val="en-US" w:eastAsia="zh-CN" w:bidi="ar"/>
                    </w:rPr>
                    <w:t>0.004</w:t>
                  </w:r>
                </w:p>
              </w:tc>
              <w:tc>
                <w:tcPr>
                  <w:tcW w:w="327" w:type="pct"/>
                  <w:vAlign w:val="center"/>
                </w:tcPr>
                <w:p w14:paraId="2942DA53">
                  <w:pPr>
                    <w:widowControl/>
                    <w:jc w:val="center"/>
                    <w:textAlignment w:val="top"/>
                    <w:rPr>
                      <w:sz w:val="21"/>
                      <w:szCs w:val="21"/>
                    </w:rPr>
                  </w:pPr>
                  <w:r>
                    <w:rPr>
                      <w:sz w:val="21"/>
                      <w:szCs w:val="21"/>
                    </w:rPr>
                    <w:t>1.5</w:t>
                  </w:r>
                </w:p>
              </w:tc>
              <w:tc>
                <w:tcPr>
                  <w:tcW w:w="259" w:type="pct"/>
                  <w:vMerge w:val="continue"/>
                  <w:vAlign w:val="center"/>
                </w:tcPr>
                <w:p w14:paraId="7E2F4A01">
                  <w:pPr>
                    <w:jc w:val="center"/>
                    <w:rPr>
                      <w:sz w:val="21"/>
                      <w:szCs w:val="21"/>
                    </w:rPr>
                  </w:pPr>
                </w:p>
              </w:tc>
              <w:tc>
                <w:tcPr>
                  <w:tcW w:w="254" w:type="pct"/>
                  <w:vAlign w:val="center"/>
                </w:tcPr>
                <w:p w14:paraId="4ECB1CCD">
                  <w:pPr>
                    <w:jc w:val="center"/>
                    <w:rPr>
                      <w:sz w:val="21"/>
                      <w:szCs w:val="21"/>
                    </w:rPr>
                  </w:pPr>
                  <w:r>
                    <w:rPr>
                      <w:sz w:val="21"/>
                      <w:szCs w:val="21"/>
                    </w:rPr>
                    <w:t>/</w:t>
                  </w:r>
                </w:p>
              </w:tc>
              <w:tc>
                <w:tcPr>
                  <w:tcW w:w="271" w:type="pct"/>
                  <w:vMerge w:val="continue"/>
                  <w:vAlign w:val="center"/>
                </w:tcPr>
                <w:p w14:paraId="05F3851F">
                  <w:pPr>
                    <w:jc w:val="center"/>
                    <w:rPr>
                      <w:sz w:val="21"/>
                      <w:szCs w:val="21"/>
                    </w:rPr>
                  </w:pPr>
                </w:p>
              </w:tc>
              <w:tc>
                <w:tcPr>
                  <w:tcW w:w="271" w:type="pct"/>
                  <w:vMerge w:val="continue"/>
                  <w:vAlign w:val="center"/>
                </w:tcPr>
                <w:p w14:paraId="06CE1469">
                  <w:pPr>
                    <w:jc w:val="center"/>
                    <w:rPr>
                      <w:sz w:val="21"/>
                      <w:szCs w:val="21"/>
                    </w:rPr>
                  </w:pPr>
                </w:p>
              </w:tc>
              <w:tc>
                <w:tcPr>
                  <w:tcW w:w="334" w:type="pct"/>
                  <w:vMerge w:val="continue"/>
                  <w:vAlign w:val="center"/>
                </w:tcPr>
                <w:p w14:paraId="35B1A6A0">
                  <w:pPr>
                    <w:jc w:val="center"/>
                    <w:rPr>
                      <w:sz w:val="21"/>
                      <w:szCs w:val="21"/>
                    </w:rPr>
                  </w:pPr>
                </w:p>
              </w:tc>
              <w:tc>
                <w:tcPr>
                  <w:tcW w:w="1196" w:type="dxa"/>
                  <w:vAlign w:val="center"/>
                </w:tcPr>
                <w:p w14:paraId="3605DFAB">
                  <w:pPr>
                    <w:keepNext w:val="0"/>
                    <w:keepLines w:val="0"/>
                    <w:widowControl/>
                    <w:suppressLineNumbers w:val="0"/>
                    <w:jc w:val="center"/>
                    <w:textAlignment w:val="center"/>
                    <w:rPr>
                      <w:sz w:val="21"/>
                      <w:szCs w:val="21"/>
                    </w:rPr>
                  </w:pPr>
                  <w:r>
                    <w:rPr>
                      <w:rFonts w:hint="default" w:ascii="Times New Roman" w:hAnsi="Times New Roman" w:eastAsia="宋体" w:cs="Times New Roman"/>
                      <w:i w:val="0"/>
                      <w:iCs w:val="0"/>
                      <w:color w:val="000000"/>
                      <w:kern w:val="0"/>
                      <w:sz w:val="21"/>
                      <w:szCs w:val="21"/>
                      <w:u w:val="none"/>
                      <w:lang w:val="en-US" w:eastAsia="zh-CN" w:bidi="ar"/>
                    </w:rPr>
                    <w:t>0.004</w:t>
                  </w:r>
                </w:p>
              </w:tc>
              <w:tc>
                <w:tcPr>
                  <w:tcW w:w="316" w:type="pct"/>
                  <w:vAlign w:val="center"/>
                </w:tcPr>
                <w:p w14:paraId="4067635C">
                  <w:pPr>
                    <w:widowControl/>
                    <w:jc w:val="center"/>
                    <w:textAlignment w:val="top"/>
                    <w:rPr>
                      <w:sz w:val="21"/>
                      <w:szCs w:val="21"/>
                    </w:rPr>
                  </w:pPr>
                  <w:r>
                    <w:rPr>
                      <w:sz w:val="21"/>
                      <w:szCs w:val="21"/>
                    </w:rPr>
                    <w:t>1.5</w:t>
                  </w:r>
                </w:p>
              </w:tc>
              <w:tc>
                <w:tcPr>
                  <w:tcW w:w="336" w:type="pct"/>
                  <w:vMerge w:val="continue"/>
                  <w:vAlign w:val="center"/>
                </w:tcPr>
                <w:p w14:paraId="2EA28E2B">
                  <w:pPr>
                    <w:jc w:val="center"/>
                    <w:rPr>
                      <w:sz w:val="21"/>
                      <w:szCs w:val="21"/>
                    </w:rPr>
                  </w:pPr>
                </w:p>
              </w:tc>
              <w:tc>
                <w:tcPr>
                  <w:tcW w:w="246" w:type="pct"/>
                  <w:vMerge w:val="continue"/>
                  <w:vAlign w:val="center"/>
                </w:tcPr>
                <w:p w14:paraId="0B3C61C3">
                  <w:pPr>
                    <w:jc w:val="center"/>
                    <w:rPr>
                      <w:sz w:val="21"/>
                      <w:szCs w:val="21"/>
                    </w:rPr>
                  </w:pPr>
                </w:p>
              </w:tc>
              <w:tc>
                <w:tcPr>
                  <w:tcW w:w="259" w:type="pct"/>
                  <w:vMerge w:val="continue"/>
                  <w:vAlign w:val="center"/>
                </w:tcPr>
                <w:p w14:paraId="503F26C4">
                  <w:pPr>
                    <w:jc w:val="center"/>
                    <w:rPr>
                      <w:sz w:val="21"/>
                      <w:szCs w:val="21"/>
                    </w:rPr>
                  </w:pPr>
                </w:p>
              </w:tc>
              <w:tc>
                <w:tcPr>
                  <w:tcW w:w="342" w:type="pct"/>
                  <w:vMerge w:val="continue"/>
                  <w:vAlign w:val="center"/>
                </w:tcPr>
                <w:p w14:paraId="67479AB2">
                  <w:pPr>
                    <w:jc w:val="center"/>
                    <w:rPr>
                      <w:sz w:val="21"/>
                      <w:szCs w:val="21"/>
                    </w:rPr>
                  </w:pPr>
                </w:p>
              </w:tc>
            </w:tr>
            <w:tr w14:paraId="7DD97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0" w:type="pct"/>
                  <w:vMerge w:val="continue"/>
                  <w:vAlign w:val="center"/>
                </w:tcPr>
                <w:p w14:paraId="6F2D1950">
                  <w:pPr>
                    <w:jc w:val="center"/>
                    <w:rPr>
                      <w:sz w:val="21"/>
                      <w:szCs w:val="21"/>
                    </w:rPr>
                  </w:pPr>
                </w:p>
              </w:tc>
              <w:tc>
                <w:tcPr>
                  <w:tcW w:w="295" w:type="pct"/>
                  <w:vMerge w:val="continue"/>
                  <w:vAlign w:val="center"/>
                </w:tcPr>
                <w:p w14:paraId="330740B8">
                  <w:pPr>
                    <w:jc w:val="center"/>
                    <w:rPr>
                      <w:sz w:val="21"/>
                      <w:szCs w:val="21"/>
                    </w:rPr>
                  </w:pPr>
                </w:p>
              </w:tc>
              <w:tc>
                <w:tcPr>
                  <w:tcW w:w="435" w:type="pct"/>
                  <w:vAlign w:val="center"/>
                </w:tcPr>
                <w:p w14:paraId="62DDB24E">
                  <w:pPr>
                    <w:adjustRightInd w:val="0"/>
                    <w:jc w:val="center"/>
                    <w:rPr>
                      <w:bCs/>
                      <w:kern w:val="0"/>
                      <w:sz w:val="21"/>
                      <w:szCs w:val="21"/>
                    </w:rPr>
                  </w:pPr>
                  <w:r>
                    <w:rPr>
                      <w:bCs/>
                      <w:kern w:val="0"/>
                      <w:sz w:val="21"/>
                      <w:szCs w:val="21"/>
                    </w:rPr>
                    <w:t>TN</w:t>
                  </w:r>
                </w:p>
              </w:tc>
              <w:tc>
                <w:tcPr>
                  <w:tcW w:w="1196" w:type="dxa"/>
                  <w:vAlign w:val="center"/>
                </w:tcPr>
                <w:p w14:paraId="19B38A8B">
                  <w:pPr>
                    <w:keepNext w:val="0"/>
                    <w:keepLines w:val="0"/>
                    <w:widowControl/>
                    <w:suppressLineNumbers w:val="0"/>
                    <w:jc w:val="center"/>
                    <w:textAlignment w:val="center"/>
                    <w:rPr>
                      <w:sz w:val="21"/>
                      <w:szCs w:val="21"/>
                    </w:rPr>
                  </w:pPr>
                  <w:r>
                    <w:rPr>
                      <w:rFonts w:hint="default" w:ascii="Times New Roman" w:hAnsi="Times New Roman" w:eastAsia="宋体" w:cs="Times New Roman"/>
                      <w:i w:val="0"/>
                      <w:iCs w:val="0"/>
                      <w:color w:val="000000"/>
                      <w:kern w:val="0"/>
                      <w:sz w:val="21"/>
                      <w:szCs w:val="21"/>
                      <w:u w:val="none"/>
                      <w:lang w:val="en-US" w:eastAsia="zh-CN" w:bidi="ar"/>
                    </w:rPr>
                    <w:t>0.107</w:t>
                  </w:r>
                </w:p>
              </w:tc>
              <w:tc>
                <w:tcPr>
                  <w:tcW w:w="327" w:type="pct"/>
                  <w:vAlign w:val="center"/>
                </w:tcPr>
                <w:p w14:paraId="6B714066">
                  <w:pPr>
                    <w:widowControl/>
                    <w:jc w:val="center"/>
                    <w:textAlignment w:val="top"/>
                    <w:rPr>
                      <w:sz w:val="21"/>
                      <w:szCs w:val="21"/>
                    </w:rPr>
                  </w:pPr>
                  <w:r>
                    <w:rPr>
                      <w:sz w:val="21"/>
                      <w:szCs w:val="21"/>
                    </w:rPr>
                    <w:t>45</w:t>
                  </w:r>
                </w:p>
              </w:tc>
              <w:tc>
                <w:tcPr>
                  <w:tcW w:w="259" w:type="pct"/>
                  <w:vMerge w:val="continue"/>
                  <w:vAlign w:val="center"/>
                </w:tcPr>
                <w:p w14:paraId="5F4FEEEF">
                  <w:pPr>
                    <w:jc w:val="center"/>
                    <w:rPr>
                      <w:sz w:val="21"/>
                      <w:szCs w:val="21"/>
                    </w:rPr>
                  </w:pPr>
                </w:p>
              </w:tc>
              <w:tc>
                <w:tcPr>
                  <w:tcW w:w="254" w:type="pct"/>
                  <w:vAlign w:val="center"/>
                </w:tcPr>
                <w:p w14:paraId="1CEB8F8E">
                  <w:pPr>
                    <w:jc w:val="center"/>
                    <w:rPr>
                      <w:sz w:val="21"/>
                      <w:szCs w:val="21"/>
                    </w:rPr>
                  </w:pPr>
                  <w:r>
                    <w:rPr>
                      <w:sz w:val="21"/>
                      <w:szCs w:val="21"/>
                    </w:rPr>
                    <w:t>/</w:t>
                  </w:r>
                </w:p>
              </w:tc>
              <w:tc>
                <w:tcPr>
                  <w:tcW w:w="271" w:type="pct"/>
                  <w:vMerge w:val="continue"/>
                  <w:vAlign w:val="center"/>
                </w:tcPr>
                <w:p w14:paraId="21863F8F">
                  <w:pPr>
                    <w:jc w:val="center"/>
                    <w:rPr>
                      <w:sz w:val="21"/>
                      <w:szCs w:val="21"/>
                    </w:rPr>
                  </w:pPr>
                </w:p>
              </w:tc>
              <w:tc>
                <w:tcPr>
                  <w:tcW w:w="271" w:type="pct"/>
                  <w:vMerge w:val="continue"/>
                  <w:vAlign w:val="center"/>
                </w:tcPr>
                <w:p w14:paraId="32D2CB82">
                  <w:pPr>
                    <w:jc w:val="center"/>
                    <w:rPr>
                      <w:sz w:val="21"/>
                      <w:szCs w:val="21"/>
                    </w:rPr>
                  </w:pPr>
                </w:p>
              </w:tc>
              <w:tc>
                <w:tcPr>
                  <w:tcW w:w="334" w:type="pct"/>
                  <w:vMerge w:val="continue"/>
                  <w:vAlign w:val="center"/>
                </w:tcPr>
                <w:p w14:paraId="5BA45C7F">
                  <w:pPr>
                    <w:jc w:val="center"/>
                    <w:rPr>
                      <w:sz w:val="21"/>
                      <w:szCs w:val="21"/>
                    </w:rPr>
                  </w:pPr>
                </w:p>
              </w:tc>
              <w:tc>
                <w:tcPr>
                  <w:tcW w:w="1196" w:type="dxa"/>
                  <w:vAlign w:val="center"/>
                </w:tcPr>
                <w:p w14:paraId="5CB2B642">
                  <w:pPr>
                    <w:keepNext w:val="0"/>
                    <w:keepLines w:val="0"/>
                    <w:widowControl/>
                    <w:suppressLineNumbers w:val="0"/>
                    <w:jc w:val="center"/>
                    <w:textAlignment w:val="center"/>
                    <w:rPr>
                      <w:sz w:val="21"/>
                      <w:szCs w:val="21"/>
                    </w:rPr>
                  </w:pPr>
                  <w:r>
                    <w:rPr>
                      <w:rFonts w:hint="default" w:ascii="Times New Roman" w:hAnsi="Times New Roman" w:eastAsia="宋体" w:cs="Times New Roman"/>
                      <w:i w:val="0"/>
                      <w:iCs w:val="0"/>
                      <w:color w:val="000000"/>
                      <w:kern w:val="0"/>
                      <w:sz w:val="21"/>
                      <w:szCs w:val="21"/>
                      <w:u w:val="none"/>
                      <w:lang w:val="en-US" w:eastAsia="zh-CN" w:bidi="ar"/>
                    </w:rPr>
                    <w:t>0.107</w:t>
                  </w:r>
                </w:p>
              </w:tc>
              <w:tc>
                <w:tcPr>
                  <w:tcW w:w="316" w:type="pct"/>
                  <w:vAlign w:val="center"/>
                </w:tcPr>
                <w:p w14:paraId="54284599">
                  <w:pPr>
                    <w:widowControl/>
                    <w:jc w:val="center"/>
                    <w:textAlignment w:val="top"/>
                    <w:rPr>
                      <w:sz w:val="21"/>
                      <w:szCs w:val="21"/>
                    </w:rPr>
                  </w:pPr>
                  <w:r>
                    <w:rPr>
                      <w:sz w:val="21"/>
                      <w:szCs w:val="21"/>
                    </w:rPr>
                    <w:t>45</w:t>
                  </w:r>
                </w:p>
              </w:tc>
              <w:tc>
                <w:tcPr>
                  <w:tcW w:w="336" w:type="pct"/>
                  <w:vMerge w:val="continue"/>
                  <w:vAlign w:val="center"/>
                </w:tcPr>
                <w:p w14:paraId="3942565E">
                  <w:pPr>
                    <w:jc w:val="center"/>
                    <w:rPr>
                      <w:sz w:val="21"/>
                      <w:szCs w:val="21"/>
                    </w:rPr>
                  </w:pPr>
                </w:p>
              </w:tc>
              <w:tc>
                <w:tcPr>
                  <w:tcW w:w="246" w:type="pct"/>
                  <w:vMerge w:val="continue"/>
                  <w:vAlign w:val="center"/>
                </w:tcPr>
                <w:p w14:paraId="261D363D">
                  <w:pPr>
                    <w:jc w:val="center"/>
                    <w:rPr>
                      <w:sz w:val="21"/>
                      <w:szCs w:val="21"/>
                    </w:rPr>
                  </w:pPr>
                </w:p>
              </w:tc>
              <w:tc>
                <w:tcPr>
                  <w:tcW w:w="259" w:type="pct"/>
                  <w:vMerge w:val="continue"/>
                  <w:vAlign w:val="center"/>
                </w:tcPr>
                <w:p w14:paraId="2B997EF6">
                  <w:pPr>
                    <w:jc w:val="center"/>
                    <w:rPr>
                      <w:sz w:val="21"/>
                      <w:szCs w:val="21"/>
                    </w:rPr>
                  </w:pPr>
                </w:p>
              </w:tc>
              <w:tc>
                <w:tcPr>
                  <w:tcW w:w="342" w:type="pct"/>
                  <w:vMerge w:val="continue"/>
                  <w:vAlign w:val="center"/>
                </w:tcPr>
                <w:p w14:paraId="325421FE">
                  <w:pPr>
                    <w:jc w:val="center"/>
                    <w:rPr>
                      <w:sz w:val="21"/>
                      <w:szCs w:val="21"/>
                    </w:rPr>
                  </w:pPr>
                </w:p>
              </w:tc>
            </w:tr>
            <w:tr w14:paraId="46EA9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0" w:type="pct"/>
                  <w:vMerge w:val="restart"/>
                  <w:vAlign w:val="center"/>
                </w:tcPr>
                <w:p w14:paraId="7CB5AD8E">
                  <w:pPr>
                    <w:jc w:val="center"/>
                    <w:rPr>
                      <w:sz w:val="21"/>
                      <w:szCs w:val="21"/>
                    </w:rPr>
                  </w:pPr>
                  <w:r>
                    <w:rPr>
                      <w:sz w:val="21"/>
                      <w:szCs w:val="21"/>
                    </w:rPr>
                    <w:t>生活</w:t>
                  </w:r>
                </w:p>
              </w:tc>
              <w:tc>
                <w:tcPr>
                  <w:tcW w:w="295" w:type="pct"/>
                  <w:vMerge w:val="restart"/>
                  <w:vAlign w:val="center"/>
                </w:tcPr>
                <w:p w14:paraId="4577DC44">
                  <w:pPr>
                    <w:jc w:val="center"/>
                    <w:rPr>
                      <w:sz w:val="21"/>
                      <w:szCs w:val="21"/>
                    </w:rPr>
                  </w:pPr>
                  <w:r>
                    <w:rPr>
                      <w:sz w:val="21"/>
                      <w:szCs w:val="21"/>
                    </w:rPr>
                    <w:t>食堂餐饮废水</w:t>
                  </w:r>
                </w:p>
              </w:tc>
              <w:tc>
                <w:tcPr>
                  <w:tcW w:w="435" w:type="pct"/>
                  <w:vAlign w:val="center"/>
                </w:tcPr>
                <w:p w14:paraId="417143CE">
                  <w:pPr>
                    <w:adjustRightInd w:val="0"/>
                    <w:jc w:val="center"/>
                    <w:rPr>
                      <w:bCs/>
                      <w:kern w:val="0"/>
                      <w:sz w:val="21"/>
                      <w:szCs w:val="21"/>
                    </w:rPr>
                  </w:pPr>
                  <w:r>
                    <w:rPr>
                      <w:bCs/>
                      <w:kern w:val="0"/>
                      <w:sz w:val="21"/>
                      <w:szCs w:val="21"/>
                    </w:rPr>
                    <w:t>水量</w:t>
                  </w:r>
                </w:p>
              </w:tc>
              <w:tc>
                <w:tcPr>
                  <w:tcW w:w="395" w:type="pct"/>
                  <w:vAlign w:val="center"/>
                </w:tcPr>
                <w:p w14:paraId="35029EE2">
                  <w:pPr>
                    <w:widowControl/>
                    <w:jc w:val="center"/>
                    <w:textAlignment w:val="center"/>
                    <w:rPr>
                      <w:rFonts w:hint="default" w:eastAsia="宋体"/>
                      <w:sz w:val="21"/>
                      <w:szCs w:val="21"/>
                      <w:lang w:val="en-US" w:eastAsia="zh-CN"/>
                    </w:rPr>
                  </w:pPr>
                  <w:r>
                    <w:rPr>
                      <w:rFonts w:hint="eastAsia"/>
                      <w:sz w:val="21"/>
                      <w:szCs w:val="21"/>
                      <w:lang w:val="en-US" w:eastAsia="zh-CN"/>
                    </w:rPr>
                    <w:t>384</w:t>
                  </w:r>
                </w:p>
              </w:tc>
              <w:tc>
                <w:tcPr>
                  <w:tcW w:w="327" w:type="pct"/>
                  <w:vAlign w:val="center"/>
                </w:tcPr>
                <w:p w14:paraId="6E3C355F">
                  <w:pPr>
                    <w:widowControl/>
                    <w:jc w:val="center"/>
                    <w:textAlignment w:val="top"/>
                    <w:rPr>
                      <w:sz w:val="21"/>
                      <w:szCs w:val="21"/>
                    </w:rPr>
                  </w:pPr>
                  <w:r>
                    <w:rPr>
                      <w:sz w:val="21"/>
                      <w:szCs w:val="21"/>
                    </w:rPr>
                    <w:t>/</w:t>
                  </w:r>
                </w:p>
              </w:tc>
              <w:tc>
                <w:tcPr>
                  <w:tcW w:w="259" w:type="pct"/>
                  <w:vMerge w:val="restart"/>
                  <w:vAlign w:val="center"/>
                </w:tcPr>
                <w:p w14:paraId="6EFC8F48">
                  <w:pPr>
                    <w:jc w:val="center"/>
                    <w:rPr>
                      <w:sz w:val="21"/>
                      <w:szCs w:val="21"/>
                    </w:rPr>
                  </w:pPr>
                  <w:r>
                    <w:rPr>
                      <w:sz w:val="21"/>
                      <w:szCs w:val="21"/>
                    </w:rPr>
                    <w:t>隔油池</w:t>
                  </w:r>
                </w:p>
              </w:tc>
              <w:tc>
                <w:tcPr>
                  <w:tcW w:w="254" w:type="pct"/>
                  <w:vAlign w:val="center"/>
                </w:tcPr>
                <w:p w14:paraId="219CC7C0">
                  <w:pPr>
                    <w:jc w:val="center"/>
                    <w:rPr>
                      <w:sz w:val="21"/>
                      <w:szCs w:val="21"/>
                    </w:rPr>
                  </w:pPr>
                  <w:r>
                    <w:rPr>
                      <w:sz w:val="21"/>
                      <w:szCs w:val="21"/>
                    </w:rPr>
                    <w:t>/</w:t>
                  </w:r>
                </w:p>
              </w:tc>
              <w:tc>
                <w:tcPr>
                  <w:tcW w:w="271" w:type="pct"/>
                  <w:vMerge w:val="restart"/>
                  <w:vAlign w:val="center"/>
                </w:tcPr>
                <w:p w14:paraId="37A74C63">
                  <w:pPr>
                    <w:jc w:val="center"/>
                    <w:rPr>
                      <w:sz w:val="21"/>
                      <w:szCs w:val="21"/>
                    </w:rPr>
                  </w:pPr>
                  <w:r>
                    <w:rPr>
                      <w:sz w:val="21"/>
                      <w:szCs w:val="21"/>
                    </w:rPr>
                    <w:t>隔油池</w:t>
                  </w:r>
                </w:p>
              </w:tc>
              <w:tc>
                <w:tcPr>
                  <w:tcW w:w="271" w:type="pct"/>
                  <w:vMerge w:val="restart"/>
                  <w:vAlign w:val="center"/>
                </w:tcPr>
                <w:p w14:paraId="7D7683D0">
                  <w:pPr>
                    <w:jc w:val="center"/>
                    <w:rPr>
                      <w:rFonts w:hint="eastAsia" w:eastAsia="宋体"/>
                      <w:sz w:val="21"/>
                      <w:szCs w:val="21"/>
                      <w:lang w:eastAsia="zh-CN"/>
                    </w:rPr>
                  </w:pPr>
                  <w:r>
                    <w:rPr>
                      <w:rFonts w:hint="eastAsia"/>
                      <w:sz w:val="21"/>
                      <w:szCs w:val="21"/>
                      <w:lang w:val="en-US" w:eastAsia="zh-CN"/>
                    </w:rPr>
                    <w:t>/</w:t>
                  </w:r>
                </w:p>
              </w:tc>
              <w:tc>
                <w:tcPr>
                  <w:tcW w:w="334" w:type="pct"/>
                  <w:vMerge w:val="restart"/>
                  <w:vAlign w:val="center"/>
                </w:tcPr>
                <w:p w14:paraId="60B78DE4">
                  <w:pPr>
                    <w:jc w:val="center"/>
                    <w:rPr>
                      <w:sz w:val="21"/>
                      <w:szCs w:val="21"/>
                    </w:rPr>
                  </w:pPr>
                  <w:r>
                    <w:rPr>
                      <w:sz w:val="21"/>
                      <w:szCs w:val="21"/>
                    </w:rPr>
                    <w:t>是</w:t>
                  </w:r>
                </w:p>
              </w:tc>
              <w:tc>
                <w:tcPr>
                  <w:tcW w:w="395" w:type="pct"/>
                  <w:vAlign w:val="center"/>
                </w:tcPr>
                <w:p w14:paraId="433A4AD3">
                  <w:pPr>
                    <w:widowControl/>
                    <w:jc w:val="center"/>
                    <w:textAlignment w:val="center"/>
                    <w:rPr>
                      <w:rFonts w:hint="default" w:eastAsia="宋体"/>
                      <w:sz w:val="21"/>
                      <w:szCs w:val="21"/>
                      <w:lang w:val="en-US" w:eastAsia="zh-CN"/>
                    </w:rPr>
                  </w:pPr>
                  <w:r>
                    <w:rPr>
                      <w:rFonts w:hint="eastAsia"/>
                      <w:sz w:val="21"/>
                      <w:szCs w:val="21"/>
                      <w:lang w:val="en-US" w:eastAsia="zh-CN"/>
                    </w:rPr>
                    <w:t>384</w:t>
                  </w:r>
                </w:p>
              </w:tc>
              <w:tc>
                <w:tcPr>
                  <w:tcW w:w="316" w:type="pct"/>
                  <w:vAlign w:val="center"/>
                </w:tcPr>
                <w:p w14:paraId="7A63C20D">
                  <w:pPr>
                    <w:widowControl/>
                    <w:jc w:val="center"/>
                    <w:textAlignment w:val="top"/>
                    <w:rPr>
                      <w:sz w:val="21"/>
                      <w:szCs w:val="21"/>
                    </w:rPr>
                  </w:pPr>
                  <w:r>
                    <w:rPr>
                      <w:sz w:val="21"/>
                      <w:szCs w:val="21"/>
                    </w:rPr>
                    <w:t>/</w:t>
                  </w:r>
                </w:p>
              </w:tc>
              <w:tc>
                <w:tcPr>
                  <w:tcW w:w="336" w:type="pct"/>
                  <w:vMerge w:val="continue"/>
                  <w:vAlign w:val="center"/>
                </w:tcPr>
                <w:p w14:paraId="59B1F9E6">
                  <w:pPr>
                    <w:jc w:val="center"/>
                    <w:rPr>
                      <w:sz w:val="21"/>
                      <w:szCs w:val="21"/>
                    </w:rPr>
                  </w:pPr>
                </w:p>
              </w:tc>
              <w:tc>
                <w:tcPr>
                  <w:tcW w:w="246" w:type="pct"/>
                  <w:vMerge w:val="continue"/>
                  <w:vAlign w:val="center"/>
                </w:tcPr>
                <w:p w14:paraId="00E797ED">
                  <w:pPr>
                    <w:jc w:val="center"/>
                    <w:rPr>
                      <w:sz w:val="21"/>
                      <w:szCs w:val="21"/>
                    </w:rPr>
                  </w:pPr>
                </w:p>
              </w:tc>
              <w:tc>
                <w:tcPr>
                  <w:tcW w:w="259" w:type="pct"/>
                  <w:vMerge w:val="continue"/>
                  <w:vAlign w:val="center"/>
                </w:tcPr>
                <w:p w14:paraId="0C793E23">
                  <w:pPr>
                    <w:jc w:val="center"/>
                    <w:rPr>
                      <w:sz w:val="21"/>
                      <w:szCs w:val="21"/>
                    </w:rPr>
                  </w:pPr>
                </w:p>
              </w:tc>
              <w:tc>
                <w:tcPr>
                  <w:tcW w:w="342" w:type="pct"/>
                  <w:vMerge w:val="continue"/>
                  <w:vAlign w:val="center"/>
                </w:tcPr>
                <w:p w14:paraId="7EEC886E">
                  <w:pPr>
                    <w:jc w:val="center"/>
                    <w:rPr>
                      <w:sz w:val="21"/>
                      <w:szCs w:val="21"/>
                    </w:rPr>
                  </w:pPr>
                </w:p>
              </w:tc>
            </w:tr>
            <w:tr w14:paraId="5A515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0" w:type="pct"/>
                  <w:vMerge w:val="continue"/>
                  <w:vAlign w:val="center"/>
                </w:tcPr>
                <w:p w14:paraId="0250A572">
                  <w:pPr>
                    <w:jc w:val="center"/>
                    <w:rPr>
                      <w:sz w:val="21"/>
                      <w:szCs w:val="21"/>
                    </w:rPr>
                  </w:pPr>
                </w:p>
              </w:tc>
              <w:tc>
                <w:tcPr>
                  <w:tcW w:w="295" w:type="pct"/>
                  <w:vMerge w:val="continue"/>
                  <w:vAlign w:val="center"/>
                </w:tcPr>
                <w:p w14:paraId="5569D816">
                  <w:pPr>
                    <w:jc w:val="center"/>
                    <w:rPr>
                      <w:sz w:val="21"/>
                      <w:szCs w:val="21"/>
                    </w:rPr>
                  </w:pPr>
                </w:p>
              </w:tc>
              <w:tc>
                <w:tcPr>
                  <w:tcW w:w="435" w:type="pct"/>
                  <w:vAlign w:val="center"/>
                </w:tcPr>
                <w:p w14:paraId="3B8AFA8B">
                  <w:pPr>
                    <w:adjustRightInd w:val="0"/>
                    <w:jc w:val="center"/>
                    <w:rPr>
                      <w:bCs/>
                      <w:kern w:val="0"/>
                      <w:sz w:val="21"/>
                      <w:szCs w:val="21"/>
                    </w:rPr>
                  </w:pPr>
                  <w:r>
                    <w:rPr>
                      <w:bCs/>
                      <w:kern w:val="0"/>
                      <w:sz w:val="21"/>
                      <w:szCs w:val="21"/>
                    </w:rPr>
                    <w:t>COD</w:t>
                  </w:r>
                </w:p>
              </w:tc>
              <w:tc>
                <w:tcPr>
                  <w:tcW w:w="1196" w:type="dxa"/>
                  <w:vAlign w:val="center"/>
                </w:tcPr>
                <w:p w14:paraId="3EB448FD">
                  <w:pPr>
                    <w:keepNext w:val="0"/>
                    <w:keepLines w:val="0"/>
                    <w:widowControl/>
                    <w:suppressLineNumbers w:val="0"/>
                    <w:jc w:val="center"/>
                    <w:textAlignment w:val="center"/>
                    <w:rPr>
                      <w:sz w:val="21"/>
                      <w:szCs w:val="21"/>
                    </w:rPr>
                  </w:pPr>
                  <w:r>
                    <w:rPr>
                      <w:rFonts w:hint="default" w:ascii="Times New Roman" w:hAnsi="Times New Roman" w:eastAsia="宋体" w:cs="Times New Roman"/>
                      <w:i w:val="0"/>
                      <w:iCs w:val="0"/>
                      <w:color w:val="000000"/>
                      <w:kern w:val="0"/>
                      <w:sz w:val="21"/>
                      <w:szCs w:val="21"/>
                      <w:u w:val="none"/>
                      <w:lang w:val="en-US" w:eastAsia="zh-CN" w:bidi="ar"/>
                    </w:rPr>
                    <w:t>0.115</w:t>
                  </w:r>
                </w:p>
              </w:tc>
              <w:tc>
                <w:tcPr>
                  <w:tcW w:w="327" w:type="pct"/>
                  <w:vAlign w:val="center"/>
                </w:tcPr>
                <w:p w14:paraId="769B9FEB">
                  <w:pPr>
                    <w:widowControl/>
                    <w:jc w:val="center"/>
                    <w:textAlignment w:val="top"/>
                    <w:rPr>
                      <w:sz w:val="21"/>
                      <w:szCs w:val="21"/>
                    </w:rPr>
                  </w:pPr>
                  <w:r>
                    <w:rPr>
                      <w:sz w:val="21"/>
                      <w:szCs w:val="21"/>
                    </w:rPr>
                    <w:t>300</w:t>
                  </w:r>
                </w:p>
              </w:tc>
              <w:tc>
                <w:tcPr>
                  <w:tcW w:w="259" w:type="pct"/>
                  <w:vMerge w:val="continue"/>
                  <w:vAlign w:val="center"/>
                </w:tcPr>
                <w:p w14:paraId="2D351C5C">
                  <w:pPr>
                    <w:jc w:val="center"/>
                    <w:rPr>
                      <w:sz w:val="21"/>
                      <w:szCs w:val="21"/>
                    </w:rPr>
                  </w:pPr>
                </w:p>
              </w:tc>
              <w:tc>
                <w:tcPr>
                  <w:tcW w:w="254" w:type="pct"/>
                  <w:vAlign w:val="center"/>
                </w:tcPr>
                <w:p w14:paraId="3EA74DF2">
                  <w:pPr>
                    <w:jc w:val="center"/>
                    <w:rPr>
                      <w:sz w:val="21"/>
                      <w:szCs w:val="21"/>
                    </w:rPr>
                  </w:pPr>
                  <w:r>
                    <w:rPr>
                      <w:sz w:val="21"/>
                      <w:szCs w:val="21"/>
                    </w:rPr>
                    <w:t>/</w:t>
                  </w:r>
                </w:p>
              </w:tc>
              <w:tc>
                <w:tcPr>
                  <w:tcW w:w="271" w:type="pct"/>
                  <w:vMerge w:val="continue"/>
                  <w:vAlign w:val="center"/>
                </w:tcPr>
                <w:p w14:paraId="65788457">
                  <w:pPr>
                    <w:jc w:val="center"/>
                    <w:rPr>
                      <w:sz w:val="21"/>
                      <w:szCs w:val="21"/>
                    </w:rPr>
                  </w:pPr>
                </w:p>
              </w:tc>
              <w:tc>
                <w:tcPr>
                  <w:tcW w:w="271" w:type="pct"/>
                  <w:vMerge w:val="continue"/>
                  <w:vAlign w:val="center"/>
                </w:tcPr>
                <w:p w14:paraId="3DE36A8C">
                  <w:pPr>
                    <w:jc w:val="center"/>
                    <w:rPr>
                      <w:sz w:val="21"/>
                      <w:szCs w:val="21"/>
                    </w:rPr>
                  </w:pPr>
                </w:p>
              </w:tc>
              <w:tc>
                <w:tcPr>
                  <w:tcW w:w="334" w:type="pct"/>
                  <w:vMerge w:val="continue"/>
                  <w:vAlign w:val="center"/>
                </w:tcPr>
                <w:p w14:paraId="49B4B183">
                  <w:pPr>
                    <w:jc w:val="center"/>
                    <w:rPr>
                      <w:sz w:val="21"/>
                      <w:szCs w:val="21"/>
                    </w:rPr>
                  </w:pPr>
                </w:p>
              </w:tc>
              <w:tc>
                <w:tcPr>
                  <w:tcW w:w="1196" w:type="dxa"/>
                  <w:vAlign w:val="center"/>
                </w:tcPr>
                <w:p w14:paraId="045A43C7">
                  <w:pPr>
                    <w:keepNext w:val="0"/>
                    <w:keepLines w:val="0"/>
                    <w:widowControl/>
                    <w:suppressLineNumbers w:val="0"/>
                    <w:jc w:val="center"/>
                    <w:textAlignment w:val="center"/>
                    <w:rPr>
                      <w:sz w:val="21"/>
                      <w:szCs w:val="21"/>
                    </w:rPr>
                  </w:pPr>
                  <w:r>
                    <w:rPr>
                      <w:rFonts w:hint="default" w:ascii="Times New Roman" w:hAnsi="Times New Roman" w:eastAsia="宋体" w:cs="Times New Roman"/>
                      <w:i w:val="0"/>
                      <w:iCs w:val="0"/>
                      <w:color w:val="000000"/>
                      <w:kern w:val="0"/>
                      <w:sz w:val="21"/>
                      <w:szCs w:val="21"/>
                      <w:u w:val="none"/>
                      <w:lang w:val="en-US" w:eastAsia="zh-CN" w:bidi="ar"/>
                    </w:rPr>
                    <w:t>0.115</w:t>
                  </w:r>
                </w:p>
              </w:tc>
              <w:tc>
                <w:tcPr>
                  <w:tcW w:w="316" w:type="pct"/>
                  <w:vAlign w:val="center"/>
                </w:tcPr>
                <w:p w14:paraId="71071F6A">
                  <w:pPr>
                    <w:widowControl/>
                    <w:jc w:val="center"/>
                    <w:textAlignment w:val="top"/>
                    <w:rPr>
                      <w:sz w:val="21"/>
                      <w:szCs w:val="21"/>
                    </w:rPr>
                  </w:pPr>
                  <w:r>
                    <w:rPr>
                      <w:sz w:val="21"/>
                      <w:szCs w:val="21"/>
                    </w:rPr>
                    <w:t>300</w:t>
                  </w:r>
                </w:p>
              </w:tc>
              <w:tc>
                <w:tcPr>
                  <w:tcW w:w="336" w:type="pct"/>
                  <w:vMerge w:val="continue"/>
                  <w:vAlign w:val="center"/>
                </w:tcPr>
                <w:p w14:paraId="46CC6417">
                  <w:pPr>
                    <w:jc w:val="center"/>
                    <w:rPr>
                      <w:sz w:val="21"/>
                      <w:szCs w:val="21"/>
                    </w:rPr>
                  </w:pPr>
                </w:p>
              </w:tc>
              <w:tc>
                <w:tcPr>
                  <w:tcW w:w="246" w:type="pct"/>
                  <w:vMerge w:val="continue"/>
                  <w:vAlign w:val="center"/>
                </w:tcPr>
                <w:p w14:paraId="3CFFE956">
                  <w:pPr>
                    <w:jc w:val="center"/>
                    <w:rPr>
                      <w:sz w:val="21"/>
                      <w:szCs w:val="21"/>
                    </w:rPr>
                  </w:pPr>
                </w:p>
              </w:tc>
              <w:tc>
                <w:tcPr>
                  <w:tcW w:w="259" w:type="pct"/>
                  <w:vMerge w:val="continue"/>
                  <w:vAlign w:val="center"/>
                </w:tcPr>
                <w:p w14:paraId="000B295E">
                  <w:pPr>
                    <w:jc w:val="center"/>
                    <w:rPr>
                      <w:sz w:val="21"/>
                      <w:szCs w:val="21"/>
                    </w:rPr>
                  </w:pPr>
                </w:p>
              </w:tc>
              <w:tc>
                <w:tcPr>
                  <w:tcW w:w="342" w:type="pct"/>
                  <w:vMerge w:val="continue"/>
                  <w:vAlign w:val="center"/>
                </w:tcPr>
                <w:p w14:paraId="09CFD65A">
                  <w:pPr>
                    <w:jc w:val="center"/>
                    <w:rPr>
                      <w:sz w:val="21"/>
                      <w:szCs w:val="21"/>
                    </w:rPr>
                  </w:pPr>
                </w:p>
              </w:tc>
            </w:tr>
            <w:tr w14:paraId="417A4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0" w:type="pct"/>
                  <w:vMerge w:val="continue"/>
                  <w:vAlign w:val="center"/>
                </w:tcPr>
                <w:p w14:paraId="08AF0726">
                  <w:pPr>
                    <w:jc w:val="center"/>
                    <w:rPr>
                      <w:sz w:val="21"/>
                      <w:szCs w:val="21"/>
                    </w:rPr>
                  </w:pPr>
                </w:p>
              </w:tc>
              <w:tc>
                <w:tcPr>
                  <w:tcW w:w="295" w:type="pct"/>
                  <w:vMerge w:val="continue"/>
                  <w:vAlign w:val="center"/>
                </w:tcPr>
                <w:p w14:paraId="52D5F481">
                  <w:pPr>
                    <w:jc w:val="center"/>
                    <w:rPr>
                      <w:sz w:val="21"/>
                      <w:szCs w:val="21"/>
                    </w:rPr>
                  </w:pPr>
                </w:p>
              </w:tc>
              <w:tc>
                <w:tcPr>
                  <w:tcW w:w="435" w:type="pct"/>
                  <w:vAlign w:val="center"/>
                </w:tcPr>
                <w:p w14:paraId="71F54788">
                  <w:pPr>
                    <w:adjustRightInd w:val="0"/>
                    <w:jc w:val="center"/>
                    <w:rPr>
                      <w:bCs/>
                      <w:kern w:val="0"/>
                      <w:sz w:val="21"/>
                      <w:szCs w:val="21"/>
                    </w:rPr>
                  </w:pPr>
                  <w:r>
                    <w:rPr>
                      <w:bCs/>
                      <w:kern w:val="0"/>
                      <w:sz w:val="21"/>
                      <w:szCs w:val="21"/>
                    </w:rPr>
                    <w:t>BOD</w:t>
                  </w:r>
                  <w:r>
                    <w:rPr>
                      <w:bCs/>
                      <w:kern w:val="0"/>
                      <w:sz w:val="21"/>
                      <w:szCs w:val="21"/>
                      <w:vertAlign w:val="subscript"/>
                    </w:rPr>
                    <w:t>5</w:t>
                  </w:r>
                </w:p>
              </w:tc>
              <w:tc>
                <w:tcPr>
                  <w:tcW w:w="1196" w:type="dxa"/>
                  <w:vAlign w:val="center"/>
                </w:tcPr>
                <w:p w14:paraId="489E9D7B">
                  <w:pPr>
                    <w:keepNext w:val="0"/>
                    <w:keepLines w:val="0"/>
                    <w:widowControl/>
                    <w:suppressLineNumbers w:val="0"/>
                    <w:jc w:val="center"/>
                    <w:textAlignment w:val="center"/>
                    <w:rPr>
                      <w:sz w:val="21"/>
                      <w:szCs w:val="21"/>
                    </w:rPr>
                  </w:pPr>
                  <w:r>
                    <w:rPr>
                      <w:rFonts w:hint="default" w:ascii="Times New Roman" w:hAnsi="Times New Roman" w:eastAsia="宋体" w:cs="Times New Roman"/>
                      <w:i w:val="0"/>
                      <w:iCs w:val="0"/>
                      <w:color w:val="000000"/>
                      <w:kern w:val="0"/>
                      <w:sz w:val="21"/>
                      <w:szCs w:val="21"/>
                      <w:u w:val="none"/>
                      <w:lang w:val="en-US" w:eastAsia="zh-CN" w:bidi="ar"/>
                    </w:rPr>
                    <w:t>0.058</w:t>
                  </w:r>
                </w:p>
              </w:tc>
              <w:tc>
                <w:tcPr>
                  <w:tcW w:w="327" w:type="pct"/>
                  <w:vAlign w:val="center"/>
                </w:tcPr>
                <w:p w14:paraId="32F63683">
                  <w:pPr>
                    <w:widowControl/>
                    <w:jc w:val="center"/>
                    <w:textAlignment w:val="top"/>
                    <w:rPr>
                      <w:sz w:val="21"/>
                      <w:szCs w:val="21"/>
                    </w:rPr>
                  </w:pPr>
                  <w:r>
                    <w:rPr>
                      <w:sz w:val="21"/>
                      <w:szCs w:val="21"/>
                    </w:rPr>
                    <w:t>150</w:t>
                  </w:r>
                </w:p>
              </w:tc>
              <w:tc>
                <w:tcPr>
                  <w:tcW w:w="259" w:type="pct"/>
                  <w:vMerge w:val="continue"/>
                  <w:vAlign w:val="center"/>
                </w:tcPr>
                <w:p w14:paraId="064F441B">
                  <w:pPr>
                    <w:jc w:val="center"/>
                    <w:rPr>
                      <w:sz w:val="21"/>
                      <w:szCs w:val="21"/>
                    </w:rPr>
                  </w:pPr>
                </w:p>
              </w:tc>
              <w:tc>
                <w:tcPr>
                  <w:tcW w:w="254" w:type="pct"/>
                  <w:vAlign w:val="center"/>
                </w:tcPr>
                <w:p w14:paraId="7463F0BC">
                  <w:pPr>
                    <w:jc w:val="center"/>
                    <w:rPr>
                      <w:sz w:val="21"/>
                      <w:szCs w:val="21"/>
                    </w:rPr>
                  </w:pPr>
                  <w:r>
                    <w:rPr>
                      <w:sz w:val="21"/>
                      <w:szCs w:val="21"/>
                    </w:rPr>
                    <w:t>/</w:t>
                  </w:r>
                </w:p>
              </w:tc>
              <w:tc>
                <w:tcPr>
                  <w:tcW w:w="271" w:type="pct"/>
                  <w:vMerge w:val="continue"/>
                  <w:vAlign w:val="center"/>
                </w:tcPr>
                <w:p w14:paraId="4647F211">
                  <w:pPr>
                    <w:jc w:val="center"/>
                    <w:rPr>
                      <w:sz w:val="21"/>
                      <w:szCs w:val="21"/>
                    </w:rPr>
                  </w:pPr>
                </w:p>
              </w:tc>
              <w:tc>
                <w:tcPr>
                  <w:tcW w:w="271" w:type="pct"/>
                  <w:vMerge w:val="continue"/>
                  <w:vAlign w:val="center"/>
                </w:tcPr>
                <w:p w14:paraId="187F44A7">
                  <w:pPr>
                    <w:jc w:val="center"/>
                    <w:rPr>
                      <w:sz w:val="21"/>
                      <w:szCs w:val="21"/>
                    </w:rPr>
                  </w:pPr>
                </w:p>
              </w:tc>
              <w:tc>
                <w:tcPr>
                  <w:tcW w:w="334" w:type="pct"/>
                  <w:vMerge w:val="continue"/>
                  <w:vAlign w:val="center"/>
                </w:tcPr>
                <w:p w14:paraId="186AB885">
                  <w:pPr>
                    <w:jc w:val="center"/>
                    <w:rPr>
                      <w:sz w:val="21"/>
                      <w:szCs w:val="21"/>
                    </w:rPr>
                  </w:pPr>
                </w:p>
              </w:tc>
              <w:tc>
                <w:tcPr>
                  <w:tcW w:w="1196" w:type="dxa"/>
                  <w:vAlign w:val="center"/>
                </w:tcPr>
                <w:p w14:paraId="3EF9FC6C">
                  <w:pPr>
                    <w:keepNext w:val="0"/>
                    <w:keepLines w:val="0"/>
                    <w:widowControl/>
                    <w:suppressLineNumbers w:val="0"/>
                    <w:jc w:val="center"/>
                    <w:textAlignment w:val="center"/>
                    <w:rPr>
                      <w:sz w:val="21"/>
                      <w:szCs w:val="21"/>
                    </w:rPr>
                  </w:pPr>
                  <w:r>
                    <w:rPr>
                      <w:rFonts w:hint="default" w:ascii="Times New Roman" w:hAnsi="Times New Roman" w:eastAsia="宋体" w:cs="Times New Roman"/>
                      <w:i w:val="0"/>
                      <w:iCs w:val="0"/>
                      <w:color w:val="000000"/>
                      <w:kern w:val="0"/>
                      <w:sz w:val="21"/>
                      <w:szCs w:val="21"/>
                      <w:u w:val="none"/>
                      <w:lang w:val="en-US" w:eastAsia="zh-CN" w:bidi="ar"/>
                    </w:rPr>
                    <w:t>0.058</w:t>
                  </w:r>
                </w:p>
              </w:tc>
              <w:tc>
                <w:tcPr>
                  <w:tcW w:w="316" w:type="pct"/>
                  <w:vAlign w:val="center"/>
                </w:tcPr>
                <w:p w14:paraId="144AB115">
                  <w:pPr>
                    <w:widowControl/>
                    <w:jc w:val="center"/>
                    <w:textAlignment w:val="top"/>
                    <w:rPr>
                      <w:sz w:val="21"/>
                      <w:szCs w:val="21"/>
                    </w:rPr>
                  </w:pPr>
                  <w:r>
                    <w:rPr>
                      <w:sz w:val="21"/>
                      <w:szCs w:val="21"/>
                    </w:rPr>
                    <w:t>150</w:t>
                  </w:r>
                </w:p>
              </w:tc>
              <w:tc>
                <w:tcPr>
                  <w:tcW w:w="336" w:type="pct"/>
                  <w:vMerge w:val="continue"/>
                  <w:vAlign w:val="center"/>
                </w:tcPr>
                <w:p w14:paraId="161BAAFC">
                  <w:pPr>
                    <w:jc w:val="center"/>
                    <w:rPr>
                      <w:sz w:val="21"/>
                      <w:szCs w:val="21"/>
                    </w:rPr>
                  </w:pPr>
                </w:p>
              </w:tc>
              <w:tc>
                <w:tcPr>
                  <w:tcW w:w="246" w:type="pct"/>
                  <w:vMerge w:val="continue"/>
                  <w:vAlign w:val="center"/>
                </w:tcPr>
                <w:p w14:paraId="37D27253">
                  <w:pPr>
                    <w:jc w:val="center"/>
                    <w:rPr>
                      <w:sz w:val="21"/>
                      <w:szCs w:val="21"/>
                    </w:rPr>
                  </w:pPr>
                </w:p>
              </w:tc>
              <w:tc>
                <w:tcPr>
                  <w:tcW w:w="259" w:type="pct"/>
                  <w:vMerge w:val="continue"/>
                  <w:vAlign w:val="center"/>
                </w:tcPr>
                <w:p w14:paraId="2AF3F8AF">
                  <w:pPr>
                    <w:jc w:val="center"/>
                    <w:rPr>
                      <w:sz w:val="21"/>
                      <w:szCs w:val="21"/>
                    </w:rPr>
                  </w:pPr>
                </w:p>
              </w:tc>
              <w:tc>
                <w:tcPr>
                  <w:tcW w:w="342" w:type="pct"/>
                  <w:vMerge w:val="continue"/>
                  <w:vAlign w:val="center"/>
                </w:tcPr>
                <w:p w14:paraId="4B530529">
                  <w:pPr>
                    <w:jc w:val="center"/>
                    <w:rPr>
                      <w:sz w:val="21"/>
                      <w:szCs w:val="21"/>
                    </w:rPr>
                  </w:pPr>
                </w:p>
              </w:tc>
            </w:tr>
            <w:tr w14:paraId="3A83D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0" w:type="pct"/>
                  <w:vMerge w:val="continue"/>
                  <w:vAlign w:val="center"/>
                </w:tcPr>
                <w:p w14:paraId="2716D7AA">
                  <w:pPr>
                    <w:jc w:val="center"/>
                    <w:rPr>
                      <w:sz w:val="21"/>
                      <w:szCs w:val="21"/>
                    </w:rPr>
                  </w:pPr>
                </w:p>
              </w:tc>
              <w:tc>
                <w:tcPr>
                  <w:tcW w:w="295" w:type="pct"/>
                  <w:vMerge w:val="continue"/>
                  <w:vAlign w:val="center"/>
                </w:tcPr>
                <w:p w14:paraId="25D55672">
                  <w:pPr>
                    <w:jc w:val="center"/>
                    <w:rPr>
                      <w:sz w:val="21"/>
                      <w:szCs w:val="21"/>
                    </w:rPr>
                  </w:pPr>
                </w:p>
              </w:tc>
              <w:tc>
                <w:tcPr>
                  <w:tcW w:w="435" w:type="pct"/>
                  <w:vAlign w:val="center"/>
                </w:tcPr>
                <w:p w14:paraId="1ADA3815">
                  <w:pPr>
                    <w:adjustRightInd w:val="0"/>
                    <w:jc w:val="center"/>
                    <w:rPr>
                      <w:bCs/>
                      <w:kern w:val="0"/>
                      <w:sz w:val="21"/>
                      <w:szCs w:val="21"/>
                    </w:rPr>
                  </w:pPr>
                  <w:r>
                    <w:rPr>
                      <w:bCs/>
                      <w:kern w:val="0"/>
                      <w:sz w:val="21"/>
                      <w:szCs w:val="21"/>
                    </w:rPr>
                    <w:t>SS</w:t>
                  </w:r>
                </w:p>
              </w:tc>
              <w:tc>
                <w:tcPr>
                  <w:tcW w:w="1196" w:type="dxa"/>
                  <w:vAlign w:val="center"/>
                </w:tcPr>
                <w:p w14:paraId="22C0B6CF">
                  <w:pPr>
                    <w:keepNext w:val="0"/>
                    <w:keepLines w:val="0"/>
                    <w:widowControl/>
                    <w:suppressLineNumbers w:val="0"/>
                    <w:jc w:val="center"/>
                    <w:textAlignment w:val="center"/>
                    <w:rPr>
                      <w:sz w:val="21"/>
                      <w:szCs w:val="21"/>
                    </w:rPr>
                  </w:pPr>
                  <w:r>
                    <w:rPr>
                      <w:rFonts w:hint="default" w:ascii="Times New Roman" w:hAnsi="Times New Roman" w:eastAsia="宋体" w:cs="Times New Roman"/>
                      <w:i w:val="0"/>
                      <w:iCs w:val="0"/>
                      <w:color w:val="000000"/>
                      <w:kern w:val="0"/>
                      <w:sz w:val="21"/>
                      <w:szCs w:val="21"/>
                      <w:u w:val="none"/>
                      <w:lang w:val="en-US" w:eastAsia="zh-CN" w:bidi="ar"/>
                    </w:rPr>
                    <w:t>0.077</w:t>
                  </w:r>
                </w:p>
              </w:tc>
              <w:tc>
                <w:tcPr>
                  <w:tcW w:w="327" w:type="pct"/>
                  <w:vAlign w:val="center"/>
                </w:tcPr>
                <w:p w14:paraId="065340E8">
                  <w:pPr>
                    <w:widowControl/>
                    <w:jc w:val="center"/>
                    <w:textAlignment w:val="top"/>
                    <w:rPr>
                      <w:sz w:val="21"/>
                      <w:szCs w:val="21"/>
                    </w:rPr>
                  </w:pPr>
                  <w:r>
                    <w:rPr>
                      <w:sz w:val="21"/>
                      <w:szCs w:val="21"/>
                    </w:rPr>
                    <w:t>200</w:t>
                  </w:r>
                </w:p>
              </w:tc>
              <w:tc>
                <w:tcPr>
                  <w:tcW w:w="259" w:type="pct"/>
                  <w:vMerge w:val="continue"/>
                  <w:vAlign w:val="center"/>
                </w:tcPr>
                <w:p w14:paraId="7CD1F9C5">
                  <w:pPr>
                    <w:jc w:val="center"/>
                    <w:rPr>
                      <w:sz w:val="21"/>
                      <w:szCs w:val="21"/>
                    </w:rPr>
                  </w:pPr>
                </w:p>
              </w:tc>
              <w:tc>
                <w:tcPr>
                  <w:tcW w:w="254" w:type="pct"/>
                  <w:vAlign w:val="center"/>
                </w:tcPr>
                <w:p w14:paraId="49073A5D">
                  <w:pPr>
                    <w:jc w:val="center"/>
                    <w:rPr>
                      <w:sz w:val="21"/>
                      <w:szCs w:val="21"/>
                    </w:rPr>
                  </w:pPr>
                  <w:r>
                    <w:rPr>
                      <w:sz w:val="21"/>
                      <w:szCs w:val="21"/>
                    </w:rPr>
                    <w:t>/</w:t>
                  </w:r>
                </w:p>
              </w:tc>
              <w:tc>
                <w:tcPr>
                  <w:tcW w:w="271" w:type="pct"/>
                  <w:vMerge w:val="continue"/>
                  <w:vAlign w:val="center"/>
                </w:tcPr>
                <w:p w14:paraId="5659436B">
                  <w:pPr>
                    <w:jc w:val="center"/>
                    <w:rPr>
                      <w:sz w:val="21"/>
                      <w:szCs w:val="21"/>
                    </w:rPr>
                  </w:pPr>
                </w:p>
              </w:tc>
              <w:tc>
                <w:tcPr>
                  <w:tcW w:w="271" w:type="pct"/>
                  <w:vMerge w:val="continue"/>
                  <w:vAlign w:val="center"/>
                </w:tcPr>
                <w:p w14:paraId="15CDBA2F">
                  <w:pPr>
                    <w:jc w:val="center"/>
                    <w:rPr>
                      <w:sz w:val="21"/>
                      <w:szCs w:val="21"/>
                    </w:rPr>
                  </w:pPr>
                </w:p>
              </w:tc>
              <w:tc>
                <w:tcPr>
                  <w:tcW w:w="334" w:type="pct"/>
                  <w:vMerge w:val="continue"/>
                  <w:vAlign w:val="center"/>
                </w:tcPr>
                <w:p w14:paraId="0B61EE36">
                  <w:pPr>
                    <w:jc w:val="center"/>
                    <w:rPr>
                      <w:sz w:val="21"/>
                      <w:szCs w:val="21"/>
                    </w:rPr>
                  </w:pPr>
                </w:p>
              </w:tc>
              <w:tc>
                <w:tcPr>
                  <w:tcW w:w="1196" w:type="dxa"/>
                  <w:vAlign w:val="center"/>
                </w:tcPr>
                <w:p w14:paraId="061D058B">
                  <w:pPr>
                    <w:keepNext w:val="0"/>
                    <w:keepLines w:val="0"/>
                    <w:widowControl/>
                    <w:suppressLineNumbers w:val="0"/>
                    <w:jc w:val="center"/>
                    <w:textAlignment w:val="center"/>
                    <w:rPr>
                      <w:sz w:val="21"/>
                      <w:szCs w:val="21"/>
                    </w:rPr>
                  </w:pPr>
                  <w:r>
                    <w:rPr>
                      <w:rFonts w:hint="default" w:ascii="Times New Roman" w:hAnsi="Times New Roman" w:eastAsia="宋体" w:cs="Times New Roman"/>
                      <w:i w:val="0"/>
                      <w:iCs w:val="0"/>
                      <w:color w:val="000000"/>
                      <w:kern w:val="0"/>
                      <w:sz w:val="21"/>
                      <w:szCs w:val="21"/>
                      <w:u w:val="none"/>
                      <w:lang w:val="en-US" w:eastAsia="zh-CN" w:bidi="ar"/>
                    </w:rPr>
                    <w:t>0.077</w:t>
                  </w:r>
                </w:p>
              </w:tc>
              <w:tc>
                <w:tcPr>
                  <w:tcW w:w="316" w:type="pct"/>
                  <w:vAlign w:val="center"/>
                </w:tcPr>
                <w:p w14:paraId="7593219C">
                  <w:pPr>
                    <w:widowControl/>
                    <w:jc w:val="center"/>
                    <w:textAlignment w:val="top"/>
                    <w:rPr>
                      <w:sz w:val="21"/>
                      <w:szCs w:val="21"/>
                    </w:rPr>
                  </w:pPr>
                  <w:r>
                    <w:rPr>
                      <w:sz w:val="21"/>
                      <w:szCs w:val="21"/>
                    </w:rPr>
                    <w:t>200</w:t>
                  </w:r>
                </w:p>
              </w:tc>
              <w:tc>
                <w:tcPr>
                  <w:tcW w:w="336" w:type="pct"/>
                  <w:vMerge w:val="continue"/>
                  <w:vAlign w:val="center"/>
                </w:tcPr>
                <w:p w14:paraId="30796795">
                  <w:pPr>
                    <w:jc w:val="center"/>
                    <w:rPr>
                      <w:sz w:val="21"/>
                      <w:szCs w:val="21"/>
                    </w:rPr>
                  </w:pPr>
                </w:p>
              </w:tc>
              <w:tc>
                <w:tcPr>
                  <w:tcW w:w="246" w:type="pct"/>
                  <w:vMerge w:val="continue"/>
                  <w:vAlign w:val="center"/>
                </w:tcPr>
                <w:p w14:paraId="68EECE84">
                  <w:pPr>
                    <w:jc w:val="center"/>
                    <w:rPr>
                      <w:sz w:val="21"/>
                      <w:szCs w:val="21"/>
                    </w:rPr>
                  </w:pPr>
                </w:p>
              </w:tc>
              <w:tc>
                <w:tcPr>
                  <w:tcW w:w="259" w:type="pct"/>
                  <w:vMerge w:val="continue"/>
                  <w:vAlign w:val="center"/>
                </w:tcPr>
                <w:p w14:paraId="17B304B6">
                  <w:pPr>
                    <w:jc w:val="center"/>
                    <w:rPr>
                      <w:sz w:val="21"/>
                      <w:szCs w:val="21"/>
                    </w:rPr>
                  </w:pPr>
                </w:p>
              </w:tc>
              <w:tc>
                <w:tcPr>
                  <w:tcW w:w="342" w:type="pct"/>
                  <w:vMerge w:val="continue"/>
                  <w:vAlign w:val="center"/>
                </w:tcPr>
                <w:p w14:paraId="21A117BF">
                  <w:pPr>
                    <w:jc w:val="center"/>
                    <w:rPr>
                      <w:sz w:val="21"/>
                      <w:szCs w:val="21"/>
                    </w:rPr>
                  </w:pPr>
                </w:p>
              </w:tc>
            </w:tr>
            <w:tr w14:paraId="41A59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0" w:type="pct"/>
                  <w:vMerge w:val="continue"/>
                  <w:vAlign w:val="center"/>
                </w:tcPr>
                <w:p w14:paraId="143B8944">
                  <w:pPr>
                    <w:jc w:val="center"/>
                    <w:rPr>
                      <w:sz w:val="21"/>
                      <w:szCs w:val="21"/>
                    </w:rPr>
                  </w:pPr>
                </w:p>
              </w:tc>
              <w:tc>
                <w:tcPr>
                  <w:tcW w:w="295" w:type="pct"/>
                  <w:vMerge w:val="continue"/>
                  <w:vAlign w:val="center"/>
                </w:tcPr>
                <w:p w14:paraId="2D3A7232">
                  <w:pPr>
                    <w:jc w:val="center"/>
                    <w:rPr>
                      <w:sz w:val="21"/>
                      <w:szCs w:val="21"/>
                    </w:rPr>
                  </w:pPr>
                </w:p>
              </w:tc>
              <w:tc>
                <w:tcPr>
                  <w:tcW w:w="435" w:type="pct"/>
                  <w:vAlign w:val="center"/>
                </w:tcPr>
                <w:p w14:paraId="4F416463">
                  <w:pPr>
                    <w:adjustRightInd w:val="0"/>
                    <w:jc w:val="center"/>
                    <w:rPr>
                      <w:bCs/>
                      <w:kern w:val="0"/>
                      <w:sz w:val="21"/>
                      <w:szCs w:val="21"/>
                    </w:rPr>
                  </w:pPr>
                  <w:r>
                    <w:rPr>
                      <w:bCs/>
                      <w:kern w:val="0"/>
                      <w:sz w:val="21"/>
                      <w:szCs w:val="21"/>
                    </w:rPr>
                    <w:t>NH</w:t>
                  </w:r>
                  <w:r>
                    <w:rPr>
                      <w:bCs/>
                      <w:kern w:val="0"/>
                      <w:sz w:val="21"/>
                      <w:szCs w:val="21"/>
                      <w:vertAlign w:val="subscript"/>
                    </w:rPr>
                    <w:t>3</w:t>
                  </w:r>
                  <w:r>
                    <w:rPr>
                      <w:bCs/>
                      <w:kern w:val="0"/>
                      <w:sz w:val="21"/>
                      <w:szCs w:val="21"/>
                    </w:rPr>
                    <w:t>-N</w:t>
                  </w:r>
                </w:p>
              </w:tc>
              <w:tc>
                <w:tcPr>
                  <w:tcW w:w="1196" w:type="dxa"/>
                  <w:vAlign w:val="center"/>
                </w:tcPr>
                <w:p w14:paraId="6222A854">
                  <w:pPr>
                    <w:keepNext w:val="0"/>
                    <w:keepLines w:val="0"/>
                    <w:widowControl/>
                    <w:suppressLineNumbers w:val="0"/>
                    <w:jc w:val="center"/>
                    <w:textAlignment w:val="center"/>
                    <w:rPr>
                      <w:sz w:val="21"/>
                      <w:szCs w:val="21"/>
                    </w:rPr>
                  </w:pPr>
                  <w:r>
                    <w:rPr>
                      <w:rFonts w:hint="default" w:ascii="Times New Roman" w:hAnsi="Times New Roman" w:eastAsia="宋体" w:cs="Times New Roman"/>
                      <w:i w:val="0"/>
                      <w:iCs w:val="0"/>
                      <w:color w:val="000000"/>
                      <w:kern w:val="0"/>
                      <w:sz w:val="21"/>
                      <w:szCs w:val="21"/>
                      <w:u w:val="none"/>
                      <w:lang w:val="en-US" w:eastAsia="zh-CN" w:bidi="ar"/>
                    </w:rPr>
                    <w:t>0.006</w:t>
                  </w:r>
                </w:p>
              </w:tc>
              <w:tc>
                <w:tcPr>
                  <w:tcW w:w="327" w:type="pct"/>
                  <w:vAlign w:val="center"/>
                </w:tcPr>
                <w:p w14:paraId="6A2ECB3E">
                  <w:pPr>
                    <w:widowControl/>
                    <w:jc w:val="center"/>
                    <w:textAlignment w:val="top"/>
                    <w:rPr>
                      <w:sz w:val="21"/>
                      <w:szCs w:val="21"/>
                    </w:rPr>
                  </w:pPr>
                  <w:r>
                    <w:rPr>
                      <w:sz w:val="21"/>
                      <w:szCs w:val="21"/>
                    </w:rPr>
                    <w:t>15</w:t>
                  </w:r>
                </w:p>
              </w:tc>
              <w:tc>
                <w:tcPr>
                  <w:tcW w:w="259" w:type="pct"/>
                  <w:vMerge w:val="continue"/>
                  <w:vAlign w:val="center"/>
                </w:tcPr>
                <w:p w14:paraId="5225896B">
                  <w:pPr>
                    <w:jc w:val="center"/>
                    <w:rPr>
                      <w:sz w:val="21"/>
                      <w:szCs w:val="21"/>
                    </w:rPr>
                  </w:pPr>
                </w:p>
              </w:tc>
              <w:tc>
                <w:tcPr>
                  <w:tcW w:w="254" w:type="pct"/>
                  <w:vAlign w:val="center"/>
                </w:tcPr>
                <w:p w14:paraId="49BE6E46">
                  <w:pPr>
                    <w:jc w:val="center"/>
                    <w:rPr>
                      <w:sz w:val="21"/>
                      <w:szCs w:val="21"/>
                    </w:rPr>
                  </w:pPr>
                  <w:r>
                    <w:rPr>
                      <w:sz w:val="21"/>
                      <w:szCs w:val="21"/>
                    </w:rPr>
                    <w:t>/</w:t>
                  </w:r>
                </w:p>
              </w:tc>
              <w:tc>
                <w:tcPr>
                  <w:tcW w:w="271" w:type="pct"/>
                  <w:vMerge w:val="continue"/>
                  <w:vAlign w:val="center"/>
                </w:tcPr>
                <w:p w14:paraId="49F13C6F">
                  <w:pPr>
                    <w:jc w:val="center"/>
                    <w:rPr>
                      <w:sz w:val="21"/>
                      <w:szCs w:val="21"/>
                    </w:rPr>
                  </w:pPr>
                </w:p>
              </w:tc>
              <w:tc>
                <w:tcPr>
                  <w:tcW w:w="271" w:type="pct"/>
                  <w:vMerge w:val="continue"/>
                  <w:vAlign w:val="center"/>
                </w:tcPr>
                <w:p w14:paraId="33FA1911">
                  <w:pPr>
                    <w:jc w:val="center"/>
                    <w:rPr>
                      <w:sz w:val="21"/>
                      <w:szCs w:val="21"/>
                    </w:rPr>
                  </w:pPr>
                </w:p>
              </w:tc>
              <w:tc>
                <w:tcPr>
                  <w:tcW w:w="334" w:type="pct"/>
                  <w:vMerge w:val="continue"/>
                  <w:vAlign w:val="center"/>
                </w:tcPr>
                <w:p w14:paraId="403EC7A0">
                  <w:pPr>
                    <w:jc w:val="center"/>
                    <w:rPr>
                      <w:sz w:val="21"/>
                      <w:szCs w:val="21"/>
                    </w:rPr>
                  </w:pPr>
                </w:p>
              </w:tc>
              <w:tc>
                <w:tcPr>
                  <w:tcW w:w="1196" w:type="dxa"/>
                  <w:vAlign w:val="center"/>
                </w:tcPr>
                <w:p w14:paraId="42F3B94D">
                  <w:pPr>
                    <w:keepNext w:val="0"/>
                    <w:keepLines w:val="0"/>
                    <w:widowControl/>
                    <w:suppressLineNumbers w:val="0"/>
                    <w:jc w:val="center"/>
                    <w:textAlignment w:val="center"/>
                    <w:rPr>
                      <w:sz w:val="21"/>
                      <w:szCs w:val="21"/>
                    </w:rPr>
                  </w:pPr>
                  <w:r>
                    <w:rPr>
                      <w:rFonts w:hint="default" w:ascii="Times New Roman" w:hAnsi="Times New Roman" w:eastAsia="宋体" w:cs="Times New Roman"/>
                      <w:i w:val="0"/>
                      <w:iCs w:val="0"/>
                      <w:color w:val="000000"/>
                      <w:kern w:val="0"/>
                      <w:sz w:val="21"/>
                      <w:szCs w:val="21"/>
                      <w:u w:val="none"/>
                      <w:lang w:val="en-US" w:eastAsia="zh-CN" w:bidi="ar"/>
                    </w:rPr>
                    <w:t>0.006</w:t>
                  </w:r>
                </w:p>
              </w:tc>
              <w:tc>
                <w:tcPr>
                  <w:tcW w:w="316" w:type="pct"/>
                  <w:vAlign w:val="center"/>
                </w:tcPr>
                <w:p w14:paraId="26B08B54">
                  <w:pPr>
                    <w:widowControl/>
                    <w:jc w:val="center"/>
                    <w:textAlignment w:val="top"/>
                    <w:rPr>
                      <w:sz w:val="21"/>
                      <w:szCs w:val="21"/>
                    </w:rPr>
                  </w:pPr>
                  <w:r>
                    <w:rPr>
                      <w:sz w:val="21"/>
                      <w:szCs w:val="21"/>
                    </w:rPr>
                    <w:t>15</w:t>
                  </w:r>
                </w:p>
              </w:tc>
              <w:tc>
                <w:tcPr>
                  <w:tcW w:w="336" w:type="pct"/>
                  <w:vMerge w:val="continue"/>
                  <w:vAlign w:val="center"/>
                </w:tcPr>
                <w:p w14:paraId="177947AE">
                  <w:pPr>
                    <w:jc w:val="center"/>
                    <w:rPr>
                      <w:sz w:val="21"/>
                      <w:szCs w:val="21"/>
                    </w:rPr>
                  </w:pPr>
                </w:p>
              </w:tc>
              <w:tc>
                <w:tcPr>
                  <w:tcW w:w="246" w:type="pct"/>
                  <w:vMerge w:val="continue"/>
                  <w:vAlign w:val="center"/>
                </w:tcPr>
                <w:p w14:paraId="2990D991">
                  <w:pPr>
                    <w:jc w:val="center"/>
                    <w:rPr>
                      <w:sz w:val="21"/>
                      <w:szCs w:val="21"/>
                    </w:rPr>
                  </w:pPr>
                </w:p>
              </w:tc>
              <w:tc>
                <w:tcPr>
                  <w:tcW w:w="259" w:type="pct"/>
                  <w:vMerge w:val="continue"/>
                  <w:vAlign w:val="center"/>
                </w:tcPr>
                <w:p w14:paraId="09C09D40">
                  <w:pPr>
                    <w:jc w:val="center"/>
                    <w:rPr>
                      <w:sz w:val="21"/>
                      <w:szCs w:val="21"/>
                    </w:rPr>
                  </w:pPr>
                </w:p>
              </w:tc>
              <w:tc>
                <w:tcPr>
                  <w:tcW w:w="342" w:type="pct"/>
                  <w:vMerge w:val="continue"/>
                  <w:vAlign w:val="center"/>
                </w:tcPr>
                <w:p w14:paraId="14A33F10">
                  <w:pPr>
                    <w:jc w:val="center"/>
                    <w:rPr>
                      <w:sz w:val="21"/>
                      <w:szCs w:val="21"/>
                    </w:rPr>
                  </w:pPr>
                </w:p>
              </w:tc>
            </w:tr>
            <w:tr w14:paraId="180CA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0" w:type="pct"/>
                  <w:vMerge w:val="continue"/>
                  <w:vAlign w:val="center"/>
                </w:tcPr>
                <w:p w14:paraId="51F9C39C">
                  <w:pPr>
                    <w:jc w:val="center"/>
                    <w:rPr>
                      <w:sz w:val="21"/>
                      <w:szCs w:val="21"/>
                    </w:rPr>
                  </w:pPr>
                </w:p>
              </w:tc>
              <w:tc>
                <w:tcPr>
                  <w:tcW w:w="295" w:type="pct"/>
                  <w:vMerge w:val="continue"/>
                  <w:vAlign w:val="center"/>
                </w:tcPr>
                <w:p w14:paraId="20AACA33">
                  <w:pPr>
                    <w:jc w:val="center"/>
                    <w:rPr>
                      <w:sz w:val="21"/>
                      <w:szCs w:val="21"/>
                    </w:rPr>
                  </w:pPr>
                </w:p>
              </w:tc>
              <w:tc>
                <w:tcPr>
                  <w:tcW w:w="435" w:type="pct"/>
                  <w:vAlign w:val="center"/>
                </w:tcPr>
                <w:p w14:paraId="34E79167">
                  <w:pPr>
                    <w:adjustRightInd w:val="0"/>
                    <w:jc w:val="center"/>
                    <w:rPr>
                      <w:bCs/>
                      <w:kern w:val="0"/>
                      <w:sz w:val="21"/>
                      <w:szCs w:val="21"/>
                    </w:rPr>
                  </w:pPr>
                  <w:r>
                    <w:rPr>
                      <w:bCs/>
                      <w:kern w:val="0"/>
                      <w:sz w:val="21"/>
                      <w:szCs w:val="21"/>
                    </w:rPr>
                    <w:t>动植物油</w:t>
                  </w:r>
                </w:p>
              </w:tc>
              <w:tc>
                <w:tcPr>
                  <w:tcW w:w="1196" w:type="dxa"/>
                  <w:vAlign w:val="center"/>
                </w:tcPr>
                <w:p w14:paraId="0E8D2D54">
                  <w:pPr>
                    <w:keepNext w:val="0"/>
                    <w:keepLines w:val="0"/>
                    <w:widowControl/>
                    <w:suppressLineNumbers w:val="0"/>
                    <w:jc w:val="center"/>
                    <w:textAlignment w:val="center"/>
                    <w:rPr>
                      <w:sz w:val="21"/>
                      <w:szCs w:val="21"/>
                    </w:rPr>
                  </w:pPr>
                  <w:r>
                    <w:rPr>
                      <w:rFonts w:hint="default" w:ascii="Times New Roman" w:hAnsi="Times New Roman" w:eastAsia="宋体" w:cs="Times New Roman"/>
                      <w:i w:val="0"/>
                      <w:iCs w:val="0"/>
                      <w:color w:val="000000"/>
                      <w:kern w:val="0"/>
                      <w:sz w:val="21"/>
                      <w:szCs w:val="21"/>
                      <w:u w:val="none"/>
                      <w:lang w:val="en-US" w:eastAsia="zh-CN" w:bidi="ar"/>
                    </w:rPr>
                    <w:t>0.046</w:t>
                  </w:r>
                </w:p>
              </w:tc>
              <w:tc>
                <w:tcPr>
                  <w:tcW w:w="327" w:type="pct"/>
                  <w:vAlign w:val="center"/>
                </w:tcPr>
                <w:p w14:paraId="21909159">
                  <w:pPr>
                    <w:widowControl/>
                    <w:jc w:val="center"/>
                    <w:textAlignment w:val="top"/>
                    <w:rPr>
                      <w:sz w:val="21"/>
                      <w:szCs w:val="21"/>
                    </w:rPr>
                  </w:pPr>
                  <w:r>
                    <w:rPr>
                      <w:sz w:val="21"/>
                      <w:szCs w:val="21"/>
                    </w:rPr>
                    <w:t>120</w:t>
                  </w:r>
                </w:p>
              </w:tc>
              <w:tc>
                <w:tcPr>
                  <w:tcW w:w="259" w:type="pct"/>
                  <w:vMerge w:val="continue"/>
                  <w:vAlign w:val="center"/>
                </w:tcPr>
                <w:p w14:paraId="0E014661">
                  <w:pPr>
                    <w:jc w:val="center"/>
                    <w:rPr>
                      <w:sz w:val="21"/>
                      <w:szCs w:val="21"/>
                    </w:rPr>
                  </w:pPr>
                </w:p>
              </w:tc>
              <w:tc>
                <w:tcPr>
                  <w:tcW w:w="254" w:type="pct"/>
                  <w:vAlign w:val="center"/>
                </w:tcPr>
                <w:p w14:paraId="565E6F91">
                  <w:pPr>
                    <w:jc w:val="center"/>
                    <w:rPr>
                      <w:sz w:val="21"/>
                      <w:szCs w:val="21"/>
                    </w:rPr>
                  </w:pPr>
                  <w:r>
                    <w:rPr>
                      <w:sz w:val="21"/>
                      <w:szCs w:val="21"/>
                    </w:rPr>
                    <w:t>50%</w:t>
                  </w:r>
                </w:p>
              </w:tc>
              <w:tc>
                <w:tcPr>
                  <w:tcW w:w="271" w:type="pct"/>
                  <w:vMerge w:val="continue"/>
                  <w:vAlign w:val="center"/>
                </w:tcPr>
                <w:p w14:paraId="14D85AD0">
                  <w:pPr>
                    <w:jc w:val="center"/>
                    <w:rPr>
                      <w:sz w:val="21"/>
                      <w:szCs w:val="21"/>
                    </w:rPr>
                  </w:pPr>
                </w:p>
              </w:tc>
              <w:tc>
                <w:tcPr>
                  <w:tcW w:w="271" w:type="pct"/>
                  <w:vMerge w:val="continue"/>
                  <w:vAlign w:val="center"/>
                </w:tcPr>
                <w:p w14:paraId="6EF61BCE">
                  <w:pPr>
                    <w:jc w:val="center"/>
                    <w:rPr>
                      <w:sz w:val="21"/>
                      <w:szCs w:val="21"/>
                    </w:rPr>
                  </w:pPr>
                </w:p>
              </w:tc>
              <w:tc>
                <w:tcPr>
                  <w:tcW w:w="334" w:type="pct"/>
                  <w:vMerge w:val="continue"/>
                  <w:vAlign w:val="center"/>
                </w:tcPr>
                <w:p w14:paraId="6B74A258">
                  <w:pPr>
                    <w:jc w:val="center"/>
                    <w:rPr>
                      <w:sz w:val="21"/>
                      <w:szCs w:val="21"/>
                    </w:rPr>
                  </w:pPr>
                </w:p>
              </w:tc>
              <w:tc>
                <w:tcPr>
                  <w:tcW w:w="1196" w:type="dxa"/>
                  <w:vAlign w:val="center"/>
                </w:tcPr>
                <w:p w14:paraId="0EC17E71">
                  <w:pPr>
                    <w:keepNext w:val="0"/>
                    <w:keepLines w:val="0"/>
                    <w:widowControl/>
                    <w:suppressLineNumbers w:val="0"/>
                    <w:jc w:val="center"/>
                    <w:textAlignment w:val="center"/>
                    <w:rPr>
                      <w:sz w:val="21"/>
                      <w:szCs w:val="21"/>
                    </w:rPr>
                  </w:pPr>
                  <w:r>
                    <w:rPr>
                      <w:rFonts w:hint="default" w:ascii="Times New Roman" w:hAnsi="Times New Roman" w:eastAsia="宋体" w:cs="Times New Roman"/>
                      <w:i w:val="0"/>
                      <w:iCs w:val="0"/>
                      <w:color w:val="000000"/>
                      <w:kern w:val="0"/>
                      <w:sz w:val="21"/>
                      <w:szCs w:val="21"/>
                      <w:u w:val="none"/>
                      <w:lang w:val="en-US" w:eastAsia="zh-CN" w:bidi="ar"/>
                    </w:rPr>
                    <w:t>0.023</w:t>
                  </w:r>
                </w:p>
              </w:tc>
              <w:tc>
                <w:tcPr>
                  <w:tcW w:w="316" w:type="pct"/>
                  <w:vAlign w:val="center"/>
                </w:tcPr>
                <w:p w14:paraId="4CFA6D2D">
                  <w:pPr>
                    <w:widowControl/>
                    <w:jc w:val="center"/>
                    <w:textAlignment w:val="top"/>
                    <w:rPr>
                      <w:sz w:val="21"/>
                      <w:szCs w:val="21"/>
                    </w:rPr>
                  </w:pPr>
                  <w:r>
                    <w:rPr>
                      <w:sz w:val="21"/>
                      <w:szCs w:val="21"/>
                    </w:rPr>
                    <w:t>60</w:t>
                  </w:r>
                </w:p>
              </w:tc>
              <w:tc>
                <w:tcPr>
                  <w:tcW w:w="336" w:type="pct"/>
                  <w:vMerge w:val="continue"/>
                  <w:vAlign w:val="center"/>
                </w:tcPr>
                <w:p w14:paraId="6A6F5C99">
                  <w:pPr>
                    <w:jc w:val="center"/>
                    <w:rPr>
                      <w:sz w:val="21"/>
                      <w:szCs w:val="21"/>
                    </w:rPr>
                  </w:pPr>
                </w:p>
              </w:tc>
              <w:tc>
                <w:tcPr>
                  <w:tcW w:w="246" w:type="pct"/>
                  <w:vMerge w:val="continue"/>
                  <w:vAlign w:val="center"/>
                </w:tcPr>
                <w:p w14:paraId="1DD65558">
                  <w:pPr>
                    <w:jc w:val="center"/>
                    <w:rPr>
                      <w:sz w:val="21"/>
                      <w:szCs w:val="21"/>
                    </w:rPr>
                  </w:pPr>
                </w:p>
              </w:tc>
              <w:tc>
                <w:tcPr>
                  <w:tcW w:w="259" w:type="pct"/>
                  <w:vMerge w:val="continue"/>
                  <w:vAlign w:val="center"/>
                </w:tcPr>
                <w:p w14:paraId="2E82EC41">
                  <w:pPr>
                    <w:jc w:val="center"/>
                    <w:rPr>
                      <w:sz w:val="21"/>
                      <w:szCs w:val="21"/>
                    </w:rPr>
                  </w:pPr>
                </w:p>
              </w:tc>
              <w:tc>
                <w:tcPr>
                  <w:tcW w:w="342" w:type="pct"/>
                  <w:vMerge w:val="continue"/>
                  <w:vAlign w:val="center"/>
                </w:tcPr>
                <w:p w14:paraId="56B520BA">
                  <w:pPr>
                    <w:jc w:val="center"/>
                    <w:rPr>
                      <w:sz w:val="21"/>
                      <w:szCs w:val="21"/>
                    </w:rPr>
                  </w:pPr>
                </w:p>
              </w:tc>
            </w:tr>
            <w:tr w14:paraId="27E6A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6" w:type="pct"/>
                  <w:gridSpan w:val="2"/>
                  <w:vMerge w:val="restart"/>
                  <w:vAlign w:val="center"/>
                </w:tcPr>
                <w:p w14:paraId="27872314">
                  <w:pPr>
                    <w:jc w:val="center"/>
                    <w:rPr>
                      <w:sz w:val="21"/>
                      <w:szCs w:val="21"/>
                    </w:rPr>
                  </w:pPr>
                  <w:r>
                    <w:rPr>
                      <w:sz w:val="21"/>
                      <w:szCs w:val="21"/>
                    </w:rPr>
                    <w:t>综合废水</w:t>
                  </w:r>
                </w:p>
              </w:tc>
              <w:tc>
                <w:tcPr>
                  <w:tcW w:w="435" w:type="pct"/>
                  <w:vAlign w:val="center"/>
                </w:tcPr>
                <w:p w14:paraId="27F70369">
                  <w:pPr>
                    <w:adjustRightInd w:val="0"/>
                    <w:jc w:val="center"/>
                    <w:rPr>
                      <w:bCs/>
                      <w:kern w:val="0"/>
                      <w:sz w:val="21"/>
                      <w:szCs w:val="21"/>
                    </w:rPr>
                  </w:pPr>
                  <w:r>
                    <w:rPr>
                      <w:bCs/>
                      <w:kern w:val="0"/>
                      <w:sz w:val="21"/>
                      <w:szCs w:val="21"/>
                    </w:rPr>
                    <w:t>水量</w:t>
                  </w:r>
                </w:p>
              </w:tc>
              <w:tc>
                <w:tcPr>
                  <w:tcW w:w="1196" w:type="dxa"/>
                  <w:vAlign w:val="center"/>
                </w:tcPr>
                <w:p w14:paraId="158E1FD5">
                  <w:pPr>
                    <w:keepNext w:val="0"/>
                    <w:keepLines w:val="0"/>
                    <w:widowControl/>
                    <w:suppressLineNumbers w:val="0"/>
                    <w:jc w:val="center"/>
                    <w:textAlignment w:val="center"/>
                    <w:rPr>
                      <w:sz w:val="21"/>
                      <w:szCs w:val="21"/>
                    </w:rPr>
                  </w:pPr>
                  <w:r>
                    <w:rPr>
                      <w:rFonts w:hint="default" w:ascii="Times New Roman" w:hAnsi="Times New Roman" w:eastAsia="宋体" w:cs="Times New Roman"/>
                      <w:i w:val="0"/>
                      <w:iCs w:val="0"/>
                      <w:color w:val="000000"/>
                      <w:kern w:val="0"/>
                      <w:sz w:val="21"/>
                      <w:szCs w:val="21"/>
                      <w:u w:val="none"/>
                      <w:lang w:val="en-US" w:eastAsia="zh-CN" w:bidi="ar"/>
                    </w:rPr>
                    <w:t>2755.5</w:t>
                  </w:r>
                </w:p>
              </w:tc>
              <w:tc>
                <w:tcPr>
                  <w:tcW w:w="990" w:type="dxa"/>
                  <w:vAlign w:val="center"/>
                </w:tcPr>
                <w:p w14:paraId="63681335">
                  <w:pPr>
                    <w:keepNext w:val="0"/>
                    <w:keepLines w:val="0"/>
                    <w:widowControl/>
                    <w:suppressLineNumbers w:val="0"/>
                    <w:jc w:val="center"/>
                    <w:textAlignment w:val="center"/>
                    <w:rPr>
                      <w:sz w:val="21"/>
                      <w:szCs w:val="21"/>
                    </w:rPr>
                  </w:pPr>
                  <w:r>
                    <w:rPr>
                      <w:rFonts w:hint="default" w:ascii="Times New Roman" w:hAnsi="Times New Roman" w:eastAsia="宋体" w:cs="Times New Roman"/>
                      <w:i w:val="0"/>
                      <w:iCs w:val="0"/>
                      <w:color w:val="000000"/>
                      <w:kern w:val="0"/>
                      <w:sz w:val="21"/>
                      <w:szCs w:val="21"/>
                      <w:u w:val="none"/>
                      <w:lang w:val="en-US" w:eastAsia="zh-CN" w:bidi="ar"/>
                    </w:rPr>
                    <w:t>/</w:t>
                  </w:r>
                </w:p>
              </w:tc>
              <w:tc>
                <w:tcPr>
                  <w:tcW w:w="259" w:type="pct"/>
                  <w:vMerge w:val="restart"/>
                  <w:vAlign w:val="center"/>
                </w:tcPr>
                <w:p w14:paraId="25A5A301">
                  <w:pPr>
                    <w:jc w:val="center"/>
                    <w:rPr>
                      <w:sz w:val="21"/>
                      <w:szCs w:val="21"/>
                    </w:rPr>
                  </w:pPr>
                  <w:r>
                    <w:rPr>
                      <w:sz w:val="21"/>
                      <w:szCs w:val="21"/>
                    </w:rPr>
                    <w:t>/</w:t>
                  </w:r>
                </w:p>
              </w:tc>
              <w:tc>
                <w:tcPr>
                  <w:tcW w:w="254" w:type="pct"/>
                  <w:vMerge w:val="restart"/>
                  <w:vAlign w:val="center"/>
                </w:tcPr>
                <w:p w14:paraId="54537793">
                  <w:pPr>
                    <w:jc w:val="center"/>
                    <w:rPr>
                      <w:sz w:val="21"/>
                      <w:szCs w:val="21"/>
                    </w:rPr>
                  </w:pPr>
                  <w:r>
                    <w:rPr>
                      <w:sz w:val="21"/>
                      <w:szCs w:val="21"/>
                    </w:rPr>
                    <w:t>/</w:t>
                  </w:r>
                </w:p>
              </w:tc>
              <w:tc>
                <w:tcPr>
                  <w:tcW w:w="271" w:type="pct"/>
                  <w:vMerge w:val="restart"/>
                  <w:vAlign w:val="center"/>
                </w:tcPr>
                <w:p w14:paraId="2995B327">
                  <w:pPr>
                    <w:jc w:val="center"/>
                    <w:rPr>
                      <w:sz w:val="21"/>
                      <w:szCs w:val="21"/>
                    </w:rPr>
                  </w:pPr>
                  <w:r>
                    <w:rPr>
                      <w:sz w:val="21"/>
                      <w:szCs w:val="21"/>
                    </w:rPr>
                    <w:t>/</w:t>
                  </w:r>
                </w:p>
              </w:tc>
              <w:tc>
                <w:tcPr>
                  <w:tcW w:w="271" w:type="pct"/>
                  <w:vMerge w:val="restart"/>
                  <w:vAlign w:val="center"/>
                </w:tcPr>
                <w:p w14:paraId="619B5302">
                  <w:pPr>
                    <w:jc w:val="center"/>
                    <w:rPr>
                      <w:sz w:val="21"/>
                      <w:szCs w:val="21"/>
                    </w:rPr>
                  </w:pPr>
                  <w:r>
                    <w:rPr>
                      <w:sz w:val="21"/>
                      <w:szCs w:val="21"/>
                    </w:rPr>
                    <w:t>/</w:t>
                  </w:r>
                </w:p>
              </w:tc>
              <w:tc>
                <w:tcPr>
                  <w:tcW w:w="334" w:type="pct"/>
                  <w:vMerge w:val="restart"/>
                  <w:vAlign w:val="center"/>
                </w:tcPr>
                <w:p w14:paraId="70504072">
                  <w:pPr>
                    <w:jc w:val="center"/>
                    <w:rPr>
                      <w:sz w:val="21"/>
                      <w:szCs w:val="21"/>
                    </w:rPr>
                  </w:pPr>
                  <w:r>
                    <w:rPr>
                      <w:sz w:val="21"/>
                      <w:szCs w:val="21"/>
                    </w:rPr>
                    <w:t>/</w:t>
                  </w:r>
                </w:p>
              </w:tc>
              <w:tc>
                <w:tcPr>
                  <w:tcW w:w="1196" w:type="dxa"/>
                  <w:vAlign w:val="center"/>
                </w:tcPr>
                <w:p w14:paraId="0ADDF2A0">
                  <w:pPr>
                    <w:keepNext w:val="0"/>
                    <w:keepLines w:val="0"/>
                    <w:widowControl/>
                    <w:suppressLineNumbers w:val="0"/>
                    <w:jc w:val="center"/>
                    <w:textAlignment w:val="center"/>
                    <w:rPr>
                      <w:sz w:val="21"/>
                      <w:szCs w:val="21"/>
                    </w:rPr>
                  </w:pPr>
                  <w:r>
                    <w:rPr>
                      <w:rFonts w:hint="default" w:ascii="Times New Roman" w:hAnsi="Times New Roman" w:eastAsia="宋体" w:cs="Times New Roman"/>
                      <w:i w:val="0"/>
                      <w:iCs w:val="0"/>
                      <w:color w:val="000000"/>
                      <w:kern w:val="0"/>
                      <w:sz w:val="21"/>
                      <w:szCs w:val="21"/>
                      <w:u w:val="none"/>
                      <w:lang w:val="en-US" w:eastAsia="zh-CN" w:bidi="ar"/>
                    </w:rPr>
                    <w:t>2755.5</w:t>
                  </w:r>
                </w:p>
              </w:tc>
              <w:tc>
                <w:tcPr>
                  <w:tcW w:w="956" w:type="dxa"/>
                  <w:vAlign w:val="center"/>
                </w:tcPr>
                <w:p w14:paraId="5CB280E1">
                  <w:pPr>
                    <w:keepNext w:val="0"/>
                    <w:keepLines w:val="0"/>
                    <w:widowControl/>
                    <w:suppressLineNumbers w:val="0"/>
                    <w:jc w:val="center"/>
                    <w:textAlignment w:val="center"/>
                    <w:rPr>
                      <w:sz w:val="21"/>
                      <w:szCs w:val="21"/>
                    </w:rPr>
                  </w:pPr>
                  <w:r>
                    <w:rPr>
                      <w:rFonts w:hint="default" w:ascii="Times New Roman" w:hAnsi="Times New Roman" w:eastAsia="宋体" w:cs="Times New Roman"/>
                      <w:i w:val="0"/>
                      <w:iCs w:val="0"/>
                      <w:color w:val="000000"/>
                      <w:kern w:val="0"/>
                      <w:sz w:val="21"/>
                      <w:szCs w:val="21"/>
                      <w:u w:val="none"/>
                      <w:lang w:val="en-US" w:eastAsia="zh-CN" w:bidi="ar"/>
                    </w:rPr>
                    <w:t>/</w:t>
                  </w:r>
                </w:p>
              </w:tc>
              <w:tc>
                <w:tcPr>
                  <w:tcW w:w="336" w:type="pct"/>
                  <w:vMerge w:val="continue"/>
                  <w:vAlign w:val="center"/>
                </w:tcPr>
                <w:p w14:paraId="198E9B89">
                  <w:pPr>
                    <w:jc w:val="center"/>
                    <w:rPr>
                      <w:sz w:val="21"/>
                      <w:szCs w:val="21"/>
                    </w:rPr>
                  </w:pPr>
                </w:p>
              </w:tc>
              <w:tc>
                <w:tcPr>
                  <w:tcW w:w="246" w:type="pct"/>
                  <w:vMerge w:val="continue"/>
                  <w:vAlign w:val="center"/>
                </w:tcPr>
                <w:p w14:paraId="19979587">
                  <w:pPr>
                    <w:jc w:val="center"/>
                    <w:rPr>
                      <w:sz w:val="21"/>
                      <w:szCs w:val="21"/>
                    </w:rPr>
                  </w:pPr>
                </w:p>
              </w:tc>
              <w:tc>
                <w:tcPr>
                  <w:tcW w:w="259" w:type="pct"/>
                  <w:vMerge w:val="continue"/>
                  <w:vAlign w:val="center"/>
                </w:tcPr>
                <w:p w14:paraId="2E2821CE">
                  <w:pPr>
                    <w:jc w:val="center"/>
                    <w:rPr>
                      <w:sz w:val="21"/>
                      <w:szCs w:val="21"/>
                    </w:rPr>
                  </w:pPr>
                </w:p>
              </w:tc>
              <w:tc>
                <w:tcPr>
                  <w:tcW w:w="342" w:type="pct"/>
                  <w:vMerge w:val="continue"/>
                  <w:vAlign w:val="center"/>
                </w:tcPr>
                <w:p w14:paraId="19FFDBB4">
                  <w:pPr>
                    <w:jc w:val="center"/>
                    <w:rPr>
                      <w:sz w:val="21"/>
                      <w:szCs w:val="21"/>
                    </w:rPr>
                  </w:pPr>
                </w:p>
              </w:tc>
            </w:tr>
            <w:tr w14:paraId="09143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6" w:type="pct"/>
                  <w:gridSpan w:val="2"/>
                  <w:vMerge w:val="continue"/>
                  <w:vAlign w:val="center"/>
                </w:tcPr>
                <w:p w14:paraId="3EC6835C">
                  <w:pPr>
                    <w:jc w:val="center"/>
                    <w:rPr>
                      <w:sz w:val="21"/>
                      <w:szCs w:val="21"/>
                    </w:rPr>
                  </w:pPr>
                </w:p>
              </w:tc>
              <w:tc>
                <w:tcPr>
                  <w:tcW w:w="435" w:type="pct"/>
                  <w:vAlign w:val="center"/>
                </w:tcPr>
                <w:p w14:paraId="39FFE30E">
                  <w:pPr>
                    <w:adjustRightInd w:val="0"/>
                    <w:jc w:val="center"/>
                    <w:rPr>
                      <w:bCs/>
                      <w:kern w:val="0"/>
                      <w:sz w:val="21"/>
                      <w:szCs w:val="21"/>
                    </w:rPr>
                  </w:pPr>
                  <w:r>
                    <w:rPr>
                      <w:bCs/>
                      <w:kern w:val="0"/>
                      <w:sz w:val="21"/>
                      <w:szCs w:val="21"/>
                    </w:rPr>
                    <w:t>COD</w:t>
                  </w:r>
                </w:p>
              </w:tc>
              <w:tc>
                <w:tcPr>
                  <w:tcW w:w="1196" w:type="dxa"/>
                  <w:vAlign w:val="center"/>
                </w:tcPr>
                <w:p w14:paraId="4F9E7005">
                  <w:pPr>
                    <w:keepNext w:val="0"/>
                    <w:keepLines w:val="0"/>
                    <w:widowControl/>
                    <w:suppressLineNumbers w:val="0"/>
                    <w:jc w:val="center"/>
                    <w:textAlignment w:val="center"/>
                    <w:rPr>
                      <w:sz w:val="21"/>
                      <w:szCs w:val="21"/>
                    </w:rPr>
                  </w:pPr>
                  <w:r>
                    <w:rPr>
                      <w:rFonts w:hint="default" w:ascii="Times New Roman" w:hAnsi="Times New Roman" w:eastAsia="宋体" w:cs="Times New Roman"/>
                      <w:i w:val="0"/>
                      <w:iCs w:val="0"/>
                      <w:color w:val="000000"/>
                      <w:kern w:val="0"/>
                      <w:sz w:val="21"/>
                      <w:szCs w:val="21"/>
                      <w:u w:val="none"/>
                      <w:lang w:val="en-US" w:eastAsia="zh-CN" w:bidi="ar"/>
                    </w:rPr>
                    <w:t>0.827</w:t>
                  </w:r>
                </w:p>
              </w:tc>
              <w:tc>
                <w:tcPr>
                  <w:tcW w:w="990" w:type="dxa"/>
                  <w:vAlign w:val="center"/>
                </w:tcPr>
                <w:p w14:paraId="21768C24">
                  <w:pPr>
                    <w:keepNext w:val="0"/>
                    <w:keepLines w:val="0"/>
                    <w:widowControl/>
                    <w:suppressLineNumbers w:val="0"/>
                    <w:jc w:val="center"/>
                    <w:textAlignment w:val="top"/>
                    <w:rPr>
                      <w:sz w:val="21"/>
                      <w:szCs w:val="21"/>
                    </w:rPr>
                  </w:pPr>
                  <w:r>
                    <w:rPr>
                      <w:rFonts w:hint="default" w:ascii="Times New Roman" w:hAnsi="Times New Roman" w:eastAsia="宋体" w:cs="Times New Roman"/>
                      <w:i w:val="0"/>
                      <w:iCs w:val="0"/>
                      <w:color w:val="000000"/>
                      <w:kern w:val="0"/>
                      <w:sz w:val="21"/>
                      <w:szCs w:val="21"/>
                      <w:u w:val="none"/>
                      <w:lang w:val="en-US" w:eastAsia="zh-CN" w:bidi="ar"/>
                    </w:rPr>
                    <w:t>300.000</w:t>
                  </w:r>
                </w:p>
              </w:tc>
              <w:tc>
                <w:tcPr>
                  <w:tcW w:w="259" w:type="pct"/>
                  <w:vMerge w:val="continue"/>
                  <w:vAlign w:val="center"/>
                </w:tcPr>
                <w:p w14:paraId="15DC16F3">
                  <w:pPr>
                    <w:jc w:val="center"/>
                    <w:rPr>
                      <w:sz w:val="21"/>
                      <w:szCs w:val="21"/>
                    </w:rPr>
                  </w:pPr>
                </w:p>
              </w:tc>
              <w:tc>
                <w:tcPr>
                  <w:tcW w:w="254" w:type="pct"/>
                  <w:vMerge w:val="continue"/>
                  <w:vAlign w:val="center"/>
                </w:tcPr>
                <w:p w14:paraId="72965935">
                  <w:pPr>
                    <w:jc w:val="center"/>
                    <w:rPr>
                      <w:sz w:val="21"/>
                      <w:szCs w:val="21"/>
                    </w:rPr>
                  </w:pPr>
                </w:p>
              </w:tc>
              <w:tc>
                <w:tcPr>
                  <w:tcW w:w="271" w:type="pct"/>
                  <w:vMerge w:val="continue"/>
                  <w:vAlign w:val="center"/>
                </w:tcPr>
                <w:p w14:paraId="335E0120">
                  <w:pPr>
                    <w:jc w:val="center"/>
                    <w:rPr>
                      <w:sz w:val="21"/>
                      <w:szCs w:val="21"/>
                    </w:rPr>
                  </w:pPr>
                </w:p>
              </w:tc>
              <w:tc>
                <w:tcPr>
                  <w:tcW w:w="271" w:type="pct"/>
                  <w:vMerge w:val="continue"/>
                  <w:vAlign w:val="center"/>
                </w:tcPr>
                <w:p w14:paraId="6609F21A">
                  <w:pPr>
                    <w:jc w:val="center"/>
                    <w:rPr>
                      <w:sz w:val="21"/>
                      <w:szCs w:val="21"/>
                    </w:rPr>
                  </w:pPr>
                </w:p>
              </w:tc>
              <w:tc>
                <w:tcPr>
                  <w:tcW w:w="334" w:type="pct"/>
                  <w:vMerge w:val="continue"/>
                  <w:vAlign w:val="center"/>
                </w:tcPr>
                <w:p w14:paraId="3F7F9587">
                  <w:pPr>
                    <w:jc w:val="center"/>
                    <w:rPr>
                      <w:sz w:val="21"/>
                      <w:szCs w:val="21"/>
                    </w:rPr>
                  </w:pPr>
                </w:p>
              </w:tc>
              <w:tc>
                <w:tcPr>
                  <w:tcW w:w="1196" w:type="dxa"/>
                  <w:vAlign w:val="center"/>
                </w:tcPr>
                <w:p w14:paraId="0AA8BD14">
                  <w:pPr>
                    <w:keepNext w:val="0"/>
                    <w:keepLines w:val="0"/>
                    <w:widowControl/>
                    <w:suppressLineNumbers w:val="0"/>
                    <w:jc w:val="center"/>
                    <w:textAlignment w:val="center"/>
                    <w:rPr>
                      <w:sz w:val="21"/>
                      <w:szCs w:val="21"/>
                    </w:rPr>
                  </w:pPr>
                  <w:r>
                    <w:rPr>
                      <w:rFonts w:hint="default" w:ascii="Times New Roman" w:hAnsi="Times New Roman" w:eastAsia="宋体" w:cs="Times New Roman"/>
                      <w:i w:val="0"/>
                      <w:iCs w:val="0"/>
                      <w:color w:val="000000"/>
                      <w:kern w:val="0"/>
                      <w:sz w:val="21"/>
                      <w:szCs w:val="21"/>
                      <w:u w:val="none"/>
                      <w:lang w:val="en-US" w:eastAsia="zh-CN" w:bidi="ar"/>
                    </w:rPr>
                    <w:t>0.720</w:t>
                  </w:r>
                </w:p>
              </w:tc>
              <w:tc>
                <w:tcPr>
                  <w:tcW w:w="956" w:type="dxa"/>
                  <w:vAlign w:val="center"/>
                </w:tcPr>
                <w:p w14:paraId="5A00A46F">
                  <w:pPr>
                    <w:keepNext w:val="0"/>
                    <w:keepLines w:val="0"/>
                    <w:widowControl/>
                    <w:suppressLineNumbers w:val="0"/>
                    <w:jc w:val="center"/>
                    <w:textAlignment w:val="top"/>
                    <w:rPr>
                      <w:sz w:val="21"/>
                      <w:szCs w:val="21"/>
                    </w:rPr>
                  </w:pPr>
                  <w:r>
                    <w:rPr>
                      <w:rFonts w:hint="default" w:ascii="Times New Roman" w:hAnsi="Times New Roman" w:eastAsia="宋体" w:cs="Times New Roman"/>
                      <w:i w:val="0"/>
                      <w:iCs w:val="0"/>
                      <w:color w:val="000000"/>
                      <w:kern w:val="0"/>
                      <w:sz w:val="21"/>
                      <w:szCs w:val="21"/>
                      <w:u w:val="none"/>
                      <w:lang w:val="en-US" w:eastAsia="zh-CN" w:bidi="ar"/>
                    </w:rPr>
                    <w:t>261.271</w:t>
                  </w:r>
                </w:p>
              </w:tc>
              <w:tc>
                <w:tcPr>
                  <w:tcW w:w="336" w:type="pct"/>
                  <w:vMerge w:val="continue"/>
                  <w:vAlign w:val="center"/>
                </w:tcPr>
                <w:p w14:paraId="51C5DC99">
                  <w:pPr>
                    <w:jc w:val="center"/>
                    <w:rPr>
                      <w:sz w:val="21"/>
                      <w:szCs w:val="21"/>
                    </w:rPr>
                  </w:pPr>
                </w:p>
              </w:tc>
              <w:tc>
                <w:tcPr>
                  <w:tcW w:w="246" w:type="pct"/>
                  <w:vMerge w:val="continue"/>
                  <w:vAlign w:val="center"/>
                </w:tcPr>
                <w:p w14:paraId="232A91D9">
                  <w:pPr>
                    <w:jc w:val="center"/>
                    <w:rPr>
                      <w:sz w:val="21"/>
                      <w:szCs w:val="21"/>
                    </w:rPr>
                  </w:pPr>
                </w:p>
              </w:tc>
              <w:tc>
                <w:tcPr>
                  <w:tcW w:w="259" w:type="pct"/>
                  <w:vMerge w:val="continue"/>
                  <w:vAlign w:val="center"/>
                </w:tcPr>
                <w:p w14:paraId="38A13BB0">
                  <w:pPr>
                    <w:jc w:val="center"/>
                    <w:rPr>
                      <w:sz w:val="21"/>
                      <w:szCs w:val="21"/>
                    </w:rPr>
                  </w:pPr>
                </w:p>
              </w:tc>
              <w:tc>
                <w:tcPr>
                  <w:tcW w:w="342" w:type="pct"/>
                  <w:vMerge w:val="continue"/>
                  <w:vAlign w:val="center"/>
                </w:tcPr>
                <w:p w14:paraId="33EB6088">
                  <w:pPr>
                    <w:jc w:val="center"/>
                    <w:rPr>
                      <w:sz w:val="21"/>
                      <w:szCs w:val="21"/>
                    </w:rPr>
                  </w:pPr>
                </w:p>
              </w:tc>
            </w:tr>
            <w:tr w14:paraId="2C36E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6" w:type="pct"/>
                  <w:gridSpan w:val="2"/>
                  <w:vMerge w:val="continue"/>
                  <w:vAlign w:val="center"/>
                </w:tcPr>
                <w:p w14:paraId="49619C95">
                  <w:pPr>
                    <w:jc w:val="center"/>
                    <w:rPr>
                      <w:sz w:val="21"/>
                      <w:szCs w:val="21"/>
                    </w:rPr>
                  </w:pPr>
                </w:p>
              </w:tc>
              <w:tc>
                <w:tcPr>
                  <w:tcW w:w="435" w:type="pct"/>
                  <w:vAlign w:val="center"/>
                </w:tcPr>
                <w:p w14:paraId="78F64877">
                  <w:pPr>
                    <w:adjustRightInd w:val="0"/>
                    <w:jc w:val="center"/>
                    <w:rPr>
                      <w:bCs/>
                      <w:kern w:val="0"/>
                      <w:sz w:val="21"/>
                      <w:szCs w:val="21"/>
                    </w:rPr>
                  </w:pPr>
                  <w:r>
                    <w:rPr>
                      <w:bCs/>
                      <w:kern w:val="0"/>
                      <w:sz w:val="21"/>
                      <w:szCs w:val="21"/>
                    </w:rPr>
                    <w:t>BOD</w:t>
                  </w:r>
                  <w:r>
                    <w:rPr>
                      <w:bCs/>
                      <w:kern w:val="0"/>
                      <w:sz w:val="21"/>
                      <w:szCs w:val="21"/>
                      <w:vertAlign w:val="subscript"/>
                    </w:rPr>
                    <w:t>5</w:t>
                  </w:r>
                </w:p>
              </w:tc>
              <w:tc>
                <w:tcPr>
                  <w:tcW w:w="1196" w:type="dxa"/>
                  <w:vAlign w:val="center"/>
                </w:tcPr>
                <w:p w14:paraId="7E41A057">
                  <w:pPr>
                    <w:keepNext w:val="0"/>
                    <w:keepLines w:val="0"/>
                    <w:widowControl/>
                    <w:suppressLineNumbers w:val="0"/>
                    <w:jc w:val="center"/>
                    <w:textAlignment w:val="center"/>
                    <w:rPr>
                      <w:sz w:val="21"/>
                      <w:szCs w:val="21"/>
                    </w:rPr>
                  </w:pPr>
                  <w:r>
                    <w:rPr>
                      <w:rFonts w:hint="default" w:ascii="Times New Roman" w:hAnsi="Times New Roman" w:eastAsia="宋体" w:cs="Times New Roman"/>
                      <w:i w:val="0"/>
                      <w:iCs w:val="0"/>
                      <w:color w:val="000000"/>
                      <w:kern w:val="0"/>
                      <w:sz w:val="21"/>
                      <w:szCs w:val="21"/>
                      <w:u w:val="none"/>
                      <w:lang w:val="en-US" w:eastAsia="zh-CN" w:bidi="ar"/>
                    </w:rPr>
                    <w:t>0.413</w:t>
                  </w:r>
                </w:p>
              </w:tc>
              <w:tc>
                <w:tcPr>
                  <w:tcW w:w="990" w:type="dxa"/>
                  <w:vAlign w:val="center"/>
                </w:tcPr>
                <w:p w14:paraId="68CAB74D">
                  <w:pPr>
                    <w:keepNext w:val="0"/>
                    <w:keepLines w:val="0"/>
                    <w:widowControl/>
                    <w:suppressLineNumbers w:val="0"/>
                    <w:jc w:val="center"/>
                    <w:textAlignment w:val="top"/>
                    <w:rPr>
                      <w:sz w:val="21"/>
                      <w:szCs w:val="21"/>
                    </w:rPr>
                  </w:pPr>
                  <w:r>
                    <w:rPr>
                      <w:rFonts w:hint="default" w:ascii="Times New Roman" w:hAnsi="Times New Roman" w:eastAsia="宋体" w:cs="Times New Roman"/>
                      <w:i w:val="0"/>
                      <w:iCs w:val="0"/>
                      <w:color w:val="000000"/>
                      <w:kern w:val="0"/>
                      <w:sz w:val="21"/>
                      <w:szCs w:val="21"/>
                      <w:u w:val="none"/>
                      <w:lang w:val="en-US" w:eastAsia="zh-CN" w:bidi="ar"/>
                    </w:rPr>
                    <w:t>150.000</w:t>
                  </w:r>
                </w:p>
              </w:tc>
              <w:tc>
                <w:tcPr>
                  <w:tcW w:w="259" w:type="pct"/>
                  <w:vMerge w:val="continue"/>
                  <w:vAlign w:val="center"/>
                </w:tcPr>
                <w:p w14:paraId="1DCAF618">
                  <w:pPr>
                    <w:jc w:val="center"/>
                    <w:rPr>
                      <w:sz w:val="21"/>
                      <w:szCs w:val="21"/>
                    </w:rPr>
                  </w:pPr>
                </w:p>
              </w:tc>
              <w:tc>
                <w:tcPr>
                  <w:tcW w:w="254" w:type="pct"/>
                  <w:vMerge w:val="continue"/>
                  <w:vAlign w:val="center"/>
                </w:tcPr>
                <w:p w14:paraId="65C4C386">
                  <w:pPr>
                    <w:jc w:val="center"/>
                    <w:rPr>
                      <w:sz w:val="21"/>
                      <w:szCs w:val="21"/>
                    </w:rPr>
                  </w:pPr>
                </w:p>
              </w:tc>
              <w:tc>
                <w:tcPr>
                  <w:tcW w:w="271" w:type="pct"/>
                  <w:vMerge w:val="continue"/>
                  <w:vAlign w:val="center"/>
                </w:tcPr>
                <w:p w14:paraId="5912D083">
                  <w:pPr>
                    <w:jc w:val="center"/>
                    <w:rPr>
                      <w:sz w:val="21"/>
                      <w:szCs w:val="21"/>
                    </w:rPr>
                  </w:pPr>
                </w:p>
              </w:tc>
              <w:tc>
                <w:tcPr>
                  <w:tcW w:w="271" w:type="pct"/>
                  <w:vMerge w:val="continue"/>
                  <w:vAlign w:val="center"/>
                </w:tcPr>
                <w:p w14:paraId="421AB03A">
                  <w:pPr>
                    <w:jc w:val="center"/>
                    <w:rPr>
                      <w:sz w:val="21"/>
                      <w:szCs w:val="21"/>
                    </w:rPr>
                  </w:pPr>
                </w:p>
              </w:tc>
              <w:tc>
                <w:tcPr>
                  <w:tcW w:w="334" w:type="pct"/>
                  <w:vMerge w:val="continue"/>
                  <w:vAlign w:val="center"/>
                </w:tcPr>
                <w:p w14:paraId="4993C6F3">
                  <w:pPr>
                    <w:jc w:val="center"/>
                    <w:rPr>
                      <w:sz w:val="21"/>
                      <w:szCs w:val="21"/>
                    </w:rPr>
                  </w:pPr>
                </w:p>
              </w:tc>
              <w:tc>
                <w:tcPr>
                  <w:tcW w:w="1196" w:type="dxa"/>
                  <w:vAlign w:val="center"/>
                </w:tcPr>
                <w:p w14:paraId="3074D352">
                  <w:pPr>
                    <w:keepNext w:val="0"/>
                    <w:keepLines w:val="0"/>
                    <w:widowControl/>
                    <w:suppressLineNumbers w:val="0"/>
                    <w:jc w:val="center"/>
                    <w:textAlignment w:val="center"/>
                    <w:rPr>
                      <w:sz w:val="21"/>
                      <w:szCs w:val="21"/>
                    </w:rPr>
                  </w:pPr>
                  <w:r>
                    <w:rPr>
                      <w:rFonts w:hint="default" w:ascii="Times New Roman" w:hAnsi="Times New Roman" w:eastAsia="宋体" w:cs="Times New Roman"/>
                      <w:i w:val="0"/>
                      <w:iCs w:val="0"/>
                      <w:color w:val="000000"/>
                      <w:kern w:val="0"/>
                      <w:sz w:val="21"/>
                      <w:szCs w:val="21"/>
                      <w:u w:val="none"/>
                      <w:lang w:val="en-US" w:eastAsia="zh-CN" w:bidi="ar"/>
                    </w:rPr>
                    <w:t>0.378</w:t>
                  </w:r>
                </w:p>
              </w:tc>
              <w:tc>
                <w:tcPr>
                  <w:tcW w:w="956" w:type="dxa"/>
                  <w:vAlign w:val="center"/>
                </w:tcPr>
                <w:p w14:paraId="34D49CF4">
                  <w:pPr>
                    <w:keepNext w:val="0"/>
                    <w:keepLines w:val="0"/>
                    <w:widowControl/>
                    <w:suppressLineNumbers w:val="0"/>
                    <w:jc w:val="center"/>
                    <w:textAlignment w:val="top"/>
                    <w:rPr>
                      <w:sz w:val="21"/>
                      <w:szCs w:val="21"/>
                    </w:rPr>
                  </w:pPr>
                  <w:r>
                    <w:rPr>
                      <w:rFonts w:hint="default" w:ascii="Times New Roman" w:hAnsi="Times New Roman" w:eastAsia="宋体" w:cs="Times New Roman"/>
                      <w:i w:val="0"/>
                      <w:iCs w:val="0"/>
                      <w:color w:val="000000"/>
                      <w:kern w:val="0"/>
                      <w:sz w:val="21"/>
                      <w:szCs w:val="21"/>
                      <w:u w:val="none"/>
                      <w:lang w:val="en-US" w:eastAsia="zh-CN" w:bidi="ar"/>
                    </w:rPr>
                    <w:t>137.090</w:t>
                  </w:r>
                </w:p>
              </w:tc>
              <w:tc>
                <w:tcPr>
                  <w:tcW w:w="336" w:type="pct"/>
                  <w:vMerge w:val="continue"/>
                  <w:vAlign w:val="center"/>
                </w:tcPr>
                <w:p w14:paraId="099B5BA8">
                  <w:pPr>
                    <w:jc w:val="center"/>
                    <w:rPr>
                      <w:sz w:val="21"/>
                      <w:szCs w:val="21"/>
                    </w:rPr>
                  </w:pPr>
                </w:p>
              </w:tc>
              <w:tc>
                <w:tcPr>
                  <w:tcW w:w="246" w:type="pct"/>
                  <w:vMerge w:val="continue"/>
                  <w:vAlign w:val="center"/>
                </w:tcPr>
                <w:p w14:paraId="4579F2B1">
                  <w:pPr>
                    <w:jc w:val="center"/>
                    <w:rPr>
                      <w:sz w:val="21"/>
                      <w:szCs w:val="21"/>
                    </w:rPr>
                  </w:pPr>
                </w:p>
              </w:tc>
              <w:tc>
                <w:tcPr>
                  <w:tcW w:w="259" w:type="pct"/>
                  <w:vMerge w:val="continue"/>
                  <w:vAlign w:val="center"/>
                </w:tcPr>
                <w:p w14:paraId="7F63F0BE">
                  <w:pPr>
                    <w:jc w:val="center"/>
                    <w:rPr>
                      <w:sz w:val="21"/>
                      <w:szCs w:val="21"/>
                    </w:rPr>
                  </w:pPr>
                </w:p>
              </w:tc>
              <w:tc>
                <w:tcPr>
                  <w:tcW w:w="342" w:type="pct"/>
                  <w:vMerge w:val="continue"/>
                  <w:vAlign w:val="center"/>
                </w:tcPr>
                <w:p w14:paraId="59F6B1C6">
                  <w:pPr>
                    <w:jc w:val="center"/>
                    <w:rPr>
                      <w:sz w:val="21"/>
                      <w:szCs w:val="21"/>
                    </w:rPr>
                  </w:pPr>
                </w:p>
              </w:tc>
            </w:tr>
            <w:tr w14:paraId="238E4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6" w:type="pct"/>
                  <w:gridSpan w:val="2"/>
                  <w:vMerge w:val="continue"/>
                  <w:vAlign w:val="center"/>
                </w:tcPr>
                <w:p w14:paraId="26B95904">
                  <w:pPr>
                    <w:jc w:val="center"/>
                    <w:rPr>
                      <w:sz w:val="21"/>
                      <w:szCs w:val="21"/>
                    </w:rPr>
                  </w:pPr>
                </w:p>
              </w:tc>
              <w:tc>
                <w:tcPr>
                  <w:tcW w:w="435" w:type="pct"/>
                  <w:vAlign w:val="center"/>
                </w:tcPr>
                <w:p w14:paraId="38E26246">
                  <w:pPr>
                    <w:adjustRightInd w:val="0"/>
                    <w:jc w:val="center"/>
                    <w:rPr>
                      <w:bCs/>
                      <w:kern w:val="0"/>
                      <w:sz w:val="21"/>
                      <w:szCs w:val="21"/>
                    </w:rPr>
                  </w:pPr>
                  <w:r>
                    <w:rPr>
                      <w:bCs/>
                      <w:kern w:val="0"/>
                      <w:sz w:val="21"/>
                      <w:szCs w:val="21"/>
                    </w:rPr>
                    <w:t>SS</w:t>
                  </w:r>
                </w:p>
              </w:tc>
              <w:tc>
                <w:tcPr>
                  <w:tcW w:w="1196" w:type="dxa"/>
                  <w:vAlign w:val="center"/>
                </w:tcPr>
                <w:p w14:paraId="5CF9CD07">
                  <w:pPr>
                    <w:keepNext w:val="0"/>
                    <w:keepLines w:val="0"/>
                    <w:widowControl/>
                    <w:suppressLineNumbers w:val="0"/>
                    <w:jc w:val="center"/>
                    <w:textAlignment w:val="center"/>
                    <w:rPr>
                      <w:sz w:val="21"/>
                      <w:szCs w:val="21"/>
                    </w:rPr>
                  </w:pPr>
                  <w:r>
                    <w:rPr>
                      <w:rFonts w:hint="default" w:ascii="Times New Roman" w:hAnsi="Times New Roman" w:eastAsia="宋体" w:cs="Times New Roman"/>
                      <w:i w:val="0"/>
                      <w:iCs w:val="0"/>
                      <w:color w:val="000000"/>
                      <w:kern w:val="0"/>
                      <w:sz w:val="21"/>
                      <w:szCs w:val="21"/>
                      <w:u w:val="none"/>
                      <w:lang w:val="en-US" w:eastAsia="zh-CN" w:bidi="ar"/>
                    </w:rPr>
                    <w:t>0.361</w:t>
                  </w:r>
                </w:p>
              </w:tc>
              <w:tc>
                <w:tcPr>
                  <w:tcW w:w="990" w:type="dxa"/>
                  <w:vAlign w:val="center"/>
                </w:tcPr>
                <w:p w14:paraId="2A31ECED">
                  <w:pPr>
                    <w:keepNext w:val="0"/>
                    <w:keepLines w:val="0"/>
                    <w:widowControl/>
                    <w:suppressLineNumbers w:val="0"/>
                    <w:jc w:val="center"/>
                    <w:textAlignment w:val="top"/>
                    <w:rPr>
                      <w:sz w:val="21"/>
                      <w:szCs w:val="21"/>
                    </w:rPr>
                  </w:pPr>
                  <w:r>
                    <w:rPr>
                      <w:rFonts w:hint="default" w:ascii="Times New Roman" w:hAnsi="Times New Roman" w:eastAsia="宋体" w:cs="Times New Roman"/>
                      <w:i w:val="0"/>
                      <w:iCs w:val="0"/>
                      <w:color w:val="000000"/>
                      <w:kern w:val="0"/>
                      <w:sz w:val="21"/>
                      <w:szCs w:val="21"/>
                      <w:u w:val="none"/>
                      <w:lang w:val="en-US" w:eastAsia="zh-CN" w:bidi="ar"/>
                    </w:rPr>
                    <w:t>131.149</w:t>
                  </w:r>
                </w:p>
              </w:tc>
              <w:tc>
                <w:tcPr>
                  <w:tcW w:w="259" w:type="pct"/>
                  <w:vMerge w:val="continue"/>
                  <w:vAlign w:val="center"/>
                </w:tcPr>
                <w:p w14:paraId="4E5E6C2C">
                  <w:pPr>
                    <w:jc w:val="center"/>
                    <w:rPr>
                      <w:sz w:val="21"/>
                      <w:szCs w:val="21"/>
                    </w:rPr>
                  </w:pPr>
                </w:p>
              </w:tc>
              <w:tc>
                <w:tcPr>
                  <w:tcW w:w="254" w:type="pct"/>
                  <w:vMerge w:val="continue"/>
                  <w:vAlign w:val="center"/>
                </w:tcPr>
                <w:p w14:paraId="138D1DE1">
                  <w:pPr>
                    <w:jc w:val="center"/>
                    <w:rPr>
                      <w:sz w:val="21"/>
                      <w:szCs w:val="21"/>
                    </w:rPr>
                  </w:pPr>
                </w:p>
              </w:tc>
              <w:tc>
                <w:tcPr>
                  <w:tcW w:w="271" w:type="pct"/>
                  <w:vMerge w:val="continue"/>
                  <w:vAlign w:val="center"/>
                </w:tcPr>
                <w:p w14:paraId="321771CD">
                  <w:pPr>
                    <w:jc w:val="center"/>
                    <w:rPr>
                      <w:sz w:val="21"/>
                      <w:szCs w:val="21"/>
                    </w:rPr>
                  </w:pPr>
                </w:p>
              </w:tc>
              <w:tc>
                <w:tcPr>
                  <w:tcW w:w="271" w:type="pct"/>
                  <w:vMerge w:val="continue"/>
                  <w:vAlign w:val="center"/>
                </w:tcPr>
                <w:p w14:paraId="50BDF535">
                  <w:pPr>
                    <w:jc w:val="center"/>
                    <w:rPr>
                      <w:sz w:val="21"/>
                      <w:szCs w:val="21"/>
                    </w:rPr>
                  </w:pPr>
                </w:p>
              </w:tc>
              <w:tc>
                <w:tcPr>
                  <w:tcW w:w="334" w:type="pct"/>
                  <w:vMerge w:val="continue"/>
                  <w:vAlign w:val="center"/>
                </w:tcPr>
                <w:p w14:paraId="6E69879C">
                  <w:pPr>
                    <w:jc w:val="center"/>
                    <w:rPr>
                      <w:sz w:val="21"/>
                      <w:szCs w:val="21"/>
                    </w:rPr>
                  </w:pPr>
                </w:p>
              </w:tc>
              <w:tc>
                <w:tcPr>
                  <w:tcW w:w="1196" w:type="dxa"/>
                  <w:vAlign w:val="center"/>
                </w:tcPr>
                <w:p w14:paraId="133567B4">
                  <w:pPr>
                    <w:keepNext w:val="0"/>
                    <w:keepLines w:val="0"/>
                    <w:widowControl/>
                    <w:suppressLineNumbers w:val="0"/>
                    <w:jc w:val="center"/>
                    <w:textAlignment w:val="center"/>
                    <w:rPr>
                      <w:sz w:val="21"/>
                      <w:szCs w:val="21"/>
                    </w:rPr>
                  </w:pPr>
                  <w:r>
                    <w:rPr>
                      <w:rFonts w:hint="default" w:ascii="Times New Roman" w:hAnsi="Times New Roman" w:eastAsia="宋体" w:cs="Times New Roman"/>
                      <w:i w:val="0"/>
                      <w:iCs w:val="0"/>
                      <w:color w:val="000000"/>
                      <w:kern w:val="0"/>
                      <w:sz w:val="21"/>
                      <w:szCs w:val="21"/>
                      <w:u w:val="none"/>
                      <w:lang w:val="en-US" w:eastAsia="zh-CN" w:bidi="ar"/>
                    </w:rPr>
                    <w:t>0.276</w:t>
                  </w:r>
                </w:p>
              </w:tc>
              <w:tc>
                <w:tcPr>
                  <w:tcW w:w="956" w:type="dxa"/>
                  <w:vAlign w:val="center"/>
                </w:tcPr>
                <w:p w14:paraId="67C035E4">
                  <w:pPr>
                    <w:keepNext w:val="0"/>
                    <w:keepLines w:val="0"/>
                    <w:widowControl/>
                    <w:suppressLineNumbers w:val="0"/>
                    <w:jc w:val="center"/>
                    <w:textAlignment w:val="top"/>
                    <w:rPr>
                      <w:sz w:val="21"/>
                      <w:szCs w:val="21"/>
                    </w:rPr>
                  </w:pPr>
                  <w:r>
                    <w:rPr>
                      <w:rFonts w:hint="default" w:ascii="Times New Roman" w:hAnsi="Times New Roman" w:eastAsia="宋体" w:cs="Times New Roman"/>
                      <w:i w:val="0"/>
                      <w:iCs w:val="0"/>
                      <w:color w:val="000000"/>
                      <w:kern w:val="0"/>
                      <w:sz w:val="21"/>
                      <w:szCs w:val="21"/>
                      <w:u w:val="none"/>
                      <w:lang w:val="en-US" w:eastAsia="zh-CN" w:bidi="ar"/>
                    </w:rPr>
                    <w:t>100.165</w:t>
                  </w:r>
                </w:p>
              </w:tc>
              <w:tc>
                <w:tcPr>
                  <w:tcW w:w="336" w:type="pct"/>
                  <w:vMerge w:val="continue"/>
                  <w:vAlign w:val="center"/>
                </w:tcPr>
                <w:p w14:paraId="1966D3BD">
                  <w:pPr>
                    <w:jc w:val="center"/>
                    <w:rPr>
                      <w:sz w:val="21"/>
                      <w:szCs w:val="21"/>
                    </w:rPr>
                  </w:pPr>
                </w:p>
              </w:tc>
              <w:tc>
                <w:tcPr>
                  <w:tcW w:w="246" w:type="pct"/>
                  <w:vMerge w:val="continue"/>
                  <w:vAlign w:val="center"/>
                </w:tcPr>
                <w:p w14:paraId="7659DD41">
                  <w:pPr>
                    <w:jc w:val="center"/>
                    <w:rPr>
                      <w:sz w:val="21"/>
                      <w:szCs w:val="21"/>
                    </w:rPr>
                  </w:pPr>
                </w:p>
              </w:tc>
              <w:tc>
                <w:tcPr>
                  <w:tcW w:w="259" w:type="pct"/>
                  <w:vMerge w:val="continue"/>
                  <w:vAlign w:val="center"/>
                </w:tcPr>
                <w:p w14:paraId="15ACCF01">
                  <w:pPr>
                    <w:jc w:val="center"/>
                    <w:rPr>
                      <w:sz w:val="21"/>
                      <w:szCs w:val="21"/>
                    </w:rPr>
                  </w:pPr>
                </w:p>
              </w:tc>
              <w:tc>
                <w:tcPr>
                  <w:tcW w:w="342" w:type="pct"/>
                  <w:vMerge w:val="continue"/>
                  <w:vAlign w:val="center"/>
                </w:tcPr>
                <w:p w14:paraId="7633745C">
                  <w:pPr>
                    <w:jc w:val="center"/>
                    <w:rPr>
                      <w:sz w:val="21"/>
                      <w:szCs w:val="21"/>
                    </w:rPr>
                  </w:pPr>
                </w:p>
              </w:tc>
            </w:tr>
            <w:tr w14:paraId="39F17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6" w:type="pct"/>
                  <w:gridSpan w:val="2"/>
                  <w:vMerge w:val="continue"/>
                  <w:vAlign w:val="center"/>
                </w:tcPr>
                <w:p w14:paraId="0E436D14">
                  <w:pPr>
                    <w:jc w:val="center"/>
                    <w:rPr>
                      <w:sz w:val="21"/>
                      <w:szCs w:val="21"/>
                    </w:rPr>
                  </w:pPr>
                </w:p>
              </w:tc>
              <w:tc>
                <w:tcPr>
                  <w:tcW w:w="435" w:type="pct"/>
                  <w:vAlign w:val="center"/>
                </w:tcPr>
                <w:p w14:paraId="694748F9">
                  <w:pPr>
                    <w:adjustRightInd w:val="0"/>
                    <w:jc w:val="center"/>
                    <w:rPr>
                      <w:bCs/>
                      <w:kern w:val="0"/>
                      <w:sz w:val="21"/>
                      <w:szCs w:val="21"/>
                    </w:rPr>
                  </w:pPr>
                  <w:r>
                    <w:rPr>
                      <w:bCs/>
                      <w:kern w:val="0"/>
                      <w:sz w:val="21"/>
                      <w:szCs w:val="21"/>
                    </w:rPr>
                    <w:t>NH</w:t>
                  </w:r>
                  <w:r>
                    <w:rPr>
                      <w:bCs/>
                      <w:kern w:val="0"/>
                      <w:sz w:val="21"/>
                      <w:szCs w:val="21"/>
                      <w:vertAlign w:val="subscript"/>
                    </w:rPr>
                    <w:t>3</w:t>
                  </w:r>
                  <w:r>
                    <w:rPr>
                      <w:bCs/>
                      <w:kern w:val="0"/>
                      <w:sz w:val="21"/>
                      <w:szCs w:val="21"/>
                    </w:rPr>
                    <w:t>-N</w:t>
                  </w:r>
                </w:p>
              </w:tc>
              <w:tc>
                <w:tcPr>
                  <w:tcW w:w="1196" w:type="dxa"/>
                  <w:vAlign w:val="center"/>
                </w:tcPr>
                <w:p w14:paraId="34A5B7D3">
                  <w:pPr>
                    <w:keepNext w:val="0"/>
                    <w:keepLines w:val="0"/>
                    <w:widowControl/>
                    <w:suppressLineNumbers w:val="0"/>
                    <w:jc w:val="center"/>
                    <w:textAlignment w:val="center"/>
                    <w:rPr>
                      <w:sz w:val="21"/>
                      <w:szCs w:val="21"/>
                    </w:rPr>
                  </w:pPr>
                  <w:r>
                    <w:rPr>
                      <w:rFonts w:hint="default" w:ascii="Times New Roman" w:hAnsi="Times New Roman" w:eastAsia="宋体" w:cs="Times New Roman"/>
                      <w:i w:val="0"/>
                      <w:iCs w:val="0"/>
                      <w:color w:val="000000"/>
                      <w:kern w:val="0"/>
                      <w:sz w:val="21"/>
                      <w:szCs w:val="21"/>
                      <w:u w:val="none"/>
                      <w:lang w:val="en-US" w:eastAsia="zh-CN" w:bidi="ar"/>
                    </w:rPr>
                    <w:t>0.117</w:t>
                  </w:r>
                </w:p>
              </w:tc>
              <w:tc>
                <w:tcPr>
                  <w:tcW w:w="990" w:type="dxa"/>
                  <w:vAlign w:val="center"/>
                </w:tcPr>
                <w:p w14:paraId="030E7061">
                  <w:pPr>
                    <w:keepNext w:val="0"/>
                    <w:keepLines w:val="0"/>
                    <w:widowControl/>
                    <w:suppressLineNumbers w:val="0"/>
                    <w:jc w:val="center"/>
                    <w:textAlignment w:val="top"/>
                    <w:rPr>
                      <w:sz w:val="21"/>
                      <w:szCs w:val="21"/>
                    </w:rPr>
                  </w:pPr>
                  <w:r>
                    <w:rPr>
                      <w:rFonts w:hint="default" w:ascii="Times New Roman" w:hAnsi="Times New Roman" w:eastAsia="宋体" w:cs="Times New Roman"/>
                      <w:i w:val="0"/>
                      <w:iCs w:val="0"/>
                      <w:color w:val="000000"/>
                      <w:kern w:val="0"/>
                      <w:sz w:val="21"/>
                      <w:szCs w:val="21"/>
                      <w:u w:val="none"/>
                      <w:lang w:val="en-US" w:eastAsia="zh-CN" w:bidi="ar"/>
                    </w:rPr>
                    <w:t>42.542</w:t>
                  </w:r>
                </w:p>
              </w:tc>
              <w:tc>
                <w:tcPr>
                  <w:tcW w:w="259" w:type="pct"/>
                  <w:vMerge w:val="continue"/>
                  <w:vAlign w:val="center"/>
                </w:tcPr>
                <w:p w14:paraId="112DE9F4">
                  <w:pPr>
                    <w:jc w:val="center"/>
                    <w:rPr>
                      <w:sz w:val="21"/>
                      <w:szCs w:val="21"/>
                    </w:rPr>
                  </w:pPr>
                </w:p>
              </w:tc>
              <w:tc>
                <w:tcPr>
                  <w:tcW w:w="254" w:type="pct"/>
                  <w:vMerge w:val="continue"/>
                  <w:vAlign w:val="center"/>
                </w:tcPr>
                <w:p w14:paraId="0DE339ED">
                  <w:pPr>
                    <w:jc w:val="center"/>
                    <w:rPr>
                      <w:sz w:val="21"/>
                      <w:szCs w:val="21"/>
                    </w:rPr>
                  </w:pPr>
                </w:p>
              </w:tc>
              <w:tc>
                <w:tcPr>
                  <w:tcW w:w="271" w:type="pct"/>
                  <w:vMerge w:val="continue"/>
                  <w:vAlign w:val="center"/>
                </w:tcPr>
                <w:p w14:paraId="56834417">
                  <w:pPr>
                    <w:jc w:val="center"/>
                    <w:rPr>
                      <w:sz w:val="21"/>
                      <w:szCs w:val="21"/>
                    </w:rPr>
                  </w:pPr>
                </w:p>
              </w:tc>
              <w:tc>
                <w:tcPr>
                  <w:tcW w:w="271" w:type="pct"/>
                  <w:vMerge w:val="continue"/>
                  <w:vAlign w:val="center"/>
                </w:tcPr>
                <w:p w14:paraId="6CC304A5">
                  <w:pPr>
                    <w:jc w:val="center"/>
                    <w:rPr>
                      <w:sz w:val="21"/>
                      <w:szCs w:val="21"/>
                    </w:rPr>
                  </w:pPr>
                </w:p>
              </w:tc>
              <w:tc>
                <w:tcPr>
                  <w:tcW w:w="334" w:type="pct"/>
                  <w:vMerge w:val="continue"/>
                  <w:vAlign w:val="center"/>
                </w:tcPr>
                <w:p w14:paraId="0F4D1669">
                  <w:pPr>
                    <w:jc w:val="center"/>
                    <w:rPr>
                      <w:sz w:val="21"/>
                      <w:szCs w:val="21"/>
                    </w:rPr>
                  </w:pPr>
                </w:p>
              </w:tc>
              <w:tc>
                <w:tcPr>
                  <w:tcW w:w="1196" w:type="dxa"/>
                  <w:vAlign w:val="center"/>
                </w:tcPr>
                <w:p w14:paraId="2304620F">
                  <w:pPr>
                    <w:keepNext w:val="0"/>
                    <w:keepLines w:val="0"/>
                    <w:widowControl/>
                    <w:suppressLineNumbers w:val="0"/>
                    <w:jc w:val="center"/>
                    <w:textAlignment w:val="center"/>
                    <w:rPr>
                      <w:sz w:val="21"/>
                      <w:szCs w:val="21"/>
                    </w:rPr>
                  </w:pPr>
                  <w:r>
                    <w:rPr>
                      <w:rFonts w:hint="default" w:ascii="Times New Roman" w:hAnsi="Times New Roman" w:eastAsia="宋体" w:cs="Times New Roman"/>
                      <w:i w:val="0"/>
                      <w:iCs w:val="0"/>
                      <w:color w:val="000000"/>
                      <w:kern w:val="0"/>
                      <w:sz w:val="21"/>
                      <w:szCs w:val="21"/>
                      <w:u w:val="none"/>
                      <w:lang w:val="en-US" w:eastAsia="zh-CN" w:bidi="ar"/>
                    </w:rPr>
                    <w:t>0.094</w:t>
                  </w:r>
                </w:p>
              </w:tc>
              <w:tc>
                <w:tcPr>
                  <w:tcW w:w="956" w:type="dxa"/>
                  <w:vAlign w:val="center"/>
                </w:tcPr>
                <w:p w14:paraId="600C6991">
                  <w:pPr>
                    <w:keepNext w:val="0"/>
                    <w:keepLines w:val="0"/>
                    <w:widowControl/>
                    <w:suppressLineNumbers w:val="0"/>
                    <w:jc w:val="center"/>
                    <w:textAlignment w:val="top"/>
                    <w:rPr>
                      <w:sz w:val="21"/>
                      <w:szCs w:val="21"/>
                    </w:rPr>
                  </w:pPr>
                  <w:r>
                    <w:rPr>
                      <w:rFonts w:hint="default" w:ascii="Times New Roman" w:hAnsi="Times New Roman" w:eastAsia="宋体" w:cs="Times New Roman"/>
                      <w:i w:val="0"/>
                      <w:iCs w:val="0"/>
                      <w:color w:val="000000"/>
                      <w:kern w:val="0"/>
                      <w:sz w:val="21"/>
                      <w:szCs w:val="21"/>
                      <w:u w:val="none"/>
                      <w:lang w:val="en-US" w:eastAsia="zh-CN" w:bidi="ar"/>
                    </w:rPr>
                    <w:t>34.181</w:t>
                  </w:r>
                </w:p>
              </w:tc>
              <w:tc>
                <w:tcPr>
                  <w:tcW w:w="336" w:type="pct"/>
                  <w:vMerge w:val="continue"/>
                  <w:vAlign w:val="center"/>
                </w:tcPr>
                <w:p w14:paraId="48ABD3D5">
                  <w:pPr>
                    <w:jc w:val="center"/>
                    <w:rPr>
                      <w:sz w:val="21"/>
                      <w:szCs w:val="21"/>
                    </w:rPr>
                  </w:pPr>
                </w:p>
              </w:tc>
              <w:tc>
                <w:tcPr>
                  <w:tcW w:w="246" w:type="pct"/>
                  <w:vMerge w:val="continue"/>
                  <w:vAlign w:val="center"/>
                </w:tcPr>
                <w:p w14:paraId="00007C69">
                  <w:pPr>
                    <w:jc w:val="center"/>
                    <w:rPr>
                      <w:sz w:val="21"/>
                      <w:szCs w:val="21"/>
                    </w:rPr>
                  </w:pPr>
                </w:p>
              </w:tc>
              <w:tc>
                <w:tcPr>
                  <w:tcW w:w="259" w:type="pct"/>
                  <w:vMerge w:val="continue"/>
                  <w:vAlign w:val="center"/>
                </w:tcPr>
                <w:p w14:paraId="1EB381D2">
                  <w:pPr>
                    <w:jc w:val="center"/>
                    <w:rPr>
                      <w:sz w:val="21"/>
                      <w:szCs w:val="21"/>
                    </w:rPr>
                  </w:pPr>
                </w:p>
              </w:tc>
              <w:tc>
                <w:tcPr>
                  <w:tcW w:w="342" w:type="pct"/>
                  <w:vMerge w:val="continue"/>
                  <w:vAlign w:val="center"/>
                </w:tcPr>
                <w:p w14:paraId="0A153800">
                  <w:pPr>
                    <w:jc w:val="center"/>
                    <w:rPr>
                      <w:sz w:val="21"/>
                      <w:szCs w:val="21"/>
                    </w:rPr>
                  </w:pPr>
                </w:p>
              </w:tc>
            </w:tr>
            <w:tr w14:paraId="11669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6" w:type="pct"/>
                  <w:gridSpan w:val="2"/>
                  <w:vMerge w:val="continue"/>
                  <w:vAlign w:val="center"/>
                </w:tcPr>
                <w:p w14:paraId="082F7F51">
                  <w:pPr>
                    <w:jc w:val="center"/>
                    <w:rPr>
                      <w:sz w:val="21"/>
                      <w:szCs w:val="21"/>
                    </w:rPr>
                  </w:pPr>
                </w:p>
              </w:tc>
              <w:tc>
                <w:tcPr>
                  <w:tcW w:w="435" w:type="pct"/>
                  <w:vAlign w:val="center"/>
                </w:tcPr>
                <w:p w14:paraId="7E373682">
                  <w:pPr>
                    <w:adjustRightInd w:val="0"/>
                    <w:jc w:val="center"/>
                    <w:rPr>
                      <w:sz w:val="21"/>
                      <w:szCs w:val="21"/>
                    </w:rPr>
                  </w:pPr>
                  <w:r>
                    <w:rPr>
                      <w:sz w:val="21"/>
                      <w:szCs w:val="21"/>
                    </w:rPr>
                    <w:t>TP</w:t>
                  </w:r>
                </w:p>
              </w:tc>
              <w:tc>
                <w:tcPr>
                  <w:tcW w:w="1196" w:type="dxa"/>
                  <w:vAlign w:val="center"/>
                </w:tcPr>
                <w:p w14:paraId="7928700E">
                  <w:pPr>
                    <w:keepNext w:val="0"/>
                    <w:keepLines w:val="0"/>
                    <w:widowControl/>
                    <w:suppressLineNumbers w:val="0"/>
                    <w:jc w:val="center"/>
                    <w:textAlignment w:val="center"/>
                    <w:rPr>
                      <w:sz w:val="21"/>
                      <w:szCs w:val="21"/>
                    </w:rPr>
                  </w:pPr>
                  <w:r>
                    <w:rPr>
                      <w:rFonts w:hint="default" w:ascii="Times New Roman" w:hAnsi="Times New Roman" w:eastAsia="宋体" w:cs="Times New Roman"/>
                      <w:i w:val="0"/>
                      <w:iCs w:val="0"/>
                      <w:color w:val="000000"/>
                      <w:kern w:val="0"/>
                      <w:sz w:val="21"/>
                      <w:szCs w:val="21"/>
                      <w:u w:val="none"/>
                      <w:lang w:val="en-US" w:eastAsia="zh-CN" w:bidi="ar"/>
                    </w:rPr>
                    <w:t>0.004</w:t>
                  </w:r>
                </w:p>
              </w:tc>
              <w:tc>
                <w:tcPr>
                  <w:tcW w:w="990" w:type="dxa"/>
                  <w:vAlign w:val="center"/>
                </w:tcPr>
                <w:p w14:paraId="69789A5E">
                  <w:pPr>
                    <w:keepNext w:val="0"/>
                    <w:keepLines w:val="0"/>
                    <w:widowControl/>
                    <w:suppressLineNumbers w:val="0"/>
                    <w:jc w:val="center"/>
                    <w:textAlignment w:val="top"/>
                    <w:rPr>
                      <w:sz w:val="21"/>
                      <w:szCs w:val="21"/>
                    </w:rPr>
                  </w:pPr>
                  <w:r>
                    <w:rPr>
                      <w:rFonts w:hint="default" w:ascii="Times New Roman" w:hAnsi="Times New Roman" w:eastAsia="宋体" w:cs="Times New Roman"/>
                      <w:i w:val="0"/>
                      <w:iCs w:val="0"/>
                      <w:color w:val="000000"/>
                      <w:kern w:val="0"/>
                      <w:sz w:val="21"/>
                      <w:szCs w:val="21"/>
                      <w:u w:val="none"/>
                      <w:lang w:val="en-US" w:eastAsia="zh-CN" w:bidi="ar"/>
                    </w:rPr>
                    <w:t>1.291</w:t>
                  </w:r>
                </w:p>
              </w:tc>
              <w:tc>
                <w:tcPr>
                  <w:tcW w:w="259" w:type="pct"/>
                  <w:vMerge w:val="continue"/>
                  <w:vAlign w:val="center"/>
                </w:tcPr>
                <w:p w14:paraId="7574FFEF">
                  <w:pPr>
                    <w:jc w:val="center"/>
                    <w:rPr>
                      <w:sz w:val="21"/>
                      <w:szCs w:val="21"/>
                    </w:rPr>
                  </w:pPr>
                </w:p>
              </w:tc>
              <w:tc>
                <w:tcPr>
                  <w:tcW w:w="254" w:type="pct"/>
                  <w:vMerge w:val="continue"/>
                  <w:vAlign w:val="center"/>
                </w:tcPr>
                <w:p w14:paraId="66F6124B">
                  <w:pPr>
                    <w:jc w:val="center"/>
                    <w:rPr>
                      <w:sz w:val="21"/>
                      <w:szCs w:val="21"/>
                    </w:rPr>
                  </w:pPr>
                </w:p>
              </w:tc>
              <w:tc>
                <w:tcPr>
                  <w:tcW w:w="271" w:type="pct"/>
                  <w:vMerge w:val="continue"/>
                  <w:vAlign w:val="center"/>
                </w:tcPr>
                <w:p w14:paraId="1E3D3D0F">
                  <w:pPr>
                    <w:jc w:val="center"/>
                    <w:rPr>
                      <w:sz w:val="21"/>
                      <w:szCs w:val="21"/>
                    </w:rPr>
                  </w:pPr>
                </w:p>
              </w:tc>
              <w:tc>
                <w:tcPr>
                  <w:tcW w:w="271" w:type="pct"/>
                  <w:vMerge w:val="continue"/>
                  <w:vAlign w:val="center"/>
                </w:tcPr>
                <w:p w14:paraId="2EBE6DCC">
                  <w:pPr>
                    <w:jc w:val="center"/>
                    <w:rPr>
                      <w:sz w:val="21"/>
                      <w:szCs w:val="21"/>
                    </w:rPr>
                  </w:pPr>
                </w:p>
              </w:tc>
              <w:tc>
                <w:tcPr>
                  <w:tcW w:w="334" w:type="pct"/>
                  <w:vMerge w:val="continue"/>
                  <w:vAlign w:val="center"/>
                </w:tcPr>
                <w:p w14:paraId="0F46F00C">
                  <w:pPr>
                    <w:jc w:val="center"/>
                    <w:rPr>
                      <w:sz w:val="21"/>
                      <w:szCs w:val="21"/>
                    </w:rPr>
                  </w:pPr>
                </w:p>
              </w:tc>
              <w:tc>
                <w:tcPr>
                  <w:tcW w:w="1196" w:type="dxa"/>
                  <w:vAlign w:val="center"/>
                </w:tcPr>
                <w:p w14:paraId="645FEECF">
                  <w:pPr>
                    <w:keepNext w:val="0"/>
                    <w:keepLines w:val="0"/>
                    <w:widowControl/>
                    <w:suppressLineNumbers w:val="0"/>
                    <w:jc w:val="center"/>
                    <w:textAlignment w:val="center"/>
                    <w:rPr>
                      <w:sz w:val="21"/>
                      <w:szCs w:val="21"/>
                    </w:rPr>
                  </w:pPr>
                  <w:r>
                    <w:rPr>
                      <w:rFonts w:hint="default" w:ascii="Times New Roman" w:hAnsi="Times New Roman" w:eastAsia="宋体" w:cs="Times New Roman"/>
                      <w:i w:val="0"/>
                      <w:iCs w:val="0"/>
                      <w:color w:val="000000"/>
                      <w:kern w:val="0"/>
                      <w:sz w:val="21"/>
                      <w:szCs w:val="21"/>
                      <w:u w:val="none"/>
                      <w:lang w:val="en-US" w:eastAsia="zh-CN" w:bidi="ar"/>
                    </w:rPr>
                    <w:t>0.004</w:t>
                  </w:r>
                </w:p>
              </w:tc>
              <w:tc>
                <w:tcPr>
                  <w:tcW w:w="956" w:type="dxa"/>
                  <w:vAlign w:val="center"/>
                </w:tcPr>
                <w:p w14:paraId="16A1C10B">
                  <w:pPr>
                    <w:keepNext w:val="0"/>
                    <w:keepLines w:val="0"/>
                    <w:widowControl/>
                    <w:suppressLineNumbers w:val="0"/>
                    <w:jc w:val="center"/>
                    <w:textAlignment w:val="top"/>
                    <w:rPr>
                      <w:sz w:val="21"/>
                      <w:szCs w:val="21"/>
                    </w:rPr>
                  </w:pPr>
                  <w:r>
                    <w:rPr>
                      <w:rFonts w:hint="default" w:ascii="Times New Roman" w:hAnsi="Times New Roman" w:eastAsia="宋体" w:cs="Times New Roman"/>
                      <w:i w:val="0"/>
                      <w:iCs w:val="0"/>
                      <w:color w:val="000000"/>
                      <w:kern w:val="0"/>
                      <w:sz w:val="21"/>
                      <w:szCs w:val="21"/>
                      <w:u w:val="none"/>
                      <w:lang w:val="en-US" w:eastAsia="zh-CN" w:bidi="ar"/>
                    </w:rPr>
                    <w:t>1.291</w:t>
                  </w:r>
                </w:p>
              </w:tc>
              <w:tc>
                <w:tcPr>
                  <w:tcW w:w="336" w:type="pct"/>
                  <w:vMerge w:val="continue"/>
                  <w:vAlign w:val="center"/>
                </w:tcPr>
                <w:p w14:paraId="383AFCD8">
                  <w:pPr>
                    <w:jc w:val="center"/>
                    <w:rPr>
                      <w:sz w:val="21"/>
                      <w:szCs w:val="21"/>
                    </w:rPr>
                  </w:pPr>
                </w:p>
              </w:tc>
              <w:tc>
                <w:tcPr>
                  <w:tcW w:w="246" w:type="pct"/>
                  <w:vMerge w:val="continue"/>
                  <w:vAlign w:val="center"/>
                </w:tcPr>
                <w:p w14:paraId="3CE04EEA">
                  <w:pPr>
                    <w:jc w:val="center"/>
                    <w:rPr>
                      <w:sz w:val="21"/>
                      <w:szCs w:val="21"/>
                    </w:rPr>
                  </w:pPr>
                </w:p>
              </w:tc>
              <w:tc>
                <w:tcPr>
                  <w:tcW w:w="259" w:type="pct"/>
                  <w:vMerge w:val="continue"/>
                  <w:vAlign w:val="center"/>
                </w:tcPr>
                <w:p w14:paraId="0C1D6230">
                  <w:pPr>
                    <w:jc w:val="center"/>
                    <w:rPr>
                      <w:sz w:val="21"/>
                      <w:szCs w:val="21"/>
                    </w:rPr>
                  </w:pPr>
                </w:p>
              </w:tc>
              <w:tc>
                <w:tcPr>
                  <w:tcW w:w="342" w:type="pct"/>
                  <w:vMerge w:val="continue"/>
                  <w:vAlign w:val="center"/>
                </w:tcPr>
                <w:p w14:paraId="24C01466">
                  <w:pPr>
                    <w:jc w:val="center"/>
                    <w:rPr>
                      <w:sz w:val="21"/>
                      <w:szCs w:val="21"/>
                    </w:rPr>
                  </w:pPr>
                </w:p>
              </w:tc>
            </w:tr>
            <w:tr w14:paraId="72A6A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6" w:type="pct"/>
                  <w:gridSpan w:val="2"/>
                  <w:vMerge w:val="continue"/>
                  <w:vAlign w:val="center"/>
                </w:tcPr>
                <w:p w14:paraId="58B3F0EC">
                  <w:pPr>
                    <w:jc w:val="center"/>
                    <w:rPr>
                      <w:sz w:val="21"/>
                      <w:szCs w:val="21"/>
                    </w:rPr>
                  </w:pPr>
                </w:p>
              </w:tc>
              <w:tc>
                <w:tcPr>
                  <w:tcW w:w="435" w:type="pct"/>
                  <w:vAlign w:val="center"/>
                </w:tcPr>
                <w:p w14:paraId="01DCC064">
                  <w:pPr>
                    <w:adjustRightInd w:val="0"/>
                    <w:jc w:val="center"/>
                    <w:rPr>
                      <w:sz w:val="21"/>
                      <w:szCs w:val="21"/>
                    </w:rPr>
                  </w:pPr>
                  <w:r>
                    <w:rPr>
                      <w:sz w:val="21"/>
                      <w:szCs w:val="21"/>
                    </w:rPr>
                    <w:t>TN</w:t>
                  </w:r>
                </w:p>
              </w:tc>
              <w:tc>
                <w:tcPr>
                  <w:tcW w:w="1196" w:type="dxa"/>
                  <w:vAlign w:val="center"/>
                </w:tcPr>
                <w:p w14:paraId="5ED68373">
                  <w:pPr>
                    <w:keepNext w:val="0"/>
                    <w:keepLines w:val="0"/>
                    <w:widowControl/>
                    <w:suppressLineNumbers w:val="0"/>
                    <w:jc w:val="center"/>
                    <w:textAlignment w:val="center"/>
                    <w:rPr>
                      <w:sz w:val="21"/>
                      <w:szCs w:val="21"/>
                    </w:rPr>
                  </w:pPr>
                  <w:r>
                    <w:rPr>
                      <w:rFonts w:hint="default" w:ascii="Times New Roman" w:hAnsi="Times New Roman" w:eastAsia="宋体" w:cs="Times New Roman"/>
                      <w:i w:val="0"/>
                      <w:iCs w:val="0"/>
                      <w:color w:val="000000"/>
                      <w:kern w:val="0"/>
                      <w:sz w:val="21"/>
                      <w:szCs w:val="21"/>
                      <w:u w:val="none"/>
                      <w:lang w:val="en-US" w:eastAsia="zh-CN" w:bidi="ar"/>
                    </w:rPr>
                    <w:t>0.107</w:t>
                  </w:r>
                </w:p>
              </w:tc>
              <w:tc>
                <w:tcPr>
                  <w:tcW w:w="990" w:type="dxa"/>
                  <w:vAlign w:val="center"/>
                </w:tcPr>
                <w:p w14:paraId="5AE46CC0">
                  <w:pPr>
                    <w:keepNext w:val="0"/>
                    <w:keepLines w:val="0"/>
                    <w:widowControl/>
                    <w:suppressLineNumbers w:val="0"/>
                    <w:jc w:val="center"/>
                    <w:textAlignment w:val="top"/>
                    <w:rPr>
                      <w:sz w:val="21"/>
                      <w:szCs w:val="21"/>
                    </w:rPr>
                  </w:pPr>
                  <w:r>
                    <w:rPr>
                      <w:rFonts w:hint="default" w:ascii="Times New Roman" w:hAnsi="Times New Roman" w:eastAsia="宋体" w:cs="Times New Roman"/>
                      <w:i w:val="0"/>
                      <w:iCs w:val="0"/>
                      <w:color w:val="000000"/>
                      <w:kern w:val="0"/>
                      <w:sz w:val="21"/>
                      <w:szCs w:val="21"/>
                      <w:u w:val="none"/>
                      <w:lang w:val="en-US" w:eastAsia="zh-CN" w:bidi="ar"/>
                    </w:rPr>
                    <w:t>38.729</w:t>
                  </w:r>
                </w:p>
              </w:tc>
              <w:tc>
                <w:tcPr>
                  <w:tcW w:w="259" w:type="pct"/>
                  <w:vMerge w:val="continue"/>
                  <w:vAlign w:val="center"/>
                </w:tcPr>
                <w:p w14:paraId="6EA338B6">
                  <w:pPr>
                    <w:jc w:val="center"/>
                    <w:rPr>
                      <w:sz w:val="21"/>
                      <w:szCs w:val="21"/>
                    </w:rPr>
                  </w:pPr>
                </w:p>
              </w:tc>
              <w:tc>
                <w:tcPr>
                  <w:tcW w:w="254" w:type="pct"/>
                  <w:vMerge w:val="continue"/>
                  <w:vAlign w:val="center"/>
                </w:tcPr>
                <w:p w14:paraId="0ADD4FF8">
                  <w:pPr>
                    <w:jc w:val="center"/>
                    <w:rPr>
                      <w:sz w:val="21"/>
                      <w:szCs w:val="21"/>
                    </w:rPr>
                  </w:pPr>
                </w:p>
              </w:tc>
              <w:tc>
                <w:tcPr>
                  <w:tcW w:w="271" w:type="pct"/>
                  <w:vMerge w:val="continue"/>
                  <w:vAlign w:val="center"/>
                </w:tcPr>
                <w:p w14:paraId="507E1229">
                  <w:pPr>
                    <w:jc w:val="center"/>
                    <w:rPr>
                      <w:sz w:val="21"/>
                      <w:szCs w:val="21"/>
                    </w:rPr>
                  </w:pPr>
                </w:p>
              </w:tc>
              <w:tc>
                <w:tcPr>
                  <w:tcW w:w="271" w:type="pct"/>
                  <w:vMerge w:val="continue"/>
                  <w:vAlign w:val="center"/>
                </w:tcPr>
                <w:p w14:paraId="69EA97AC">
                  <w:pPr>
                    <w:jc w:val="center"/>
                    <w:rPr>
                      <w:sz w:val="21"/>
                      <w:szCs w:val="21"/>
                    </w:rPr>
                  </w:pPr>
                </w:p>
              </w:tc>
              <w:tc>
                <w:tcPr>
                  <w:tcW w:w="334" w:type="pct"/>
                  <w:vMerge w:val="continue"/>
                  <w:vAlign w:val="center"/>
                </w:tcPr>
                <w:p w14:paraId="5A3AF453">
                  <w:pPr>
                    <w:jc w:val="center"/>
                    <w:rPr>
                      <w:sz w:val="21"/>
                      <w:szCs w:val="21"/>
                    </w:rPr>
                  </w:pPr>
                </w:p>
              </w:tc>
              <w:tc>
                <w:tcPr>
                  <w:tcW w:w="1196" w:type="dxa"/>
                  <w:vAlign w:val="center"/>
                </w:tcPr>
                <w:p w14:paraId="65BBD81B">
                  <w:pPr>
                    <w:keepNext w:val="0"/>
                    <w:keepLines w:val="0"/>
                    <w:widowControl/>
                    <w:suppressLineNumbers w:val="0"/>
                    <w:jc w:val="center"/>
                    <w:textAlignment w:val="center"/>
                    <w:rPr>
                      <w:sz w:val="21"/>
                      <w:szCs w:val="21"/>
                    </w:rPr>
                  </w:pPr>
                  <w:r>
                    <w:rPr>
                      <w:rFonts w:hint="default" w:ascii="Times New Roman" w:hAnsi="Times New Roman" w:eastAsia="宋体" w:cs="Times New Roman"/>
                      <w:i w:val="0"/>
                      <w:iCs w:val="0"/>
                      <w:color w:val="000000"/>
                      <w:kern w:val="0"/>
                      <w:sz w:val="21"/>
                      <w:szCs w:val="21"/>
                      <w:u w:val="none"/>
                      <w:lang w:val="en-US" w:eastAsia="zh-CN" w:bidi="ar"/>
                    </w:rPr>
                    <w:t>0.107</w:t>
                  </w:r>
                </w:p>
              </w:tc>
              <w:tc>
                <w:tcPr>
                  <w:tcW w:w="956" w:type="dxa"/>
                  <w:vAlign w:val="center"/>
                </w:tcPr>
                <w:p w14:paraId="6415143A">
                  <w:pPr>
                    <w:keepNext w:val="0"/>
                    <w:keepLines w:val="0"/>
                    <w:widowControl/>
                    <w:suppressLineNumbers w:val="0"/>
                    <w:jc w:val="center"/>
                    <w:textAlignment w:val="top"/>
                    <w:rPr>
                      <w:sz w:val="21"/>
                      <w:szCs w:val="21"/>
                    </w:rPr>
                  </w:pPr>
                  <w:r>
                    <w:rPr>
                      <w:rFonts w:hint="default" w:ascii="Times New Roman" w:hAnsi="Times New Roman" w:eastAsia="宋体" w:cs="Times New Roman"/>
                      <w:i w:val="0"/>
                      <w:iCs w:val="0"/>
                      <w:color w:val="000000"/>
                      <w:kern w:val="0"/>
                      <w:sz w:val="21"/>
                      <w:szCs w:val="21"/>
                      <w:u w:val="none"/>
                      <w:lang w:val="en-US" w:eastAsia="zh-CN" w:bidi="ar"/>
                    </w:rPr>
                    <w:t>38.729</w:t>
                  </w:r>
                </w:p>
              </w:tc>
              <w:tc>
                <w:tcPr>
                  <w:tcW w:w="336" w:type="pct"/>
                  <w:vMerge w:val="continue"/>
                  <w:vAlign w:val="center"/>
                </w:tcPr>
                <w:p w14:paraId="7B40D781">
                  <w:pPr>
                    <w:jc w:val="center"/>
                    <w:rPr>
                      <w:sz w:val="21"/>
                      <w:szCs w:val="21"/>
                    </w:rPr>
                  </w:pPr>
                </w:p>
              </w:tc>
              <w:tc>
                <w:tcPr>
                  <w:tcW w:w="246" w:type="pct"/>
                  <w:vMerge w:val="continue"/>
                  <w:vAlign w:val="center"/>
                </w:tcPr>
                <w:p w14:paraId="49CDC0DC">
                  <w:pPr>
                    <w:jc w:val="center"/>
                    <w:rPr>
                      <w:sz w:val="21"/>
                      <w:szCs w:val="21"/>
                    </w:rPr>
                  </w:pPr>
                </w:p>
              </w:tc>
              <w:tc>
                <w:tcPr>
                  <w:tcW w:w="259" w:type="pct"/>
                  <w:vMerge w:val="continue"/>
                  <w:vAlign w:val="center"/>
                </w:tcPr>
                <w:p w14:paraId="407399A5">
                  <w:pPr>
                    <w:jc w:val="center"/>
                    <w:rPr>
                      <w:sz w:val="21"/>
                      <w:szCs w:val="21"/>
                    </w:rPr>
                  </w:pPr>
                </w:p>
              </w:tc>
              <w:tc>
                <w:tcPr>
                  <w:tcW w:w="342" w:type="pct"/>
                  <w:vMerge w:val="continue"/>
                  <w:vAlign w:val="center"/>
                </w:tcPr>
                <w:p w14:paraId="65CE68B9">
                  <w:pPr>
                    <w:jc w:val="center"/>
                    <w:rPr>
                      <w:sz w:val="21"/>
                      <w:szCs w:val="21"/>
                    </w:rPr>
                  </w:pPr>
                </w:p>
              </w:tc>
            </w:tr>
            <w:tr w14:paraId="64630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6" w:type="pct"/>
                  <w:gridSpan w:val="2"/>
                  <w:vMerge w:val="continue"/>
                  <w:vAlign w:val="center"/>
                </w:tcPr>
                <w:p w14:paraId="51F3EB8A">
                  <w:pPr>
                    <w:jc w:val="center"/>
                    <w:rPr>
                      <w:sz w:val="21"/>
                      <w:szCs w:val="21"/>
                    </w:rPr>
                  </w:pPr>
                </w:p>
              </w:tc>
              <w:tc>
                <w:tcPr>
                  <w:tcW w:w="435" w:type="pct"/>
                  <w:vAlign w:val="center"/>
                </w:tcPr>
                <w:p w14:paraId="44C7DA02">
                  <w:pPr>
                    <w:adjustRightInd w:val="0"/>
                    <w:jc w:val="center"/>
                    <w:rPr>
                      <w:sz w:val="21"/>
                      <w:szCs w:val="21"/>
                    </w:rPr>
                  </w:pPr>
                  <w:r>
                    <w:rPr>
                      <w:sz w:val="21"/>
                      <w:szCs w:val="21"/>
                    </w:rPr>
                    <w:t>动植物油</w:t>
                  </w:r>
                </w:p>
              </w:tc>
              <w:tc>
                <w:tcPr>
                  <w:tcW w:w="395" w:type="pct"/>
                  <w:vAlign w:val="center"/>
                </w:tcPr>
                <w:p w14:paraId="388E36F6">
                  <w:pPr>
                    <w:widowControl/>
                    <w:jc w:val="center"/>
                    <w:textAlignment w:val="center"/>
                    <w:rPr>
                      <w:rFonts w:hint="default" w:eastAsia="宋体"/>
                      <w:sz w:val="21"/>
                      <w:szCs w:val="21"/>
                      <w:lang w:val="en-US" w:eastAsia="zh-CN"/>
                    </w:rPr>
                  </w:pPr>
                  <w:r>
                    <w:rPr>
                      <w:kern w:val="0"/>
                      <w:sz w:val="21"/>
                      <w:szCs w:val="21"/>
                      <w:lang w:bidi="ar"/>
                    </w:rPr>
                    <w:t>0.0</w:t>
                  </w:r>
                  <w:r>
                    <w:rPr>
                      <w:rFonts w:hint="eastAsia"/>
                      <w:kern w:val="0"/>
                      <w:sz w:val="21"/>
                      <w:szCs w:val="21"/>
                      <w:lang w:val="en-US" w:eastAsia="zh-CN" w:bidi="ar"/>
                    </w:rPr>
                    <w:t>23</w:t>
                  </w:r>
                </w:p>
              </w:tc>
              <w:tc>
                <w:tcPr>
                  <w:tcW w:w="327" w:type="pct"/>
                  <w:vAlign w:val="center"/>
                </w:tcPr>
                <w:p w14:paraId="08EA0E0F">
                  <w:pPr>
                    <w:widowControl/>
                    <w:jc w:val="center"/>
                    <w:textAlignment w:val="top"/>
                    <w:rPr>
                      <w:rFonts w:hint="default" w:eastAsia="宋体"/>
                      <w:sz w:val="21"/>
                      <w:szCs w:val="21"/>
                      <w:lang w:val="en-US" w:eastAsia="zh-CN"/>
                    </w:rPr>
                  </w:pPr>
                  <w:r>
                    <w:rPr>
                      <w:rFonts w:hint="eastAsia"/>
                      <w:sz w:val="21"/>
                      <w:szCs w:val="21"/>
                      <w:lang w:val="en-US" w:eastAsia="zh-CN"/>
                    </w:rPr>
                    <w:t>8.34</w:t>
                  </w:r>
                </w:p>
              </w:tc>
              <w:tc>
                <w:tcPr>
                  <w:tcW w:w="259" w:type="pct"/>
                  <w:vMerge w:val="continue"/>
                  <w:vAlign w:val="center"/>
                </w:tcPr>
                <w:p w14:paraId="34ACE943">
                  <w:pPr>
                    <w:jc w:val="center"/>
                    <w:rPr>
                      <w:sz w:val="21"/>
                      <w:szCs w:val="21"/>
                    </w:rPr>
                  </w:pPr>
                </w:p>
              </w:tc>
              <w:tc>
                <w:tcPr>
                  <w:tcW w:w="254" w:type="pct"/>
                  <w:vMerge w:val="continue"/>
                  <w:vAlign w:val="center"/>
                </w:tcPr>
                <w:p w14:paraId="0D9D3EC7">
                  <w:pPr>
                    <w:jc w:val="center"/>
                    <w:rPr>
                      <w:sz w:val="21"/>
                      <w:szCs w:val="21"/>
                    </w:rPr>
                  </w:pPr>
                </w:p>
              </w:tc>
              <w:tc>
                <w:tcPr>
                  <w:tcW w:w="271" w:type="pct"/>
                  <w:vMerge w:val="continue"/>
                  <w:vAlign w:val="center"/>
                </w:tcPr>
                <w:p w14:paraId="3F497473">
                  <w:pPr>
                    <w:jc w:val="center"/>
                    <w:rPr>
                      <w:sz w:val="21"/>
                      <w:szCs w:val="21"/>
                    </w:rPr>
                  </w:pPr>
                </w:p>
              </w:tc>
              <w:tc>
                <w:tcPr>
                  <w:tcW w:w="271" w:type="pct"/>
                  <w:vMerge w:val="continue"/>
                  <w:vAlign w:val="center"/>
                </w:tcPr>
                <w:p w14:paraId="298EC1EE">
                  <w:pPr>
                    <w:jc w:val="center"/>
                    <w:rPr>
                      <w:sz w:val="21"/>
                      <w:szCs w:val="21"/>
                    </w:rPr>
                  </w:pPr>
                </w:p>
              </w:tc>
              <w:tc>
                <w:tcPr>
                  <w:tcW w:w="334" w:type="pct"/>
                  <w:vMerge w:val="continue"/>
                  <w:vAlign w:val="center"/>
                </w:tcPr>
                <w:p w14:paraId="3316EBF8">
                  <w:pPr>
                    <w:jc w:val="center"/>
                    <w:rPr>
                      <w:sz w:val="21"/>
                      <w:szCs w:val="21"/>
                    </w:rPr>
                  </w:pPr>
                </w:p>
              </w:tc>
              <w:tc>
                <w:tcPr>
                  <w:tcW w:w="395" w:type="pct"/>
                  <w:vAlign w:val="center"/>
                </w:tcPr>
                <w:p w14:paraId="56E61C9C">
                  <w:pPr>
                    <w:widowControl/>
                    <w:jc w:val="center"/>
                    <w:textAlignment w:val="center"/>
                    <w:rPr>
                      <w:rFonts w:hint="default" w:eastAsia="宋体"/>
                      <w:sz w:val="21"/>
                      <w:szCs w:val="21"/>
                      <w:lang w:val="en-US" w:eastAsia="zh-CN"/>
                    </w:rPr>
                  </w:pPr>
                  <w:r>
                    <w:rPr>
                      <w:kern w:val="0"/>
                      <w:sz w:val="21"/>
                      <w:szCs w:val="21"/>
                      <w:lang w:bidi="ar"/>
                    </w:rPr>
                    <w:t>0.0</w:t>
                  </w:r>
                  <w:r>
                    <w:rPr>
                      <w:rFonts w:hint="eastAsia"/>
                      <w:kern w:val="0"/>
                      <w:sz w:val="21"/>
                      <w:szCs w:val="21"/>
                      <w:lang w:val="en-US" w:eastAsia="zh-CN" w:bidi="ar"/>
                    </w:rPr>
                    <w:t>23</w:t>
                  </w:r>
                </w:p>
              </w:tc>
              <w:tc>
                <w:tcPr>
                  <w:tcW w:w="316" w:type="pct"/>
                  <w:vAlign w:val="center"/>
                </w:tcPr>
                <w:p w14:paraId="7DFB3DE4">
                  <w:pPr>
                    <w:widowControl/>
                    <w:jc w:val="center"/>
                    <w:textAlignment w:val="top"/>
                    <w:rPr>
                      <w:rFonts w:hint="default" w:eastAsia="宋体"/>
                      <w:sz w:val="21"/>
                      <w:szCs w:val="21"/>
                      <w:lang w:val="en-US" w:eastAsia="zh-CN"/>
                    </w:rPr>
                  </w:pPr>
                  <w:r>
                    <w:rPr>
                      <w:rFonts w:hint="eastAsia"/>
                      <w:sz w:val="21"/>
                      <w:szCs w:val="21"/>
                      <w:lang w:val="en-US" w:eastAsia="zh-CN"/>
                    </w:rPr>
                    <w:t>8.34</w:t>
                  </w:r>
                </w:p>
              </w:tc>
              <w:tc>
                <w:tcPr>
                  <w:tcW w:w="336" w:type="pct"/>
                  <w:vMerge w:val="continue"/>
                  <w:vAlign w:val="center"/>
                </w:tcPr>
                <w:p w14:paraId="7DC97C18">
                  <w:pPr>
                    <w:jc w:val="center"/>
                    <w:rPr>
                      <w:sz w:val="21"/>
                      <w:szCs w:val="21"/>
                    </w:rPr>
                  </w:pPr>
                </w:p>
              </w:tc>
              <w:tc>
                <w:tcPr>
                  <w:tcW w:w="246" w:type="pct"/>
                  <w:vMerge w:val="continue"/>
                  <w:vAlign w:val="center"/>
                </w:tcPr>
                <w:p w14:paraId="70F8D8CF">
                  <w:pPr>
                    <w:jc w:val="center"/>
                    <w:rPr>
                      <w:sz w:val="21"/>
                      <w:szCs w:val="21"/>
                    </w:rPr>
                  </w:pPr>
                </w:p>
              </w:tc>
              <w:tc>
                <w:tcPr>
                  <w:tcW w:w="259" w:type="pct"/>
                  <w:vMerge w:val="continue"/>
                  <w:vAlign w:val="center"/>
                </w:tcPr>
                <w:p w14:paraId="2422C159">
                  <w:pPr>
                    <w:jc w:val="center"/>
                    <w:rPr>
                      <w:sz w:val="21"/>
                      <w:szCs w:val="21"/>
                    </w:rPr>
                  </w:pPr>
                </w:p>
              </w:tc>
              <w:tc>
                <w:tcPr>
                  <w:tcW w:w="342" w:type="pct"/>
                  <w:vMerge w:val="continue"/>
                  <w:vAlign w:val="center"/>
                </w:tcPr>
                <w:p w14:paraId="4A9D8F0A">
                  <w:pPr>
                    <w:jc w:val="center"/>
                    <w:rPr>
                      <w:sz w:val="21"/>
                      <w:szCs w:val="21"/>
                    </w:rPr>
                  </w:pPr>
                </w:p>
              </w:tc>
            </w:tr>
          </w:tbl>
          <w:p w14:paraId="682DC9FE">
            <w:pPr>
              <w:widowControl/>
              <w:spacing w:line="360" w:lineRule="auto"/>
              <w:ind w:firstLine="480" w:firstLineChars="200"/>
              <w:rPr>
                <w:kern w:val="0"/>
                <w:szCs w:val="21"/>
              </w:rPr>
            </w:pPr>
            <w:r>
              <w:rPr>
                <w:kern w:val="0"/>
                <w:sz w:val="24"/>
                <w:lang w:bidi="ar"/>
              </w:rPr>
              <w:t>本项目废水基本情况及监测要求见下表，其中监测要求根据《排污单位自行监测技术指南 总则》（HJ819-2017）确定。</w:t>
            </w:r>
          </w:p>
          <w:p w14:paraId="68B79A76">
            <w:pPr>
              <w:widowControl/>
              <w:numPr>
                <w:ilvl w:val="0"/>
                <w:numId w:val="2"/>
              </w:numPr>
              <w:jc w:val="center"/>
              <w:rPr>
                <w:b/>
                <w:kern w:val="0"/>
                <w:szCs w:val="21"/>
              </w:rPr>
            </w:pPr>
            <w:r>
              <w:rPr>
                <w:b/>
                <w:kern w:val="0"/>
                <w:szCs w:val="21"/>
              </w:rPr>
              <w:t>项目排放口基本情况一览表</w:t>
            </w:r>
          </w:p>
          <w:tbl>
            <w:tblPr>
              <w:tblStyle w:val="26"/>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51"/>
              <w:gridCol w:w="950"/>
              <w:gridCol w:w="1138"/>
              <w:gridCol w:w="1108"/>
              <w:gridCol w:w="1644"/>
              <w:gridCol w:w="1547"/>
              <w:gridCol w:w="1211"/>
              <w:gridCol w:w="1926"/>
              <w:gridCol w:w="1193"/>
              <w:gridCol w:w="945"/>
              <w:gridCol w:w="1905"/>
              <w:gridCol w:w="1106"/>
            </w:tblGrid>
            <w:tr w14:paraId="1A1A12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jc w:val="center"/>
              </w:trPr>
              <w:tc>
                <w:tcPr>
                  <w:tcW w:w="180" w:type="pct"/>
                  <w:vMerge w:val="restart"/>
                  <w:tcMar>
                    <w:top w:w="12" w:type="dxa"/>
                    <w:left w:w="12" w:type="dxa"/>
                    <w:right w:w="12" w:type="dxa"/>
                  </w:tcMar>
                  <w:vAlign w:val="center"/>
                </w:tcPr>
                <w:p w14:paraId="5AFC1129">
                  <w:pPr>
                    <w:widowControl/>
                    <w:jc w:val="center"/>
                    <w:textAlignment w:val="center"/>
                    <w:rPr>
                      <w:b/>
                      <w:bCs/>
                      <w:szCs w:val="21"/>
                    </w:rPr>
                  </w:pPr>
                  <w:r>
                    <w:rPr>
                      <w:rStyle w:val="62"/>
                      <w:rFonts w:hint="default" w:ascii="Times New Roman" w:hAnsi="Times New Roman" w:cs="Times New Roman"/>
                      <w:b/>
                      <w:bCs/>
                      <w:color w:val="auto"/>
                      <w:lang w:bidi="ar"/>
                    </w:rPr>
                    <w:t>序号</w:t>
                  </w:r>
                </w:p>
              </w:tc>
              <w:tc>
                <w:tcPr>
                  <w:tcW w:w="345" w:type="pct"/>
                  <w:vMerge w:val="restart"/>
                  <w:tcMar>
                    <w:top w:w="12" w:type="dxa"/>
                    <w:left w:w="12" w:type="dxa"/>
                    <w:right w:w="12" w:type="dxa"/>
                  </w:tcMar>
                  <w:vAlign w:val="center"/>
                </w:tcPr>
                <w:p w14:paraId="12ADFA75">
                  <w:pPr>
                    <w:widowControl/>
                    <w:jc w:val="center"/>
                    <w:textAlignment w:val="center"/>
                    <w:rPr>
                      <w:b/>
                      <w:bCs/>
                      <w:kern w:val="0"/>
                      <w:szCs w:val="21"/>
                      <w:lang w:bidi="ar"/>
                    </w:rPr>
                  </w:pPr>
                  <w:r>
                    <w:rPr>
                      <w:rFonts w:hint="eastAsia"/>
                      <w:b/>
                      <w:bCs/>
                      <w:kern w:val="0"/>
                      <w:szCs w:val="21"/>
                      <w:lang w:bidi="ar"/>
                    </w:rPr>
                    <w:t>排放口</w:t>
                  </w:r>
                </w:p>
                <w:p w14:paraId="69998AA6">
                  <w:pPr>
                    <w:widowControl/>
                    <w:jc w:val="center"/>
                    <w:textAlignment w:val="center"/>
                    <w:rPr>
                      <w:b/>
                      <w:bCs/>
                      <w:szCs w:val="21"/>
                    </w:rPr>
                  </w:pPr>
                  <w:r>
                    <w:rPr>
                      <w:rFonts w:hint="eastAsia"/>
                      <w:b/>
                      <w:bCs/>
                      <w:kern w:val="0"/>
                      <w:szCs w:val="21"/>
                      <w:lang w:bidi="ar"/>
                    </w:rPr>
                    <w:t>编号</w:t>
                  </w:r>
                </w:p>
              </w:tc>
              <w:tc>
                <w:tcPr>
                  <w:tcW w:w="407" w:type="pct"/>
                  <w:vMerge w:val="restart"/>
                  <w:tcMar>
                    <w:top w:w="12" w:type="dxa"/>
                    <w:left w:w="12" w:type="dxa"/>
                    <w:right w:w="12" w:type="dxa"/>
                  </w:tcMar>
                  <w:vAlign w:val="center"/>
                </w:tcPr>
                <w:p w14:paraId="196C9CFC">
                  <w:pPr>
                    <w:widowControl/>
                    <w:jc w:val="center"/>
                    <w:textAlignment w:val="center"/>
                    <w:rPr>
                      <w:b/>
                      <w:bCs/>
                      <w:kern w:val="0"/>
                      <w:szCs w:val="21"/>
                      <w:lang w:bidi="ar"/>
                    </w:rPr>
                  </w:pPr>
                  <w:r>
                    <w:rPr>
                      <w:rFonts w:hint="eastAsia"/>
                      <w:b/>
                      <w:bCs/>
                      <w:kern w:val="0"/>
                      <w:szCs w:val="21"/>
                      <w:lang w:bidi="ar"/>
                    </w:rPr>
                    <w:t>排放口</w:t>
                  </w:r>
                </w:p>
                <w:p w14:paraId="35494F2C">
                  <w:pPr>
                    <w:widowControl/>
                    <w:jc w:val="center"/>
                    <w:textAlignment w:val="center"/>
                    <w:rPr>
                      <w:b/>
                      <w:bCs/>
                      <w:szCs w:val="21"/>
                    </w:rPr>
                  </w:pPr>
                  <w:r>
                    <w:rPr>
                      <w:rFonts w:hint="eastAsia"/>
                      <w:b/>
                      <w:bCs/>
                      <w:kern w:val="0"/>
                      <w:szCs w:val="21"/>
                      <w:lang w:bidi="ar"/>
                    </w:rPr>
                    <w:t>名称</w:t>
                  </w:r>
                </w:p>
              </w:tc>
              <w:tc>
                <w:tcPr>
                  <w:tcW w:w="397" w:type="pct"/>
                  <w:vMerge w:val="restart"/>
                  <w:tcMar>
                    <w:top w:w="12" w:type="dxa"/>
                    <w:left w:w="12" w:type="dxa"/>
                    <w:right w:w="12" w:type="dxa"/>
                  </w:tcMar>
                  <w:vAlign w:val="center"/>
                </w:tcPr>
                <w:p w14:paraId="43763C64">
                  <w:pPr>
                    <w:widowControl/>
                    <w:jc w:val="center"/>
                    <w:textAlignment w:val="center"/>
                    <w:rPr>
                      <w:b/>
                      <w:bCs/>
                      <w:kern w:val="0"/>
                      <w:szCs w:val="21"/>
                      <w:lang w:bidi="ar"/>
                    </w:rPr>
                  </w:pPr>
                  <w:r>
                    <w:rPr>
                      <w:rFonts w:hint="eastAsia"/>
                      <w:b/>
                      <w:bCs/>
                      <w:kern w:val="0"/>
                      <w:szCs w:val="21"/>
                      <w:lang w:bidi="ar"/>
                    </w:rPr>
                    <w:t>排放口</w:t>
                  </w:r>
                </w:p>
                <w:p w14:paraId="197A277F">
                  <w:pPr>
                    <w:widowControl/>
                    <w:jc w:val="center"/>
                    <w:textAlignment w:val="center"/>
                    <w:rPr>
                      <w:b/>
                      <w:bCs/>
                      <w:szCs w:val="21"/>
                    </w:rPr>
                  </w:pPr>
                  <w:r>
                    <w:rPr>
                      <w:rFonts w:hint="eastAsia"/>
                      <w:b/>
                      <w:bCs/>
                      <w:kern w:val="0"/>
                      <w:szCs w:val="21"/>
                      <w:lang w:bidi="ar"/>
                    </w:rPr>
                    <w:t>类型</w:t>
                  </w:r>
                </w:p>
              </w:tc>
              <w:tc>
                <w:tcPr>
                  <w:tcW w:w="746" w:type="pct"/>
                  <w:gridSpan w:val="2"/>
                  <w:tcMar>
                    <w:top w:w="12" w:type="dxa"/>
                    <w:left w:w="12" w:type="dxa"/>
                    <w:right w:w="12" w:type="dxa"/>
                  </w:tcMar>
                  <w:vAlign w:val="center"/>
                </w:tcPr>
                <w:p w14:paraId="0E3A7B8E">
                  <w:pPr>
                    <w:widowControl/>
                    <w:jc w:val="center"/>
                    <w:textAlignment w:val="center"/>
                    <w:rPr>
                      <w:b/>
                      <w:bCs/>
                      <w:szCs w:val="21"/>
                    </w:rPr>
                  </w:pPr>
                  <w:r>
                    <w:rPr>
                      <w:rStyle w:val="62"/>
                      <w:rFonts w:hint="default" w:ascii="Times New Roman" w:hAnsi="Times New Roman" w:cs="Times New Roman"/>
                      <w:b/>
                      <w:bCs/>
                      <w:color w:val="auto"/>
                      <w:lang w:bidi="ar"/>
                    </w:rPr>
                    <w:t>排放口地理坐标</w:t>
                  </w:r>
                </w:p>
              </w:tc>
              <w:tc>
                <w:tcPr>
                  <w:tcW w:w="431" w:type="pct"/>
                  <w:vMerge w:val="restart"/>
                  <w:tcMar>
                    <w:top w:w="12" w:type="dxa"/>
                    <w:left w:w="12" w:type="dxa"/>
                    <w:right w:w="12" w:type="dxa"/>
                  </w:tcMar>
                  <w:vAlign w:val="center"/>
                </w:tcPr>
                <w:p w14:paraId="47F2225B">
                  <w:pPr>
                    <w:widowControl/>
                    <w:jc w:val="center"/>
                    <w:textAlignment w:val="center"/>
                    <w:rPr>
                      <w:rStyle w:val="62"/>
                      <w:rFonts w:hint="default" w:ascii="Times New Roman" w:hAnsi="Times New Roman" w:cs="Times New Roman"/>
                      <w:b/>
                      <w:bCs/>
                      <w:color w:val="auto"/>
                      <w:lang w:bidi="ar"/>
                    </w:rPr>
                  </w:pPr>
                  <w:r>
                    <w:rPr>
                      <w:rStyle w:val="62"/>
                      <w:rFonts w:hint="default" w:ascii="Times New Roman" w:hAnsi="Times New Roman" w:cs="Times New Roman"/>
                      <w:b/>
                      <w:bCs/>
                      <w:color w:val="auto"/>
                      <w:lang w:bidi="ar"/>
                    </w:rPr>
                    <w:t>受纳污水</w:t>
                  </w:r>
                </w:p>
                <w:p w14:paraId="5A78670B">
                  <w:pPr>
                    <w:widowControl/>
                    <w:jc w:val="center"/>
                    <w:textAlignment w:val="center"/>
                    <w:rPr>
                      <w:b/>
                      <w:bCs/>
                      <w:szCs w:val="21"/>
                    </w:rPr>
                  </w:pPr>
                  <w:r>
                    <w:rPr>
                      <w:rStyle w:val="62"/>
                      <w:rFonts w:hint="default" w:ascii="Times New Roman" w:hAnsi="Times New Roman" w:cs="Times New Roman"/>
                      <w:b/>
                      <w:bCs/>
                      <w:color w:val="auto"/>
                      <w:lang w:bidi="ar"/>
                    </w:rPr>
                    <w:t>处理厂/水体</w:t>
                  </w:r>
                </w:p>
              </w:tc>
              <w:tc>
                <w:tcPr>
                  <w:tcW w:w="1092" w:type="pct"/>
                  <w:gridSpan w:val="2"/>
                  <w:tcMar>
                    <w:top w:w="12" w:type="dxa"/>
                    <w:left w:w="12" w:type="dxa"/>
                    <w:right w:w="12" w:type="dxa"/>
                  </w:tcMar>
                  <w:vAlign w:val="center"/>
                </w:tcPr>
                <w:p w14:paraId="0537CB8E">
                  <w:pPr>
                    <w:widowControl/>
                    <w:jc w:val="center"/>
                    <w:textAlignment w:val="center"/>
                    <w:rPr>
                      <w:b/>
                      <w:bCs/>
                      <w:szCs w:val="21"/>
                    </w:rPr>
                  </w:pPr>
                  <w:r>
                    <w:rPr>
                      <w:rStyle w:val="55"/>
                      <w:rFonts w:hint="default" w:ascii="Times New Roman" w:hAnsi="Times New Roman" w:cs="Times New Roman"/>
                      <w:b/>
                      <w:bCs/>
                      <w:color w:val="auto"/>
                      <w:sz w:val="21"/>
                      <w:szCs w:val="21"/>
                      <w:lang w:bidi="ar"/>
                    </w:rPr>
                    <w:t>污染物排放标准</w:t>
                  </w:r>
                </w:p>
              </w:tc>
              <w:tc>
                <w:tcPr>
                  <w:tcW w:w="1399" w:type="pct"/>
                  <w:gridSpan w:val="3"/>
                  <w:tcMar>
                    <w:top w:w="12" w:type="dxa"/>
                    <w:left w:w="12" w:type="dxa"/>
                    <w:right w:w="12" w:type="dxa"/>
                  </w:tcMar>
                  <w:vAlign w:val="center"/>
                </w:tcPr>
                <w:p w14:paraId="78868B1B">
                  <w:pPr>
                    <w:widowControl/>
                    <w:jc w:val="center"/>
                    <w:textAlignment w:val="center"/>
                    <w:rPr>
                      <w:b/>
                      <w:bCs/>
                      <w:szCs w:val="21"/>
                    </w:rPr>
                  </w:pPr>
                  <w:r>
                    <w:rPr>
                      <w:rStyle w:val="55"/>
                      <w:rFonts w:hint="default" w:ascii="Times New Roman" w:hAnsi="Times New Roman" w:cs="Times New Roman"/>
                      <w:b/>
                      <w:bCs/>
                      <w:color w:val="auto"/>
                      <w:sz w:val="21"/>
                      <w:szCs w:val="21"/>
                      <w:lang w:bidi="ar"/>
                    </w:rPr>
                    <w:t>监测要求</w:t>
                  </w:r>
                </w:p>
              </w:tc>
            </w:tr>
            <w:tr w14:paraId="569820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180" w:type="pct"/>
                  <w:vMerge w:val="continue"/>
                  <w:tcMar>
                    <w:top w:w="12" w:type="dxa"/>
                    <w:left w:w="12" w:type="dxa"/>
                    <w:right w:w="12" w:type="dxa"/>
                  </w:tcMar>
                  <w:vAlign w:val="center"/>
                </w:tcPr>
                <w:p w14:paraId="4D255C1A">
                  <w:pPr>
                    <w:jc w:val="center"/>
                    <w:rPr>
                      <w:b/>
                      <w:bCs/>
                      <w:szCs w:val="21"/>
                    </w:rPr>
                  </w:pPr>
                </w:p>
              </w:tc>
              <w:tc>
                <w:tcPr>
                  <w:tcW w:w="345" w:type="pct"/>
                  <w:vMerge w:val="continue"/>
                  <w:tcMar>
                    <w:top w:w="12" w:type="dxa"/>
                    <w:left w:w="12" w:type="dxa"/>
                    <w:right w:w="12" w:type="dxa"/>
                  </w:tcMar>
                  <w:vAlign w:val="center"/>
                </w:tcPr>
                <w:p w14:paraId="3318E5B1">
                  <w:pPr>
                    <w:jc w:val="center"/>
                    <w:rPr>
                      <w:b/>
                      <w:bCs/>
                      <w:szCs w:val="21"/>
                    </w:rPr>
                  </w:pPr>
                </w:p>
              </w:tc>
              <w:tc>
                <w:tcPr>
                  <w:tcW w:w="407" w:type="pct"/>
                  <w:vMerge w:val="continue"/>
                  <w:tcMar>
                    <w:top w:w="12" w:type="dxa"/>
                    <w:left w:w="12" w:type="dxa"/>
                    <w:right w:w="12" w:type="dxa"/>
                  </w:tcMar>
                  <w:vAlign w:val="center"/>
                </w:tcPr>
                <w:p w14:paraId="122E0C29">
                  <w:pPr>
                    <w:jc w:val="center"/>
                    <w:rPr>
                      <w:b/>
                      <w:bCs/>
                      <w:szCs w:val="21"/>
                    </w:rPr>
                  </w:pPr>
                </w:p>
              </w:tc>
              <w:tc>
                <w:tcPr>
                  <w:tcW w:w="397" w:type="pct"/>
                  <w:vMerge w:val="continue"/>
                  <w:tcMar>
                    <w:top w:w="12" w:type="dxa"/>
                    <w:left w:w="12" w:type="dxa"/>
                    <w:right w:w="12" w:type="dxa"/>
                  </w:tcMar>
                  <w:vAlign w:val="center"/>
                </w:tcPr>
                <w:p w14:paraId="45586D9A">
                  <w:pPr>
                    <w:jc w:val="center"/>
                    <w:rPr>
                      <w:b/>
                      <w:bCs/>
                      <w:szCs w:val="21"/>
                    </w:rPr>
                  </w:pPr>
                </w:p>
              </w:tc>
              <w:tc>
                <w:tcPr>
                  <w:tcW w:w="380" w:type="pct"/>
                  <w:tcMar>
                    <w:top w:w="12" w:type="dxa"/>
                    <w:left w:w="12" w:type="dxa"/>
                    <w:right w:w="12" w:type="dxa"/>
                  </w:tcMar>
                  <w:vAlign w:val="center"/>
                </w:tcPr>
                <w:p w14:paraId="7C2146D3">
                  <w:pPr>
                    <w:widowControl/>
                    <w:jc w:val="center"/>
                    <w:textAlignment w:val="center"/>
                    <w:rPr>
                      <w:b/>
                      <w:bCs/>
                      <w:szCs w:val="21"/>
                    </w:rPr>
                  </w:pPr>
                  <w:r>
                    <w:rPr>
                      <w:rStyle w:val="62"/>
                      <w:rFonts w:hint="default" w:ascii="Times New Roman" w:hAnsi="Times New Roman" w:cs="Times New Roman"/>
                      <w:b/>
                      <w:bCs/>
                      <w:color w:val="auto"/>
                      <w:lang w:bidi="ar"/>
                    </w:rPr>
                    <w:t>经度</w:t>
                  </w:r>
                </w:p>
              </w:tc>
              <w:tc>
                <w:tcPr>
                  <w:tcW w:w="366" w:type="pct"/>
                  <w:tcMar>
                    <w:top w:w="12" w:type="dxa"/>
                    <w:left w:w="12" w:type="dxa"/>
                    <w:right w:w="12" w:type="dxa"/>
                  </w:tcMar>
                  <w:vAlign w:val="center"/>
                </w:tcPr>
                <w:p w14:paraId="03823EB8">
                  <w:pPr>
                    <w:widowControl/>
                    <w:jc w:val="center"/>
                    <w:textAlignment w:val="center"/>
                    <w:rPr>
                      <w:b/>
                      <w:bCs/>
                      <w:szCs w:val="21"/>
                    </w:rPr>
                  </w:pPr>
                  <w:r>
                    <w:rPr>
                      <w:rStyle w:val="62"/>
                      <w:rFonts w:hint="default" w:ascii="Times New Roman" w:hAnsi="Times New Roman" w:cs="Times New Roman"/>
                      <w:b/>
                      <w:bCs/>
                      <w:color w:val="auto"/>
                      <w:lang w:bidi="ar"/>
                    </w:rPr>
                    <w:t>纬度</w:t>
                  </w:r>
                </w:p>
              </w:tc>
              <w:tc>
                <w:tcPr>
                  <w:tcW w:w="431" w:type="pct"/>
                  <w:vMerge w:val="continue"/>
                  <w:tcMar>
                    <w:top w:w="12" w:type="dxa"/>
                    <w:left w:w="12" w:type="dxa"/>
                    <w:right w:w="12" w:type="dxa"/>
                  </w:tcMar>
                  <w:vAlign w:val="center"/>
                </w:tcPr>
                <w:p w14:paraId="5948AD9F">
                  <w:pPr>
                    <w:jc w:val="center"/>
                    <w:rPr>
                      <w:b/>
                      <w:bCs/>
                      <w:szCs w:val="21"/>
                    </w:rPr>
                  </w:pPr>
                </w:p>
              </w:tc>
              <w:tc>
                <w:tcPr>
                  <w:tcW w:w="667" w:type="pct"/>
                  <w:tcMar>
                    <w:top w:w="12" w:type="dxa"/>
                    <w:left w:w="12" w:type="dxa"/>
                    <w:right w:w="12" w:type="dxa"/>
                  </w:tcMar>
                  <w:vAlign w:val="center"/>
                </w:tcPr>
                <w:p w14:paraId="6B9500D3">
                  <w:pPr>
                    <w:widowControl/>
                    <w:jc w:val="center"/>
                    <w:textAlignment w:val="center"/>
                    <w:rPr>
                      <w:b/>
                      <w:bCs/>
                      <w:szCs w:val="21"/>
                    </w:rPr>
                  </w:pPr>
                  <w:r>
                    <w:rPr>
                      <w:rStyle w:val="62"/>
                      <w:rFonts w:hint="default" w:ascii="Times New Roman" w:hAnsi="Times New Roman" w:cs="Times New Roman"/>
                      <w:b/>
                      <w:bCs/>
                      <w:color w:val="auto"/>
                      <w:lang w:bidi="ar"/>
                    </w:rPr>
                    <w:t>污染物种类</w:t>
                  </w:r>
                </w:p>
              </w:tc>
              <w:tc>
                <w:tcPr>
                  <w:tcW w:w="425" w:type="pct"/>
                  <w:tcMar>
                    <w:top w:w="12" w:type="dxa"/>
                    <w:left w:w="12" w:type="dxa"/>
                    <w:right w:w="12" w:type="dxa"/>
                  </w:tcMar>
                  <w:vAlign w:val="center"/>
                </w:tcPr>
                <w:p w14:paraId="6800AAC4">
                  <w:pPr>
                    <w:widowControl/>
                    <w:jc w:val="center"/>
                    <w:textAlignment w:val="center"/>
                    <w:rPr>
                      <w:b/>
                      <w:bCs/>
                      <w:szCs w:val="21"/>
                    </w:rPr>
                  </w:pPr>
                  <w:r>
                    <w:rPr>
                      <w:rFonts w:hint="eastAsia"/>
                      <w:b/>
                      <w:bCs/>
                      <w:szCs w:val="21"/>
                    </w:rPr>
                    <w:t>接管限值</w:t>
                  </w:r>
                </w:p>
              </w:tc>
              <w:tc>
                <w:tcPr>
                  <w:tcW w:w="343" w:type="pct"/>
                  <w:tcMar>
                    <w:top w:w="12" w:type="dxa"/>
                    <w:left w:w="12" w:type="dxa"/>
                    <w:right w:w="12" w:type="dxa"/>
                  </w:tcMar>
                  <w:vAlign w:val="center"/>
                </w:tcPr>
                <w:p w14:paraId="62C2FD37">
                  <w:pPr>
                    <w:widowControl/>
                    <w:jc w:val="center"/>
                    <w:textAlignment w:val="center"/>
                    <w:rPr>
                      <w:b/>
                      <w:bCs/>
                      <w:szCs w:val="21"/>
                    </w:rPr>
                  </w:pPr>
                  <w:r>
                    <w:rPr>
                      <w:rStyle w:val="62"/>
                      <w:rFonts w:hint="default" w:ascii="Times New Roman" w:hAnsi="Times New Roman" w:cs="Times New Roman"/>
                      <w:b/>
                      <w:bCs/>
                      <w:color w:val="auto"/>
                      <w:lang w:bidi="ar"/>
                    </w:rPr>
                    <w:t>监测点位</w:t>
                  </w:r>
                </w:p>
              </w:tc>
              <w:tc>
                <w:tcPr>
                  <w:tcW w:w="660" w:type="pct"/>
                  <w:tcMar>
                    <w:top w:w="12" w:type="dxa"/>
                    <w:left w:w="12" w:type="dxa"/>
                    <w:right w:w="12" w:type="dxa"/>
                  </w:tcMar>
                  <w:vAlign w:val="center"/>
                </w:tcPr>
                <w:p w14:paraId="6A68219B">
                  <w:pPr>
                    <w:widowControl/>
                    <w:jc w:val="center"/>
                    <w:textAlignment w:val="center"/>
                    <w:rPr>
                      <w:b/>
                      <w:bCs/>
                      <w:szCs w:val="21"/>
                    </w:rPr>
                  </w:pPr>
                  <w:r>
                    <w:rPr>
                      <w:rStyle w:val="62"/>
                      <w:rFonts w:hint="default" w:ascii="Times New Roman" w:hAnsi="Times New Roman" w:cs="Times New Roman"/>
                      <w:b/>
                      <w:bCs/>
                      <w:color w:val="auto"/>
                      <w:lang w:bidi="ar"/>
                    </w:rPr>
                    <w:t>监测因子</w:t>
                  </w:r>
                </w:p>
              </w:tc>
              <w:tc>
                <w:tcPr>
                  <w:tcW w:w="395" w:type="pct"/>
                  <w:tcMar>
                    <w:top w:w="12" w:type="dxa"/>
                    <w:left w:w="12" w:type="dxa"/>
                    <w:right w:w="12" w:type="dxa"/>
                  </w:tcMar>
                  <w:vAlign w:val="center"/>
                </w:tcPr>
                <w:p w14:paraId="46A9E6A6">
                  <w:pPr>
                    <w:widowControl/>
                    <w:jc w:val="center"/>
                    <w:textAlignment w:val="center"/>
                    <w:rPr>
                      <w:b/>
                      <w:bCs/>
                      <w:szCs w:val="21"/>
                    </w:rPr>
                  </w:pPr>
                  <w:r>
                    <w:rPr>
                      <w:rStyle w:val="62"/>
                      <w:rFonts w:hint="default" w:ascii="Times New Roman" w:hAnsi="Times New Roman" w:cs="Times New Roman"/>
                      <w:b/>
                      <w:bCs/>
                      <w:color w:val="auto"/>
                      <w:lang w:bidi="ar"/>
                    </w:rPr>
                    <w:t>监测频次</w:t>
                  </w:r>
                </w:p>
              </w:tc>
            </w:tr>
            <w:tr w14:paraId="60A1B7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jc w:val="center"/>
              </w:trPr>
              <w:tc>
                <w:tcPr>
                  <w:tcW w:w="180" w:type="pct"/>
                  <w:vMerge w:val="restart"/>
                  <w:tcMar>
                    <w:top w:w="12" w:type="dxa"/>
                    <w:left w:w="12" w:type="dxa"/>
                    <w:right w:w="12" w:type="dxa"/>
                  </w:tcMar>
                  <w:vAlign w:val="center"/>
                </w:tcPr>
                <w:p w14:paraId="25CB324C">
                  <w:pPr>
                    <w:widowControl/>
                    <w:jc w:val="center"/>
                    <w:textAlignment w:val="center"/>
                    <w:rPr>
                      <w:szCs w:val="21"/>
                    </w:rPr>
                  </w:pPr>
                  <w:r>
                    <w:rPr>
                      <w:rFonts w:hint="eastAsia"/>
                      <w:kern w:val="0"/>
                      <w:szCs w:val="21"/>
                      <w:lang w:bidi="ar"/>
                    </w:rPr>
                    <w:t>1</w:t>
                  </w:r>
                </w:p>
              </w:tc>
              <w:tc>
                <w:tcPr>
                  <w:tcW w:w="345" w:type="pct"/>
                  <w:vMerge w:val="restart"/>
                  <w:tcMar>
                    <w:top w:w="12" w:type="dxa"/>
                    <w:left w:w="12" w:type="dxa"/>
                    <w:right w:w="12" w:type="dxa"/>
                  </w:tcMar>
                  <w:vAlign w:val="center"/>
                </w:tcPr>
                <w:p w14:paraId="6ED9E5C1">
                  <w:pPr>
                    <w:widowControl/>
                    <w:jc w:val="center"/>
                    <w:textAlignment w:val="center"/>
                    <w:rPr>
                      <w:szCs w:val="21"/>
                    </w:rPr>
                  </w:pPr>
                  <w:r>
                    <w:rPr>
                      <w:rFonts w:hint="eastAsia"/>
                      <w:kern w:val="0"/>
                      <w:szCs w:val="21"/>
                      <w:lang w:bidi="ar"/>
                    </w:rPr>
                    <w:t>DW001</w:t>
                  </w:r>
                </w:p>
              </w:tc>
              <w:tc>
                <w:tcPr>
                  <w:tcW w:w="407" w:type="pct"/>
                  <w:vMerge w:val="restart"/>
                  <w:tcMar>
                    <w:top w:w="12" w:type="dxa"/>
                    <w:left w:w="12" w:type="dxa"/>
                    <w:right w:w="12" w:type="dxa"/>
                  </w:tcMar>
                  <w:vAlign w:val="center"/>
                </w:tcPr>
                <w:p w14:paraId="5C97301A">
                  <w:pPr>
                    <w:widowControl/>
                    <w:jc w:val="center"/>
                    <w:textAlignment w:val="center"/>
                    <w:rPr>
                      <w:szCs w:val="21"/>
                    </w:rPr>
                  </w:pPr>
                  <w:r>
                    <w:rPr>
                      <w:rStyle w:val="62"/>
                      <w:rFonts w:hint="default" w:ascii="Times New Roman" w:hAnsi="Times New Roman" w:cs="Times New Roman"/>
                      <w:color w:val="auto"/>
                      <w:lang w:bidi="ar"/>
                    </w:rPr>
                    <w:t>厂区污水总排口</w:t>
                  </w:r>
                </w:p>
              </w:tc>
              <w:tc>
                <w:tcPr>
                  <w:tcW w:w="397" w:type="pct"/>
                  <w:vMerge w:val="restart"/>
                  <w:tcMar>
                    <w:top w:w="12" w:type="dxa"/>
                    <w:left w:w="12" w:type="dxa"/>
                    <w:right w:w="12" w:type="dxa"/>
                  </w:tcMar>
                  <w:vAlign w:val="center"/>
                </w:tcPr>
                <w:p w14:paraId="70918D93">
                  <w:pPr>
                    <w:jc w:val="center"/>
                    <w:rPr>
                      <w:szCs w:val="21"/>
                    </w:rPr>
                  </w:pPr>
                  <w:r>
                    <w:rPr>
                      <w:rFonts w:hint="eastAsia"/>
                      <w:szCs w:val="21"/>
                    </w:rPr>
                    <w:t>总排口</w:t>
                  </w:r>
                </w:p>
              </w:tc>
              <w:tc>
                <w:tcPr>
                  <w:tcW w:w="380" w:type="pct"/>
                  <w:vMerge w:val="restart"/>
                  <w:tcMar>
                    <w:top w:w="12" w:type="dxa"/>
                    <w:left w:w="12" w:type="dxa"/>
                    <w:right w:w="12" w:type="dxa"/>
                  </w:tcMar>
                  <w:vAlign w:val="center"/>
                </w:tcPr>
                <w:p w14:paraId="2EAED04B">
                  <w:pPr>
                    <w:widowControl/>
                    <w:jc w:val="center"/>
                    <w:textAlignment w:val="center"/>
                    <w:rPr>
                      <w:szCs w:val="21"/>
                    </w:rPr>
                  </w:pPr>
                  <w:r>
                    <w:rPr>
                      <w:rFonts w:hint="eastAsia"/>
                      <w:szCs w:val="21"/>
                    </w:rPr>
                    <w:t>116°50′3.008″</w:t>
                  </w:r>
                </w:p>
              </w:tc>
              <w:tc>
                <w:tcPr>
                  <w:tcW w:w="366" w:type="pct"/>
                  <w:vMerge w:val="restart"/>
                  <w:tcMar>
                    <w:top w:w="12" w:type="dxa"/>
                    <w:left w:w="12" w:type="dxa"/>
                    <w:right w:w="12" w:type="dxa"/>
                  </w:tcMar>
                  <w:vAlign w:val="center"/>
                </w:tcPr>
                <w:p w14:paraId="07A3971D">
                  <w:pPr>
                    <w:widowControl/>
                    <w:jc w:val="center"/>
                    <w:textAlignment w:val="center"/>
                    <w:rPr>
                      <w:szCs w:val="21"/>
                    </w:rPr>
                  </w:pPr>
                  <w:r>
                    <w:rPr>
                      <w:rFonts w:hint="eastAsia"/>
                      <w:szCs w:val="21"/>
                    </w:rPr>
                    <w:t>34°3′29.155″</w:t>
                  </w:r>
                </w:p>
              </w:tc>
              <w:tc>
                <w:tcPr>
                  <w:tcW w:w="431" w:type="pct"/>
                  <w:vMerge w:val="restart"/>
                  <w:tcMar>
                    <w:top w:w="12" w:type="dxa"/>
                    <w:left w:w="12" w:type="dxa"/>
                    <w:right w:w="12" w:type="dxa"/>
                  </w:tcMar>
                  <w:vAlign w:val="center"/>
                </w:tcPr>
                <w:p w14:paraId="66DE805D">
                  <w:pPr>
                    <w:widowControl/>
                    <w:jc w:val="center"/>
                    <w:textAlignment w:val="center"/>
                    <w:rPr>
                      <w:szCs w:val="21"/>
                    </w:rPr>
                  </w:pPr>
                  <w:r>
                    <w:rPr>
                      <w:szCs w:val="21"/>
                    </w:rPr>
                    <w:t>淮北市龙湖工业园污水处理厂</w:t>
                  </w:r>
                </w:p>
              </w:tc>
              <w:tc>
                <w:tcPr>
                  <w:tcW w:w="2012" w:type="dxa"/>
                  <w:tcMar>
                    <w:top w:w="12" w:type="dxa"/>
                    <w:left w:w="12" w:type="dxa"/>
                    <w:right w:w="12" w:type="dxa"/>
                  </w:tcMar>
                  <w:vAlign w:val="center"/>
                </w:tcPr>
                <w:p w14:paraId="03561B2D">
                  <w:pPr>
                    <w:widowControl/>
                    <w:jc w:val="center"/>
                    <w:textAlignment w:val="center"/>
                    <w:rPr>
                      <w:szCs w:val="21"/>
                    </w:rPr>
                  </w:pPr>
                  <w:r>
                    <w:rPr>
                      <w:kern w:val="0"/>
                      <w:szCs w:val="21"/>
                      <w:lang w:bidi="ar"/>
                    </w:rPr>
                    <w:t>pH</w:t>
                  </w:r>
                </w:p>
              </w:tc>
              <w:tc>
                <w:tcPr>
                  <w:tcW w:w="1279" w:type="dxa"/>
                  <w:tcMar>
                    <w:top w:w="12" w:type="dxa"/>
                    <w:left w:w="12" w:type="dxa"/>
                    <w:right w:w="12" w:type="dxa"/>
                  </w:tcMar>
                  <w:vAlign w:val="center"/>
                </w:tcPr>
                <w:p w14:paraId="61EC68FE">
                  <w:pPr>
                    <w:widowControl/>
                    <w:jc w:val="center"/>
                    <w:textAlignment w:val="center"/>
                    <w:rPr>
                      <w:szCs w:val="21"/>
                    </w:rPr>
                  </w:pPr>
                  <w:r>
                    <w:rPr>
                      <w:kern w:val="0"/>
                      <w:szCs w:val="21"/>
                      <w:lang w:bidi="ar"/>
                    </w:rPr>
                    <w:t>6~9</w:t>
                  </w:r>
                </w:p>
              </w:tc>
              <w:tc>
                <w:tcPr>
                  <w:tcW w:w="1031" w:type="dxa"/>
                  <w:vMerge w:val="restart"/>
                  <w:tcMar>
                    <w:top w:w="12" w:type="dxa"/>
                    <w:left w:w="12" w:type="dxa"/>
                    <w:right w:w="12" w:type="dxa"/>
                  </w:tcMar>
                  <w:vAlign w:val="center"/>
                </w:tcPr>
                <w:p w14:paraId="7B136F98">
                  <w:pPr>
                    <w:widowControl/>
                    <w:jc w:val="center"/>
                    <w:textAlignment w:val="center"/>
                    <w:rPr>
                      <w:rStyle w:val="55"/>
                      <w:rFonts w:hint="default" w:ascii="Times New Roman" w:hAnsi="Times New Roman" w:cs="Times New Roman"/>
                      <w:color w:val="auto"/>
                      <w:lang w:bidi="ar"/>
                    </w:rPr>
                  </w:pPr>
                  <w:r>
                    <w:rPr>
                      <w:rStyle w:val="55"/>
                      <w:rFonts w:hint="default" w:ascii="Times New Roman" w:hAnsi="Times New Roman" w:cs="Times New Roman"/>
                      <w:color w:val="auto"/>
                      <w:lang w:bidi="ar"/>
                    </w:rPr>
                    <w:t>污水</w:t>
                  </w:r>
                </w:p>
                <w:p w14:paraId="17FB8CF5">
                  <w:pPr>
                    <w:widowControl/>
                    <w:jc w:val="center"/>
                    <w:textAlignment w:val="center"/>
                    <w:rPr>
                      <w:rStyle w:val="55"/>
                      <w:rFonts w:hint="default" w:ascii="Times New Roman" w:hAnsi="Times New Roman" w:cs="Times New Roman"/>
                      <w:color w:val="auto"/>
                      <w:sz w:val="21"/>
                      <w:szCs w:val="21"/>
                      <w:lang w:bidi="ar"/>
                    </w:rPr>
                  </w:pPr>
                  <w:r>
                    <w:rPr>
                      <w:rStyle w:val="55"/>
                      <w:rFonts w:hint="default" w:ascii="Times New Roman" w:hAnsi="Times New Roman" w:cs="Times New Roman"/>
                      <w:color w:val="auto"/>
                      <w:lang w:bidi="ar"/>
                    </w:rPr>
                    <w:t>总排口</w:t>
                  </w:r>
                </w:p>
              </w:tc>
              <w:tc>
                <w:tcPr>
                  <w:tcW w:w="1991" w:type="dxa"/>
                  <w:tcMar>
                    <w:top w:w="12" w:type="dxa"/>
                    <w:left w:w="12" w:type="dxa"/>
                    <w:right w:w="12" w:type="dxa"/>
                  </w:tcMar>
                  <w:vAlign w:val="center"/>
                </w:tcPr>
                <w:p w14:paraId="29BCDAC8">
                  <w:pPr>
                    <w:widowControl/>
                    <w:jc w:val="center"/>
                    <w:textAlignment w:val="center"/>
                    <w:rPr>
                      <w:szCs w:val="21"/>
                    </w:rPr>
                  </w:pPr>
                  <w:r>
                    <w:rPr>
                      <w:kern w:val="0"/>
                      <w:szCs w:val="21"/>
                      <w:lang w:bidi="ar"/>
                    </w:rPr>
                    <w:t>pH</w:t>
                  </w:r>
                </w:p>
              </w:tc>
              <w:tc>
                <w:tcPr>
                  <w:tcW w:w="1192" w:type="dxa"/>
                  <w:tcMar>
                    <w:top w:w="12" w:type="dxa"/>
                    <w:left w:w="12" w:type="dxa"/>
                    <w:right w:w="12" w:type="dxa"/>
                  </w:tcMar>
                  <w:vAlign w:val="center"/>
                </w:tcPr>
                <w:p w14:paraId="421A4011">
                  <w:pPr>
                    <w:widowControl/>
                    <w:jc w:val="center"/>
                    <w:textAlignment w:val="center"/>
                    <w:rPr>
                      <w:szCs w:val="21"/>
                    </w:rPr>
                  </w:pPr>
                  <w:r>
                    <w:rPr>
                      <w:rFonts w:hint="eastAsia"/>
                      <w:sz w:val="22"/>
                      <w:szCs w:val="22"/>
                    </w:rPr>
                    <w:t>1次/年</w:t>
                  </w:r>
                </w:p>
              </w:tc>
            </w:tr>
            <w:tr w14:paraId="562330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jc w:val="center"/>
              </w:trPr>
              <w:tc>
                <w:tcPr>
                  <w:tcW w:w="180" w:type="pct"/>
                  <w:vMerge w:val="continue"/>
                  <w:tcMar>
                    <w:top w:w="12" w:type="dxa"/>
                    <w:left w:w="12" w:type="dxa"/>
                    <w:right w:w="12" w:type="dxa"/>
                  </w:tcMar>
                  <w:vAlign w:val="center"/>
                </w:tcPr>
                <w:p w14:paraId="321A45EB">
                  <w:pPr>
                    <w:widowControl/>
                    <w:jc w:val="center"/>
                    <w:textAlignment w:val="center"/>
                    <w:rPr>
                      <w:kern w:val="0"/>
                      <w:szCs w:val="21"/>
                      <w:lang w:bidi="ar"/>
                    </w:rPr>
                  </w:pPr>
                </w:p>
              </w:tc>
              <w:tc>
                <w:tcPr>
                  <w:tcW w:w="345" w:type="pct"/>
                  <w:vMerge w:val="continue"/>
                  <w:tcMar>
                    <w:top w:w="12" w:type="dxa"/>
                    <w:left w:w="12" w:type="dxa"/>
                    <w:right w:w="12" w:type="dxa"/>
                  </w:tcMar>
                  <w:vAlign w:val="center"/>
                </w:tcPr>
                <w:p w14:paraId="67EE5536">
                  <w:pPr>
                    <w:widowControl/>
                    <w:jc w:val="center"/>
                    <w:textAlignment w:val="center"/>
                    <w:rPr>
                      <w:kern w:val="0"/>
                      <w:szCs w:val="21"/>
                      <w:lang w:bidi="ar"/>
                    </w:rPr>
                  </w:pPr>
                </w:p>
              </w:tc>
              <w:tc>
                <w:tcPr>
                  <w:tcW w:w="407" w:type="pct"/>
                  <w:vMerge w:val="continue"/>
                  <w:tcMar>
                    <w:top w:w="12" w:type="dxa"/>
                    <w:left w:w="12" w:type="dxa"/>
                    <w:right w:w="12" w:type="dxa"/>
                  </w:tcMar>
                  <w:vAlign w:val="center"/>
                </w:tcPr>
                <w:p w14:paraId="69475BCD">
                  <w:pPr>
                    <w:widowControl/>
                    <w:jc w:val="center"/>
                    <w:textAlignment w:val="center"/>
                    <w:rPr>
                      <w:rStyle w:val="62"/>
                      <w:rFonts w:hint="default" w:ascii="Times New Roman" w:hAnsi="Times New Roman" w:cs="Times New Roman"/>
                      <w:color w:val="auto"/>
                      <w:lang w:bidi="ar"/>
                    </w:rPr>
                  </w:pPr>
                </w:p>
              </w:tc>
              <w:tc>
                <w:tcPr>
                  <w:tcW w:w="397" w:type="pct"/>
                  <w:vMerge w:val="continue"/>
                  <w:tcMar>
                    <w:top w:w="12" w:type="dxa"/>
                    <w:left w:w="12" w:type="dxa"/>
                    <w:right w:w="12" w:type="dxa"/>
                  </w:tcMar>
                  <w:vAlign w:val="center"/>
                </w:tcPr>
                <w:p w14:paraId="1B54EE6E">
                  <w:pPr>
                    <w:jc w:val="center"/>
                    <w:rPr>
                      <w:szCs w:val="21"/>
                    </w:rPr>
                  </w:pPr>
                </w:p>
              </w:tc>
              <w:tc>
                <w:tcPr>
                  <w:tcW w:w="380" w:type="pct"/>
                  <w:vMerge w:val="continue"/>
                  <w:tcMar>
                    <w:top w:w="12" w:type="dxa"/>
                    <w:left w:w="12" w:type="dxa"/>
                    <w:right w:w="12" w:type="dxa"/>
                  </w:tcMar>
                  <w:vAlign w:val="center"/>
                </w:tcPr>
                <w:p w14:paraId="67E77335">
                  <w:pPr>
                    <w:widowControl/>
                    <w:jc w:val="center"/>
                    <w:textAlignment w:val="center"/>
                    <w:rPr>
                      <w:kern w:val="0"/>
                      <w:szCs w:val="21"/>
                      <w:lang w:bidi="ar"/>
                    </w:rPr>
                  </w:pPr>
                </w:p>
              </w:tc>
              <w:tc>
                <w:tcPr>
                  <w:tcW w:w="366" w:type="pct"/>
                  <w:vMerge w:val="continue"/>
                  <w:tcMar>
                    <w:top w:w="12" w:type="dxa"/>
                    <w:left w:w="12" w:type="dxa"/>
                    <w:right w:w="12" w:type="dxa"/>
                  </w:tcMar>
                  <w:vAlign w:val="center"/>
                </w:tcPr>
                <w:p w14:paraId="17E99509">
                  <w:pPr>
                    <w:widowControl/>
                    <w:jc w:val="center"/>
                    <w:textAlignment w:val="center"/>
                    <w:rPr>
                      <w:kern w:val="0"/>
                      <w:szCs w:val="21"/>
                      <w:lang w:bidi="ar"/>
                    </w:rPr>
                  </w:pPr>
                </w:p>
              </w:tc>
              <w:tc>
                <w:tcPr>
                  <w:tcW w:w="431" w:type="pct"/>
                  <w:vMerge w:val="continue"/>
                  <w:tcMar>
                    <w:top w:w="12" w:type="dxa"/>
                    <w:left w:w="12" w:type="dxa"/>
                    <w:right w:w="12" w:type="dxa"/>
                  </w:tcMar>
                  <w:vAlign w:val="center"/>
                </w:tcPr>
                <w:p w14:paraId="791C14B0">
                  <w:pPr>
                    <w:widowControl/>
                    <w:jc w:val="center"/>
                    <w:textAlignment w:val="center"/>
                    <w:rPr>
                      <w:rStyle w:val="62"/>
                      <w:rFonts w:hint="default" w:ascii="Times New Roman" w:hAnsi="Times New Roman" w:cs="Times New Roman"/>
                      <w:color w:val="auto"/>
                      <w:lang w:bidi="ar"/>
                    </w:rPr>
                  </w:pPr>
                </w:p>
              </w:tc>
              <w:tc>
                <w:tcPr>
                  <w:tcW w:w="2012" w:type="dxa"/>
                  <w:tcMar>
                    <w:top w:w="12" w:type="dxa"/>
                    <w:left w:w="12" w:type="dxa"/>
                    <w:right w:w="12" w:type="dxa"/>
                  </w:tcMar>
                  <w:vAlign w:val="center"/>
                </w:tcPr>
                <w:p w14:paraId="2F3368A8">
                  <w:pPr>
                    <w:widowControl/>
                    <w:jc w:val="center"/>
                    <w:textAlignment w:val="center"/>
                    <w:rPr>
                      <w:kern w:val="0"/>
                      <w:szCs w:val="21"/>
                      <w:lang w:bidi="ar"/>
                    </w:rPr>
                  </w:pPr>
                  <w:r>
                    <w:rPr>
                      <w:rStyle w:val="62"/>
                      <w:rFonts w:hint="default" w:ascii="Times New Roman" w:hAnsi="Times New Roman" w:cs="Times New Roman"/>
                      <w:color w:val="auto"/>
                      <w:lang w:bidi="ar"/>
                    </w:rPr>
                    <w:t>化学需氧量（COD）</w:t>
                  </w:r>
                </w:p>
              </w:tc>
              <w:tc>
                <w:tcPr>
                  <w:tcW w:w="1279" w:type="dxa"/>
                  <w:tcMar>
                    <w:top w:w="12" w:type="dxa"/>
                    <w:left w:w="12" w:type="dxa"/>
                    <w:right w:w="12" w:type="dxa"/>
                  </w:tcMar>
                  <w:vAlign w:val="center"/>
                </w:tcPr>
                <w:p w14:paraId="732CD6FE">
                  <w:pPr>
                    <w:widowControl/>
                    <w:jc w:val="center"/>
                    <w:textAlignment w:val="center"/>
                    <w:rPr>
                      <w:kern w:val="0"/>
                      <w:szCs w:val="21"/>
                      <w:lang w:bidi="ar"/>
                    </w:rPr>
                  </w:pPr>
                  <w:r>
                    <w:rPr>
                      <w:rFonts w:hint="eastAsia"/>
                      <w:kern w:val="0"/>
                      <w:szCs w:val="21"/>
                      <w:lang w:bidi="ar"/>
                    </w:rPr>
                    <w:t>500</w:t>
                  </w:r>
                  <w:r>
                    <w:rPr>
                      <w:kern w:val="0"/>
                      <w:szCs w:val="21"/>
                      <w:lang w:bidi="ar"/>
                    </w:rPr>
                    <w:t>mg/L</w:t>
                  </w:r>
                </w:p>
              </w:tc>
              <w:tc>
                <w:tcPr>
                  <w:tcW w:w="1031" w:type="dxa"/>
                  <w:vMerge w:val="continue"/>
                  <w:tcMar>
                    <w:top w:w="12" w:type="dxa"/>
                    <w:left w:w="12" w:type="dxa"/>
                    <w:right w:w="12" w:type="dxa"/>
                  </w:tcMar>
                  <w:vAlign w:val="center"/>
                </w:tcPr>
                <w:p w14:paraId="6F1639FE">
                  <w:pPr>
                    <w:jc w:val="center"/>
                    <w:rPr>
                      <w:rStyle w:val="55"/>
                      <w:rFonts w:hint="default" w:ascii="Times New Roman" w:hAnsi="Times New Roman" w:cs="Times New Roman"/>
                      <w:color w:val="auto"/>
                      <w:sz w:val="21"/>
                      <w:szCs w:val="21"/>
                      <w:lang w:bidi="ar"/>
                    </w:rPr>
                  </w:pPr>
                </w:p>
              </w:tc>
              <w:tc>
                <w:tcPr>
                  <w:tcW w:w="1991" w:type="dxa"/>
                  <w:tcMar>
                    <w:top w:w="12" w:type="dxa"/>
                    <w:left w:w="12" w:type="dxa"/>
                    <w:right w:w="12" w:type="dxa"/>
                  </w:tcMar>
                  <w:vAlign w:val="center"/>
                </w:tcPr>
                <w:p w14:paraId="59CF0CB7">
                  <w:pPr>
                    <w:widowControl/>
                    <w:jc w:val="center"/>
                    <w:textAlignment w:val="center"/>
                    <w:rPr>
                      <w:kern w:val="0"/>
                      <w:szCs w:val="21"/>
                      <w:lang w:bidi="ar"/>
                    </w:rPr>
                  </w:pPr>
                  <w:r>
                    <w:rPr>
                      <w:rStyle w:val="62"/>
                      <w:rFonts w:hint="default" w:ascii="Times New Roman" w:hAnsi="Times New Roman" w:cs="Times New Roman"/>
                      <w:color w:val="auto"/>
                      <w:lang w:bidi="ar"/>
                    </w:rPr>
                    <w:t>化学需氧量（COD）</w:t>
                  </w:r>
                </w:p>
              </w:tc>
              <w:tc>
                <w:tcPr>
                  <w:tcW w:w="1192" w:type="dxa"/>
                  <w:tcMar>
                    <w:top w:w="12" w:type="dxa"/>
                    <w:left w:w="12" w:type="dxa"/>
                    <w:right w:w="12" w:type="dxa"/>
                  </w:tcMar>
                  <w:vAlign w:val="center"/>
                </w:tcPr>
                <w:p w14:paraId="27E88141">
                  <w:pPr>
                    <w:jc w:val="center"/>
                    <w:rPr>
                      <w:kern w:val="0"/>
                      <w:szCs w:val="21"/>
                      <w:lang w:bidi="ar"/>
                    </w:rPr>
                  </w:pPr>
                  <w:r>
                    <w:rPr>
                      <w:rFonts w:hint="eastAsia"/>
                      <w:sz w:val="22"/>
                      <w:szCs w:val="22"/>
                    </w:rPr>
                    <w:t>1次/年</w:t>
                  </w:r>
                </w:p>
              </w:tc>
            </w:tr>
            <w:tr w14:paraId="31B4CD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7" w:hRule="atLeast"/>
                <w:jc w:val="center"/>
              </w:trPr>
              <w:tc>
                <w:tcPr>
                  <w:tcW w:w="180" w:type="pct"/>
                  <w:vMerge w:val="continue"/>
                  <w:tcMar>
                    <w:top w:w="12" w:type="dxa"/>
                    <w:left w:w="12" w:type="dxa"/>
                    <w:right w:w="12" w:type="dxa"/>
                  </w:tcMar>
                  <w:vAlign w:val="center"/>
                </w:tcPr>
                <w:p w14:paraId="27AAAFFF">
                  <w:pPr>
                    <w:jc w:val="center"/>
                    <w:rPr>
                      <w:szCs w:val="21"/>
                    </w:rPr>
                  </w:pPr>
                </w:p>
              </w:tc>
              <w:tc>
                <w:tcPr>
                  <w:tcW w:w="345" w:type="pct"/>
                  <w:vMerge w:val="continue"/>
                  <w:tcMar>
                    <w:top w:w="12" w:type="dxa"/>
                    <w:left w:w="12" w:type="dxa"/>
                    <w:right w:w="12" w:type="dxa"/>
                  </w:tcMar>
                  <w:vAlign w:val="center"/>
                </w:tcPr>
                <w:p w14:paraId="0179A684">
                  <w:pPr>
                    <w:jc w:val="center"/>
                    <w:rPr>
                      <w:szCs w:val="21"/>
                    </w:rPr>
                  </w:pPr>
                </w:p>
              </w:tc>
              <w:tc>
                <w:tcPr>
                  <w:tcW w:w="407" w:type="pct"/>
                  <w:vMerge w:val="continue"/>
                  <w:tcMar>
                    <w:top w:w="12" w:type="dxa"/>
                    <w:left w:w="12" w:type="dxa"/>
                    <w:right w:w="12" w:type="dxa"/>
                  </w:tcMar>
                  <w:vAlign w:val="center"/>
                </w:tcPr>
                <w:p w14:paraId="1A40F2C0">
                  <w:pPr>
                    <w:jc w:val="center"/>
                    <w:rPr>
                      <w:szCs w:val="21"/>
                    </w:rPr>
                  </w:pPr>
                </w:p>
              </w:tc>
              <w:tc>
                <w:tcPr>
                  <w:tcW w:w="397" w:type="pct"/>
                  <w:vMerge w:val="continue"/>
                  <w:tcMar>
                    <w:top w:w="12" w:type="dxa"/>
                    <w:left w:w="12" w:type="dxa"/>
                    <w:right w:w="12" w:type="dxa"/>
                  </w:tcMar>
                  <w:vAlign w:val="center"/>
                </w:tcPr>
                <w:p w14:paraId="6FF16EF8">
                  <w:pPr>
                    <w:jc w:val="center"/>
                    <w:rPr>
                      <w:szCs w:val="21"/>
                    </w:rPr>
                  </w:pPr>
                </w:p>
              </w:tc>
              <w:tc>
                <w:tcPr>
                  <w:tcW w:w="380" w:type="pct"/>
                  <w:vMerge w:val="continue"/>
                  <w:tcMar>
                    <w:top w:w="12" w:type="dxa"/>
                    <w:left w:w="12" w:type="dxa"/>
                    <w:right w:w="12" w:type="dxa"/>
                  </w:tcMar>
                  <w:vAlign w:val="center"/>
                </w:tcPr>
                <w:p w14:paraId="6009DB4A">
                  <w:pPr>
                    <w:jc w:val="center"/>
                    <w:rPr>
                      <w:szCs w:val="21"/>
                    </w:rPr>
                  </w:pPr>
                </w:p>
              </w:tc>
              <w:tc>
                <w:tcPr>
                  <w:tcW w:w="366" w:type="pct"/>
                  <w:vMerge w:val="continue"/>
                  <w:tcMar>
                    <w:top w:w="12" w:type="dxa"/>
                    <w:left w:w="12" w:type="dxa"/>
                    <w:right w:w="12" w:type="dxa"/>
                  </w:tcMar>
                  <w:vAlign w:val="center"/>
                </w:tcPr>
                <w:p w14:paraId="1F7B14C2">
                  <w:pPr>
                    <w:jc w:val="center"/>
                    <w:rPr>
                      <w:szCs w:val="21"/>
                    </w:rPr>
                  </w:pPr>
                </w:p>
              </w:tc>
              <w:tc>
                <w:tcPr>
                  <w:tcW w:w="431" w:type="pct"/>
                  <w:vMerge w:val="continue"/>
                  <w:tcMar>
                    <w:top w:w="12" w:type="dxa"/>
                    <w:left w:w="12" w:type="dxa"/>
                    <w:right w:w="12" w:type="dxa"/>
                  </w:tcMar>
                  <w:vAlign w:val="center"/>
                </w:tcPr>
                <w:p w14:paraId="1DFD5505">
                  <w:pPr>
                    <w:jc w:val="center"/>
                    <w:rPr>
                      <w:szCs w:val="21"/>
                    </w:rPr>
                  </w:pPr>
                </w:p>
              </w:tc>
              <w:tc>
                <w:tcPr>
                  <w:tcW w:w="2012" w:type="dxa"/>
                  <w:tcMar>
                    <w:top w:w="12" w:type="dxa"/>
                    <w:left w:w="12" w:type="dxa"/>
                    <w:right w:w="12" w:type="dxa"/>
                  </w:tcMar>
                  <w:vAlign w:val="center"/>
                </w:tcPr>
                <w:p w14:paraId="5FD90623">
                  <w:pPr>
                    <w:widowControl/>
                    <w:jc w:val="center"/>
                    <w:textAlignment w:val="center"/>
                    <w:rPr>
                      <w:szCs w:val="21"/>
                    </w:rPr>
                  </w:pPr>
                  <w:r>
                    <w:rPr>
                      <w:rStyle w:val="62"/>
                      <w:rFonts w:hint="default" w:ascii="Times New Roman" w:hAnsi="Times New Roman" w:cs="Times New Roman"/>
                      <w:color w:val="auto"/>
                      <w:lang w:bidi="ar"/>
                    </w:rPr>
                    <w:t>五日生化需氧量（BOD</w:t>
                  </w:r>
                  <w:r>
                    <w:rPr>
                      <w:rStyle w:val="62"/>
                      <w:rFonts w:hint="default" w:ascii="Times New Roman" w:hAnsi="Times New Roman" w:cs="Times New Roman"/>
                      <w:color w:val="auto"/>
                      <w:vertAlign w:val="subscript"/>
                      <w:lang w:bidi="ar"/>
                    </w:rPr>
                    <w:t>5</w:t>
                  </w:r>
                  <w:r>
                    <w:rPr>
                      <w:rStyle w:val="62"/>
                      <w:rFonts w:hint="default" w:ascii="Times New Roman" w:hAnsi="Times New Roman" w:cs="Times New Roman"/>
                      <w:color w:val="auto"/>
                      <w:lang w:bidi="ar"/>
                    </w:rPr>
                    <w:t>）</w:t>
                  </w:r>
                </w:p>
              </w:tc>
              <w:tc>
                <w:tcPr>
                  <w:tcW w:w="1279" w:type="dxa"/>
                  <w:tcMar>
                    <w:top w:w="12" w:type="dxa"/>
                    <w:left w:w="12" w:type="dxa"/>
                    <w:right w:w="12" w:type="dxa"/>
                  </w:tcMar>
                  <w:vAlign w:val="center"/>
                </w:tcPr>
                <w:p w14:paraId="6663730E">
                  <w:pPr>
                    <w:widowControl/>
                    <w:jc w:val="center"/>
                    <w:textAlignment w:val="center"/>
                    <w:rPr>
                      <w:szCs w:val="21"/>
                    </w:rPr>
                  </w:pPr>
                  <w:r>
                    <w:rPr>
                      <w:rFonts w:hint="eastAsia"/>
                      <w:kern w:val="0"/>
                      <w:szCs w:val="21"/>
                      <w:lang w:bidi="ar"/>
                    </w:rPr>
                    <w:t>300</w:t>
                  </w:r>
                  <w:r>
                    <w:rPr>
                      <w:kern w:val="0"/>
                      <w:szCs w:val="21"/>
                      <w:lang w:bidi="ar"/>
                    </w:rPr>
                    <w:t>mg/L</w:t>
                  </w:r>
                </w:p>
              </w:tc>
              <w:tc>
                <w:tcPr>
                  <w:tcW w:w="1031" w:type="dxa"/>
                  <w:vMerge w:val="continue"/>
                  <w:tcMar>
                    <w:top w:w="12" w:type="dxa"/>
                    <w:left w:w="12" w:type="dxa"/>
                    <w:right w:w="12" w:type="dxa"/>
                  </w:tcMar>
                  <w:vAlign w:val="center"/>
                </w:tcPr>
                <w:p w14:paraId="39A2AF92">
                  <w:pPr>
                    <w:jc w:val="center"/>
                    <w:rPr>
                      <w:szCs w:val="21"/>
                    </w:rPr>
                  </w:pPr>
                </w:p>
              </w:tc>
              <w:tc>
                <w:tcPr>
                  <w:tcW w:w="1991" w:type="dxa"/>
                  <w:tcMar>
                    <w:top w:w="12" w:type="dxa"/>
                    <w:left w:w="12" w:type="dxa"/>
                    <w:right w:w="12" w:type="dxa"/>
                  </w:tcMar>
                  <w:vAlign w:val="center"/>
                </w:tcPr>
                <w:p w14:paraId="2097413F">
                  <w:pPr>
                    <w:widowControl/>
                    <w:jc w:val="center"/>
                    <w:textAlignment w:val="center"/>
                    <w:rPr>
                      <w:szCs w:val="21"/>
                    </w:rPr>
                  </w:pPr>
                  <w:r>
                    <w:rPr>
                      <w:rStyle w:val="62"/>
                      <w:rFonts w:hint="default" w:ascii="Times New Roman" w:hAnsi="Times New Roman" w:cs="Times New Roman"/>
                      <w:color w:val="auto"/>
                      <w:lang w:bidi="ar"/>
                    </w:rPr>
                    <w:t>五日生化需氧量（BOD</w:t>
                  </w:r>
                  <w:r>
                    <w:rPr>
                      <w:rStyle w:val="62"/>
                      <w:rFonts w:hint="default" w:ascii="Times New Roman" w:hAnsi="Times New Roman" w:cs="Times New Roman"/>
                      <w:color w:val="auto"/>
                      <w:vertAlign w:val="subscript"/>
                      <w:lang w:bidi="ar"/>
                    </w:rPr>
                    <w:t>5</w:t>
                  </w:r>
                  <w:r>
                    <w:rPr>
                      <w:rStyle w:val="62"/>
                      <w:rFonts w:hint="default" w:ascii="Times New Roman" w:hAnsi="Times New Roman" w:cs="Times New Roman"/>
                      <w:color w:val="auto"/>
                      <w:lang w:bidi="ar"/>
                    </w:rPr>
                    <w:t>）</w:t>
                  </w:r>
                </w:p>
              </w:tc>
              <w:tc>
                <w:tcPr>
                  <w:tcW w:w="1192" w:type="dxa"/>
                  <w:tcMar>
                    <w:top w:w="12" w:type="dxa"/>
                    <w:left w:w="12" w:type="dxa"/>
                    <w:right w:w="12" w:type="dxa"/>
                  </w:tcMar>
                  <w:vAlign w:val="center"/>
                </w:tcPr>
                <w:p w14:paraId="26B743B3">
                  <w:pPr>
                    <w:jc w:val="center"/>
                    <w:rPr>
                      <w:szCs w:val="21"/>
                    </w:rPr>
                  </w:pPr>
                  <w:r>
                    <w:rPr>
                      <w:rFonts w:hint="eastAsia"/>
                      <w:sz w:val="22"/>
                      <w:szCs w:val="22"/>
                    </w:rPr>
                    <w:t>1次/年</w:t>
                  </w:r>
                </w:p>
              </w:tc>
            </w:tr>
            <w:tr w14:paraId="4F3543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jc w:val="center"/>
              </w:trPr>
              <w:tc>
                <w:tcPr>
                  <w:tcW w:w="180" w:type="pct"/>
                  <w:vMerge w:val="continue"/>
                  <w:tcMar>
                    <w:top w:w="12" w:type="dxa"/>
                    <w:left w:w="12" w:type="dxa"/>
                    <w:right w:w="12" w:type="dxa"/>
                  </w:tcMar>
                  <w:vAlign w:val="center"/>
                </w:tcPr>
                <w:p w14:paraId="5AB52705">
                  <w:pPr>
                    <w:jc w:val="center"/>
                    <w:rPr>
                      <w:szCs w:val="21"/>
                    </w:rPr>
                  </w:pPr>
                </w:p>
              </w:tc>
              <w:tc>
                <w:tcPr>
                  <w:tcW w:w="345" w:type="pct"/>
                  <w:vMerge w:val="continue"/>
                  <w:tcMar>
                    <w:top w:w="12" w:type="dxa"/>
                    <w:left w:w="12" w:type="dxa"/>
                    <w:right w:w="12" w:type="dxa"/>
                  </w:tcMar>
                  <w:vAlign w:val="center"/>
                </w:tcPr>
                <w:p w14:paraId="2AF38EDC">
                  <w:pPr>
                    <w:jc w:val="center"/>
                    <w:rPr>
                      <w:szCs w:val="21"/>
                    </w:rPr>
                  </w:pPr>
                </w:p>
              </w:tc>
              <w:tc>
                <w:tcPr>
                  <w:tcW w:w="407" w:type="pct"/>
                  <w:vMerge w:val="continue"/>
                  <w:tcMar>
                    <w:top w:w="12" w:type="dxa"/>
                    <w:left w:w="12" w:type="dxa"/>
                    <w:right w:w="12" w:type="dxa"/>
                  </w:tcMar>
                  <w:vAlign w:val="center"/>
                </w:tcPr>
                <w:p w14:paraId="57DD4D2A">
                  <w:pPr>
                    <w:jc w:val="center"/>
                    <w:rPr>
                      <w:szCs w:val="21"/>
                    </w:rPr>
                  </w:pPr>
                </w:p>
              </w:tc>
              <w:tc>
                <w:tcPr>
                  <w:tcW w:w="397" w:type="pct"/>
                  <w:vMerge w:val="continue"/>
                  <w:tcMar>
                    <w:top w:w="12" w:type="dxa"/>
                    <w:left w:w="12" w:type="dxa"/>
                    <w:right w:w="12" w:type="dxa"/>
                  </w:tcMar>
                  <w:vAlign w:val="center"/>
                </w:tcPr>
                <w:p w14:paraId="55C412C7">
                  <w:pPr>
                    <w:jc w:val="center"/>
                    <w:rPr>
                      <w:szCs w:val="21"/>
                    </w:rPr>
                  </w:pPr>
                </w:p>
              </w:tc>
              <w:tc>
                <w:tcPr>
                  <w:tcW w:w="380" w:type="pct"/>
                  <w:vMerge w:val="continue"/>
                  <w:tcMar>
                    <w:top w:w="12" w:type="dxa"/>
                    <w:left w:w="12" w:type="dxa"/>
                    <w:right w:w="12" w:type="dxa"/>
                  </w:tcMar>
                  <w:vAlign w:val="center"/>
                </w:tcPr>
                <w:p w14:paraId="74F641C4">
                  <w:pPr>
                    <w:jc w:val="center"/>
                    <w:rPr>
                      <w:szCs w:val="21"/>
                    </w:rPr>
                  </w:pPr>
                </w:p>
              </w:tc>
              <w:tc>
                <w:tcPr>
                  <w:tcW w:w="366" w:type="pct"/>
                  <w:vMerge w:val="continue"/>
                  <w:tcMar>
                    <w:top w:w="12" w:type="dxa"/>
                    <w:left w:w="12" w:type="dxa"/>
                    <w:right w:w="12" w:type="dxa"/>
                  </w:tcMar>
                  <w:vAlign w:val="center"/>
                </w:tcPr>
                <w:p w14:paraId="0CA79EA3">
                  <w:pPr>
                    <w:jc w:val="center"/>
                    <w:rPr>
                      <w:szCs w:val="21"/>
                    </w:rPr>
                  </w:pPr>
                </w:p>
              </w:tc>
              <w:tc>
                <w:tcPr>
                  <w:tcW w:w="431" w:type="pct"/>
                  <w:vMerge w:val="continue"/>
                  <w:tcMar>
                    <w:top w:w="12" w:type="dxa"/>
                    <w:left w:w="12" w:type="dxa"/>
                    <w:right w:w="12" w:type="dxa"/>
                  </w:tcMar>
                  <w:vAlign w:val="center"/>
                </w:tcPr>
                <w:p w14:paraId="50890E62">
                  <w:pPr>
                    <w:jc w:val="center"/>
                    <w:rPr>
                      <w:szCs w:val="21"/>
                    </w:rPr>
                  </w:pPr>
                </w:p>
              </w:tc>
              <w:tc>
                <w:tcPr>
                  <w:tcW w:w="2012" w:type="dxa"/>
                  <w:tcMar>
                    <w:top w:w="12" w:type="dxa"/>
                    <w:left w:w="12" w:type="dxa"/>
                    <w:right w:w="12" w:type="dxa"/>
                  </w:tcMar>
                  <w:vAlign w:val="center"/>
                </w:tcPr>
                <w:p w14:paraId="5B2F5AD1">
                  <w:pPr>
                    <w:widowControl/>
                    <w:jc w:val="center"/>
                    <w:textAlignment w:val="center"/>
                    <w:rPr>
                      <w:szCs w:val="21"/>
                    </w:rPr>
                  </w:pPr>
                  <w:r>
                    <w:rPr>
                      <w:rStyle w:val="62"/>
                      <w:rFonts w:hint="default" w:ascii="Times New Roman" w:hAnsi="Times New Roman" w:cs="Times New Roman"/>
                      <w:color w:val="auto"/>
                      <w:lang w:bidi="ar"/>
                    </w:rPr>
                    <w:t>悬浮物（SS）</w:t>
                  </w:r>
                </w:p>
              </w:tc>
              <w:tc>
                <w:tcPr>
                  <w:tcW w:w="1279" w:type="dxa"/>
                  <w:tcMar>
                    <w:top w:w="12" w:type="dxa"/>
                    <w:left w:w="12" w:type="dxa"/>
                    <w:right w:w="12" w:type="dxa"/>
                  </w:tcMar>
                  <w:vAlign w:val="center"/>
                </w:tcPr>
                <w:p w14:paraId="24017C64">
                  <w:pPr>
                    <w:widowControl/>
                    <w:jc w:val="center"/>
                    <w:textAlignment w:val="center"/>
                    <w:rPr>
                      <w:szCs w:val="21"/>
                    </w:rPr>
                  </w:pPr>
                  <w:r>
                    <w:rPr>
                      <w:rFonts w:hint="eastAsia"/>
                      <w:kern w:val="0"/>
                      <w:szCs w:val="21"/>
                      <w:lang w:bidi="ar"/>
                    </w:rPr>
                    <w:t>250</w:t>
                  </w:r>
                  <w:r>
                    <w:rPr>
                      <w:kern w:val="0"/>
                      <w:szCs w:val="21"/>
                      <w:lang w:bidi="ar"/>
                    </w:rPr>
                    <w:t>mg/L</w:t>
                  </w:r>
                </w:p>
              </w:tc>
              <w:tc>
                <w:tcPr>
                  <w:tcW w:w="1031" w:type="dxa"/>
                  <w:vMerge w:val="continue"/>
                  <w:tcMar>
                    <w:top w:w="12" w:type="dxa"/>
                    <w:left w:w="12" w:type="dxa"/>
                    <w:right w:w="12" w:type="dxa"/>
                  </w:tcMar>
                  <w:vAlign w:val="center"/>
                </w:tcPr>
                <w:p w14:paraId="19F847CB">
                  <w:pPr>
                    <w:jc w:val="center"/>
                    <w:rPr>
                      <w:szCs w:val="21"/>
                    </w:rPr>
                  </w:pPr>
                </w:p>
              </w:tc>
              <w:tc>
                <w:tcPr>
                  <w:tcW w:w="1991" w:type="dxa"/>
                  <w:tcMar>
                    <w:top w:w="12" w:type="dxa"/>
                    <w:left w:w="12" w:type="dxa"/>
                    <w:right w:w="12" w:type="dxa"/>
                  </w:tcMar>
                  <w:vAlign w:val="center"/>
                </w:tcPr>
                <w:p w14:paraId="11BB2F10">
                  <w:pPr>
                    <w:widowControl/>
                    <w:jc w:val="center"/>
                    <w:textAlignment w:val="center"/>
                    <w:rPr>
                      <w:szCs w:val="21"/>
                    </w:rPr>
                  </w:pPr>
                  <w:r>
                    <w:rPr>
                      <w:rStyle w:val="62"/>
                      <w:rFonts w:hint="default" w:ascii="Times New Roman" w:hAnsi="Times New Roman" w:cs="Times New Roman"/>
                      <w:color w:val="auto"/>
                      <w:lang w:bidi="ar"/>
                    </w:rPr>
                    <w:t>悬浮物（SS）</w:t>
                  </w:r>
                </w:p>
              </w:tc>
              <w:tc>
                <w:tcPr>
                  <w:tcW w:w="1192" w:type="dxa"/>
                  <w:tcMar>
                    <w:top w:w="12" w:type="dxa"/>
                    <w:left w:w="12" w:type="dxa"/>
                    <w:right w:w="12" w:type="dxa"/>
                  </w:tcMar>
                  <w:vAlign w:val="center"/>
                </w:tcPr>
                <w:p w14:paraId="513F6B57">
                  <w:pPr>
                    <w:jc w:val="center"/>
                    <w:rPr>
                      <w:szCs w:val="21"/>
                    </w:rPr>
                  </w:pPr>
                  <w:r>
                    <w:rPr>
                      <w:rFonts w:hint="eastAsia"/>
                      <w:sz w:val="22"/>
                      <w:szCs w:val="22"/>
                    </w:rPr>
                    <w:t>1次/年</w:t>
                  </w:r>
                </w:p>
              </w:tc>
            </w:tr>
            <w:tr w14:paraId="331CF6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jc w:val="center"/>
              </w:trPr>
              <w:tc>
                <w:tcPr>
                  <w:tcW w:w="180" w:type="pct"/>
                  <w:vMerge w:val="continue"/>
                  <w:tcMar>
                    <w:top w:w="12" w:type="dxa"/>
                    <w:left w:w="12" w:type="dxa"/>
                    <w:right w:w="12" w:type="dxa"/>
                  </w:tcMar>
                  <w:vAlign w:val="center"/>
                </w:tcPr>
                <w:p w14:paraId="279A3BFB">
                  <w:pPr>
                    <w:jc w:val="center"/>
                    <w:rPr>
                      <w:szCs w:val="21"/>
                    </w:rPr>
                  </w:pPr>
                </w:p>
              </w:tc>
              <w:tc>
                <w:tcPr>
                  <w:tcW w:w="345" w:type="pct"/>
                  <w:vMerge w:val="continue"/>
                  <w:tcMar>
                    <w:top w:w="12" w:type="dxa"/>
                    <w:left w:w="12" w:type="dxa"/>
                    <w:right w:w="12" w:type="dxa"/>
                  </w:tcMar>
                  <w:vAlign w:val="center"/>
                </w:tcPr>
                <w:p w14:paraId="5D4402F1">
                  <w:pPr>
                    <w:jc w:val="center"/>
                    <w:rPr>
                      <w:szCs w:val="21"/>
                    </w:rPr>
                  </w:pPr>
                </w:p>
              </w:tc>
              <w:tc>
                <w:tcPr>
                  <w:tcW w:w="407" w:type="pct"/>
                  <w:vMerge w:val="continue"/>
                  <w:tcMar>
                    <w:top w:w="12" w:type="dxa"/>
                    <w:left w:w="12" w:type="dxa"/>
                    <w:right w:w="12" w:type="dxa"/>
                  </w:tcMar>
                  <w:vAlign w:val="center"/>
                </w:tcPr>
                <w:p w14:paraId="5D043CAE">
                  <w:pPr>
                    <w:widowControl/>
                    <w:jc w:val="center"/>
                    <w:textAlignment w:val="center"/>
                    <w:rPr>
                      <w:szCs w:val="21"/>
                    </w:rPr>
                  </w:pPr>
                </w:p>
              </w:tc>
              <w:tc>
                <w:tcPr>
                  <w:tcW w:w="397" w:type="pct"/>
                  <w:vMerge w:val="continue"/>
                  <w:tcMar>
                    <w:top w:w="12" w:type="dxa"/>
                    <w:left w:w="12" w:type="dxa"/>
                    <w:right w:w="12" w:type="dxa"/>
                  </w:tcMar>
                  <w:vAlign w:val="center"/>
                </w:tcPr>
                <w:p w14:paraId="7FACD672">
                  <w:pPr>
                    <w:jc w:val="center"/>
                    <w:rPr>
                      <w:szCs w:val="21"/>
                    </w:rPr>
                  </w:pPr>
                </w:p>
              </w:tc>
              <w:tc>
                <w:tcPr>
                  <w:tcW w:w="380" w:type="pct"/>
                  <w:vMerge w:val="continue"/>
                  <w:tcMar>
                    <w:top w:w="12" w:type="dxa"/>
                    <w:left w:w="12" w:type="dxa"/>
                    <w:right w:w="12" w:type="dxa"/>
                  </w:tcMar>
                  <w:vAlign w:val="center"/>
                </w:tcPr>
                <w:p w14:paraId="3D2AD580">
                  <w:pPr>
                    <w:jc w:val="center"/>
                    <w:rPr>
                      <w:szCs w:val="21"/>
                    </w:rPr>
                  </w:pPr>
                </w:p>
              </w:tc>
              <w:tc>
                <w:tcPr>
                  <w:tcW w:w="366" w:type="pct"/>
                  <w:vMerge w:val="continue"/>
                  <w:tcMar>
                    <w:top w:w="12" w:type="dxa"/>
                    <w:left w:w="12" w:type="dxa"/>
                    <w:right w:w="12" w:type="dxa"/>
                  </w:tcMar>
                  <w:vAlign w:val="center"/>
                </w:tcPr>
                <w:p w14:paraId="01E49267">
                  <w:pPr>
                    <w:jc w:val="center"/>
                    <w:rPr>
                      <w:szCs w:val="21"/>
                    </w:rPr>
                  </w:pPr>
                </w:p>
              </w:tc>
              <w:tc>
                <w:tcPr>
                  <w:tcW w:w="431" w:type="pct"/>
                  <w:vMerge w:val="continue"/>
                  <w:tcMar>
                    <w:top w:w="12" w:type="dxa"/>
                    <w:left w:w="12" w:type="dxa"/>
                    <w:right w:w="12" w:type="dxa"/>
                  </w:tcMar>
                  <w:vAlign w:val="center"/>
                </w:tcPr>
                <w:p w14:paraId="65D0B38C">
                  <w:pPr>
                    <w:jc w:val="center"/>
                    <w:rPr>
                      <w:szCs w:val="21"/>
                    </w:rPr>
                  </w:pPr>
                </w:p>
              </w:tc>
              <w:tc>
                <w:tcPr>
                  <w:tcW w:w="2012" w:type="dxa"/>
                  <w:tcMar>
                    <w:top w:w="12" w:type="dxa"/>
                    <w:left w:w="12" w:type="dxa"/>
                    <w:right w:w="12" w:type="dxa"/>
                  </w:tcMar>
                  <w:vAlign w:val="center"/>
                </w:tcPr>
                <w:p w14:paraId="5C58A7C3">
                  <w:pPr>
                    <w:widowControl/>
                    <w:jc w:val="center"/>
                    <w:textAlignment w:val="center"/>
                    <w:rPr>
                      <w:szCs w:val="21"/>
                    </w:rPr>
                  </w:pPr>
                  <w:r>
                    <w:rPr>
                      <w:rStyle w:val="62"/>
                      <w:rFonts w:hint="default" w:ascii="Times New Roman" w:hAnsi="Times New Roman" w:cs="Times New Roman"/>
                      <w:color w:val="auto"/>
                      <w:lang w:bidi="ar"/>
                    </w:rPr>
                    <w:t>氨氮（NH</w:t>
                  </w:r>
                  <w:r>
                    <w:rPr>
                      <w:rStyle w:val="62"/>
                      <w:rFonts w:hint="default" w:ascii="Times New Roman" w:hAnsi="Times New Roman" w:cs="Times New Roman"/>
                      <w:color w:val="auto"/>
                      <w:vertAlign w:val="subscript"/>
                      <w:lang w:bidi="ar"/>
                    </w:rPr>
                    <w:t>3</w:t>
                  </w:r>
                  <w:r>
                    <w:rPr>
                      <w:rStyle w:val="62"/>
                      <w:rFonts w:hint="default" w:ascii="Times New Roman" w:hAnsi="Times New Roman" w:cs="Times New Roman"/>
                      <w:color w:val="auto"/>
                      <w:lang w:bidi="ar"/>
                    </w:rPr>
                    <w:t>-N）</w:t>
                  </w:r>
                </w:p>
              </w:tc>
              <w:tc>
                <w:tcPr>
                  <w:tcW w:w="1279" w:type="dxa"/>
                  <w:tcMar>
                    <w:top w:w="12" w:type="dxa"/>
                    <w:left w:w="12" w:type="dxa"/>
                    <w:right w:w="12" w:type="dxa"/>
                  </w:tcMar>
                  <w:vAlign w:val="center"/>
                </w:tcPr>
                <w:p w14:paraId="772618E1">
                  <w:pPr>
                    <w:widowControl/>
                    <w:jc w:val="center"/>
                    <w:textAlignment w:val="center"/>
                    <w:rPr>
                      <w:szCs w:val="21"/>
                    </w:rPr>
                  </w:pPr>
                  <w:r>
                    <w:rPr>
                      <w:rFonts w:hint="eastAsia"/>
                      <w:kern w:val="0"/>
                      <w:szCs w:val="21"/>
                      <w:lang w:bidi="ar"/>
                    </w:rPr>
                    <w:t>30</w:t>
                  </w:r>
                  <w:r>
                    <w:rPr>
                      <w:kern w:val="0"/>
                      <w:szCs w:val="21"/>
                      <w:lang w:bidi="ar"/>
                    </w:rPr>
                    <w:t>mg/L</w:t>
                  </w:r>
                </w:p>
              </w:tc>
              <w:tc>
                <w:tcPr>
                  <w:tcW w:w="1031" w:type="dxa"/>
                  <w:vMerge w:val="continue"/>
                  <w:tcMar>
                    <w:top w:w="12" w:type="dxa"/>
                    <w:left w:w="12" w:type="dxa"/>
                    <w:right w:w="12" w:type="dxa"/>
                  </w:tcMar>
                  <w:vAlign w:val="center"/>
                </w:tcPr>
                <w:p w14:paraId="6463C4E0">
                  <w:pPr>
                    <w:jc w:val="center"/>
                    <w:rPr>
                      <w:szCs w:val="21"/>
                    </w:rPr>
                  </w:pPr>
                </w:p>
              </w:tc>
              <w:tc>
                <w:tcPr>
                  <w:tcW w:w="1991" w:type="dxa"/>
                  <w:tcMar>
                    <w:top w:w="12" w:type="dxa"/>
                    <w:left w:w="12" w:type="dxa"/>
                    <w:right w:w="12" w:type="dxa"/>
                  </w:tcMar>
                  <w:vAlign w:val="center"/>
                </w:tcPr>
                <w:p w14:paraId="753B22F1">
                  <w:pPr>
                    <w:widowControl/>
                    <w:jc w:val="center"/>
                    <w:textAlignment w:val="center"/>
                    <w:rPr>
                      <w:szCs w:val="21"/>
                    </w:rPr>
                  </w:pPr>
                  <w:r>
                    <w:rPr>
                      <w:rStyle w:val="62"/>
                      <w:rFonts w:hint="default" w:ascii="Times New Roman" w:hAnsi="Times New Roman" w:cs="Times New Roman"/>
                      <w:color w:val="auto"/>
                      <w:lang w:bidi="ar"/>
                    </w:rPr>
                    <w:t>氨氮（NH</w:t>
                  </w:r>
                  <w:r>
                    <w:rPr>
                      <w:rStyle w:val="62"/>
                      <w:rFonts w:hint="default" w:ascii="Times New Roman" w:hAnsi="Times New Roman" w:cs="Times New Roman"/>
                      <w:color w:val="auto"/>
                      <w:vertAlign w:val="subscript"/>
                      <w:lang w:bidi="ar"/>
                    </w:rPr>
                    <w:t>3</w:t>
                  </w:r>
                  <w:r>
                    <w:rPr>
                      <w:rStyle w:val="62"/>
                      <w:rFonts w:hint="default" w:ascii="Times New Roman" w:hAnsi="Times New Roman" w:cs="Times New Roman"/>
                      <w:color w:val="auto"/>
                      <w:lang w:bidi="ar"/>
                    </w:rPr>
                    <w:t>-N）</w:t>
                  </w:r>
                </w:p>
              </w:tc>
              <w:tc>
                <w:tcPr>
                  <w:tcW w:w="1192" w:type="dxa"/>
                  <w:tcMar>
                    <w:top w:w="12" w:type="dxa"/>
                    <w:left w:w="12" w:type="dxa"/>
                    <w:right w:w="12" w:type="dxa"/>
                  </w:tcMar>
                  <w:vAlign w:val="center"/>
                </w:tcPr>
                <w:p w14:paraId="6F5D65A0">
                  <w:pPr>
                    <w:jc w:val="center"/>
                    <w:rPr>
                      <w:szCs w:val="21"/>
                    </w:rPr>
                  </w:pPr>
                  <w:r>
                    <w:rPr>
                      <w:rFonts w:hint="eastAsia"/>
                      <w:sz w:val="22"/>
                      <w:szCs w:val="22"/>
                    </w:rPr>
                    <w:t>1次/年</w:t>
                  </w:r>
                </w:p>
              </w:tc>
            </w:tr>
            <w:tr w14:paraId="3CC1F4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jc w:val="center"/>
              </w:trPr>
              <w:tc>
                <w:tcPr>
                  <w:tcW w:w="180" w:type="pct"/>
                  <w:vMerge w:val="continue"/>
                  <w:tcMar>
                    <w:top w:w="12" w:type="dxa"/>
                    <w:left w:w="12" w:type="dxa"/>
                    <w:right w:w="12" w:type="dxa"/>
                  </w:tcMar>
                  <w:vAlign w:val="center"/>
                </w:tcPr>
                <w:p w14:paraId="48A21808">
                  <w:pPr>
                    <w:jc w:val="center"/>
                    <w:rPr>
                      <w:szCs w:val="21"/>
                    </w:rPr>
                  </w:pPr>
                </w:p>
              </w:tc>
              <w:tc>
                <w:tcPr>
                  <w:tcW w:w="345" w:type="pct"/>
                  <w:vMerge w:val="continue"/>
                  <w:tcMar>
                    <w:top w:w="12" w:type="dxa"/>
                    <w:left w:w="12" w:type="dxa"/>
                    <w:right w:w="12" w:type="dxa"/>
                  </w:tcMar>
                  <w:vAlign w:val="center"/>
                </w:tcPr>
                <w:p w14:paraId="35DACB67">
                  <w:pPr>
                    <w:jc w:val="center"/>
                    <w:rPr>
                      <w:szCs w:val="21"/>
                    </w:rPr>
                  </w:pPr>
                </w:p>
              </w:tc>
              <w:tc>
                <w:tcPr>
                  <w:tcW w:w="407" w:type="pct"/>
                  <w:vMerge w:val="continue"/>
                  <w:tcMar>
                    <w:top w:w="12" w:type="dxa"/>
                    <w:left w:w="12" w:type="dxa"/>
                    <w:right w:w="12" w:type="dxa"/>
                  </w:tcMar>
                  <w:vAlign w:val="center"/>
                </w:tcPr>
                <w:p w14:paraId="53D223FB">
                  <w:pPr>
                    <w:jc w:val="center"/>
                    <w:rPr>
                      <w:szCs w:val="21"/>
                    </w:rPr>
                  </w:pPr>
                </w:p>
              </w:tc>
              <w:tc>
                <w:tcPr>
                  <w:tcW w:w="397" w:type="pct"/>
                  <w:vMerge w:val="continue"/>
                  <w:tcMar>
                    <w:top w:w="12" w:type="dxa"/>
                    <w:left w:w="12" w:type="dxa"/>
                    <w:right w:w="12" w:type="dxa"/>
                  </w:tcMar>
                  <w:vAlign w:val="center"/>
                </w:tcPr>
                <w:p w14:paraId="5C44CFB5">
                  <w:pPr>
                    <w:jc w:val="center"/>
                    <w:rPr>
                      <w:szCs w:val="21"/>
                    </w:rPr>
                  </w:pPr>
                </w:p>
              </w:tc>
              <w:tc>
                <w:tcPr>
                  <w:tcW w:w="380" w:type="pct"/>
                  <w:vMerge w:val="continue"/>
                  <w:tcMar>
                    <w:top w:w="12" w:type="dxa"/>
                    <w:left w:w="12" w:type="dxa"/>
                    <w:right w:w="12" w:type="dxa"/>
                  </w:tcMar>
                  <w:vAlign w:val="center"/>
                </w:tcPr>
                <w:p w14:paraId="3E47D960">
                  <w:pPr>
                    <w:jc w:val="center"/>
                    <w:rPr>
                      <w:szCs w:val="21"/>
                    </w:rPr>
                  </w:pPr>
                </w:p>
              </w:tc>
              <w:tc>
                <w:tcPr>
                  <w:tcW w:w="366" w:type="pct"/>
                  <w:vMerge w:val="continue"/>
                  <w:tcMar>
                    <w:top w:w="12" w:type="dxa"/>
                    <w:left w:w="12" w:type="dxa"/>
                    <w:right w:w="12" w:type="dxa"/>
                  </w:tcMar>
                  <w:vAlign w:val="center"/>
                </w:tcPr>
                <w:p w14:paraId="44247AB6">
                  <w:pPr>
                    <w:jc w:val="center"/>
                    <w:rPr>
                      <w:szCs w:val="21"/>
                    </w:rPr>
                  </w:pPr>
                </w:p>
              </w:tc>
              <w:tc>
                <w:tcPr>
                  <w:tcW w:w="431" w:type="pct"/>
                  <w:vMerge w:val="continue"/>
                  <w:tcMar>
                    <w:top w:w="12" w:type="dxa"/>
                    <w:left w:w="12" w:type="dxa"/>
                    <w:right w:w="12" w:type="dxa"/>
                  </w:tcMar>
                  <w:vAlign w:val="center"/>
                </w:tcPr>
                <w:p w14:paraId="76B55DAB">
                  <w:pPr>
                    <w:jc w:val="center"/>
                    <w:rPr>
                      <w:szCs w:val="21"/>
                    </w:rPr>
                  </w:pPr>
                </w:p>
              </w:tc>
              <w:tc>
                <w:tcPr>
                  <w:tcW w:w="2012" w:type="dxa"/>
                  <w:tcMar>
                    <w:top w:w="12" w:type="dxa"/>
                    <w:left w:w="12" w:type="dxa"/>
                    <w:right w:w="12" w:type="dxa"/>
                  </w:tcMar>
                  <w:vAlign w:val="center"/>
                </w:tcPr>
                <w:p w14:paraId="56286FCC">
                  <w:pPr>
                    <w:widowControl/>
                    <w:jc w:val="center"/>
                    <w:textAlignment w:val="center"/>
                    <w:rPr>
                      <w:szCs w:val="21"/>
                    </w:rPr>
                  </w:pPr>
                  <w:r>
                    <w:rPr>
                      <w:rFonts w:hint="eastAsia"/>
                      <w:szCs w:val="21"/>
                    </w:rPr>
                    <w:t>总磷（TP）</w:t>
                  </w:r>
                </w:p>
              </w:tc>
              <w:tc>
                <w:tcPr>
                  <w:tcW w:w="1279" w:type="dxa"/>
                  <w:tcMar>
                    <w:top w:w="12" w:type="dxa"/>
                    <w:left w:w="12" w:type="dxa"/>
                    <w:right w:w="12" w:type="dxa"/>
                  </w:tcMar>
                  <w:vAlign w:val="center"/>
                </w:tcPr>
                <w:p w14:paraId="699815B7">
                  <w:pPr>
                    <w:widowControl/>
                    <w:jc w:val="center"/>
                    <w:textAlignment w:val="center"/>
                    <w:rPr>
                      <w:szCs w:val="21"/>
                    </w:rPr>
                  </w:pPr>
                  <w:r>
                    <w:rPr>
                      <w:rFonts w:hint="eastAsia"/>
                      <w:szCs w:val="21"/>
                    </w:rPr>
                    <w:t>6mg/L</w:t>
                  </w:r>
                </w:p>
              </w:tc>
              <w:tc>
                <w:tcPr>
                  <w:tcW w:w="1031" w:type="dxa"/>
                  <w:vMerge w:val="continue"/>
                  <w:tcMar>
                    <w:top w:w="12" w:type="dxa"/>
                    <w:left w:w="12" w:type="dxa"/>
                    <w:right w:w="12" w:type="dxa"/>
                  </w:tcMar>
                  <w:vAlign w:val="center"/>
                </w:tcPr>
                <w:p w14:paraId="391FD4DD">
                  <w:pPr>
                    <w:jc w:val="center"/>
                    <w:rPr>
                      <w:szCs w:val="21"/>
                    </w:rPr>
                  </w:pPr>
                </w:p>
              </w:tc>
              <w:tc>
                <w:tcPr>
                  <w:tcW w:w="1991" w:type="dxa"/>
                  <w:tcMar>
                    <w:top w:w="12" w:type="dxa"/>
                    <w:left w:w="12" w:type="dxa"/>
                    <w:right w:w="12" w:type="dxa"/>
                  </w:tcMar>
                  <w:vAlign w:val="center"/>
                </w:tcPr>
                <w:p w14:paraId="045C1B47">
                  <w:pPr>
                    <w:widowControl/>
                    <w:jc w:val="center"/>
                    <w:textAlignment w:val="center"/>
                    <w:rPr>
                      <w:szCs w:val="21"/>
                    </w:rPr>
                  </w:pPr>
                  <w:r>
                    <w:rPr>
                      <w:rFonts w:hint="eastAsia"/>
                      <w:szCs w:val="21"/>
                    </w:rPr>
                    <w:t>总磷（TP）</w:t>
                  </w:r>
                </w:p>
              </w:tc>
              <w:tc>
                <w:tcPr>
                  <w:tcW w:w="1192" w:type="dxa"/>
                  <w:tcMar>
                    <w:top w:w="12" w:type="dxa"/>
                    <w:left w:w="12" w:type="dxa"/>
                    <w:right w:w="12" w:type="dxa"/>
                  </w:tcMar>
                  <w:vAlign w:val="center"/>
                </w:tcPr>
                <w:p w14:paraId="7E27C509">
                  <w:pPr>
                    <w:jc w:val="center"/>
                    <w:rPr>
                      <w:szCs w:val="21"/>
                    </w:rPr>
                  </w:pPr>
                  <w:r>
                    <w:rPr>
                      <w:rFonts w:hint="eastAsia"/>
                      <w:sz w:val="22"/>
                      <w:szCs w:val="22"/>
                    </w:rPr>
                    <w:t>1次/年</w:t>
                  </w:r>
                </w:p>
              </w:tc>
            </w:tr>
            <w:tr w14:paraId="0519A6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80" w:type="pct"/>
                  <w:vMerge w:val="continue"/>
                  <w:tcMar>
                    <w:top w:w="12" w:type="dxa"/>
                    <w:left w:w="12" w:type="dxa"/>
                    <w:right w:w="12" w:type="dxa"/>
                  </w:tcMar>
                  <w:vAlign w:val="center"/>
                </w:tcPr>
                <w:p w14:paraId="769D149B">
                  <w:pPr>
                    <w:jc w:val="center"/>
                    <w:rPr>
                      <w:szCs w:val="21"/>
                    </w:rPr>
                  </w:pPr>
                </w:p>
              </w:tc>
              <w:tc>
                <w:tcPr>
                  <w:tcW w:w="345" w:type="pct"/>
                  <w:vMerge w:val="continue"/>
                  <w:tcMar>
                    <w:top w:w="12" w:type="dxa"/>
                    <w:left w:w="12" w:type="dxa"/>
                    <w:right w:w="12" w:type="dxa"/>
                  </w:tcMar>
                  <w:vAlign w:val="center"/>
                </w:tcPr>
                <w:p w14:paraId="7889F7A5">
                  <w:pPr>
                    <w:jc w:val="center"/>
                    <w:rPr>
                      <w:szCs w:val="21"/>
                    </w:rPr>
                  </w:pPr>
                </w:p>
              </w:tc>
              <w:tc>
                <w:tcPr>
                  <w:tcW w:w="407" w:type="pct"/>
                  <w:vMerge w:val="continue"/>
                  <w:tcMar>
                    <w:top w:w="12" w:type="dxa"/>
                    <w:left w:w="12" w:type="dxa"/>
                    <w:right w:w="12" w:type="dxa"/>
                  </w:tcMar>
                  <w:vAlign w:val="center"/>
                </w:tcPr>
                <w:p w14:paraId="462C9D0B">
                  <w:pPr>
                    <w:jc w:val="center"/>
                    <w:rPr>
                      <w:szCs w:val="21"/>
                    </w:rPr>
                  </w:pPr>
                </w:p>
              </w:tc>
              <w:tc>
                <w:tcPr>
                  <w:tcW w:w="397" w:type="pct"/>
                  <w:vMerge w:val="continue"/>
                  <w:tcMar>
                    <w:top w:w="12" w:type="dxa"/>
                    <w:left w:w="12" w:type="dxa"/>
                    <w:right w:w="12" w:type="dxa"/>
                  </w:tcMar>
                  <w:vAlign w:val="center"/>
                </w:tcPr>
                <w:p w14:paraId="646D40A4">
                  <w:pPr>
                    <w:jc w:val="center"/>
                    <w:rPr>
                      <w:szCs w:val="21"/>
                    </w:rPr>
                  </w:pPr>
                </w:p>
              </w:tc>
              <w:tc>
                <w:tcPr>
                  <w:tcW w:w="380" w:type="pct"/>
                  <w:vMerge w:val="continue"/>
                  <w:tcMar>
                    <w:top w:w="12" w:type="dxa"/>
                    <w:left w:w="12" w:type="dxa"/>
                    <w:right w:w="12" w:type="dxa"/>
                  </w:tcMar>
                  <w:vAlign w:val="center"/>
                </w:tcPr>
                <w:p w14:paraId="25A6A2A9">
                  <w:pPr>
                    <w:jc w:val="center"/>
                    <w:rPr>
                      <w:szCs w:val="21"/>
                    </w:rPr>
                  </w:pPr>
                </w:p>
              </w:tc>
              <w:tc>
                <w:tcPr>
                  <w:tcW w:w="366" w:type="pct"/>
                  <w:vMerge w:val="continue"/>
                  <w:tcMar>
                    <w:top w:w="12" w:type="dxa"/>
                    <w:left w:w="12" w:type="dxa"/>
                    <w:right w:w="12" w:type="dxa"/>
                  </w:tcMar>
                  <w:vAlign w:val="center"/>
                </w:tcPr>
                <w:p w14:paraId="41823EBC">
                  <w:pPr>
                    <w:jc w:val="center"/>
                    <w:rPr>
                      <w:szCs w:val="21"/>
                    </w:rPr>
                  </w:pPr>
                </w:p>
              </w:tc>
              <w:tc>
                <w:tcPr>
                  <w:tcW w:w="431" w:type="pct"/>
                  <w:vMerge w:val="continue"/>
                  <w:tcMar>
                    <w:top w:w="12" w:type="dxa"/>
                    <w:left w:w="12" w:type="dxa"/>
                    <w:right w:w="12" w:type="dxa"/>
                  </w:tcMar>
                  <w:vAlign w:val="center"/>
                </w:tcPr>
                <w:p w14:paraId="706959A5">
                  <w:pPr>
                    <w:jc w:val="center"/>
                    <w:rPr>
                      <w:szCs w:val="21"/>
                    </w:rPr>
                  </w:pPr>
                </w:p>
              </w:tc>
              <w:tc>
                <w:tcPr>
                  <w:tcW w:w="2012" w:type="dxa"/>
                  <w:tcMar>
                    <w:top w:w="12" w:type="dxa"/>
                    <w:left w:w="12" w:type="dxa"/>
                    <w:right w:w="12" w:type="dxa"/>
                  </w:tcMar>
                  <w:vAlign w:val="center"/>
                </w:tcPr>
                <w:p w14:paraId="6A8E31B1">
                  <w:pPr>
                    <w:widowControl/>
                    <w:jc w:val="center"/>
                    <w:textAlignment w:val="center"/>
                    <w:rPr>
                      <w:rStyle w:val="62"/>
                      <w:rFonts w:hint="default" w:ascii="Times New Roman" w:hAnsi="Times New Roman" w:cs="Times New Roman"/>
                      <w:color w:val="auto"/>
                      <w:lang w:bidi="ar"/>
                    </w:rPr>
                  </w:pPr>
                  <w:r>
                    <w:rPr>
                      <w:rFonts w:hint="eastAsia"/>
                      <w:szCs w:val="21"/>
                    </w:rPr>
                    <w:t>总氮（TN）</w:t>
                  </w:r>
                </w:p>
              </w:tc>
              <w:tc>
                <w:tcPr>
                  <w:tcW w:w="1279" w:type="dxa"/>
                  <w:tcMar>
                    <w:top w:w="12" w:type="dxa"/>
                    <w:left w:w="12" w:type="dxa"/>
                    <w:right w:w="12" w:type="dxa"/>
                  </w:tcMar>
                  <w:vAlign w:val="center"/>
                </w:tcPr>
                <w:p w14:paraId="04963194">
                  <w:pPr>
                    <w:widowControl/>
                    <w:jc w:val="center"/>
                    <w:textAlignment w:val="center"/>
                    <w:rPr>
                      <w:kern w:val="0"/>
                      <w:szCs w:val="21"/>
                      <w:lang w:bidi="ar"/>
                    </w:rPr>
                  </w:pPr>
                  <w:r>
                    <w:rPr>
                      <w:rFonts w:hint="eastAsia"/>
                      <w:szCs w:val="21"/>
                    </w:rPr>
                    <w:t>50mg/L</w:t>
                  </w:r>
                </w:p>
              </w:tc>
              <w:tc>
                <w:tcPr>
                  <w:tcW w:w="1031" w:type="dxa"/>
                  <w:vMerge w:val="continue"/>
                  <w:tcMar>
                    <w:top w:w="12" w:type="dxa"/>
                    <w:left w:w="12" w:type="dxa"/>
                    <w:right w:w="12" w:type="dxa"/>
                  </w:tcMar>
                  <w:vAlign w:val="center"/>
                </w:tcPr>
                <w:p w14:paraId="041370B8">
                  <w:pPr>
                    <w:jc w:val="center"/>
                    <w:rPr>
                      <w:szCs w:val="21"/>
                    </w:rPr>
                  </w:pPr>
                </w:p>
              </w:tc>
              <w:tc>
                <w:tcPr>
                  <w:tcW w:w="1991" w:type="dxa"/>
                  <w:tcMar>
                    <w:top w:w="12" w:type="dxa"/>
                    <w:left w:w="12" w:type="dxa"/>
                    <w:right w:w="12" w:type="dxa"/>
                  </w:tcMar>
                  <w:vAlign w:val="center"/>
                </w:tcPr>
                <w:p w14:paraId="7A710F3A">
                  <w:pPr>
                    <w:widowControl/>
                    <w:jc w:val="center"/>
                    <w:textAlignment w:val="center"/>
                    <w:rPr>
                      <w:rStyle w:val="62"/>
                      <w:rFonts w:hint="default" w:ascii="Times New Roman" w:hAnsi="Times New Roman" w:cs="Times New Roman"/>
                      <w:color w:val="auto"/>
                      <w:lang w:bidi="ar"/>
                    </w:rPr>
                  </w:pPr>
                  <w:r>
                    <w:rPr>
                      <w:rFonts w:hint="eastAsia"/>
                      <w:szCs w:val="21"/>
                    </w:rPr>
                    <w:t>总氮（TN）</w:t>
                  </w:r>
                </w:p>
              </w:tc>
              <w:tc>
                <w:tcPr>
                  <w:tcW w:w="1192" w:type="dxa"/>
                  <w:tcMar>
                    <w:top w:w="12" w:type="dxa"/>
                    <w:left w:w="12" w:type="dxa"/>
                    <w:right w:w="12" w:type="dxa"/>
                  </w:tcMar>
                  <w:vAlign w:val="center"/>
                </w:tcPr>
                <w:p w14:paraId="2407D086">
                  <w:pPr>
                    <w:jc w:val="center"/>
                    <w:rPr>
                      <w:kern w:val="0"/>
                      <w:szCs w:val="21"/>
                      <w:lang w:bidi="ar"/>
                    </w:rPr>
                  </w:pPr>
                  <w:r>
                    <w:rPr>
                      <w:rFonts w:hint="eastAsia"/>
                      <w:sz w:val="22"/>
                      <w:szCs w:val="22"/>
                    </w:rPr>
                    <w:t>1次/年</w:t>
                  </w:r>
                </w:p>
              </w:tc>
            </w:tr>
            <w:tr w14:paraId="370A6D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jc w:val="center"/>
              </w:trPr>
              <w:tc>
                <w:tcPr>
                  <w:tcW w:w="180" w:type="pct"/>
                  <w:vMerge w:val="continue"/>
                  <w:tcMar>
                    <w:top w:w="12" w:type="dxa"/>
                    <w:left w:w="12" w:type="dxa"/>
                    <w:right w:w="12" w:type="dxa"/>
                  </w:tcMar>
                  <w:vAlign w:val="center"/>
                </w:tcPr>
                <w:p w14:paraId="261329CA">
                  <w:pPr>
                    <w:jc w:val="center"/>
                    <w:rPr>
                      <w:szCs w:val="21"/>
                    </w:rPr>
                  </w:pPr>
                </w:p>
              </w:tc>
              <w:tc>
                <w:tcPr>
                  <w:tcW w:w="345" w:type="pct"/>
                  <w:vMerge w:val="continue"/>
                  <w:tcMar>
                    <w:top w:w="12" w:type="dxa"/>
                    <w:left w:w="12" w:type="dxa"/>
                    <w:right w:w="12" w:type="dxa"/>
                  </w:tcMar>
                  <w:vAlign w:val="center"/>
                </w:tcPr>
                <w:p w14:paraId="4B767BBC">
                  <w:pPr>
                    <w:jc w:val="center"/>
                    <w:rPr>
                      <w:szCs w:val="21"/>
                    </w:rPr>
                  </w:pPr>
                </w:p>
              </w:tc>
              <w:tc>
                <w:tcPr>
                  <w:tcW w:w="407" w:type="pct"/>
                  <w:vMerge w:val="continue"/>
                  <w:tcMar>
                    <w:top w:w="12" w:type="dxa"/>
                    <w:left w:w="12" w:type="dxa"/>
                    <w:right w:w="12" w:type="dxa"/>
                  </w:tcMar>
                  <w:vAlign w:val="center"/>
                </w:tcPr>
                <w:p w14:paraId="1D83138A">
                  <w:pPr>
                    <w:jc w:val="center"/>
                    <w:rPr>
                      <w:szCs w:val="21"/>
                    </w:rPr>
                  </w:pPr>
                </w:p>
              </w:tc>
              <w:tc>
                <w:tcPr>
                  <w:tcW w:w="397" w:type="pct"/>
                  <w:vMerge w:val="continue"/>
                  <w:tcMar>
                    <w:top w:w="12" w:type="dxa"/>
                    <w:left w:w="12" w:type="dxa"/>
                    <w:right w:w="12" w:type="dxa"/>
                  </w:tcMar>
                  <w:vAlign w:val="center"/>
                </w:tcPr>
                <w:p w14:paraId="2C7016A5">
                  <w:pPr>
                    <w:jc w:val="center"/>
                    <w:rPr>
                      <w:szCs w:val="21"/>
                    </w:rPr>
                  </w:pPr>
                </w:p>
              </w:tc>
              <w:tc>
                <w:tcPr>
                  <w:tcW w:w="380" w:type="pct"/>
                  <w:vMerge w:val="continue"/>
                  <w:tcMar>
                    <w:top w:w="12" w:type="dxa"/>
                    <w:left w:w="12" w:type="dxa"/>
                    <w:right w:w="12" w:type="dxa"/>
                  </w:tcMar>
                  <w:vAlign w:val="center"/>
                </w:tcPr>
                <w:p w14:paraId="2E9F754D">
                  <w:pPr>
                    <w:jc w:val="center"/>
                    <w:rPr>
                      <w:szCs w:val="21"/>
                    </w:rPr>
                  </w:pPr>
                </w:p>
              </w:tc>
              <w:tc>
                <w:tcPr>
                  <w:tcW w:w="366" w:type="pct"/>
                  <w:vMerge w:val="continue"/>
                  <w:tcMar>
                    <w:top w:w="12" w:type="dxa"/>
                    <w:left w:w="12" w:type="dxa"/>
                    <w:right w:w="12" w:type="dxa"/>
                  </w:tcMar>
                  <w:vAlign w:val="center"/>
                </w:tcPr>
                <w:p w14:paraId="0EF40979">
                  <w:pPr>
                    <w:jc w:val="center"/>
                    <w:rPr>
                      <w:szCs w:val="21"/>
                    </w:rPr>
                  </w:pPr>
                </w:p>
              </w:tc>
              <w:tc>
                <w:tcPr>
                  <w:tcW w:w="431" w:type="pct"/>
                  <w:vMerge w:val="continue"/>
                  <w:tcMar>
                    <w:top w:w="12" w:type="dxa"/>
                    <w:left w:w="12" w:type="dxa"/>
                    <w:right w:w="12" w:type="dxa"/>
                  </w:tcMar>
                  <w:vAlign w:val="center"/>
                </w:tcPr>
                <w:p w14:paraId="67A081B2">
                  <w:pPr>
                    <w:jc w:val="center"/>
                    <w:rPr>
                      <w:szCs w:val="21"/>
                    </w:rPr>
                  </w:pPr>
                </w:p>
              </w:tc>
              <w:tc>
                <w:tcPr>
                  <w:tcW w:w="2012" w:type="dxa"/>
                  <w:tcMar>
                    <w:top w:w="12" w:type="dxa"/>
                    <w:left w:w="12" w:type="dxa"/>
                    <w:right w:w="12" w:type="dxa"/>
                  </w:tcMar>
                  <w:vAlign w:val="center"/>
                </w:tcPr>
                <w:p w14:paraId="04537B58">
                  <w:pPr>
                    <w:widowControl/>
                    <w:jc w:val="center"/>
                    <w:textAlignment w:val="center"/>
                    <w:rPr>
                      <w:rStyle w:val="62"/>
                      <w:rFonts w:hint="default" w:ascii="Times New Roman" w:hAnsi="Times New Roman" w:cs="Times New Roman"/>
                      <w:color w:val="auto"/>
                      <w:lang w:bidi="ar"/>
                    </w:rPr>
                  </w:pPr>
                  <w:r>
                    <w:rPr>
                      <w:rFonts w:hint="eastAsia"/>
                      <w:szCs w:val="21"/>
                    </w:rPr>
                    <w:t>动植物油</w:t>
                  </w:r>
                </w:p>
              </w:tc>
              <w:tc>
                <w:tcPr>
                  <w:tcW w:w="1279" w:type="dxa"/>
                  <w:tcMar>
                    <w:top w:w="12" w:type="dxa"/>
                    <w:left w:w="12" w:type="dxa"/>
                    <w:right w:w="12" w:type="dxa"/>
                  </w:tcMar>
                  <w:vAlign w:val="center"/>
                </w:tcPr>
                <w:p w14:paraId="58166332">
                  <w:pPr>
                    <w:widowControl/>
                    <w:jc w:val="center"/>
                    <w:textAlignment w:val="center"/>
                    <w:rPr>
                      <w:kern w:val="0"/>
                      <w:szCs w:val="21"/>
                      <w:lang w:bidi="ar"/>
                    </w:rPr>
                  </w:pPr>
                  <w:r>
                    <w:rPr>
                      <w:rFonts w:hint="eastAsia"/>
                      <w:szCs w:val="21"/>
                    </w:rPr>
                    <w:t>100</w:t>
                  </w:r>
                  <w:r>
                    <w:rPr>
                      <w:kern w:val="0"/>
                      <w:szCs w:val="21"/>
                      <w:lang w:bidi="ar"/>
                    </w:rPr>
                    <w:t>mg/L</w:t>
                  </w:r>
                </w:p>
              </w:tc>
              <w:tc>
                <w:tcPr>
                  <w:tcW w:w="1031" w:type="dxa"/>
                  <w:vMerge w:val="continue"/>
                  <w:tcMar>
                    <w:top w:w="12" w:type="dxa"/>
                    <w:left w:w="12" w:type="dxa"/>
                    <w:right w:w="12" w:type="dxa"/>
                  </w:tcMar>
                  <w:vAlign w:val="center"/>
                </w:tcPr>
                <w:p w14:paraId="2251487D">
                  <w:pPr>
                    <w:jc w:val="center"/>
                    <w:rPr>
                      <w:szCs w:val="21"/>
                    </w:rPr>
                  </w:pPr>
                </w:p>
              </w:tc>
              <w:tc>
                <w:tcPr>
                  <w:tcW w:w="1991" w:type="dxa"/>
                  <w:tcMar>
                    <w:top w:w="12" w:type="dxa"/>
                    <w:left w:w="12" w:type="dxa"/>
                    <w:right w:w="12" w:type="dxa"/>
                  </w:tcMar>
                  <w:vAlign w:val="center"/>
                </w:tcPr>
                <w:p w14:paraId="381C0D19">
                  <w:pPr>
                    <w:widowControl/>
                    <w:jc w:val="center"/>
                    <w:textAlignment w:val="center"/>
                    <w:rPr>
                      <w:rStyle w:val="62"/>
                      <w:rFonts w:hint="default" w:ascii="Times New Roman" w:hAnsi="Times New Roman" w:cs="Times New Roman"/>
                      <w:color w:val="auto"/>
                      <w:lang w:bidi="ar"/>
                    </w:rPr>
                  </w:pPr>
                  <w:r>
                    <w:rPr>
                      <w:rFonts w:hint="eastAsia"/>
                      <w:szCs w:val="21"/>
                    </w:rPr>
                    <w:t>动植物油</w:t>
                  </w:r>
                </w:p>
              </w:tc>
              <w:tc>
                <w:tcPr>
                  <w:tcW w:w="1192" w:type="dxa"/>
                  <w:tcMar>
                    <w:top w:w="12" w:type="dxa"/>
                    <w:left w:w="12" w:type="dxa"/>
                    <w:right w:w="12" w:type="dxa"/>
                  </w:tcMar>
                  <w:vAlign w:val="center"/>
                </w:tcPr>
                <w:p w14:paraId="11237285">
                  <w:pPr>
                    <w:jc w:val="center"/>
                    <w:rPr>
                      <w:kern w:val="0"/>
                      <w:szCs w:val="21"/>
                      <w:lang w:bidi="ar"/>
                    </w:rPr>
                  </w:pPr>
                  <w:r>
                    <w:rPr>
                      <w:rFonts w:hint="eastAsia"/>
                      <w:sz w:val="22"/>
                      <w:szCs w:val="22"/>
                    </w:rPr>
                    <w:t>1次/年</w:t>
                  </w:r>
                </w:p>
              </w:tc>
            </w:tr>
          </w:tbl>
          <w:p w14:paraId="63BDB995">
            <w:pPr>
              <w:pStyle w:val="9"/>
            </w:pPr>
          </w:p>
        </w:tc>
      </w:tr>
    </w:tbl>
    <w:p w14:paraId="4A4F5883">
      <w:pPr>
        <w:pStyle w:val="9"/>
        <w:sectPr>
          <w:pgSz w:w="16840" w:h="11907" w:orient="landscape"/>
          <w:pgMar w:top="1418" w:right="850" w:bottom="1418" w:left="850" w:header="851" w:footer="851" w:gutter="0"/>
          <w:pgBorders>
            <w:top w:val="none" w:sz="0" w:space="0"/>
            <w:left w:val="none" w:sz="0" w:space="0"/>
            <w:bottom w:val="none" w:sz="0" w:space="0"/>
            <w:right w:val="none" w:sz="0" w:space="0"/>
          </w:pgBorders>
          <w:cols w:space="720" w:num="1"/>
          <w:docGrid w:linePitch="312" w:charSpace="0"/>
        </w:sectPr>
      </w:pPr>
    </w:p>
    <w:tbl>
      <w:tblPr>
        <w:tblStyle w:val="26"/>
        <w:tblW w:w="927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8843"/>
      </w:tblGrid>
      <w:tr w14:paraId="256344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427" w:type="dxa"/>
            <w:vAlign w:val="center"/>
          </w:tcPr>
          <w:p w14:paraId="50DD8513">
            <w:pPr>
              <w:adjustRightInd w:val="0"/>
              <w:snapToGrid w:val="0"/>
              <w:jc w:val="center"/>
              <w:rPr>
                <w:rFonts w:ascii="宋体" w:hAnsi="宋体" w:cs="宋体"/>
                <w:b/>
                <w:bCs/>
                <w:szCs w:val="21"/>
              </w:rPr>
            </w:pPr>
            <w:r>
              <w:rPr>
                <w:rFonts w:hint="eastAsia" w:ascii="宋体" w:hAnsi="宋体" w:cs="宋体"/>
                <w:b/>
                <w:bCs/>
                <w:szCs w:val="21"/>
              </w:rPr>
              <w:t>运营</w:t>
            </w:r>
          </w:p>
          <w:p w14:paraId="431481E0">
            <w:pPr>
              <w:adjustRightInd w:val="0"/>
              <w:snapToGrid w:val="0"/>
              <w:jc w:val="center"/>
              <w:rPr>
                <w:rFonts w:ascii="宋体" w:hAnsi="宋体" w:cs="宋体"/>
                <w:b/>
                <w:bCs/>
                <w:szCs w:val="21"/>
              </w:rPr>
            </w:pPr>
            <w:r>
              <w:rPr>
                <w:rFonts w:hint="eastAsia" w:ascii="宋体" w:hAnsi="宋体" w:cs="宋体"/>
                <w:b/>
                <w:bCs/>
                <w:szCs w:val="21"/>
              </w:rPr>
              <w:t>期环</w:t>
            </w:r>
          </w:p>
          <w:p w14:paraId="36452D7B">
            <w:pPr>
              <w:adjustRightInd w:val="0"/>
              <w:snapToGrid w:val="0"/>
              <w:jc w:val="center"/>
              <w:rPr>
                <w:rFonts w:ascii="宋体" w:hAnsi="宋体" w:cs="宋体"/>
                <w:b/>
                <w:bCs/>
                <w:szCs w:val="21"/>
              </w:rPr>
            </w:pPr>
            <w:r>
              <w:rPr>
                <w:rFonts w:hint="eastAsia" w:ascii="宋体" w:hAnsi="宋体" w:cs="宋体"/>
                <w:b/>
                <w:bCs/>
                <w:szCs w:val="21"/>
              </w:rPr>
              <w:t>境影</w:t>
            </w:r>
          </w:p>
          <w:p w14:paraId="17BDF3CF">
            <w:pPr>
              <w:adjustRightInd w:val="0"/>
              <w:snapToGrid w:val="0"/>
              <w:jc w:val="center"/>
              <w:rPr>
                <w:rFonts w:ascii="宋体" w:hAnsi="宋体" w:cs="宋体"/>
                <w:b/>
                <w:bCs/>
                <w:szCs w:val="21"/>
              </w:rPr>
            </w:pPr>
            <w:r>
              <w:rPr>
                <w:rFonts w:hint="eastAsia" w:ascii="宋体" w:hAnsi="宋体" w:cs="宋体"/>
                <w:b/>
                <w:bCs/>
                <w:szCs w:val="21"/>
              </w:rPr>
              <w:t>响和</w:t>
            </w:r>
          </w:p>
          <w:p w14:paraId="29D7DCAC">
            <w:pPr>
              <w:adjustRightInd w:val="0"/>
              <w:snapToGrid w:val="0"/>
              <w:jc w:val="center"/>
              <w:rPr>
                <w:rFonts w:ascii="宋体" w:hAnsi="宋体" w:cs="宋体"/>
                <w:b/>
                <w:bCs/>
                <w:szCs w:val="21"/>
              </w:rPr>
            </w:pPr>
            <w:r>
              <w:rPr>
                <w:rFonts w:hint="eastAsia" w:ascii="宋体" w:hAnsi="宋体" w:cs="宋体"/>
                <w:b/>
                <w:bCs/>
                <w:szCs w:val="21"/>
              </w:rPr>
              <w:t>保护</w:t>
            </w:r>
          </w:p>
          <w:p w14:paraId="27761871">
            <w:pPr>
              <w:adjustRightInd w:val="0"/>
              <w:snapToGrid w:val="0"/>
              <w:jc w:val="center"/>
            </w:pPr>
            <w:r>
              <w:rPr>
                <w:rFonts w:hint="eastAsia" w:ascii="宋体" w:hAnsi="宋体" w:cs="宋体"/>
                <w:b/>
                <w:bCs/>
                <w:szCs w:val="21"/>
              </w:rPr>
              <w:t>措施</w:t>
            </w:r>
          </w:p>
        </w:tc>
        <w:tc>
          <w:tcPr>
            <w:tcW w:w="8843" w:type="dxa"/>
            <w:vAlign w:val="center"/>
          </w:tcPr>
          <w:p w14:paraId="24D1712E">
            <w:pPr>
              <w:spacing w:line="360" w:lineRule="auto"/>
              <w:ind w:firstLine="482" w:firstLineChars="200"/>
              <w:rPr>
                <w:b/>
                <w:bCs/>
                <w:sz w:val="24"/>
              </w:rPr>
            </w:pPr>
            <w:r>
              <w:rPr>
                <w:b/>
                <w:bCs/>
                <w:sz w:val="24"/>
              </w:rPr>
              <w:t>地表水环境影响分析：</w:t>
            </w:r>
          </w:p>
          <w:p w14:paraId="07821B82">
            <w:pPr>
              <w:spacing w:line="360" w:lineRule="auto"/>
              <w:ind w:firstLine="482" w:firstLineChars="200"/>
              <w:rPr>
                <w:b/>
                <w:bCs/>
                <w:sz w:val="24"/>
              </w:rPr>
            </w:pPr>
            <w:r>
              <w:rPr>
                <w:b/>
                <w:bCs/>
                <w:sz w:val="24"/>
              </w:rPr>
              <w:t>1）废水处理措施可行性分析</w:t>
            </w:r>
          </w:p>
          <w:p w14:paraId="702D5649">
            <w:pPr>
              <w:spacing w:line="360" w:lineRule="auto"/>
              <w:ind w:firstLine="480" w:firstLineChars="200"/>
              <w:rPr>
                <w:sz w:val="24"/>
              </w:rPr>
            </w:pPr>
            <w:r>
              <w:rPr>
                <w:sz w:val="24"/>
              </w:rPr>
              <w:t>根据</w:t>
            </w:r>
            <w:r>
              <w:rPr>
                <w:rFonts w:hint="eastAsia"/>
                <w:sz w:val="24"/>
              </w:rPr>
              <w:t>表</w:t>
            </w:r>
            <w:r>
              <w:rPr>
                <w:rFonts w:hint="eastAsia"/>
                <w:sz w:val="24"/>
                <w:lang w:val="en-US" w:eastAsia="zh-CN"/>
              </w:rPr>
              <w:t>33</w:t>
            </w:r>
            <w:r>
              <w:rPr>
                <w:sz w:val="24"/>
              </w:rPr>
              <w:t>废水污染物源强、治理措施、污染物去除效率及废水排放计算结果，本项目处理后废水污染物浓度能够满足</w:t>
            </w:r>
            <w:r>
              <w:rPr>
                <w:rFonts w:hint="eastAsia"/>
                <w:sz w:val="24"/>
              </w:rPr>
              <w:t>淮北市龙湖工业园污水处理厂</w:t>
            </w:r>
            <w:r>
              <w:rPr>
                <w:sz w:val="24"/>
              </w:rPr>
              <w:t>接管限值及《污水综合排放标准》（GB8978-1996）表4中三级标准要求，因此本项目废水处理措施可行。</w:t>
            </w:r>
          </w:p>
          <w:p w14:paraId="5D9B4490">
            <w:pPr>
              <w:keepNext/>
              <w:keepLines/>
              <w:spacing w:line="360" w:lineRule="auto"/>
              <w:ind w:left="480"/>
              <w:outlineLvl w:val="3"/>
              <w:rPr>
                <w:b/>
                <w:bCs/>
                <w:sz w:val="24"/>
              </w:rPr>
            </w:pPr>
            <w:r>
              <w:rPr>
                <w:b/>
                <w:bCs/>
                <w:sz w:val="24"/>
              </w:rPr>
              <w:t>2）接管可行性分析：</w:t>
            </w:r>
          </w:p>
          <w:p w14:paraId="4C30E434">
            <w:pPr>
              <w:spacing w:line="360" w:lineRule="auto"/>
              <w:ind w:firstLine="480" w:firstLineChars="200"/>
              <w:rPr>
                <w:sz w:val="24"/>
              </w:rPr>
            </w:pPr>
            <w:r>
              <w:rPr>
                <w:rFonts w:hint="eastAsia"/>
                <w:sz w:val="24"/>
              </w:rPr>
              <w:t>淮北市龙湖工业园污水处理厂于2018年建设，设计处理</w:t>
            </w:r>
            <w:r>
              <w:rPr>
                <w:sz w:val="24"/>
              </w:rPr>
              <w:t>规模为</w:t>
            </w:r>
            <w:r>
              <w:rPr>
                <w:rFonts w:hint="eastAsia"/>
                <w:sz w:val="24"/>
              </w:rPr>
              <w:t>4</w:t>
            </w:r>
            <w:r>
              <w:rPr>
                <w:sz w:val="24"/>
              </w:rPr>
              <w:t>0000m</w:t>
            </w:r>
            <w:r>
              <w:rPr>
                <w:sz w:val="24"/>
                <w:vertAlign w:val="superscript"/>
              </w:rPr>
              <w:t>3</w:t>
            </w:r>
            <w:r>
              <w:rPr>
                <w:sz w:val="24"/>
              </w:rPr>
              <w:t>/d</w:t>
            </w:r>
            <w:r>
              <w:rPr>
                <w:rFonts w:hint="eastAsia"/>
                <w:sz w:val="24"/>
              </w:rPr>
              <w:t>（一期处理规模2</w:t>
            </w:r>
            <w:r>
              <w:rPr>
                <w:sz w:val="24"/>
              </w:rPr>
              <w:t>0000m</w:t>
            </w:r>
            <w:r>
              <w:rPr>
                <w:sz w:val="24"/>
                <w:vertAlign w:val="superscript"/>
              </w:rPr>
              <w:t>3</w:t>
            </w:r>
            <w:r>
              <w:rPr>
                <w:sz w:val="24"/>
              </w:rPr>
              <w:t>/d</w:t>
            </w:r>
            <w:r>
              <w:rPr>
                <w:rFonts w:hint="eastAsia"/>
                <w:sz w:val="24"/>
              </w:rPr>
              <w:t>，二期处理规模2</w:t>
            </w:r>
            <w:r>
              <w:rPr>
                <w:sz w:val="24"/>
              </w:rPr>
              <w:t>0000m</w:t>
            </w:r>
            <w:r>
              <w:rPr>
                <w:sz w:val="24"/>
                <w:vertAlign w:val="superscript"/>
              </w:rPr>
              <w:t>3</w:t>
            </w:r>
            <w:r>
              <w:rPr>
                <w:sz w:val="24"/>
              </w:rPr>
              <w:t>/d</w:t>
            </w:r>
            <w:r>
              <w:rPr>
                <w:rFonts w:hint="eastAsia"/>
                <w:sz w:val="24"/>
              </w:rPr>
              <w:t>）</w:t>
            </w:r>
            <w:r>
              <w:rPr>
                <w:sz w:val="24"/>
              </w:rPr>
              <w:t>，</w:t>
            </w:r>
            <w:r>
              <w:rPr>
                <w:rFonts w:hint="eastAsia"/>
                <w:sz w:val="24"/>
              </w:rPr>
              <w:t>其中一期已建设完成。</w:t>
            </w:r>
            <w:r>
              <w:rPr>
                <w:sz w:val="24"/>
              </w:rPr>
              <w:t>采用奥贝尔氧化沟+絮凝沉淀深度处理工艺，设计出水达到《城镇污水处理厂污染物排放标准》（GB18918-2002）中一级A标准，出水排入龙河。</w:t>
            </w:r>
          </w:p>
          <w:p w14:paraId="416A176C">
            <w:pPr>
              <w:widowControl/>
              <w:jc w:val="left"/>
            </w:pPr>
            <w:r>
              <w:fldChar w:fldCharType="begin" w:fldLock="1"/>
            </w:r>
            <w:r>
              <w:instrText xml:space="preserve"> INCLUDEPICTURE "E:\\环评资料\\审核\\0426相泰汽车轻量化铝合金底盘零部件项目\\Documents\\tencent files\\282167095\\FileRecv\\AppData\\Local\\Temp\\baiduyunguanjia\\Documents%20and%20Settings\\Administrator\\Application%20Data\\linghui\\AppData\\Roaming\\Tencent\\Users\\272028720\\QQ\\WinTemp\\RichOle\\LM714S$GIQ$3BW%25@A$B__@L.png" \* MERGEFORMAT \d </w:instrText>
            </w:r>
            <w:r>
              <w:fldChar w:fldCharType="separate"/>
            </w:r>
            <w:r>
              <w:drawing>
                <wp:inline distT="0" distB="0" distL="114300" distR="114300">
                  <wp:extent cx="5011420" cy="2878455"/>
                  <wp:effectExtent l="0" t="0" r="17780" b="17145"/>
                  <wp:docPr id="5"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7" descr="IMG_256"/>
                          <pic:cNvPicPr>
                            <a:picLocks noChangeAspect="1"/>
                          </pic:cNvPicPr>
                        </pic:nvPicPr>
                        <pic:blipFill>
                          <a:blip r:embed="rId20"/>
                          <a:srcRect r="9047"/>
                          <a:stretch>
                            <a:fillRect/>
                          </a:stretch>
                        </pic:blipFill>
                        <pic:spPr>
                          <a:xfrm>
                            <a:off x="0" y="0"/>
                            <a:ext cx="5011420" cy="2878455"/>
                          </a:xfrm>
                          <a:prstGeom prst="rect">
                            <a:avLst/>
                          </a:prstGeom>
                          <a:noFill/>
                          <a:ln>
                            <a:noFill/>
                          </a:ln>
                        </pic:spPr>
                      </pic:pic>
                    </a:graphicData>
                  </a:graphic>
                </wp:inline>
              </w:drawing>
            </w:r>
            <w:r>
              <w:fldChar w:fldCharType="end"/>
            </w:r>
          </w:p>
          <w:p w14:paraId="5913821A">
            <w:pPr>
              <w:autoSpaceDE w:val="0"/>
              <w:autoSpaceDN w:val="0"/>
              <w:spacing w:line="360" w:lineRule="auto"/>
              <w:jc w:val="center"/>
              <w:rPr>
                <w:b/>
                <w:bCs/>
                <w:szCs w:val="21"/>
              </w:rPr>
            </w:pPr>
            <w:r>
              <w:rPr>
                <w:rFonts w:hint="eastAsia"/>
                <w:b/>
                <w:bCs/>
                <w:szCs w:val="21"/>
              </w:rPr>
              <w:t>图5  淮北市龙湖工业园污水处理厂</w:t>
            </w:r>
            <w:r>
              <w:rPr>
                <w:b/>
                <w:bCs/>
                <w:szCs w:val="21"/>
              </w:rPr>
              <w:t>处理工艺流程图</w:t>
            </w:r>
          </w:p>
          <w:p w14:paraId="2E60F276">
            <w:pPr>
              <w:spacing w:line="360" w:lineRule="auto"/>
              <w:ind w:firstLine="480" w:firstLineChars="200"/>
              <w:rPr>
                <w:sz w:val="24"/>
              </w:rPr>
            </w:pPr>
            <w:r>
              <w:rPr>
                <w:sz w:val="24"/>
              </w:rPr>
              <w:t>本项目</w:t>
            </w:r>
            <w:r>
              <w:rPr>
                <w:sz w:val="24"/>
                <w:lang w:val="zh-CN"/>
              </w:rPr>
              <w:t>所在地属于</w:t>
            </w:r>
            <w:r>
              <w:rPr>
                <w:rFonts w:hint="eastAsia"/>
                <w:sz w:val="24"/>
                <w:lang w:val="zh-CN"/>
              </w:rPr>
              <w:t>淮北市龙湖工业园污水处理厂</w:t>
            </w:r>
            <w:r>
              <w:rPr>
                <w:sz w:val="24"/>
                <w:lang w:val="zh-CN"/>
              </w:rPr>
              <w:t>收水范围，废水经预处理后</w:t>
            </w:r>
            <w:r>
              <w:rPr>
                <w:sz w:val="24"/>
              </w:rPr>
              <w:t>满足</w:t>
            </w:r>
            <w:r>
              <w:rPr>
                <w:rFonts w:hint="eastAsia"/>
                <w:sz w:val="24"/>
              </w:rPr>
              <w:t>淮北市龙湖工业园污水处理厂</w:t>
            </w:r>
            <w:r>
              <w:rPr>
                <w:sz w:val="24"/>
              </w:rPr>
              <w:t>接管限值要求，本项目废水量为</w:t>
            </w:r>
            <w:r>
              <w:rPr>
                <w:rFonts w:hint="eastAsia"/>
                <w:sz w:val="24"/>
                <w:lang w:val="en-US" w:eastAsia="zh-CN"/>
              </w:rPr>
              <w:t>9.185</w:t>
            </w:r>
            <w:r>
              <w:rPr>
                <w:sz w:val="24"/>
              </w:rPr>
              <w:t>t/d，</w:t>
            </w:r>
            <w:r>
              <w:rPr>
                <w:rFonts w:hint="eastAsia"/>
                <w:sz w:val="24"/>
              </w:rPr>
              <w:t>淮北市龙湖工业园污水处理厂一期</w:t>
            </w:r>
            <w:r>
              <w:rPr>
                <w:bCs/>
                <w:sz w:val="24"/>
              </w:rPr>
              <w:t>实际接纳污水量约</w:t>
            </w:r>
            <w:r>
              <w:rPr>
                <w:rFonts w:hint="eastAsia"/>
                <w:bCs/>
                <w:sz w:val="24"/>
              </w:rPr>
              <w:t>20000</w:t>
            </w:r>
            <w:r>
              <w:rPr>
                <w:bCs/>
                <w:sz w:val="24"/>
              </w:rPr>
              <w:t>m</w:t>
            </w:r>
            <w:r>
              <w:rPr>
                <w:bCs/>
                <w:sz w:val="24"/>
                <w:vertAlign w:val="superscript"/>
              </w:rPr>
              <w:t>3</w:t>
            </w:r>
            <w:r>
              <w:rPr>
                <w:bCs/>
                <w:sz w:val="24"/>
              </w:rPr>
              <w:t>/d</w:t>
            </w:r>
            <w:r>
              <w:rPr>
                <w:sz w:val="24"/>
              </w:rPr>
              <w:t>，则废水进入</w:t>
            </w:r>
            <w:r>
              <w:rPr>
                <w:rFonts w:hint="eastAsia"/>
                <w:sz w:val="24"/>
              </w:rPr>
              <w:t>淮北市龙湖工业园污水处理厂</w:t>
            </w:r>
            <w:r>
              <w:rPr>
                <w:sz w:val="24"/>
              </w:rPr>
              <w:t>处理可行。</w:t>
            </w:r>
          </w:p>
          <w:p w14:paraId="6D4A8837">
            <w:pPr>
              <w:spacing w:line="360" w:lineRule="auto"/>
              <w:ind w:firstLine="480" w:firstLineChars="200"/>
              <w:rPr>
                <w:sz w:val="24"/>
              </w:rPr>
            </w:pPr>
            <w:r>
              <w:rPr>
                <w:sz w:val="24"/>
              </w:rPr>
              <w:t>本项目排放的污水满足</w:t>
            </w:r>
            <w:r>
              <w:rPr>
                <w:rFonts w:hint="eastAsia"/>
                <w:sz w:val="24"/>
              </w:rPr>
              <w:t>淮北市龙湖工业园污水处理厂</w:t>
            </w:r>
            <w:r>
              <w:rPr>
                <w:sz w:val="24"/>
              </w:rPr>
              <w:t>的进水水质及水量的要求，不会对</w:t>
            </w:r>
            <w:r>
              <w:rPr>
                <w:rFonts w:hint="eastAsia"/>
                <w:sz w:val="24"/>
              </w:rPr>
              <w:t>淮北市龙湖工业园污水处理厂</w:t>
            </w:r>
            <w:r>
              <w:rPr>
                <w:sz w:val="24"/>
              </w:rPr>
              <w:t>造成冲击影响，</w:t>
            </w:r>
            <w:r>
              <w:rPr>
                <w:sz w:val="24"/>
                <w:lang w:val="en-GB"/>
              </w:rPr>
              <w:t>因此本项目排水方式可行。项目污水经采取合理措施后对地表水环境影响很小，不会降低项目所在区域水环境现有功能。</w:t>
            </w:r>
          </w:p>
          <w:p w14:paraId="7B1B2117">
            <w:pPr>
              <w:spacing w:line="360" w:lineRule="auto"/>
              <w:ind w:firstLine="482" w:firstLineChars="200"/>
              <w:rPr>
                <w:b/>
                <w:bCs/>
                <w:sz w:val="24"/>
              </w:rPr>
            </w:pPr>
            <w:r>
              <w:rPr>
                <w:rFonts w:hint="eastAsia"/>
                <w:b/>
                <w:bCs/>
                <w:sz w:val="24"/>
              </w:rPr>
              <w:t>（三）</w:t>
            </w:r>
            <w:r>
              <w:rPr>
                <w:b/>
                <w:bCs/>
                <w:sz w:val="24"/>
              </w:rPr>
              <w:t>噪声</w:t>
            </w:r>
          </w:p>
          <w:p w14:paraId="1E1658B6">
            <w:pPr>
              <w:pStyle w:val="15"/>
              <w:spacing w:line="360" w:lineRule="auto"/>
              <w:ind w:left="0" w:leftChars="0" w:firstLine="480"/>
              <w:rPr>
                <w:sz w:val="24"/>
              </w:rPr>
            </w:pPr>
            <w:r>
              <w:rPr>
                <w:sz w:val="24"/>
                <w:lang w:bidi="ar"/>
              </w:rPr>
              <w:t>项目产生噪声</w:t>
            </w:r>
            <w:r>
              <w:rPr>
                <w:rFonts w:hint="eastAsia"/>
                <w:sz w:val="24"/>
                <w:lang w:bidi="ar"/>
              </w:rPr>
              <w:t>主要为生产设备运行噪声，主要来自于等离子切割机</w:t>
            </w:r>
            <w:r>
              <w:rPr>
                <w:rFonts w:hint="eastAsia"/>
                <w:sz w:val="24"/>
                <w:lang w:eastAsia="zh-CN" w:bidi="ar"/>
              </w:rPr>
              <w:t>、</w:t>
            </w:r>
            <w:r>
              <w:rPr>
                <w:rFonts w:hint="eastAsia"/>
                <w:sz w:val="24"/>
                <w:lang w:bidi="ar"/>
              </w:rPr>
              <w:t>激光切割机</w:t>
            </w:r>
            <w:r>
              <w:rPr>
                <w:rFonts w:hint="eastAsia"/>
                <w:sz w:val="24"/>
                <w:lang w:eastAsia="zh-CN" w:bidi="ar"/>
              </w:rPr>
              <w:t>、</w:t>
            </w:r>
            <w:r>
              <w:rPr>
                <w:rFonts w:hint="eastAsia"/>
                <w:sz w:val="24"/>
                <w:lang w:bidi="ar"/>
              </w:rPr>
              <w:t>液压板料折弯机</w:t>
            </w:r>
            <w:r>
              <w:rPr>
                <w:rFonts w:hint="eastAsia"/>
                <w:sz w:val="24"/>
                <w:lang w:eastAsia="zh-CN" w:bidi="ar"/>
              </w:rPr>
              <w:t>、</w:t>
            </w:r>
            <w:r>
              <w:rPr>
                <w:rFonts w:hint="eastAsia"/>
                <w:sz w:val="24"/>
                <w:lang w:bidi="ar"/>
              </w:rPr>
              <w:t>数控车床</w:t>
            </w:r>
            <w:r>
              <w:rPr>
                <w:rFonts w:hint="eastAsia"/>
                <w:sz w:val="24"/>
                <w:lang w:eastAsia="zh-CN" w:bidi="ar"/>
              </w:rPr>
              <w:t>、</w:t>
            </w:r>
            <w:r>
              <w:rPr>
                <w:rFonts w:hint="eastAsia"/>
                <w:sz w:val="24"/>
                <w:lang w:bidi="ar"/>
              </w:rPr>
              <w:t>钻床</w:t>
            </w:r>
            <w:r>
              <w:rPr>
                <w:rFonts w:hint="eastAsia"/>
                <w:sz w:val="24"/>
                <w:lang w:eastAsia="zh-CN" w:bidi="ar"/>
              </w:rPr>
              <w:t>、</w:t>
            </w:r>
            <w:r>
              <w:rPr>
                <w:rFonts w:hint="eastAsia"/>
                <w:sz w:val="24"/>
                <w:lang w:bidi="ar"/>
              </w:rPr>
              <w:t>铣床</w:t>
            </w:r>
            <w:r>
              <w:rPr>
                <w:rFonts w:hint="eastAsia"/>
                <w:sz w:val="24"/>
                <w:lang w:eastAsia="zh-CN" w:bidi="ar"/>
              </w:rPr>
              <w:t>、</w:t>
            </w:r>
            <w:r>
              <w:rPr>
                <w:rFonts w:hint="eastAsia"/>
                <w:sz w:val="24"/>
                <w:lang w:bidi="ar"/>
              </w:rPr>
              <w:t>空压机</w:t>
            </w:r>
            <w:r>
              <w:rPr>
                <w:rFonts w:hint="eastAsia"/>
                <w:sz w:val="24"/>
                <w:lang w:eastAsia="zh-CN" w:bidi="ar"/>
              </w:rPr>
              <w:t>、</w:t>
            </w:r>
            <w:r>
              <w:rPr>
                <w:rFonts w:hint="eastAsia"/>
                <w:sz w:val="24"/>
                <w:lang w:bidi="ar"/>
              </w:rPr>
              <w:t>线切割机床</w:t>
            </w:r>
            <w:r>
              <w:rPr>
                <w:sz w:val="24"/>
                <w:lang w:bidi="ar"/>
              </w:rPr>
              <w:t>等</w:t>
            </w:r>
            <w:r>
              <w:rPr>
                <w:rFonts w:hint="eastAsia"/>
                <w:sz w:val="24"/>
                <w:lang w:bidi="ar"/>
              </w:rPr>
              <w:t>生产设备产生的噪声</w:t>
            </w:r>
            <w:r>
              <w:rPr>
                <w:sz w:val="24"/>
                <w:lang w:bidi="ar"/>
              </w:rPr>
              <w:t>，声级值范围在</w:t>
            </w:r>
            <w:r>
              <w:rPr>
                <w:rFonts w:hint="eastAsia"/>
                <w:sz w:val="24"/>
                <w:lang w:bidi="ar"/>
              </w:rPr>
              <w:t>75</w:t>
            </w:r>
            <w:r>
              <w:rPr>
                <w:sz w:val="24"/>
                <w:lang w:bidi="ar"/>
              </w:rPr>
              <w:t>～90dB(A)</w:t>
            </w:r>
            <w:r>
              <w:rPr>
                <w:rFonts w:hint="eastAsia"/>
                <w:sz w:val="24"/>
                <w:lang w:bidi="ar"/>
              </w:rPr>
              <w:t>，</w:t>
            </w:r>
            <w:r>
              <w:rPr>
                <w:sz w:val="24"/>
              </w:rPr>
              <w:t>其噪声设备源强及采取治理措施见下表。</w:t>
            </w:r>
          </w:p>
          <w:p w14:paraId="661E654F">
            <w:pPr>
              <w:widowControl/>
              <w:numPr>
                <w:ilvl w:val="0"/>
                <w:numId w:val="2"/>
              </w:numPr>
              <w:jc w:val="center"/>
              <w:rPr>
                <w:b/>
                <w:bCs/>
              </w:rPr>
            </w:pPr>
            <w:r>
              <w:rPr>
                <w:b/>
                <w:bCs/>
              </w:rPr>
              <w:t xml:space="preserve">  本项目室内</w:t>
            </w:r>
            <w:r>
              <w:rPr>
                <w:rFonts w:hint="eastAsia"/>
                <w:b/>
                <w:bCs/>
              </w:rPr>
              <w:t>主要</w:t>
            </w:r>
            <w:r>
              <w:rPr>
                <w:b/>
                <w:bCs/>
              </w:rPr>
              <w:t>噪声源强一览表</w:t>
            </w:r>
          </w:p>
          <w:tbl>
            <w:tblPr>
              <w:tblStyle w:val="26"/>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21"/>
              <w:gridCol w:w="300"/>
              <w:gridCol w:w="843"/>
              <w:gridCol w:w="338"/>
              <w:gridCol w:w="617"/>
              <w:gridCol w:w="1129"/>
              <w:gridCol w:w="367"/>
              <w:gridCol w:w="427"/>
              <w:gridCol w:w="403"/>
              <w:gridCol w:w="388"/>
              <w:gridCol w:w="617"/>
              <w:gridCol w:w="1081"/>
              <w:gridCol w:w="670"/>
              <w:gridCol w:w="617"/>
              <w:gridCol w:w="589"/>
            </w:tblGrid>
            <w:tr w14:paraId="0BC88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128" w:type="pct"/>
                  <w:vMerge w:val="restart"/>
                  <w:vAlign w:val="center"/>
                </w:tcPr>
                <w:p w14:paraId="74C228AB">
                  <w:pPr>
                    <w:jc w:val="center"/>
                    <w:rPr>
                      <w:b/>
                      <w:bCs/>
                      <w:szCs w:val="21"/>
                    </w:rPr>
                  </w:pPr>
                  <w:r>
                    <w:rPr>
                      <w:b/>
                      <w:bCs/>
                      <w:szCs w:val="21"/>
                    </w:rPr>
                    <w:t>序号</w:t>
                  </w:r>
                </w:p>
              </w:tc>
              <w:tc>
                <w:tcPr>
                  <w:tcW w:w="174" w:type="pct"/>
                  <w:vMerge w:val="restart"/>
                  <w:vAlign w:val="center"/>
                </w:tcPr>
                <w:p w14:paraId="619B03F8">
                  <w:pPr>
                    <w:jc w:val="center"/>
                    <w:rPr>
                      <w:b/>
                      <w:bCs/>
                      <w:szCs w:val="21"/>
                    </w:rPr>
                  </w:pPr>
                  <w:r>
                    <w:rPr>
                      <w:b/>
                      <w:bCs/>
                      <w:szCs w:val="21"/>
                    </w:rPr>
                    <w:t>建筑物名称</w:t>
                  </w:r>
                </w:p>
              </w:tc>
              <w:tc>
                <w:tcPr>
                  <w:tcW w:w="489" w:type="pct"/>
                  <w:vMerge w:val="restart"/>
                  <w:vAlign w:val="center"/>
                </w:tcPr>
                <w:p w14:paraId="4FC8A24A">
                  <w:pPr>
                    <w:jc w:val="center"/>
                    <w:rPr>
                      <w:b/>
                      <w:bCs/>
                      <w:szCs w:val="21"/>
                    </w:rPr>
                  </w:pPr>
                  <w:r>
                    <w:rPr>
                      <w:b/>
                      <w:bCs/>
                      <w:szCs w:val="21"/>
                    </w:rPr>
                    <w:t>声源名称</w:t>
                  </w:r>
                </w:p>
              </w:tc>
              <w:tc>
                <w:tcPr>
                  <w:tcW w:w="196" w:type="pct"/>
                  <w:vMerge w:val="restart"/>
                  <w:vAlign w:val="center"/>
                </w:tcPr>
                <w:p w14:paraId="49830364">
                  <w:pPr>
                    <w:jc w:val="center"/>
                    <w:rPr>
                      <w:b/>
                      <w:bCs/>
                      <w:szCs w:val="21"/>
                    </w:rPr>
                  </w:pPr>
                  <w:r>
                    <w:rPr>
                      <w:b/>
                      <w:bCs/>
                      <w:szCs w:val="21"/>
                    </w:rPr>
                    <w:t>型号</w:t>
                  </w:r>
                </w:p>
              </w:tc>
              <w:tc>
                <w:tcPr>
                  <w:tcW w:w="358" w:type="pct"/>
                  <w:vMerge w:val="restart"/>
                  <w:vAlign w:val="center"/>
                </w:tcPr>
                <w:p w14:paraId="41621458">
                  <w:pPr>
                    <w:jc w:val="center"/>
                    <w:rPr>
                      <w:b/>
                      <w:bCs/>
                      <w:szCs w:val="21"/>
                    </w:rPr>
                  </w:pPr>
                  <w:r>
                    <w:rPr>
                      <w:b/>
                      <w:bCs/>
                      <w:szCs w:val="21"/>
                    </w:rPr>
                    <w:t>声功率级/dB(A)</w:t>
                  </w:r>
                </w:p>
              </w:tc>
              <w:tc>
                <w:tcPr>
                  <w:tcW w:w="655" w:type="pct"/>
                  <w:vMerge w:val="restart"/>
                  <w:vAlign w:val="center"/>
                </w:tcPr>
                <w:p w14:paraId="31A48655">
                  <w:pPr>
                    <w:jc w:val="center"/>
                    <w:rPr>
                      <w:b/>
                      <w:bCs/>
                      <w:szCs w:val="21"/>
                    </w:rPr>
                  </w:pPr>
                  <w:r>
                    <w:rPr>
                      <w:b/>
                      <w:bCs/>
                      <w:szCs w:val="21"/>
                    </w:rPr>
                    <w:t>声源控制措施</w:t>
                  </w:r>
                </w:p>
              </w:tc>
              <w:tc>
                <w:tcPr>
                  <w:tcW w:w="695" w:type="pct"/>
                  <w:gridSpan w:val="3"/>
                  <w:vAlign w:val="center"/>
                </w:tcPr>
                <w:p w14:paraId="1CB98CE2">
                  <w:pPr>
                    <w:jc w:val="center"/>
                    <w:rPr>
                      <w:b/>
                      <w:bCs/>
                      <w:szCs w:val="21"/>
                    </w:rPr>
                  </w:pPr>
                  <w:r>
                    <w:rPr>
                      <w:b/>
                      <w:bCs/>
                      <w:szCs w:val="21"/>
                    </w:rPr>
                    <w:t>空间相对位置</w:t>
                  </w:r>
                </w:p>
              </w:tc>
              <w:tc>
                <w:tcPr>
                  <w:tcW w:w="225" w:type="pct"/>
                  <w:vMerge w:val="restart"/>
                  <w:vAlign w:val="center"/>
                </w:tcPr>
                <w:p w14:paraId="473A8105">
                  <w:pPr>
                    <w:jc w:val="center"/>
                    <w:rPr>
                      <w:b/>
                      <w:bCs/>
                      <w:szCs w:val="21"/>
                    </w:rPr>
                  </w:pPr>
                  <w:r>
                    <w:rPr>
                      <w:b/>
                      <w:bCs/>
                      <w:szCs w:val="21"/>
                    </w:rPr>
                    <w:t>距室内边界距离/m</w:t>
                  </w:r>
                </w:p>
              </w:tc>
              <w:tc>
                <w:tcPr>
                  <w:tcW w:w="358" w:type="pct"/>
                  <w:vMerge w:val="restart"/>
                  <w:vAlign w:val="center"/>
                </w:tcPr>
                <w:p w14:paraId="136A1972">
                  <w:pPr>
                    <w:jc w:val="center"/>
                    <w:rPr>
                      <w:b/>
                      <w:bCs/>
                      <w:szCs w:val="21"/>
                    </w:rPr>
                  </w:pPr>
                  <w:r>
                    <w:rPr>
                      <w:b/>
                      <w:bCs/>
                      <w:szCs w:val="21"/>
                    </w:rPr>
                    <w:t>室内边界声级/dB(A)</w:t>
                  </w:r>
                </w:p>
              </w:tc>
              <w:tc>
                <w:tcPr>
                  <w:tcW w:w="627" w:type="pct"/>
                  <w:vMerge w:val="restart"/>
                  <w:vAlign w:val="center"/>
                </w:tcPr>
                <w:p w14:paraId="3757A1E6">
                  <w:pPr>
                    <w:jc w:val="center"/>
                    <w:rPr>
                      <w:b/>
                      <w:bCs/>
                      <w:szCs w:val="21"/>
                    </w:rPr>
                  </w:pPr>
                  <w:r>
                    <w:rPr>
                      <w:b/>
                      <w:bCs/>
                      <w:szCs w:val="21"/>
                    </w:rPr>
                    <w:t>运行时段</w:t>
                  </w:r>
                </w:p>
              </w:tc>
              <w:tc>
                <w:tcPr>
                  <w:tcW w:w="389" w:type="pct"/>
                  <w:vMerge w:val="restart"/>
                  <w:vAlign w:val="center"/>
                </w:tcPr>
                <w:p w14:paraId="0B0B3BC7">
                  <w:pPr>
                    <w:jc w:val="center"/>
                    <w:rPr>
                      <w:b/>
                      <w:bCs/>
                      <w:szCs w:val="21"/>
                    </w:rPr>
                  </w:pPr>
                  <w:r>
                    <w:rPr>
                      <w:b/>
                      <w:bCs/>
                      <w:szCs w:val="21"/>
                    </w:rPr>
                    <w:t>建筑物插入损失/dB(A)</w:t>
                  </w:r>
                </w:p>
              </w:tc>
              <w:tc>
                <w:tcPr>
                  <w:tcW w:w="700" w:type="pct"/>
                  <w:gridSpan w:val="2"/>
                  <w:vAlign w:val="center"/>
                </w:tcPr>
                <w:p w14:paraId="38E37F50">
                  <w:pPr>
                    <w:jc w:val="center"/>
                    <w:rPr>
                      <w:b/>
                      <w:bCs/>
                      <w:szCs w:val="21"/>
                    </w:rPr>
                  </w:pPr>
                  <w:r>
                    <w:rPr>
                      <w:b/>
                      <w:bCs/>
                      <w:szCs w:val="21"/>
                    </w:rPr>
                    <w:t>建筑物外噪声</w:t>
                  </w:r>
                </w:p>
              </w:tc>
            </w:tr>
            <w:tr w14:paraId="7FC16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128" w:type="pct"/>
                  <w:vMerge w:val="continue"/>
                  <w:vAlign w:val="center"/>
                </w:tcPr>
                <w:p w14:paraId="3F5E69A9">
                  <w:pPr>
                    <w:jc w:val="center"/>
                    <w:rPr>
                      <w:szCs w:val="21"/>
                    </w:rPr>
                  </w:pPr>
                </w:p>
              </w:tc>
              <w:tc>
                <w:tcPr>
                  <w:tcW w:w="174" w:type="pct"/>
                  <w:vMerge w:val="continue"/>
                  <w:vAlign w:val="center"/>
                </w:tcPr>
                <w:p w14:paraId="56DACAD8">
                  <w:pPr>
                    <w:jc w:val="center"/>
                    <w:rPr>
                      <w:szCs w:val="21"/>
                    </w:rPr>
                  </w:pPr>
                </w:p>
              </w:tc>
              <w:tc>
                <w:tcPr>
                  <w:tcW w:w="489" w:type="pct"/>
                  <w:vMerge w:val="continue"/>
                  <w:vAlign w:val="center"/>
                </w:tcPr>
                <w:p w14:paraId="7DE56847">
                  <w:pPr>
                    <w:jc w:val="center"/>
                    <w:rPr>
                      <w:szCs w:val="21"/>
                    </w:rPr>
                  </w:pPr>
                </w:p>
              </w:tc>
              <w:tc>
                <w:tcPr>
                  <w:tcW w:w="196" w:type="pct"/>
                  <w:vMerge w:val="continue"/>
                  <w:vAlign w:val="center"/>
                </w:tcPr>
                <w:p w14:paraId="09697EE7">
                  <w:pPr>
                    <w:jc w:val="center"/>
                    <w:rPr>
                      <w:szCs w:val="21"/>
                    </w:rPr>
                  </w:pPr>
                </w:p>
              </w:tc>
              <w:tc>
                <w:tcPr>
                  <w:tcW w:w="358" w:type="pct"/>
                  <w:vMerge w:val="continue"/>
                  <w:vAlign w:val="center"/>
                </w:tcPr>
                <w:p w14:paraId="59FF8874">
                  <w:pPr>
                    <w:jc w:val="center"/>
                    <w:rPr>
                      <w:szCs w:val="21"/>
                    </w:rPr>
                  </w:pPr>
                </w:p>
              </w:tc>
              <w:tc>
                <w:tcPr>
                  <w:tcW w:w="655" w:type="pct"/>
                  <w:vMerge w:val="continue"/>
                  <w:vAlign w:val="center"/>
                </w:tcPr>
                <w:p w14:paraId="3E6117E1">
                  <w:pPr>
                    <w:jc w:val="center"/>
                    <w:rPr>
                      <w:szCs w:val="21"/>
                    </w:rPr>
                  </w:pPr>
                </w:p>
              </w:tc>
              <w:tc>
                <w:tcPr>
                  <w:tcW w:w="213" w:type="pct"/>
                  <w:vAlign w:val="center"/>
                </w:tcPr>
                <w:p w14:paraId="4049D9D9">
                  <w:pPr>
                    <w:jc w:val="center"/>
                    <w:rPr>
                      <w:b/>
                      <w:bCs/>
                      <w:szCs w:val="21"/>
                    </w:rPr>
                  </w:pPr>
                  <w:r>
                    <w:rPr>
                      <w:b/>
                      <w:bCs/>
                      <w:szCs w:val="21"/>
                    </w:rPr>
                    <w:t>X</w:t>
                  </w:r>
                </w:p>
              </w:tc>
              <w:tc>
                <w:tcPr>
                  <w:tcW w:w="248" w:type="pct"/>
                  <w:vAlign w:val="center"/>
                </w:tcPr>
                <w:p w14:paraId="1A5CA0C7">
                  <w:pPr>
                    <w:jc w:val="center"/>
                    <w:rPr>
                      <w:b/>
                      <w:bCs/>
                      <w:szCs w:val="21"/>
                    </w:rPr>
                  </w:pPr>
                  <w:r>
                    <w:rPr>
                      <w:b/>
                      <w:bCs/>
                      <w:szCs w:val="21"/>
                    </w:rPr>
                    <w:t>Y</w:t>
                  </w:r>
                </w:p>
              </w:tc>
              <w:tc>
                <w:tcPr>
                  <w:tcW w:w="234" w:type="pct"/>
                  <w:vAlign w:val="center"/>
                </w:tcPr>
                <w:p w14:paraId="6E98D651">
                  <w:pPr>
                    <w:jc w:val="center"/>
                    <w:rPr>
                      <w:b/>
                      <w:bCs/>
                      <w:szCs w:val="21"/>
                    </w:rPr>
                  </w:pPr>
                  <w:r>
                    <w:rPr>
                      <w:b/>
                      <w:bCs/>
                      <w:szCs w:val="21"/>
                    </w:rPr>
                    <w:t>Z</w:t>
                  </w:r>
                </w:p>
              </w:tc>
              <w:tc>
                <w:tcPr>
                  <w:tcW w:w="225" w:type="pct"/>
                  <w:vMerge w:val="continue"/>
                  <w:vAlign w:val="center"/>
                </w:tcPr>
                <w:p w14:paraId="62DB3924">
                  <w:pPr>
                    <w:jc w:val="center"/>
                    <w:rPr>
                      <w:b/>
                      <w:bCs/>
                      <w:szCs w:val="21"/>
                    </w:rPr>
                  </w:pPr>
                </w:p>
              </w:tc>
              <w:tc>
                <w:tcPr>
                  <w:tcW w:w="358" w:type="pct"/>
                  <w:vMerge w:val="continue"/>
                  <w:vAlign w:val="center"/>
                </w:tcPr>
                <w:p w14:paraId="3EC6FAD9">
                  <w:pPr>
                    <w:jc w:val="center"/>
                    <w:rPr>
                      <w:b/>
                      <w:bCs/>
                      <w:szCs w:val="21"/>
                    </w:rPr>
                  </w:pPr>
                </w:p>
              </w:tc>
              <w:tc>
                <w:tcPr>
                  <w:tcW w:w="627" w:type="pct"/>
                  <w:vMerge w:val="continue"/>
                  <w:vAlign w:val="center"/>
                </w:tcPr>
                <w:p w14:paraId="18790F63">
                  <w:pPr>
                    <w:jc w:val="center"/>
                    <w:rPr>
                      <w:b/>
                      <w:bCs/>
                      <w:szCs w:val="21"/>
                    </w:rPr>
                  </w:pPr>
                </w:p>
              </w:tc>
              <w:tc>
                <w:tcPr>
                  <w:tcW w:w="389" w:type="pct"/>
                  <w:vMerge w:val="continue"/>
                  <w:vAlign w:val="center"/>
                </w:tcPr>
                <w:p w14:paraId="71A96CC2">
                  <w:pPr>
                    <w:jc w:val="center"/>
                    <w:rPr>
                      <w:b/>
                      <w:bCs/>
                      <w:szCs w:val="21"/>
                    </w:rPr>
                  </w:pPr>
                </w:p>
              </w:tc>
              <w:tc>
                <w:tcPr>
                  <w:tcW w:w="358" w:type="pct"/>
                  <w:vAlign w:val="center"/>
                </w:tcPr>
                <w:p w14:paraId="304860D9">
                  <w:pPr>
                    <w:jc w:val="center"/>
                    <w:rPr>
                      <w:b/>
                      <w:bCs/>
                      <w:szCs w:val="21"/>
                    </w:rPr>
                  </w:pPr>
                  <w:r>
                    <w:rPr>
                      <w:b/>
                      <w:bCs/>
                      <w:szCs w:val="21"/>
                    </w:rPr>
                    <w:t>声压级/dB(A)</w:t>
                  </w:r>
                </w:p>
              </w:tc>
              <w:tc>
                <w:tcPr>
                  <w:tcW w:w="342" w:type="pct"/>
                  <w:vAlign w:val="center"/>
                </w:tcPr>
                <w:p w14:paraId="25CEB0BF">
                  <w:pPr>
                    <w:jc w:val="center"/>
                    <w:rPr>
                      <w:b/>
                      <w:bCs/>
                      <w:szCs w:val="21"/>
                    </w:rPr>
                  </w:pPr>
                  <w:r>
                    <w:rPr>
                      <w:b/>
                      <w:bCs/>
                      <w:szCs w:val="21"/>
                    </w:rPr>
                    <w:t>建筑物外距离/m</w:t>
                  </w:r>
                </w:p>
              </w:tc>
            </w:tr>
            <w:tr w14:paraId="72FE6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8" w:type="pct"/>
                  <w:vMerge w:val="restart"/>
                  <w:vAlign w:val="center"/>
                </w:tcPr>
                <w:p w14:paraId="5E113F71">
                  <w:pPr>
                    <w:widowControl/>
                    <w:jc w:val="center"/>
                    <w:textAlignment w:val="bottom"/>
                    <w:rPr>
                      <w:szCs w:val="21"/>
                    </w:rPr>
                  </w:pPr>
                  <w:r>
                    <w:rPr>
                      <w:kern w:val="0"/>
                      <w:szCs w:val="21"/>
                      <w:lang w:bidi="ar"/>
                    </w:rPr>
                    <w:t>1</w:t>
                  </w:r>
                </w:p>
              </w:tc>
              <w:tc>
                <w:tcPr>
                  <w:tcW w:w="174" w:type="pct"/>
                  <w:vMerge w:val="restart"/>
                  <w:vAlign w:val="center"/>
                </w:tcPr>
                <w:p w14:paraId="476857F4">
                  <w:pPr>
                    <w:widowControl/>
                    <w:jc w:val="center"/>
                    <w:textAlignment w:val="bottom"/>
                    <w:rPr>
                      <w:szCs w:val="21"/>
                    </w:rPr>
                  </w:pPr>
                  <w:r>
                    <w:rPr>
                      <w:rFonts w:hint="eastAsia"/>
                      <w:szCs w:val="21"/>
                    </w:rPr>
                    <w:t>1#厂房</w:t>
                  </w:r>
                </w:p>
              </w:tc>
              <w:tc>
                <w:tcPr>
                  <w:tcW w:w="489" w:type="pct"/>
                  <w:vMerge w:val="restart"/>
                  <w:vAlign w:val="center"/>
                </w:tcPr>
                <w:p w14:paraId="50B3C591">
                  <w:pPr>
                    <w:widowControl/>
                    <w:jc w:val="center"/>
                    <w:textAlignment w:val="bottom"/>
                    <w:rPr>
                      <w:sz w:val="21"/>
                      <w:szCs w:val="21"/>
                    </w:rPr>
                  </w:pPr>
                  <w:r>
                    <w:rPr>
                      <w:rFonts w:hint="eastAsia"/>
                      <w:sz w:val="21"/>
                      <w:szCs w:val="21"/>
                      <w:lang w:bidi="ar"/>
                    </w:rPr>
                    <w:t>等离子切割机</w:t>
                  </w:r>
                </w:p>
              </w:tc>
              <w:tc>
                <w:tcPr>
                  <w:tcW w:w="196" w:type="pct"/>
                  <w:vMerge w:val="restart"/>
                  <w:vAlign w:val="center"/>
                </w:tcPr>
                <w:p w14:paraId="0BF0F2E3">
                  <w:pPr>
                    <w:widowControl/>
                    <w:jc w:val="center"/>
                    <w:textAlignment w:val="bottom"/>
                    <w:rPr>
                      <w:szCs w:val="21"/>
                    </w:rPr>
                  </w:pPr>
                  <w:r>
                    <w:rPr>
                      <w:szCs w:val="21"/>
                    </w:rPr>
                    <w:t>/</w:t>
                  </w:r>
                </w:p>
              </w:tc>
              <w:tc>
                <w:tcPr>
                  <w:tcW w:w="358" w:type="pct"/>
                  <w:vMerge w:val="restart"/>
                  <w:vAlign w:val="center"/>
                </w:tcPr>
                <w:p w14:paraId="4E860801">
                  <w:pPr>
                    <w:jc w:val="center"/>
                    <w:rPr>
                      <w:szCs w:val="21"/>
                    </w:rPr>
                  </w:pPr>
                  <w:r>
                    <w:rPr>
                      <w:rFonts w:hint="eastAsia"/>
                      <w:szCs w:val="21"/>
                    </w:rPr>
                    <w:t>75</w:t>
                  </w:r>
                  <w:r>
                    <w:rPr>
                      <w:szCs w:val="21"/>
                    </w:rPr>
                    <w:t>~</w:t>
                  </w:r>
                  <w:r>
                    <w:rPr>
                      <w:rFonts w:hint="eastAsia"/>
                      <w:szCs w:val="21"/>
                    </w:rPr>
                    <w:t>85</w:t>
                  </w:r>
                </w:p>
              </w:tc>
              <w:tc>
                <w:tcPr>
                  <w:tcW w:w="655" w:type="pct"/>
                  <w:vMerge w:val="restart"/>
                  <w:vAlign w:val="center"/>
                </w:tcPr>
                <w:p w14:paraId="39FC6BB9">
                  <w:pPr>
                    <w:jc w:val="center"/>
                    <w:rPr>
                      <w:szCs w:val="21"/>
                    </w:rPr>
                  </w:pPr>
                  <w:r>
                    <w:rPr>
                      <w:szCs w:val="21"/>
                    </w:rPr>
                    <w:t>设备减振、厂房隔声</w:t>
                  </w:r>
                </w:p>
              </w:tc>
              <w:tc>
                <w:tcPr>
                  <w:tcW w:w="213" w:type="pct"/>
                  <w:vAlign w:val="center"/>
                </w:tcPr>
                <w:p w14:paraId="73040DC5">
                  <w:pPr>
                    <w:jc w:val="center"/>
                    <w:rPr>
                      <w:szCs w:val="21"/>
                    </w:rPr>
                  </w:pPr>
                  <w:r>
                    <w:rPr>
                      <w:rFonts w:hint="eastAsia"/>
                      <w:szCs w:val="21"/>
                    </w:rPr>
                    <w:t>64</w:t>
                  </w:r>
                </w:p>
              </w:tc>
              <w:tc>
                <w:tcPr>
                  <w:tcW w:w="248" w:type="pct"/>
                  <w:vAlign w:val="center"/>
                </w:tcPr>
                <w:p w14:paraId="4611A299">
                  <w:pPr>
                    <w:jc w:val="center"/>
                    <w:rPr>
                      <w:szCs w:val="21"/>
                    </w:rPr>
                  </w:pPr>
                  <w:r>
                    <w:rPr>
                      <w:rFonts w:hint="eastAsia"/>
                      <w:szCs w:val="21"/>
                    </w:rPr>
                    <w:t>42</w:t>
                  </w:r>
                </w:p>
              </w:tc>
              <w:tc>
                <w:tcPr>
                  <w:tcW w:w="234" w:type="pct"/>
                  <w:vAlign w:val="center"/>
                </w:tcPr>
                <w:p w14:paraId="1B04534E">
                  <w:pPr>
                    <w:jc w:val="center"/>
                    <w:rPr>
                      <w:szCs w:val="21"/>
                    </w:rPr>
                  </w:pPr>
                  <w:r>
                    <w:rPr>
                      <w:rFonts w:hint="eastAsia"/>
                      <w:szCs w:val="21"/>
                    </w:rPr>
                    <w:t>1</w:t>
                  </w:r>
                </w:p>
              </w:tc>
              <w:tc>
                <w:tcPr>
                  <w:tcW w:w="225" w:type="pct"/>
                  <w:vAlign w:val="center"/>
                </w:tcPr>
                <w:p w14:paraId="25C8D789">
                  <w:pPr>
                    <w:jc w:val="center"/>
                    <w:rPr>
                      <w:szCs w:val="21"/>
                    </w:rPr>
                  </w:pPr>
                  <w:r>
                    <w:rPr>
                      <w:rFonts w:hint="eastAsia"/>
                      <w:szCs w:val="21"/>
                    </w:rPr>
                    <w:t>30</w:t>
                  </w:r>
                </w:p>
              </w:tc>
              <w:tc>
                <w:tcPr>
                  <w:tcW w:w="358" w:type="pct"/>
                  <w:vMerge w:val="restart"/>
                  <w:vAlign w:val="center"/>
                </w:tcPr>
                <w:p w14:paraId="22D5D66C">
                  <w:pPr>
                    <w:jc w:val="center"/>
                    <w:rPr>
                      <w:szCs w:val="21"/>
                    </w:rPr>
                  </w:pPr>
                  <w:r>
                    <w:rPr>
                      <w:rFonts w:hint="eastAsia"/>
                      <w:szCs w:val="21"/>
                    </w:rPr>
                    <w:t>70~80</w:t>
                  </w:r>
                </w:p>
              </w:tc>
              <w:tc>
                <w:tcPr>
                  <w:tcW w:w="627" w:type="pct"/>
                  <w:vMerge w:val="restart"/>
                  <w:vAlign w:val="center"/>
                </w:tcPr>
                <w:p w14:paraId="16E62B55">
                  <w:pPr>
                    <w:jc w:val="center"/>
                    <w:rPr>
                      <w:szCs w:val="21"/>
                    </w:rPr>
                  </w:pPr>
                  <w:r>
                    <w:rPr>
                      <w:szCs w:val="21"/>
                    </w:rPr>
                    <w:t>0</w:t>
                  </w:r>
                  <w:r>
                    <w:rPr>
                      <w:rFonts w:hint="eastAsia"/>
                      <w:szCs w:val="21"/>
                      <w:lang w:val="en-US" w:eastAsia="zh-CN"/>
                    </w:rPr>
                    <w:t>8</w:t>
                  </w:r>
                  <w:r>
                    <w:rPr>
                      <w:szCs w:val="21"/>
                    </w:rPr>
                    <w:t>:</w:t>
                  </w:r>
                  <w:r>
                    <w:rPr>
                      <w:rFonts w:hint="eastAsia"/>
                      <w:szCs w:val="21"/>
                      <w:lang w:val="en-US" w:eastAsia="zh-CN"/>
                    </w:rPr>
                    <w:t>3</w:t>
                  </w:r>
                  <w:r>
                    <w:rPr>
                      <w:szCs w:val="21"/>
                    </w:rPr>
                    <w:t>0</w:t>
                  </w:r>
                  <w:r>
                    <w:rPr>
                      <w:rFonts w:hint="eastAsia"/>
                      <w:szCs w:val="21"/>
                    </w:rPr>
                    <w:t>~</w:t>
                  </w:r>
                  <w:r>
                    <w:rPr>
                      <w:rFonts w:hint="eastAsia"/>
                      <w:szCs w:val="21"/>
                      <w:lang w:val="en-US" w:eastAsia="zh-CN"/>
                    </w:rPr>
                    <w:t>16</w:t>
                  </w:r>
                  <w:r>
                    <w:rPr>
                      <w:szCs w:val="21"/>
                    </w:rPr>
                    <w:t>:</w:t>
                  </w:r>
                  <w:r>
                    <w:rPr>
                      <w:rFonts w:hint="eastAsia"/>
                      <w:szCs w:val="21"/>
                      <w:lang w:val="en-US" w:eastAsia="zh-CN"/>
                    </w:rPr>
                    <w:t>3</w:t>
                  </w:r>
                  <w:r>
                    <w:rPr>
                      <w:szCs w:val="21"/>
                    </w:rPr>
                    <w:t>0</w:t>
                  </w:r>
                </w:p>
              </w:tc>
              <w:tc>
                <w:tcPr>
                  <w:tcW w:w="389" w:type="pct"/>
                  <w:vMerge w:val="restart"/>
                  <w:vAlign w:val="center"/>
                </w:tcPr>
                <w:p w14:paraId="290DFFF9">
                  <w:pPr>
                    <w:widowControl/>
                    <w:jc w:val="center"/>
                    <w:textAlignment w:val="bottom"/>
                    <w:rPr>
                      <w:szCs w:val="21"/>
                    </w:rPr>
                  </w:pPr>
                  <w:r>
                    <w:rPr>
                      <w:szCs w:val="21"/>
                    </w:rPr>
                    <w:t>15~20</w:t>
                  </w:r>
                </w:p>
              </w:tc>
              <w:tc>
                <w:tcPr>
                  <w:tcW w:w="358" w:type="pct"/>
                  <w:vMerge w:val="restart"/>
                  <w:vAlign w:val="center"/>
                </w:tcPr>
                <w:p w14:paraId="0D6E49B5">
                  <w:pPr>
                    <w:jc w:val="center"/>
                    <w:rPr>
                      <w:szCs w:val="21"/>
                    </w:rPr>
                  </w:pPr>
                  <w:r>
                    <w:rPr>
                      <w:rFonts w:hint="eastAsia"/>
                      <w:szCs w:val="21"/>
                    </w:rPr>
                    <w:t>55~65</w:t>
                  </w:r>
                </w:p>
              </w:tc>
              <w:tc>
                <w:tcPr>
                  <w:tcW w:w="342" w:type="pct"/>
                  <w:vMerge w:val="restart"/>
                  <w:vAlign w:val="center"/>
                </w:tcPr>
                <w:p w14:paraId="4B73813A">
                  <w:pPr>
                    <w:widowControl/>
                    <w:jc w:val="center"/>
                    <w:textAlignment w:val="bottom"/>
                    <w:rPr>
                      <w:szCs w:val="21"/>
                    </w:rPr>
                  </w:pPr>
                  <w:r>
                    <w:rPr>
                      <w:rFonts w:hint="eastAsia"/>
                      <w:szCs w:val="21"/>
                    </w:rPr>
                    <w:t>6</w:t>
                  </w:r>
                </w:p>
              </w:tc>
            </w:tr>
            <w:tr w14:paraId="769D4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8" w:type="pct"/>
                  <w:vMerge w:val="continue"/>
                  <w:vAlign w:val="center"/>
                </w:tcPr>
                <w:p w14:paraId="4B44A036">
                  <w:pPr>
                    <w:widowControl/>
                    <w:jc w:val="center"/>
                    <w:textAlignment w:val="bottom"/>
                    <w:rPr>
                      <w:kern w:val="0"/>
                      <w:szCs w:val="21"/>
                      <w:lang w:bidi="ar"/>
                    </w:rPr>
                  </w:pPr>
                </w:p>
              </w:tc>
              <w:tc>
                <w:tcPr>
                  <w:tcW w:w="174" w:type="pct"/>
                  <w:vMerge w:val="continue"/>
                  <w:vAlign w:val="center"/>
                </w:tcPr>
                <w:p w14:paraId="22715BED">
                  <w:pPr>
                    <w:widowControl/>
                    <w:jc w:val="center"/>
                    <w:textAlignment w:val="bottom"/>
                    <w:rPr>
                      <w:szCs w:val="21"/>
                    </w:rPr>
                  </w:pPr>
                </w:p>
              </w:tc>
              <w:tc>
                <w:tcPr>
                  <w:tcW w:w="489" w:type="pct"/>
                  <w:vMerge w:val="continue"/>
                  <w:vAlign w:val="center"/>
                </w:tcPr>
                <w:p w14:paraId="03B78D8B">
                  <w:pPr>
                    <w:widowControl/>
                    <w:jc w:val="center"/>
                    <w:textAlignment w:val="bottom"/>
                    <w:rPr>
                      <w:sz w:val="21"/>
                      <w:szCs w:val="21"/>
                    </w:rPr>
                  </w:pPr>
                </w:p>
              </w:tc>
              <w:tc>
                <w:tcPr>
                  <w:tcW w:w="196" w:type="pct"/>
                  <w:vMerge w:val="continue"/>
                  <w:vAlign w:val="center"/>
                </w:tcPr>
                <w:p w14:paraId="55C7E3D4">
                  <w:pPr>
                    <w:widowControl/>
                    <w:jc w:val="center"/>
                    <w:textAlignment w:val="bottom"/>
                    <w:rPr>
                      <w:szCs w:val="21"/>
                    </w:rPr>
                  </w:pPr>
                </w:p>
              </w:tc>
              <w:tc>
                <w:tcPr>
                  <w:tcW w:w="358" w:type="pct"/>
                  <w:vMerge w:val="continue"/>
                  <w:vAlign w:val="center"/>
                </w:tcPr>
                <w:p w14:paraId="534D8C89">
                  <w:pPr>
                    <w:jc w:val="center"/>
                    <w:rPr>
                      <w:szCs w:val="21"/>
                    </w:rPr>
                  </w:pPr>
                </w:p>
              </w:tc>
              <w:tc>
                <w:tcPr>
                  <w:tcW w:w="655" w:type="pct"/>
                  <w:vMerge w:val="continue"/>
                  <w:vAlign w:val="center"/>
                </w:tcPr>
                <w:p w14:paraId="7BCFC895">
                  <w:pPr>
                    <w:jc w:val="center"/>
                    <w:rPr>
                      <w:szCs w:val="21"/>
                    </w:rPr>
                  </w:pPr>
                </w:p>
              </w:tc>
              <w:tc>
                <w:tcPr>
                  <w:tcW w:w="213" w:type="pct"/>
                  <w:vAlign w:val="center"/>
                </w:tcPr>
                <w:p w14:paraId="50BD78AE">
                  <w:pPr>
                    <w:jc w:val="center"/>
                    <w:rPr>
                      <w:szCs w:val="21"/>
                    </w:rPr>
                  </w:pPr>
                  <w:r>
                    <w:rPr>
                      <w:rFonts w:hint="eastAsia"/>
                      <w:szCs w:val="21"/>
                    </w:rPr>
                    <w:t>64</w:t>
                  </w:r>
                </w:p>
              </w:tc>
              <w:tc>
                <w:tcPr>
                  <w:tcW w:w="248" w:type="pct"/>
                  <w:vAlign w:val="center"/>
                </w:tcPr>
                <w:p w14:paraId="68EB49D0">
                  <w:pPr>
                    <w:jc w:val="center"/>
                    <w:rPr>
                      <w:szCs w:val="21"/>
                    </w:rPr>
                  </w:pPr>
                  <w:r>
                    <w:rPr>
                      <w:rFonts w:hint="eastAsia"/>
                      <w:szCs w:val="21"/>
                    </w:rPr>
                    <w:t>40</w:t>
                  </w:r>
                </w:p>
              </w:tc>
              <w:tc>
                <w:tcPr>
                  <w:tcW w:w="234" w:type="pct"/>
                  <w:vAlign w:val="center"/>
                </w:tcPr>
                <w:p w14:paraId="78389F6C">
                  <w:pPr>
                    <w:jc w:val="center"/>
                    <w:rPr>
                      <w:szCs w:val="21"/>
                    </w:rPr>
                  </w:pPr>
                  <w:r>
                    <w:rPr>
                      <w:rFonts w:hint="eastAsia"/>
                      <w:szCs w:val="21"/>
                    </w:rPr>
                    <w:t>1</w:t>
                  </w:r>
                </w:p>
              </w:tc>
              <w:tc>
                <w:tcPr>
                  <w:tcW w:w="225" w:type="pct"/>
                  <w:vAlign w:val="center"/>
                </w:tcPr>
                <w:p w14:paraId="294498C2">
                  <w:pPr>
                    <w:jc w:val="center"/>
                    <w:rPr>
                      <w:szCs w:val="21"/>
                    </w:rPr>
                  </w:pPr>
                  <w:r>
                    <w:rPr>
                      <w:rFonts w:hint="eastAsia"/>
                      <w:szCs w:val="21"/>
                    </w:rPr>
                    <w:t>28</w:t>
                  </w:r>
                </w:p>
              </w:tc>
              <w:tc>
                <w:tcPr>
                  <w:tcW w:w="358" w:type="pct"/>
                  <w:vMerge w:val="continue"/>
                  <w:vAlign w:val="center"/>
                </w:tcPr>
                <w:p w14:paraId="097145C3">
                  <w:pPr>
                    <w:jc w:val="center"/>
                    <w:rPr>
                      <w:szCs w:val="21"/>
                    </w:rPr>
                  </w:pPr>
                </w:p>
              </w:tc>
              <w:tc>
                <w:tcPr>
                  <w:tcW w:w="627" w:type="pct"/>
                  <w:vMerge w:val="continue"/>
                  <w:vAlign w:val="center"/>
                </w:tcPr>
                <w:p w14:paraId="58C776D4">
                  <w:pPr>
                    <w:jc w:val="center"/>
                    <w:rPr>
                      <w:szCs w:val="21"/>
                    </w:rPr>
                  </w:pPr>
                </w:p>
              </w:tc>
              <w:tc>
                <w:tcPr>
                  <w:tcW w:w="389" w:type="pct"/>
                  <w:vMerge w:val="continue"/>
                  <w:vAlign w:val="center"/>
                </w:tcPr>
                <w:p w14:paraId="0B9B5FDD">
                  <w:pPr>
                    <w:widowControl/>
                    <w:jc w:val="center"/>
                    <w:textAlignment w:val="bottom"/>
                    <w:rPr>
                      <w:szCs w:val="21"/>
                    </w:rPr>
                  </w:pPr>
                </w:p>
              </w:tc>
              <w:tc>
                <w:tcPr>
                  <w:tcW w:w="358" w:type="pct"/>
                  <w:vMerge w:val="continue"/>
                  <w:vAlign w:val="center"/>
                </w:tcPr>
                <w:p w14:paraId="6DEE95E6">
                  <w:pPr>
                    <w:jc w:val="center"/>
                    <w:rPr>
                      <w:szCs w:val="21"/>
                    </w:rPr>
                  </w:pPr>
                </w:p>
              </w:tc>
              <w:tc>
                <w:tcPr>
                  <w:tcW w:w="342" w:type="pct"/>
                  <w:vMerge w:val="continue"/>
                  <w:vAlign w:val="center"/>
                </w:tcPr>
                <w:p w14:paraId="59CC05C8">
                  <w:pPr>
                    <w:widowControl/>
                    <w:jc w:val="center"/>
                    <w:textAlignment w:val="bottom"/>
                    <w:rPr>
                      <w:szCs w:val="21"/>
                    </w:rPr>
                  </w:pPr>
                </w:p>
              </w:tc>
            </w:tr>
            <w:tr w14:paraId="6CFA7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8" w:type="pct"/>
                  <w:vMerge w:val="continue"/>
                  <w:vAlign w:val="center"/>
                </w:tcPr>
                <w:p w14:paraId="29215279">
                  <w:pPr>
                    <w:widowControl/>
                    <w:jc w:val="center"/>
                    <w:textAlignment w:val="bottom"/>
                    <w:rPr>
                      <w:kern w:val="0"/>
                      <w:szCs w:val="21"/>
                      <w:lang w:bidi="ar"/>
                    </w:rPr>
                  </w:pPr>
                </w:p>
              </w:tc>
              <w:tc>
                <w:tcPr>
                  <w:tcW w:w="174" w:type="pct"/>
                  <w:vMerge w:val="continue"/>
                  <w:vAlign w:val="center"/>
                </w:tcPr>
                <w:p w14:paraId="156ACDD4">
                  <w:pPr>
                    <w:widowControl/>
                    <w:jc w:val="center"/>
                    <w:textAlignment w:val="bottom"/>
                    <w:rPr>
                      <w:szCs w:val="21"/>
                    </w:rPr>
                  </w:pPr>
                </w:p>
              </w:tc>
              <w:tc>
                <w:tcPr>
                  <w:tcW w:w="489" w:type="pct"/>
                  <w:vMerge w:val="continue"/>
                  <w:vAlign w:val="center"/>
                </w:tcPr>
                <w:p w14:paraId="346A4827">
                  <w:pPr>
                    <w:widowControl/>
                    <w:jc w:val="center"/>
                    <w:textAlignment w:val="bottom"/>
                    <w:rPr>
                      <w:sz w:val="21"/>
                      <w:szCs w:val="21"/>
                    </w:rPr>
                  </w:pPr>
                </w:p>
              </w:tc>
              <w:tc>
                <w:tcPr>
                  <w:tcW w:w="196" w:type="pct"/>
                  <w:vMerge w:val="continue"/>
                  <w:vAlign w:val="center"/>
                </w:tcPr>
                <w:p w14:paraId="15E72C19">
                  <w:pPr>
                    <w:widowControl/>
                    <w:jc w:val="center"/>
                    <w:textAlignment w:val="bottom"/>
                    <w:rPr>
                      <w:szCs w:val="21"/>
                    </w:rPr>
                  </w:pPr>
                </w:p>
              </w:tc>
              <w:tc>
                <w:tcPr>
                  <w:tcW w:w="358" w:type="pct"/>
                  <w:vMerge w:val="continue"/>
                  <w:vAlign w:val="center"/>
                </w:tcPr>
                <w:p w14:paraId="1750ACCD">
                  <w:pPr>
                    <w:jc w:val="center"/>
                    <w:rPr>
                      <w:szCs w:val="21"/>
                    </w:rPr>
                  </w:pPr>
                </w:p>
              </w:tc>
              <w:tc>
                <w:tcPr>
                  <w:tcW w:w="655" w:type="pct"/>
                  <w:vMerge w:val="continue"/>
                  <w:vAlign w:val="center"/>
                </w:tcPr>
                <w:p w14:paraId="60C6D558">
                  <w:pPr>
                    <w:jc w:val="center"/>
                    <w:rPr>
                      <w:szCs w:val="21"/>
                    </w:rPr>
                  </w:pPr>
                </w:p>
              </w:tc>
              <w:tc>
                <w:tcPr>
                  <w:tcW w:w="213" w:type="pct"/>
                  <w:vAlign w:val="center"/>
                </w:tcPr>
                <w:p w14:paraId="13C451E5">
                  <w:pPr>
                    <w:jc w:val="center"/>
                    <w:rPr>
                      <w:szCs w:val="21"/>
                    </w:rPr>
                  </w:pPr>
                  <w:r>
                    <w:rPr>
                      <w:rFonts w:hint="eastAsia"/>
                      <w:szCs w:val="21"/>
                    </w:rPr>
                    <w:t>68</w:t>
                  </w:r>
                </w:p>
              </w:tc>
              <w:tc>
                <w:tcPr>
                  <w:tcW w:w="248" w:type="pct"/>
                  <w:vAlign w:val="center"/>
                </w:tcPr>
                <w:p w14:paraId="2B3C2201">
                  <w:pPr>
                    <w:jc w:val="center"/>
                    <w:rPr>
                      <w:szCs w:val="21"/>
                    </w:rPr>
                  </w:pPr>
                  <w:r>
                    <w:rPr>
                      <w:rFonts w:hint="eastAsia"/>
                      <w:szCs w:val="21"/>
                    </w:rPr>
                    <w:t>42</w:t>
                  </w:r>
                </w:p>
              </w:tc>
              <w:tc>
                <w:tcPr>
                  <w:tcW w:w="234" w:type="pct"/>
                  <w:vAlign w:val="center"/>
                </w:tcPr>
                <w:p w14:paraId="2DEEF808">
                  <w:pPr>
                    <w:jc w:val="center"/>
                    <w:rPr>
                      <w:szCs w:val="21"/>
                    </w:rPr>
                  </w:pPr>
                  <w:r>
                    <w:rPr>
                      <w:rFonts w:hint="eastAsia"/>
                      <w:szCs w:val="21"/>
                    </w:rPr>
                    <w:t>1</w:t>
                  </w:r>
                </w:p>
              </w:tc>
              <w:tc>
                <w:tcPr>
                  <w:tcW w:w="225" w:type="pct"/>
                  <w:vAlign w:val="center"/>
                </w:tcPr>
                <w:p w14:paraId="61DD68BE">
                  <w:pPr>
                    <w:jc w:val="center"/>
                    <w:rPr>
                      <w:szCs w:val="21"/>
                    </w:rPr>
                  </w:pPr>
                  <w:r>
                    <w:rPr>
                      <w:rFonts w:hint="eastAsia"/>
                      <w:szCs w:val="21"/>
                    </w:rPr>
                    <w:t>30</w:t>
                  </w:r>
                </w:p>
              </w:tc>
              <w:tc>
                <w:tcPr>
                  <w:tcW w:w="358" w:type="pct"/>
                  <w:vMerge w:val="continue"/>
                  <w:vAlign w:val="center"/>
                </w:tcPr>
                <w:p w14:paraId="6EE658D7">
                  <w:pPr>
                    <w:jc w:val="center"/>
                    <w:rPr>
                      <w:szCs w:val="21"/>
                    </w:rPr>
                  </w:pPr>
                </w:p>
              </w:tc>
              <w:tc>
                <w:tcPr>
                  <w:tcW w:w="627" w:type="pct"/>
                  <w:vMerge w:val="continue"/>
                  <w:vAlign w:val="center"/>
                </w:tcPr>
                <w:p w14:paraId="11C9BFBC">
                  <w:pPr>
                    <w:jc w:val="center"/>
                    <w:rPr>
                      <w:szCs w:val="21"/>
                    </w:rPr>
                  </w:pPr>
                </w:p>
              </w:tc>
              <w:tc>
                <w:tcPr>
                  <w:tcW w:w="389" w:type="pct"/>
                  <w:vMerge w:val="continue"/>
                  <w:vAlign w:val="center"/>
                </w:tcPr>
                <w:p w14:paraId="080A3CC0">
                  <w:pPr>
                    <w:widowControl/>
                    <w:jc w:val="center"/>
                    <w:textAlignment w:val="bottom"/>
                    <w:rPr>
                      <w:szCs w:val="21"/>
                    </w:rPr>
                  </w:pPr>
                </w:p>
              </w:tc>
              <w:tc>
                <w:tcPr>
                  <w:tcW w:w="358" w:type="pct"/>
                  <w:vMerge w:val="continue"/>
                  <w:vAlign w:val="center"/>
                </w:tcPr>
                <w:p w14:paraId="1C057915">
                  <w:pPr>
                    <w:jc w:val="center"/>
                    <w:rPr>
                      <w:szCs w:val="21"/>
                    </w:rPr>
                  </w:pPr>
                </w:p>
              </w:tc>
              <w:tc>
                <w:tcPr>
                  <w:tcW w:w="342" w:type="pct"/>
                  <w:vMerge w:val="continue"/>
                  <w:vAlign w:val="center"/>
                </w:tcPr>
                <w:p w14:paraId="3475F678">
                  <w:pPr>
                    <w:widowControl/>
                    <w:jc w:val="center"/>
                    <w:textAlignment w:val="bottom"/>
                    <w:rPr>
                      <w:szCs w:val="21"/>
                    </w:rPr>
                  </w:pPr>
                </w:p>
              </w:tc>
            </w:tr>
            <w:tr w14:paraId="5DE9B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8" w:type="pct"/>
                  <w:vMerge w:val="continue"/>
                  <w:vAlign w:val="center"/>
                </w:tcPr>
                <w:p w14:paraId="547B2BFF">
                  <w:pPr>
                    <w:widowControl/>
                    <w:jc w:val="center"/>
                    <w:textAlignment w:val="bottom"/>
                    <w:rPr>
                      <w:kern w:val="0"/>
                      <w:szCs w:val="21"/>
                      <w:lang w:bidi="ar"/>
                    </w:rPr>
                  </w:pPr>
                </w:p>
              </w:tc>
              <w:tc>
                <w:tcPr>
                  <w:tcW w:w="174" w:type="pct"/>
                  <w:vMerge w:val="continue"/>
                  <w:vAlign w:val="center"/>
                </w:tcPr>
                <w:p w14:paraId="70561533">
                  <w:pPr>
                    <w:widowControl/>
                    <w:jc w:val="center"/>
                    <w:textAlignment w:val="bottom"/>
                    <w:rPr>
                      <w:szCs w:val="21"/>
                    </w:rPr>
                  </w:pPr>
                </w:p>
              </w:tc>
              <w:tc>
                <w:tcPr>
                  <w:tcW w:w="489" w:type="pct"/>
                  <w:vMerge w:val="continue"/>
                  <w:vAlign w:val="center"/>
                </w:tcPr>
                <w:p w14:paraId="0BFBED66">
                  <w:pPr>
                    <w:widowControl/>
                    <w:jc w:val="center"/>
                    <w:textAlignment w:val="bottom"/>
                    <w:rPr>
                      <w:sz w:val="21"/>
                      <w:szCs w:val="21"/>
                    </w:rPr>
                  </w:pPr>
                </w:p>
              </w:tc>
              <w:tc>
                <w:tcPr>
                  <w:tcW w:w="196" w:type="pct"/>
                  <w:vMerge w:val="continue"/>
                  <w:vAlign w:val="center"/>
                </w:tcPr>
                <w:p w14:paraId="3FFCEB2B">
                  <w:pPr>
                    <w:widowControl/>
                    <w:jc w:val="center"/>
                    <w:textAlignment w:val="bottom"/>
                    <w:rPr>
                      <w:szCs w:val="21"/>
                    </w:rPr>
                  </w:pPr>
                </w:p>
              </w:tc>
              <w:tc>
                <w:tcPr>
                  <w:tcW w:w="358" w:type="pct"/>
                  <w:vMerge w:val="continue"/>
                  <w:vAlign w:val="center"/>
                </w:tcPr>
                <w:p w14:paraId="43256D8A">
                  <w:pPr>
                    <w:jc w:val="center"/>
                    <w:rPr>
                      <w:szCs w:val="21"/>
                    </w:rPr>
                  </w:pPr>
                </w:p>
              </w:tc>
              <w:tc>
                <w:tcPr>
                  <w:tcW w:w="655" w:type="pct"/>
                  <w:vMerge w:val="continue"/>
                  <w:vAlign w:val="center"/>
                </w:tcPr>
                <w:p w14:paraId="16DCF5D0">
                  <w:pPr>
                    <w:jc w:val="center"/>
                    <w:rPr>
                      <w:szCs w:val="21"/>
                    </w:rPr>
                  </w:pPr>
                </w:p>
              </w:tc>
              <w:tc>
                <w:tcPr>
                  <w:tcW w:w="213" w:type="pct"/>
                  <w:vAlign w:val="center"/>
                </w:tcPr>
                <w:p w14:paraId="017057DC">
                  <w:pPr>
                    <w:jc w:val="center"/>
                    <w:rPr>
                      <w:szCs w:val="21"/>
                    </w:rPr>
                  </w:pPr>
                  <w:r>
                    <w:rPr>
                      <w:rFonts w:hint="eastAsia"/>
                      <w:szCs w:val="21"/>
                    </w:rPr>
                    <w:t>68</w:t>
                  </w:r>
                </w:p>
              </w:tc>
              <w:tc>
                <w:tcPr>
                  <w:tcW w:w="248" w:type="pct"/>
                  <w:vAlign w:val="center"/>
                </w:tcPr>
                <w:p w14:paraId="00005111">
                  <w:pPr>
                    <w:jc w:val="center"/>
                    <w:rPr>
                      <w:szCs w:val="21"/>
                    </w:rPr>
                  </w:pPr>
                  <w:r>
                    <w:rPr>
                      <w:rFonts w:hint="eastAsia"/>
                      <w:szCs w:val="21"/>
                    </w:rPr>
                    <w:t>40</w:t>
                  </w:r>
                </w:p>
              </w:tc>
              <w:tc>
                <w:tcPr>
                  <w:tcW w:w="234" w:type="pct"/>
                  <w:vAlign w:val="center"/>
                </w:tcPr>
                <w:p w14:paraId="38983491">
                  <w:pPr>
                    <w:jc w:val="center"/>
                    <w:rPr>
                      <w:szCs w:val="21"/>
                    </w:rPr>
                  </w:pPr>
                  <w:r>
                    <w:rPr>
                      <w:rFonts w:hint="eastAsia"/>
                      <w:szCs w:val="21"/>
                    </w:rPr>
                    <w:t>1</w:t>
                  </w:r>
                </w:p>
              </w:tc>
              <w:tc>
                <w:tcPr>
                  <w:tcW w:w="225" w:type="pct"/>
                  <w:vAlign w:val="center"/>
                </w:tcPr>
                <w:p w14:paraId="5B1C035D">
                  <w:pPr>
                    <w:jc w:val="center"/>
                    <w:rPr>
                      <w:szCs w:val="21"/>
                    </w:rPr>
                  </w:pPr>
                  <w:r>
                    <w:rPr>
                      <w:rFonts w:hint="eastAsia"/>
                      <w:szCs w:val="21"/>
                    </w:rPr>
                    <w:t>28</w:t>
                  </w:r>
                </w:p>
              </w:tc>
              <w:tc>
                <w:tcPr>
                  <w:tcW w:w="358" w:type="pct"/>
                  <w:vMerge w:val="continue"/>
                  <w:vAlign w:val="center"/>
                </w:tcPr>
                <w:p w14:paraId="0789DCAC">
                  <w:pPr>
                    <w:jc w:val="center"/>
                    <w:rPr>
                      <w:szCs w:val="21"/>
                    </w:rPr>
                  </w:pPr>
                </w:p>
              </w:tc>
              <w:tc>
                <w:tcPr>
                  <w:tcW w:w="627" w:type="pct"/>
                  <w:vMerge w:val="continue"/>
                  <w:vAlign w:val="center"/>
                </w:tcPr>
                <w:p w14:paraId="34112999">
                  <w:pPr>
                    <w:jc w:val="center"/>
                    <w:rPr>
                      <w:szCs w:val="21"/>
                    </w:rPr>
                  </w:pPr>
                </w:p>
              </w:tc>
              <w:tc>
                <w:tcPr>
                  <w:tcW w:w="389" w:type="pct"/>
                  <w:vMerge w:val="continue"/>
                  <w:vAlign w:val="center"/>
                </w:tcPr>
                <w:p w14:paraId="4C0B4DB1">
                  <w:pPr>
                    <w:widowControl/>
                    <w:jc w:val="center"/>
                    <w:textAlignment w:val="bottom"/>
                    <w:rPr>
                      <w:szCs w:val="21"/>
                    </w:rPr>
                  </w:pPr>
                </w:p>
              </w:tc>
              <w:tc>
                <w:tcPr>
                  <w:tcW w:w="358" w:type="pct"/>
                  <w:vMerge w:val="continue"/>
                  <w:vAlign w:val="center"/>
                </w:tcPr>
                <w:p w14:paraId="033020C9">
                  <w:pPr>
                    <w:jc w:val="center"/>
                    <w:rPr>
                      <w:szCs w:val="21"/>
                    </w:rPr>
                  </w:pPr>
                </w:p>
              </w:tc>
              <w:tc>
                <w:tcPr>
                  <w:tcW w:w="342" w:type="pct"/>
                  <w:vMerge w:val="continue"/>
                  <w:vAlign w:val="center"/>
                </w:tcPr>
                <w:p w14:paraId="3A7FF88E">
                  <w:pPr>
                    <w:widowControl/>
                    <w:jc w:val="center"/>
                    <w:textAlignment w:val="bottom"/>
                    <w:rPr>
                      <w:szCs w:val="21"/>
                    </w:rPr>
                  </w:pPr>
                </w:p>
              </w:tc>
            </w:tr>
            <w:tr w14:paraId="3A37A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8" w:type="pct"/>
                  <w:vMerge w:val="continue"/>
                  <w:vAlign w:val="center"/>
                </w:tcPr>
                <w:p w14:paraId="2957C640">
                  <w:pPr>
                    <w:widowControl/>
                    <w:jc w:val="center"/>
                    <w:textAlignment w:val="bottom"/>
                    <w:rPr>
                      <w:kern w:val="0"/>
                      <w:szCs w:val="21"/>
                      <w:lang w:bidi="ar"/>
                    </w:rPr>
                  </w:pPr>
                </w:p>
              </w:tc>
              <w:tc>
                <w:tcPr>
                  <w:tcW w:w="174" w:type="pct"/>
                  <w:vMerge w:val="continue"/>
                  <w:vAlign w:val="center"/>
                </w:tcPr>
                <w:p w14:paraId="72D51B9E">
                  <w:pPr>
                    <w:widowControl/>
                    <w:jc w:val="center"/>
                    <w:textAlignment w:val="bottom"/>
                    <w:rPr>
                      <w:szCs w:val="21"/>
                    </w:rPr>
                  </w:pPr>
                </w:p>
              </w:tc>
              <w:tc>
                <w:tcPr>
                  <w:tcW w:w="489" w:type="pct"/>
                  <w:vMerge w:val="continue"/>
                  <w:vAlign w:val="center"/>
                </w:tcPr>
                <w:p w14:paraId="5F6B58B1">
                  <w:pPr>
                    <w:widowControl/>
                    <w:jc w:val="center"/>
                    <w:textAlignment w:val="bottom"/>
                    <w:rPr>
                      <w:sz w:val="21"/>
                      <w:szCs w:val="21"/>
                    </w:rPr>
                  </w:pPr>
                </w:p>
              </w:tc>
              <w:tc>
                <w:tcPr>
                  <w:tcW w:w="196" w:type="pct"/>
                  <w:vMerge w:val="continue"/>
                  <w:vAlign w:val="center"/>
                </w:tcPr>
                <w:p w14:paraId="477750CD">
                  <w:pPr>
                    <w:widowControl/>
                    <w:jc w:val="center"/>
                    <w:textAlignment w:val="bottom"/>
                    <w:rPr>
                      <w:szCs w:val="21"/>
                    </w:rPr>
                  </w:pPr>
                </w:p>
              </w:tc>
              <w:tc>
                <w:tcPr>
                  <w:tcW w:w="358" w:type="pct"/>
                  <w:vMerge w:val="continue"/>
                  <w:vAlign w:val="center"/>
                </w:tcPr>
                <w:p w14:paraId="0359EA89">
                  <w:pPr>
                    <w:jc w:val="center"/>
                    <w:rPr>
                      <w:szCs w:val="21"/>
                    </w:rPr>
                  </w:pPr>
                </w:p>
              </w:tc>
              <w:tc>
                <w:tcPr>
                  <w:tcW w:w="655" w:type="pct"/>
                  <w:vMerge w:val="continue"/>
                  <w:vAlign w:val="center"/>
                </w:tcPr>
                <w:p w14:paraId="44716ED6">
                  <w:pPr>
                    <w:jc w:val="center"/>
                    <w:rPr>
                      <w:szCs w:val="21"/>
                    </w:rPr>
                  </w:pPr>
                </w:p>
              </w:tc>
              <w:tc>
                <w:tcPr>
                  <w:tcW w:w="213" w:type="pct"/>
                  <w:vAlign w:val="center"/>
                </w:tcPr>
                <w:p w14:paraId="03217E03">
                  <w:pPr>
                    <w:jc w:val="center"/>
                    <w:rPr>
                      <w:szCs w:val="21"/>
                    </w:rPr>
                  </w:pPr>
                  <w:r>
                    <w:rPr>
                      <w:rFonts w:hint="eastAsia"/>
                      <w:szCs w:val="21"/>
                    </w:rPr>
                    <w:t>68</w:t>
                  </w:r>
                </w:p>
              </w:tc>
              <w:tc>
                <w:tcPr>
                  <w:tcW w:w="248" w:type="pct"/>
                  <w:vAlign w:val="center"/>
                </w:tcPr>
                <w:p w14:paraId="41E7AEDC">
                  <w:pPr>
                    <w:jc w:val="center"/>
                    <w:rPr>
                      <w:szCs w:val="21"/>
                    </w:rPr>
                  </w:pPr>
                  <w:r>
                    <w:rPr>
                      <w:rFonts w:hint="eastAsia"/>
                      <w:szCs w:val="21"/>
                    </w:rPr>
                    <w:t>38</w:t>
                  </w:r>
                </w:p>
              </w:tc>
              <w:tc>
                <w:tcPr>
                  <w:tcW w:w="234" w:type="pct"/>
                  <w:vAlign w:val="center"/>
                </w:tcPr>
                <w:p w14:paraId="4772DFD4">
                  <w:pPr>
                    <w:jc w:val="center"/>
                    <w:rPr>
                      <w:szCs w:val="21"/>
                    </w:rPr>
                  </w:pPr>
                  <w:r>
                    <w:rPr>
                      <w:rFonts w:hint="eastAsia"/>
                      <w:szCs w:val="21"/>
                    </w:rPr>
                    <w:t>1</w:t>
                  </w:r>
                </w:p>
              </w:tc>
              <w:tc>
                <w:tcPr>
                  <w:tcW w:w="225" w:type="pct"/>
                  <w:vAlign w:val="center"/>
                </w:tcPr>
                <w:p w14:paraId="2DA53096">
                  <w:pPr>
                    <w:jc w:val="center"/>
                    <w:rPr>
                      <w:szCs w:val="21"/>
                    </w:rPr>
                  </w:pPr>
                  <w:r>
                    <w:rPr>
                      <w:rFonts w:hint="eastAsia"/>
                      <w:szCs w:val="21"/>
                    </w:rPr>
                    <w:t>26</w:t>
                  </w:r>
                </w:p>
              </w:tc>
              <w:tc>
                <w:tcPr>
                  <w:tcW w:w="358" w:type="pct"/>
                  <w:vMerge w:val="continue"/>
                  <w:vAlign w:val="center"/>
                </w:tcPr>
                <w:p w14:paraId="380AD343">
                  <w:pPr>
                    <w:jc w:val="center"/>
                    <w:rPr>
                      <w:szCs w:val="21"/>
                    </w:rPr>
                  </w:pPr>
                </w:p>
              </w:tc>
              <w:tc>
                <w:tcPr>
                  <w:tcW w:w="627" w:type="pct"/>
                  <w:vMerge w:val="continue"/>
                  <w:vAlign w:val="center"/>
                </w:tcPr>
                <w:p w14:paraId="7CF6D756">
                  <w:pPr>
                    <w:jc w:val="center"/>
                    <w:rPr>
                      <w:szCs w:val="21"/>
                    </w:rPr>
                  </w:pPr>
                </w:p>
              </w:tc>
              <w:tc>
                <w:tcPr>
                  <w:tcW w:w="389" w:type="pct"/>
                  <w:vMerge w:val="continue"/>
                  <w:vAlign w:val="center"/>
                </w:tcPr>
                <w:p w14:paraId="37EB243E">
                  <w:pPr>
                    <w:widowControl/>
                    <w:jc w:val="center"/>
                    <w:textAlignment w:val="bottom"/>
                    <w:rPr>
                      <w:szCs w:val="21"/>
                    </w:rPr>
                  </w:pPr>
                </w:p>
              </w:tc>
              <w:tc>
                <w:tcPr>
                  <w:tcW w:w="358" w:type="pct"/>
                  <w:vMerge w:val="continue"/>
                  <w:vAlign w:val="center"/>
                </w:tcPr>
                <w:p w14:paraId="4533774A">
                  <w:pPr>
                    <w:jc w:val="center"/>
                    <w:rPr>
                      <w:szCs w:val="21"/>
                    </w:rPr>
                  </w:pPr>
                </w:p>
              </w:tc>
              <w:tc>
                <w:tcPr>
                  <w:tcW w:w="342" w:type="pct"/>
                  <w:vMerge w:val="continue"/>
                  <w:vAlign w:val="center"/>
                </w:tcPr>
                <w:p w14:paraId="5E5B7454">
                  <w:pPr>
                    <w:widowControl/>
                    <w:jc w:val="center"/>
                    <w:textAlignment w:val="bottom"/>
                    <w:rPr>
                      <w:szCs w:val="21"/>
                    </w:rPr>
                  </w:pPr>
                </w:p>
              </w:tc>
            </w:tr>
            <w:tr w14:paraId="653A0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8" w:type="pct"/>
                  <w:vMerge w:val="continue"/>
                  <w:vAlign w:val="center"/>
                </w:tcPr>
                <w:p w14:paraId="595BA1E0">
                  <w:pPr>
                    <w:widowControl/>
                    <w:jc w:val="center"/>
                    <w:textAlignment w:val="bottom"/>
                    <w:rPr>
                      <w:kern w:val="0"/>
                      <w:szCs w:val="21"/>
                      <w:lang w:bidi="ar"/>
                    </w:rPr>
                  </w:pPr>
                </w:p>
              </w:tc>
              <w:tc>
                <w:tcPr>
                  <w:tcW w:w="174" w:type="pct"/>
                  <w:vMerge w:val="continue"/>
                  <w:vAlign w:val="center"/>
                </w:tcPr>
                <w:p w14:paraId="7969FE4E">
                  <w:pPr>
                    <w:widowControl/>
                    <w:jc w:val="center"/>
                    <w:textAlignment w:val="bottom"/>
                    <w:rPr>
                      <w:szCs w:val="21"/>
                    </w:rPr>
                  </w:pPr>
                </w:p>
              </w:tc>
              <w:tc>
                <w:tcPr>
                  <w:tcW w:w="489" w:type="pct"/>
                  <w:vMerge w:val="continue"/>
                  <w:vAlign w:val="center"/>
                </w:tcPr>
                <w:p w14:paraId="0E8A75D4">
                  <w:pPr>
                    <w:widowControl/>
                    <w:jc w:val="center"/>
                    <w:textAlignment w:val="bottom"/>
                    <w:rPr>
                      <w:sz w:val="21"/>
                      <w:szCs w:val="21"/>
                    </w:rPr>
                  </w:pPr>
                </w:p>
              </w:tc>
              <w:tc>
                <w:tcPr>
                  <w:tcW w:w="196" w:type="pct"/>
                  <w:vMerge w:val="continue"/>
                  <w:vAlign w:val="center"/>
                </w:tcPr>
                <w:p w14:paraId="76F748BB">
                  <w:pPr>
                    <w:widowControl/>
                    <w:jc w:val="center"/>
                    <w:textAlignment w:val="bottom"/>
                    <w:rPr>
                      <w:szCs w:val="21"/>
                    </w:rPr>
                  </w:pPr>
                </w:p>
              </w:tc>
              <w:tc>
                <w:tcPr>
                  <w:tcW w:w="358" w:type="pct"/>
                  <w:vMerge w:val="continue"/>
                  <w:vAlign w:val="center"/>
                </w:tcPr>
                <w:p w14:paraId="57A6592C">
                  <w:pPr>
                    <w:jc w:val="center"/>
                    <w:rPr>
                      <w:szCs w:val="21"/>
                    </w:rPr>
                  </w:pPr>
                </w:p>
              </w:tc>
              <w:tc>
                <w:tcPr>
                  <w:tcW w:w="655" w:type="pct"/>
                  <w:vMerge w:val="continue"/>
                  <w:vAlign w:val="center"/>
                </w:tcPr>
                <w:p w14:paraId="679E9D7C">
                  <w:pPr>
                    <w:jc w:val="center"/>
                    <w:rPr>
                      <w:szCs w:val="21"/>
                    </w:rPr>
                  </w:pPr>
                </w:p>
              </w:tc>
              <w:tc>
                <w:tcPr>
                  <w:tcW w:w="213" w:type="pct"/>
                  <w:vAlign w:val="center"/>
                </w:tcPr>
                <w:p w14:paraId="134202F3">
                  <w:pPr>
                    <w:jc w:val="center"/>
                    <w:rPr>
                      <w:szCs w:val="21"/>
                    </w:rPr>
                  </w:pPr>
                  <w:r>
                    <w:rPr>
                      <w:rFonts w:hint="eastAsia"/>
                      <w:szCs w:val="21"/>
                    </w:rPr>
                    <w:t>68</w:t>
                  </w:r>
                </w:p>
              </w:tc>
              <w:tc>
                <w:tcPr>
                  <w:tcW w:w="248" w:type="pct"/>
                  <w:vAlign w:val="center"/>
                </w:tcPr>
                <w:p w14:paraId="434BC673">
                  <w:pPr>
                    <w:jc w:val="center"/>
                    <w:rPr>
                      <w:szCs w:val="21"/>
                    </w:rPr>
                  </w:pPr>
                  <w:r>
                    <w:rPr>
                      <w:rFonts w:hint="eastAsia"/>
                      <w:szCs w:val="21"/>
                    </w:rPr>
                    <w:t>36</w:t>
                  </w:r>
                </w:p>
              </w:tc>
              <w:tc>
                <w:tcPr>
                  <w:tcW w:w="234" w:type="pct"/>
                  <w:vAlign w:val="center"/>
                </w:tcPr>
                <w:p w14:paraId="71003707">
                  <w:pPr>
                    <w:jc w:val="center"/>
                    <w:rPr>
                      <w:szCs w:val="21"/>
                    </w:rPr>
                  </w:pPr>
                  <w:r>
                    <w:rPr>
                      <w:rFonts w:hint="eastAsia"/>
                      <w:szCs w:val="21"/>
                    </w:rPr>
                    <w:t>1</w:t>
                  </w:r>
                </w:p>
              </w:tc>
              <w:tc>
                <w:tcPr>
                  <w:tcW w:w="225" w:type="pct"/>
                  <w:vAlign w:val="center"/>
                </w:tcPr>
                <w:p w14:paraId="204DDB36">
                  <w:pPr>
                    <w:jc w:val="center"/>
                    <w:rPr>
                      <w:szCs w:val="21"/>
                    </w:rPr>
                  </w:pPr>
                  <w:r>
                    <w:rPr>
                      <w:rFonts w:hint="eastAsia"/>
                      <w:szCs w:val="21"/>
                    </w:rPr>
                    <w:t>24</w:t>
                  </w:r>
                </w:p>
              </w:tc>
              <w:tc>
                <w:tcPr>
                  <w:tcW w:w="358" w:type="pct"/>
                  <w:vMerge w:val="continue"/>
                  <w:vAlign w:val="center"/>
                </w:tcPr>
                <w:p w14:paraId="42548FA9">
                  <w:pPr>
                    <w:jc w:val="center"/>
                    <w:rPr>
                      <w:szCs w:val="21"/>
                    </w:rPr>
                  </w:pPr>
                </w:p>
              </w:tc>
              <w:tc>
                <w:tcPr>
                  <w:tcW w:w="627" w:type="pct"/>
                  <w:vMerge w:val="continue"/>
                  <w:vAlign w:val="center"/>
                </w:tcPr>
                <w:p w14:paraId="25E4BB17">
                  <w:pPr>
                    <w:jc w:val="center"/>
                    <w:rPr>
                      <w:szCs w:val="21"/>
                    </w:rPr>
                  </w:pPr>
                </w:p>
              </w:tc>
              <w:tc>
                <w:tcPr>
                  <w:tcW w:w="389" w:type="pct"/>
                  <w:vMerge w:val="continue"/>
                  <w:vAlign w:val="center"/>
                </w:tcPr>
                <w:p w14:paraId="306A97AD">
                  <w:pPr>
                    <w:widowControl/>
                    <w:jc w:val="center"/>
                    <w:textAlignment w:val="bottom"/>
                    <w:rPr>
                      <w:szCs w:val="21"/>
                    </w:rPr>
                  </w:pPr>
                </w:p>
              </w:tc>
              <w:tc>
                <w:tcPr>
                  <w:tcW w:w="358" w:type="pct"/>
                  <w:vMerge w:val="continue"/>
                  <w:vAlign w:val="center"/>
                </w:tcPr>
                <w:p w14:paraId="6C13DFC8">
                  <w:pPr>
                    <w:jc w:val="center"/>
                    <w:rPr>
                      <w:szCs w:val="21"/>
                    </w:rPr>
                  </w:pPr>
                </w:p>
              </w:tc>
              <w:tc>
                <w:tcPr>
                  <w:tcW w:w="342" w:type="pct"/>
                  <w:vMerge w:val="continue"/>
                  <w:vAlign w:val="center"/>
                </w:tcPr>
                <w:p w14:paraId="3011B59A">
                  <w:pPr>
                    <w:widowControl/>
                    <w:jc w:val="center"/>
                    <w:textAlignment w:val="bottom"/>
                    <w:rPr>
                      <w:szCs w:val="21"/>
                    </w:rPr>
                  </w:pPr>
                </w:p>
              </w:tc>
            </w:tr>
            <w:tr w14:paraId="5B494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8" w:type="pct"/>
                  <w:vAlign w:val="center"/>
                </w:tcPr>
                <w:p w14:paraId="3FBF5027">
                  <w:pPr>
                    <w:widowControl/>
                    <w:jc w:val="center"/>
                    <w:textAlignment w:val="bottom"/>
                    <w:rPr>
                      <w:kern w:val="0"/>
                      <w:szCs w:val="21"/>
                      <w:lang w:bidi="ar"/>
                    </w:rPr>
                  </w:pPr>
                  <w:r>
                    <w:rPr>
                      <w:rFonts w:hint="eastAsia"/>
                      <w:kern w:val="0"/>
                      <w:szCs w:val="21"/>
                      <w:lang w:bidi="ar"/>
                    </w:rPr>
                    <w:t>2</w:t>
                  </w:r>
                </w:p>
              </w:tc>
              <w:tc>
                <w:tcPr>
                  <w:tcW w:w="174" w:type="pct"/>
                  <w:vMerge w:val="continue"/>
                  <w:vAlign w:val="center"/>
                </w:tcPr>
                <w:p w14:paraId="35540543">
                  <w:pPr>
                    <w:widowControl/>
                    <w:jc w:val="center"/>
                    <w:textAlignment w:val="bottom"/>
                    <w:rPr>
                      <w:szCs w:val="21"/>
                    </w:rPr>
                  </w:pPr>
                </w:p>
              </w:tc>
              <w:tc>
                <w:tcPr>
                  <w:tcW w:w="489" w:type="pct"/>
                  <w:vAlign w:val="center"/>
                </w:tcPr>
                <w:p w14:paraId="3B7F5255">
                  <w:pPr>
                    <w:widowControl/>
                    <w:jc w:val="center"/>
                    <w:textAlignment w:val="bottom"/>
                    <w:rPr>
                      <w:sz w:val="21"/>
                      <w:szCs w:val="21"/>
                    </w:rPr>
                  </w:pPr>
                  <w:r>
                    <w:rPr>
                      <w:rFonts w:hint="eastAsia"/>
                      <w:sz w:val="21"/>
                      <w:szCs w:val="21"/>
                      <w:lang w:bidi="ar"/>
                    </w:rPr>
                    <w:t>激光切割机</w:t>
                  </w:r>
                </w:p>
              </w:tc>
              <w:tc>
                <w:tcPr>
                  <w:tcW w:w="196" w:type="pct"/>
                  <w:vAlign w:val="center"/>
                </w:tcPr>
                <w:p w14:paraId="0885D7C0">
                  <w:pPr>
                    <w:widowControl/>
                    <w:jc w:val="center"/>
                    <w:textAlignment w:val="bottom"/>
                    <w:rPr>
                      <w:szCs w:val="21"/>
                    </w:rPr>
                  </w:pPr>
                  <w:r>
                    <w:rPr>
                      <w:rFonts w:hint="eastAsia"/>
                      <w:szCs w:val="21"/>
                    </w:rPr>
                    <w:t>/</w:t>
                  </w:r>
                </w:p>
              </w:tc>
              <w:tc>
                <w:tcPr>
                  <w:tcW w:w="358" w:type="pct"/>
                  <w:vAlign w:val="center"/>
                </w:tcPr>
                <w:p w14:paraId="6951C26F">
                  <w:pPr>
                    <w:jc w:val="center"/>
                    <w:rPr>
                      <w:szCs w:val="21"/>
                    </w:rPr>
                  </w:pPr>
                  <w:r>
                    <w:rPr>
                      <w:rFonts w:hint="eastAsia"/>
                      <w:szCs w:val="21"/>
                    </w:rPr>
                    <w:t>75</w:t>
                  </w:r>
                  <w:r>
                    <w:rPr>
                      <w:szCs w:val="21"/>
                    </w:rPr>
                    <w:t>~</w:t>
                  </w:r>
                  <w:r>
                    <w:rPr>
                      <w:rFonts w:hint="eastAsia"/>
                      <w:szCs w:val="21"/>
                    </w:rPr>
                    <w:t>85</w:t>
                  </w:r>
                </w:p>
              </w:tc>
              <w:tc>
                <w:tcPr>
                  <w:tcW w:w="655" w:type="pct"/>
                  <w:vAlign w:val="center"/>
                </w:tcPr>
                <w:p w14:paraId="48B76706">
                  <w:pPr>
                    <w:jc w:val="center"/>
                    <w:rPr>
                      <w:szCs w:val="21"/>
                    </w:rPr>
                  </w:pPr>
                  <w:r>
                    <w:rPr>
                      <w:szCs w:val="21"/>
                    </w:rPr>
                    <w:t>设备减振、厂房隔声</w:t>
                  </w:r>
                </w:p>
              </w:tc>
              <w:tc>
                <w:tcPr>
                  <w:tcW w:w="213" w:type="pct"/>
                  <w:vAlign w:val="center"/>
                </w:tcPr>
                <w:p w14:paraId="1A0FE206">
                  <w:pPr>
                    <w:jc w:val="center"/>
                    <w:rPr>
                      <w:szCs w:val="21"/>
                    </w:rPr>
                  </w:pPr>
                  <w:r>
                    <w:rPr>
                      <w:rFonts w:hint="eastAsia"/>
                      <w:szCs w:val="21"/>
                    </w:rPr>
                    <w:t>64</w:t>
                  </w:r>
                </w:p>
              </w:tc>
              <w:tc>
                <w:tcPr>
                  <w:tcW w:w="248" w:type="pct"/>
                  <w:vAlign w:val="center"/>
                </w:tcPr>
                <w:p w14:paraId="75E64233">
                  <w:pPr>
                    <w:jc w:val="center"/>
                    <w:rPr>
                      <w:szCs w:val="21"/>
                    </w:rPr>
                  </w:pPr>
                  <w:r>
                    <w:rPr>
                      <w:rFonts w:hint="eastAsia"/>
                      <w:szCs w:val="21"/>
                    </w:rPr>
                    <w:t>38</w:t>
                  </w:r>
                </w:p>
              </w:tc>
              <w:tc>
                <w:tcPr>
                  <w:tcW w:w="234" w:type="pct"/>
                  <w:vAlign w:val="center"/>
                </w:tcPr>
                <w:p w14:paraId="4C7A224D">
                  <w:pPr>
                    <w:jc w:val="center"/>
                    <w:rPr>
                      <w:szCs w:val="21"/>
                    </w:rPr>
                  </w:pPr>
                  <w:r>
                    <w:rPr>
                      <w:rFonts w:hint="eastAsia"/>
                      <w:szCs w:val="21"/>
                    </w:rPr>
                    <w:t>1</w:t>
                  </w:r>
                </w:p>
              </w:tc>
              <w:tc>
                <w:tcPr>
                  <w:tcW w:w="225" w:type="pct"/>
                  <w:vAlign w:val="center"/>
                </w:tcPr>
                <w:p w14:paraId="45299374">
                  <w:pPr>
                    <w:jc w:val="center"/>
                    <w:rPr>
                      <w:szCs w:val="21"/>
                    </w:rPr>
                  </w:pPr>
                  <w:r>
                    <w:rPr>
                      <w:rFonts w:hint="eastAsia"/>
                      <w:szCs w:val="21"/>
                    </w:rPr>
                    <w:t>26</w:t>
                  </w:r>
                </w:p>
              </w:tc>
              <w:tc>
                <w:tcPr>
                  <w:tcW w:w="358" w:type="pct"/>
                  <w:vAlign w:val="center"/>
                </w:tcPr>
                <w:p w14:paraId="0D38FBEB">
                  <w:pPr>
                    <w:jc w:val="center"/>
                    <w:rPr>
                      <w:szCs w:val="21"/>
                    </w:rPr>
                  </w:pPr>
                  <w:r>
                    <w:rPr>
                      <w:rFonts w:hint="eastAsia"/>
                      <w:szCs w:val="21"/>
                    </w:rPr>
                    <w:t>70~80</w:t>
                  </w:r>
                </w:p>
              </w:tc>
              <w:tc>
                <w:tcPr>
                  <w:tcW w:w="627" w:type="pct"/>
                  <w:vAlign w:val="center"/>
                </w:tcPr>
                <w:p w14:paraId="43AFB4A3">
                  <w:pPr>
                    <w:jc w:val="center"/>
                  </w:pPr>
                  <w:r>
                    <w:rPr>
                      <w:szCs w:val="21"/>
                    </w:rPr>
                    <w:t>0</w:t>
                  </w:r>
                  <w:r>
                    <w:rPr>
                      <w:rFonts w:hint="eastAsia"/>
                      <w:szCs w:val="21"/>
                      <w:lang w:val="en-US" w:eastAsia="zh-CN"/>
                    </w:rPr>
                    <w:t>8</w:t>
                  </w:r>
                  <w:r>
                    <w:rPr>
                      <w:szCs w:val="21"/>
                    </w:rPr>
                    <w:t>:</w:t>
                  </w:r>
                  <w:r>
                    <w:rPr>
                      <w:rFonts w:hint="eastAsia"/>
                      <w:szCs w:val="21"/>
                      <w:lang w:val="en-US" w:eastAsia="zh-CN"/>
                    </w:rPr>
                    <w:t>3</w:t>
                  </w:r>
                  <w:r>
                    <w:rPr>
                      <w:szCs w:val="21"/>
                    </w:rPr>
                    <w:t>0</w:t>
                  </w:r>
                  <w:r>
                    <w:rPr>
                      <w:rFonts w:hint="eastAsia"/>
                      <w:szCs w:val="21"/>
                    </w:rPr>
                    <w:t>~</w:t>
                  </w:r>
                  <w:r>
                    <w:rPr>
                      <w:rFonts w:hint="eastAsia"/>
                      <w:szCs w:val="21"/>
                      <w:lang w:val="en-US" w:eastAsia="zh-CN"/>
                    </w:rPr>
                    <w:t>16</w:t>
                  </w:r>
                  <w:r>
                    <w:rPr>
                      <w:szCs w:val="21"/>
                    </w:rPr>
                    <w:t>:</w:t>
                  </w:r>
                  <w:r>
                    <w:rPr>
                      <w:rFonts w:hint="eastAsia"/>
                      <w:szCs w:val="21"/>
                      <w:lang w:val="en-US" w:eastAsia="zh-CN"/>
                    </w:rPr>
                    <w:t>3</w:t>
                  </w:r>
                  <w:r>
                    <w:rPr>
                      <w:szCs w:val="21"/>
                    </w:rPr>
                    <w:t>0</w:t>
                  </w:r>
                </w:p>
              </w:tc>
              <w:tc>
                <w:tcPr>
                  <w:tcW w:w="389" w:type="pct"/>
                  <w:vAlign w:val="center"/>
                </w:tcPr>
                <w:p w14:paraId="6B113E47">
                  <w:pPr>
                    <w:widowControl/>
                    <w:jc w:val="center"/>
                    <w:textAlignment w:val="bottom"/>
                    <w:rPr>
                      <w:szCs w:val="21"/>
                    </w:rPr>
                  </w:pPr>
                  <w:r>
                    <w:rPr>
                      <w:szCs w:val="21"/>
                    </w:rPr>
                    <w:t>15~20</w:t>
                  </w:r>
                </w:p>
              </w:tc>
              <w:tc>
                <w:tcPr>
                  <w:tcW w:w="358" w:type="pct"/>
                  <w:vAlign w:val="center"/>
                </w:tcPr>
                <w:p w14:paraId="09661ADD">
                  <w:pPr>
                    <w:jc w:val="center"/>
                    <w:rPr>
                      <w:szCs w:val="21"/>
                    </w:rPr>
                  </w:pPr>
                  <w:r>
                    <w:rPr>
                      <w:rFonts w:hint="eastAsia"/>
                      <w:szCs w:val="21"/>
                    </w:rPr>
                    <w:t>55~65</w:t>
                  </w:r>
                </w:p>
              </w:tc>
              <w:tc>
                <w:tcPr>
                  <w:tcW w:w="342" w:type="pct"/>
                  <w:vMerge w:val="continue"/>
                  <w:vAlign w:val="center"/>
                </w:tcPr>
                <w:p w14:paraId="42EF62D2">
                  <w:pPr>
                    <w:widowControl/>
                    <w:jc w:val="center"/>
                    <w:textAlignment w:val="bottom"/>
                    <w:rPr>
                      <w:szCs w:val="21"/>
                    </w:rPr>
                  </w:pPr>
                </w:p>
              </w:tc>
            </w:tr>
            <w:tr w14:paraId="4CC81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8" w:type="pct"/>
                  <w:vAlign w:val="center"/>
                </w:tcPr>
                <w:p w14:paraId="673AFF9B">
                  <w:pPr>
                    <w:widowControl/>
                    <w:jc w:val="center"/>
                    <w:textAlignment w:val="bottom"/>
                    <w:rPr>
                      <w:kern w:val="0"/>
                      <w:szCs w:val="21"/>
                      <w:lang w:bidi="ar"/>
                    </w:rPr>
                  </w:pPr>
                  <w:r>
                    <w:rPr>
                      <w:rFonts w:hint="eastAsia"/>
                      <w:kern w:val="0"/>
                      <w:szCs w:val="21"/>
                      <w:lang w:bidi="ar"/>
                    </w:rPr>
                    <w:t>3</w:t>
                  </w:r>
                </w:p>
              </w:tc>
              <w:tc>
                <w:tcPr>
                  <w:tcW w:w="174" w:type="pct"/>
                  <w:vMerge w:val="continue"/>
                  <w:vAlign w:val="center"/>
                </w:tcPr>
                <w:p w14:paraId="19E7E530">
                  <w:pPr>
                    <w:widowControl/>
                    <w:jc w:val="center"/>
                    <w:textAlignment w:val="bottom"/>
                    <w:rPr>
                      <w:szCs w:val="21"/>
                    </w:rPr>
                  </w:pPr>
                </w:p>
              </w:tc>
              <w:tc>
                <w:tcPr>
                  <w:tcW w:w="489" w:type="pct"/>
                  <w:vAlign w:val="center"/>
                </w:tcPr>
                <w:p w14:paraId="3746A47F">
                  <w:pPr>
                    <w:widowControl/>
                    <w:jc w:val="center"/>
                    <w:textAlignment w:val="bottom"/>
                    <w:rPr>
                      <w:sz w:val="21"/>
                      <w:szCs w:val="21"/>
                    </w:rPr>
                  </w:pPr>
                  <w:r>
                    <w:rPr>
                      <w:rFonts w:hint="eastAsia"/>
                      <w:sz w:val="21"/>
                      <w:szCs w:val="21"/>
                      <w:lang w:bidi="ar"/>
                    </w:rPr>
                    <w:t>液压板料折弯机</w:t>
                  </w:r>
                </w:p>
              </w:tc>
              <w:tc>
                <w:tcPr>
                  <w:tcW w:w="196" w:type="pct"/>
                  <w:vAlign w:val="center"/>
                </w:tcPr>
                <w:p w14:paraId="486B8F52">
                  <w:pPr>
                    <w:widowControl/>
                    <w:jc w:val="center"/>
                    <w:textAlignment w:val="bottom"/>
                    <w:rPr>
                      <w:szCs w:val="21"/>
                    </w:rPr>
                  </w:pPr>
                  <w:r>
                    <w:rPr>
                      <w:rFonts w:hint="eastAsia"/>
                      <w:szCs w:val="21"/>
                    </w:rPr>
                    <w:t>/</w:t>
                  </w:r>
                </w:p>
              </w:tc>
              <w:tc>
                <w:tcPr>
                  <w:tcW w:w="358" w:type="pct"/>
                  <w:vAlign w:val="center"/>
                </w:tcPr>
                <w:p w14:paraId="5A9FD8F0">
                  <w:pPr>
                    <w:jc w:val="center"/>
                    <w:rPr>
                      <w:szCs w:val="21"/>
                    </w:rPr>
                  </w:pPr>
                  <w:r>
                    <w:rPr>
                      <w:rFonts w:hint="eastAsia"/>
                      <w:szCs w:val="21"/>
                    </w:rPr>
                    <w:t>80~90</w:t>
                  </w:r>
                </w:p>
              </w:tc>
              <w:tc>
                <w:tcPr>
                  <w:tcW w:w="655" w:type="pct"/>
                  <w:vAlign w:val="center"/>
                </w:tcPr>
                <w:p w14:paraId="3DBCBD30">
                  <w:pPr>
                    <w:jc w:val="center"/>
                    <w:rPr>
                      <w:szCs w:val="21"/>
                    </w:rPr>
                  </w:pPr>
                  <w:r>
                    <w:rPr>
                      <w:szCs w:val="21"/>
                    </w:rPr>
                    <w:t>设备减振、厂房隔声</w:t>
                  </w:r>
                </w:p>
              </w:tc>
              <w:tc>
                <w:tcPr>
                  <w:tcW w:w="213" w:type="pct"/>
                  <w:vAlign w:val="center"/>
                </w:tcPr>
                <w:p w14:paraId="5A103F6C">
                  <w:pPr>
                    <w:jc w:val="center"/>
                    <w:rPr>
                      <w:szCs w:val="21"/>
                    </w:rPr>
                  </w:pPr>
                  <w:r>
                    <w:rPr>
                      <w:rFonts w:hint="eastAsia"/>
                      <w:szCs w:val="21"/>
                    </w:rPr>
                    <w:t>17</w:t>
                  </w:r>
                </w:p>
              </w:tc>
              <w:tc>
                <w:tcPr>
                  <w:tcW w:w="248" w:type="pct"/>
                  <w:vAlign w:val="center"/>
                </w:tcPr>
                <w:p w14:paraId="66BC5C15">
                  <w:pPr>
                    <w:jc w:val="center"/>
                    <w:rPr>
                      <w:szCs w:val="21"/>
                    </w:rPr>
                  </w:pPr>
                  <w:r>
                    <w:rPr>
                      <w:rFonts w:hint="eastAsia"/>
                      <w:szCs w:val="21"/>
                    </w:rPr>
                    <w:t>130</w:t>
                  </w:r>
                </w:p>
              </w:tc>
              <w:tc>
                <w:tcPr>
                  <w:tcW w:w="234" w:type="pct"/>
                  <w:vAlign w:val="center"/>
                </w:tcPr>
                <w:p w14:paraId="69BA3E74">
                  <w:pPr>
                    <w:jc w:val="center"/>
                    <w:rPr>
                      <w:szCs w:val="21"/>
                    </w:rPr>
                  </w:pPr>
                  <w:r>
                    <w:rPr>
                      <w:rFonts w:hint="eastAsia"/>
                      <w:szCs w:val="21"/>
                    </w:rPr>
                    <w:t>2</w:t>
                  </w:r>
                </w:p>
              </w:tc>
              <w:tc>
                <w:tcPr>
                  <w:tcW w:w="225" w:type="pct"/>
                  <w:vAlign w:val="center"/>
                </w:tcPr>
                <w:p w14:paraId="601C15BD">
                  <w:pPr>
                    <w:jc w:val="center"/>
                    <w:rPr>
                      <w:szCs w:val="21"/>
                    </w:rPr>
                  </w:pPr>
                  <w:r>
                    <w:rPr>
                      <w:rFonts w:hint="eastAsia"/>
                      <w:szCs w:val="21"/>
                    </w:rPr>
                    <w:t>5</w:t>
                  </w:r>
                </w:p>
              </w:tc>
              <w:tc>
                <w:tcPr>
                  <w:tcW w:w="358" w:type="pct"/>
                  <w:vAlign w:val="center"/>
                </w:tcPr>
                <w:p w14:paraId="7B168FDE">
                  <w:pPr>
                    <w:jc w:val="center"/>
                    <w:rPr>
                      <w:szCs w:val="21"/>
                    </w:rPr>
                  </w:pPr>
                  <w:r>
                    <w:rPr>
                      <w:rFonts w:hint="eastAsia"/>
                      <w:szCs w:val="21"/>
                    </w:rPr>
                    <w:t>75~85</w:t>
                  </w:r>
                </w:p>
              </w:tc>
              <w:tc>
                <w:tcPr>
                  <w:tcW w:w="627" w:type="pct"/>
                  <w:vAlign w:val="center"/>
                </w:tcPr>
                <w:p w14:paraId="547E5E95">
                  <w:pPr>
                    <w:jc w:val="center"/>
                    <w:rPr>
                      <w:szCs w:val="21"/>
                    </w:rPr>
                  </w:pPr>
                  <w:r>
                    <w:rPr>
                      <w:szCs w:val="21"/>
                    </w:rPr>
                    <w:t>0</w:t>
                  </w:r>
                  <w:r>
                    <w:rPr>
                      <w:rFonts w:hint="eastAsia"/>
                      <w:szCs w:val="21"/>
                      <w:lang w:val="en-US" w:eastAsia="zh-CN"/>
                    </w:rPr>
                    <w:t>8</w:t>
                  </w:r>
                  <w:r>
                    <w:rPr>
                      <w:szCs w:val="21"/>
                    </w:rPr>
                    <w:t>:</w:t>
                  </w:r>
                  <w:r>
                    <w:rPr>
                      <w:rFonts w:hint="eastAsia"/>
                      <w:szCs w:val="21"/>
                      <w:lang w:val="en-US" w:eastAsia="zh-CN"/>
                    </w:rPr>
                    <w:t>3</w:t>
                  </w:r>
                  <w:r>
                    <w:rPr>
                      <w:szCs w:val="21"/>
                    </w:rPr>
                    <w:t>0</w:t>
                  </w:r>
                  <w:r>
                    <w:rPr>
                      <w:rFonts w:hint="eastAsia"/>
                      <w:szCs w:val="21"/>
                    </w:rPr>
                    <w:t>~</w:t>
                  </w:r>
                  <w:r>
                    <w:rPr>
                      <w:rFonts w:hint="eastAsia"/>
                      <w:szCs w:val="21"/>
                      <w:lang w:val="en-US" w:eastAsia="zh-CN"/>
                    </w:rPr>
                    <w:t>16</w:t>
                  </w:r>
                  <w:r>
                    <w:rPr>
                      <w:szCs w:val="21"/>
                    </w:rPr>
                    <w:t>:</w:t>
                  </w:r>
                  <w:r>
                    <w:rPr>
                      <w:rFonts w:hint="eastAsia"/>
                      <w:szCs w:val="21"/>
                      <w:lang w:val="en-US" w:eastAsia="zh-CN"/>
                    </w:rPr>
                    <w:t>3</w:t>
                  </w:r>
                  <w:r>
                    <w:rPr>
                      <w:szCs w:val="21"/>
                    </w:rPr>
                    <w:t>0</w:t>
                  </w:r>
                </w:p>
              </w:tc>
              <w:tc>
                <w:tcPr>
                  <w:tcW w:w="389" w:type="pct"/>
                  <w:vAlign w:val="center"/>
                </w:tcPr>
                <w:p w14:paraId="0F537846">
                  <w:pPr>
                    <w:widowControl/>
                    <w:jc w:val="center"/>
                    <w:textAlignment w:val="bottom"/>
                    <w:rPr>
                      <w:szCs w:val="21"/>
                    </w:rPr>
                  </w:pPr>
                  <w:r>
                    <w:rPr>
                      <w:szCs w:val="21"/>
                    </w:rPr>
                    <w:t>15~20</w:t>
                  </w:r>
                </w:p>
              </w:tc>
              <w:tc>
                <w:tcPr>
                  <w:tcW w:w="358" w:type="pct"/>
                  <w:vAlign w:val="center"/>
                </w:tcPr>
                <w:p w14:paraId="0431624A">
                  <w:pPr>
                    <w:jc w:val="center"/>
                    <w:rPr>
                      <w:szCs w:val="21"/>
                    </w:rPr>
                  </w:pPr>
                  <w:r>
                    <w:rPr>
                      <w:rFonts w:hint="eastAsia"/>
                      <w:szCs w:val="21"/>
                    </w:rPr>
                    <w:t>60~70</w:t>
                  </w:r>
                </w:p>
              </w:tc>
              <w:tc>
                <w:tcPr>
                  <w:tcW w:w="342" w:type="pct"/>
                  <w:vAlign w:val="center"/>
                </w:tcPr>
                <w:p w14:paraId="4BB3D2A1">
                  <w:pPr>
                    <w:widowControl/>
                    <w:jc w:val="center"/>
                    <w:textAlignment w:val="bottom"/>
                    <w:rPr>
                      <w:szCs w:val="21"/>
                    </w:rPr>
                  </w:pPr>
                  <w:r>
                    <w:rPr>
                      <w:rFonts w:hint="eastAsia"/>
                      <w:szCs w:val="21"/>
                    </w:rPr>
                    <w:t>10</w:t>
                  </w:r>
                </w:p>
              </w:tc>
            </w:tr>
            <w:tr w14:paraId="38616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8" w:type="pct"/>
                  <w:vAlign w:val="center"/>
                </w:tcPr>
                <w:p w14:paraId="57AE0EAA">
                  <w:pPr>
                    <w:widowControl/>
                    <w:jc w:val="center"/>
                    <w:textAlignment w:val="bottom"/>
                    <w:rPr>
                      <w:szCs w:val="21"/>
                    </w:rPr>
                  </w:pPr>
                  <w:r>
                    <w:rPr>
                      <w:rFonts w:hint="eastAsia"/>
                      <w:szCs w:val="21"/>
                    </w:rPr>
                    <w:t>4</w:t>
                  </w:r>
                </w:p>
              </w:tc>
              <w:tc>
                <w:tcPr>
                  <w:tcW w:w="174" w:type="pct"/>
                  <w:vMerge w:val="continue"/>
                  <w:vAlign w:val="center"/>
                </w:tcPr>
                <w:p w14:paraId="3954FC11">
                  <w:pPr>
                    <w:widowControl/>
                    <w:jc w:val="center"/>
                    <w:textAlignment w:val="center"/>
                    <w:rPr>
                      <w:szCs w:val="21"/>
                    </w:rPr>
                  </w:pPr>
                </w:p>
              </w:tc>
              <w:tc>
                <w:tcPr>
                  <w:tcW w:w="489" w:type="pct"/>
                  <w:vAlign w:val="center"/>
                </w:tcPr>
                <w:p w14:paraId="2EFF76D3">
                  <w:pPr>
                    <w:widowControl/>
                    <w:jc w:val="center"/>
                    <w:textAlignment w:val="center"/>
                    <w:rPr>
                      <w:sz w:val="21"/>
                      <w:szCs w:val="21"/>
                    </w:rPr>
                  </w:pPr>
                  <w:r>
                    <w:rPr>
                      <w:rFonts w:hint="eastAsia"/>
                      <w:sz w:val="21"/>
                      <w:szCs w:val="21"/>
                      <w:lang w:bidi="ar"/>
                    </w:rPr>
                    <w:t>数控车床</w:t>
                  </w:r>
                </w:p>
              </w:tc>
              <w:tc>
                <w:tcPr>
                  <w:tcW w:w="196" w:type="pct"/>
                  <w:vAlign w:val="center"/>
                </w:tcPr>
                <w:p w14:paraId="5E2219E4">
                  <w:pPr>
                    <w:widowControl/>
                    <w:jc w:val="center"/>
                    <w:textAlignment w:val="center"/>
                    <w:rPr>
                      <w:szCs w:val="21"/>
                    </w:rPr>
                  </w:pPr>
                  <w:r>
                    <w:rPr>
                      <w:rFonts w:hint="eastAsia"/>
                      <w:szCs w:val="21"/>
                    </w:rPr>
                    <w:t>/</w:t>
                  </w:r>
                </w:p>
              </w:tc>
              <w:tc>
                <w:tcPr>
                  <w:tcW w:w="358" w:type="pct"/>
                  <w:vAlign w:val="center"/>
                </w:tcPr>
                <w:p w14:paraId="72D116D2">
                  <w:pPr>
                    <w:jc w:val="center"/>
                    <w:rPr>
                      <w:szCs w:val="21"/>
                    </w:rPr>
                  </w:pPr>
                  <w:r>
                    <w:rPr>
                      <w:rFonts w:hint="eastAsia"/>
                      <w:szCs w:val="21"/>
                    </w:rPr>
                    <w:t>75</w:t>
                  </w:r>
                  <w:r>
                    <w:rPr>
                      <w:szCs w:val="21"/>
                    </w:rPr>
                    <w:t>~</w:t>
                  </w:r>
                  <w:r>
                    <w:rPr>
                      <w:rFonts w:hint="eastAsia"/>
                      <w:szCs w:val="21"/>
                    </w:rPr>
                    <w:t>85</w:t>
                  </w:r>
                </w:p>
              </w:tc>
              <w:tc>
                <w:tcPr>
                  <w:tcW w:w="655" w:type="pct"/>
                  <w:vAlign w:val="center"/>
                </w:tcPr>
                <w:p w14:paraId="0A646083">
                  <w:pPr>
                    <w:jc w:val="center"/>
                    <w:rPr>
                      <w:szCs w:val="21"/>
                    </w:rPr>
                  </w:pPr>
                  <w:r>
                    <w:rPr>
                      <w:szCs w:val="21"/>
                    </w:rPr>
                    <w:t>设备减振、厂房隔声</w:t>
                  </w:r>
                </w:p>
              </w:tc>
              <w:tc>
                <w:tcPr>
                  <w:tcW w:w="213" w:type="pct"/>
                  <w:vAlign w:val="center"/>
                </w:tcPr>
                <w:p w14:paraId="7AF2C0FA">
                  <w:pPr>
                    <w:jc w:val="center"/>
                    <w:rPr>
                      <w:szCs w:val="21"/>
                    </w:rPr>
                  </w:pPr>
                  <w:r>
                    <w:rPr>
                      <w:rFonts w:hint="eastAsia"/>
                      <w:szCs w:val="21"/>
                    </w:rPr>
                    <w:t>15</w:t>
                  </w:r>
                </w:p>
              </w:tc>
              <w:tc>
                <w:tcPr>
                  <w:tcW w:w="248" w:type="pct"/>
                  <w:vAlign w:val="center"/>
                </w:tcPr>
                <w:p w14:paraId="3F666A29">
                  <w:pPr>
                    <w:jc w:val="center"/>
                    <w:rPr>
                      <w:szCs w:val="21"/>
                    </w:rPr>
                  </w:pPr>
                  <w:r>
                    <w:rPr>
                      <w:rFonts w:hint="eastAsia"/>
                      <w:szCs w:val="21"/>
                    </w:rPr>
                    <w:t>214</w:t>
                  </w:r>
                </w:p>
              </w:tc>
              <w:tc>
                <w:tcPr>
                  <w:tcW w:w="234" w:type="pct"/>
                  <w:vAlign w:val="center"/>
                </w:tcPr>
                <w:p w14:paraId="6A1FB60C">
                  <w:pPr>
                    <w:jc w:val="center"/>
                    <w:rPr>
                      <w:szCs w:val="21"/>
                    </w:rPr>
                  </w:pPr>
                  <w:r>
                    <w:rPr>
                      <w:rFonts w:hint="eastAsia"/>
                      <w:szCs w:val="21"/>
                    </w:rPr>
                    <w:t>3</w:t>
                  </w:r>
                </w:p>
              </w:tc>
              <w:tc>
                <w:tcPr>
                  <w:tcW w:w="225" w:type="pct"/>
                  <w:vAlign w:val="center"/>
                </w:tcPr>
                <w:p w14:paraId="250BF136">
                  <w:pPr>
                    <w:jc w:val="center"/>
                    <w:rPr>
                      <w:szCs w:val="21"/>
                    </w:rPr>
                  </w:pPr>
                  <w:r>
                    <w:rPr>
                      <w:rFonts w:hint="eastAsia"/>
                      <w:szCs w:val="21"/>
                    </w:rPr>
                    <w:t>5</w:t>
                  </w:r>
                </w:p>
              </w:tc>
              <w:tc>
                <w:tcPr>
                  <w:tcW w:w="358" w:type="pct"/>
                  <w:vAlign w:val="center"/>
                </w:tcPr>
                <w:p w14:paraId="2C647C72">
                  <w:pPr>
                    <w:jc w:val="center"/>
                    <w:rPr>
                      <w:szCs w:val="21"/>
                    </w:rPr>
                  </w:pPr>
                  <w:r>
                    <w:rPr>
                      <w:rFonts w:hint="eastAsia"/>
                      <w:szCs w:val="21"/>
                    </w:rPr>
                    <w:t>70~80</w:t>
                  </w:r>
                </w:p>
              </w:tc>
              <w:tc>
                <w:tcPr>
                  <w:tcW w:w="627" w:type="pct"/>
                  <w:vAlign w:val="center"/>
                </w:tcPr>
                <w:p w14:paraId="60974CCD">
                  <w:pPr>
                    <w:jc w:val="center"/>
                    <w:rPr>
                      <w:szCs w:val="21"/>
                    </w:rPr>
                  </w:pPr>
                  <w:r>
                    <w:rPr>
                      <w:szCs w:val="21"/>
                    </w:rPr>
                    <w:t>0</w:t>
                  </w:r>
                  <w:r>
                    <w:rPr>
                      <w:rFonts w:hint="eastAsia"/>
                      <w:szCs w:val="21"/>
                      <w:lang w:val="en-US" w:eastAsia="zh-CN"/>
                    </w:rPr>
                    <w:t>8</w:t>
                  </w:r>
                  <w:r>
                    <w:rPr>
                      <w:szCs w:val="21"/>
                    </w:rPr>
                    <w:t>:</w:t>
                  </w:r>
                  <w:r>
                    <w:rPr>
                      <w:rFonts w:hint="eastAsia"/>
                      <w:szCs w:val="21"/>
                      <w:lang w:val="en-US" w:eastAsia="zh-CN"/>
                    </w:rPr>
                    <w:t>3</w:t>
                  </w:r>
                  <w:r>
                    <w:rPr>
                      <w:szCs w:val="21"/>
                    </w:rPr>
                    <w:t>0</w:t>
                  </w:r>
                  <w:r>
                    <w:rPr>
                      <w:rFonts w:hint="eastAsia"/>
                      <w:szCs w:val="21"/>
                    </w:rPr>
                    <w:t>~</w:t>
                  </w:r>
                  <w:r>
                    <w:rPr>
                      <w:rFonts w:hint="eastAsia"/>
                      <w:szCs w:val="21"/>
                      <w:lang w:val="en-US" w:eastAsia="zh-CN"/>
                    </w:rPr>
                    <w:t>16</w:t>
                  </w:r>
                  <w:r>
                    <w:rPr>
                      <w:szCs w:val="21"/>
                    </w:rPr>
                    <w:t>:</w:t>
                  </w:r>
                  <w:r>
                    <w:rPr>
                      <w:rFonts w:hint="eastAsia"/>
                      <w:szCs w:val="21"/>
                      <w:lang w:val="en-US" w:eastAsia="zh-CN"/>
                    </w:rPr>
                    <w:t>3</w:t>
                  </w:r>
                  <w:r>
                    <w:rPr>
                      <w:szCs w:val="21"/>
                    </w:rPr>
                    <w:t>0</w:t>
                  </w:r>
                </w:p>
              </w:tc>
              <w:tc>
                <w:tcPr>
                  <w:tcW w:w="389" w:type="pct"/>
                  <w:vAlign w:val="center"/>
                </w:tcPr>
                <w:p w14:paraId="435AEA26">
                  <w:pPr>
                    <w:widowControl/>
                    <w:jc w:val="center"/>
                    <w:textAlignment w:val="bottom"/>
                    <w:rPr>
                      <w:szCs w:val="21"/>
                    </w:rPr>
                  </w:pPr>
                  <w:r>
                    <w:rPr>
                      <w:szCs w:val="21"/>
                    </w:rPr>
                    <w:t>15~20</w:t>
                  </w:r>
                </w:p>
              </w:tc>
              <w:tc>
                <w:tcPr>
                  <w:tcW w:w="358" w:type="pct"/>
                  <w:vAlign w:val="center"/>
                </w:tcPr>
                <w:p w14:paraId="2917DA77">
                  <w:pPr>
                    <w:jc w:val="center"/>
                    <w:rPr>
                      <w:szCs w:val="21"/>
                    </w:rPr>
                  </w:pPr>
                  <w:r>
                    <w:rPr>
                      <w:rFonts w:hint="eastAsia"/>
                      <w:szCs w:val="21"/>
                    </w:rPr>
                    <w:t>55~65</w:t>
                  </w:r>
                </w:p>
              </w:tc>
              <w:tc>
                <w:tcPr>
                  <w:tcW w:w="342" w:type="pct"/>
                  <w:vMerge w:val="restart"/>
                  <w:vAlign w:val="center"/>
                </w:tcPr>
                <w:p w14:paraId="5E7C80C8">
                  <w:pPr>
                    <w:widowControl/>
                    <w:jc w:val="center"/>
                    <w:textAlignment w:val="center"/>
                    <w:rPr>
                      <w:szCs w:val="21"/>
                    </w:rPr>
                  </w:pPr>
                  <w:r>
                    <w:rPr>
                      <w:rFonts w:hint="eastAsia"/>
                      <w:szCs w:val="21"/>
                    </w:rPr>
                    <w:t>8</w:t>
                  </w:r>
                </w:p>
              </w:tc>
            </w:tr>
            <w:tr w14:paraId="1645A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8" w:type="pct"/>
                  <w:vAlign w:val="center"/>
                </w:tcPr>
                <w:p w14:paraId="1D5971FE">
                  <w:pPr>
                    <w:widowControl/>
                    <w:jc w:val="center"/>
                    <w:textAlignment w:val="bottom"/>
                    <w:rPr>
                      <w:szCs w:val="21"/>
                    </w:rPr>
                  </w:pPr>
                  <w:r>
                    <w:rPr>
                      <w:rFonts w:hint="eastAsia"/>
                      <w:szCs w:val="21"/>
                    </w:rPr>
                    <w:t>5</w:t>
                  </w:r>
                </w:p>
              </w:tc>
              <w:tc>
                <w:tcPr>
                  <w:tcW w:w="174" w:type="pct"/>
                  <w:vMerge w:val="continue"/>
                  <w:vAlign w:val="center"/>
                </w:tcPr>
                <w:p w14:paraId="7142310A">
                  <w:pPr>
                    <w:widowControl/>
                    <w:jc w:val="center"/>
                    <w:textAlignment w:val="center"/>
                    <w:rPr>
                      <w:szCs w:val="21"/>
                    </w:rPr>
                  </w:pPr>
                </w:p>
              </w:tc>
              <w:tc>
                <w:tcPr>
                  <w:tcW w:w="489" w:type="pct"/>
                  <w:vAlign w:val="center"/>
                </w:tcPr>
                <w:p w14:paraId="2D0F7268">
                  <w:pPr>
                    <w:widowControl/>
                    <w:jc w:val="center"/>
                    <w:textAlignment w:val="center"/>
                    <w:rPr>
                      <w:sz w:val="21"/>
                      <w:szCs w:val="21"/>
                    </w:rPr>
                  </w:pPr>
                  <w:r>
                    <w:rPr>
                      <w:rFonts w:hint="eastAsia"/>
                      <w:sz w:val="21"/>
                      <w:szCs w:val="21"/>
                      <w:lang w:bidi="ar"/>
                    </w:rPr>
                    <w:t>钻床</w:t>
                  </w:r>
                </w:p>
              </w:tc>
              <w:tc>
                <w:tcPr>
                  <w:tcW w:w="196" w:type="pct"/>
                  <w:vAlign w:val="center"/>
                </w:tcPr>
                <w:p w14:paraId="76CA95BB">
                  <w:pPr>
                    <w:widowControl/>
                    <w:jc w:val="center"/>
                    <w:textAlignment w:val="center"/>
                    <w:rPr>
                      <w:szCs w:val="21"/>
                    </w:rPr>
                  </w:pPr>
                  <w:r>
                    <w:rPr>
                      <w:rFonts w:hint="eastAsia"/>
                      <w:szCs w:val="21"/>
                    </w:rPr>
                    <w:t>/</w:t>
                  </w:r>
                </w:p>
              </w:tc>
              <w:tc>
                <w:tcPr>
                  <w:tcW w:w="358" w:type="pct"/>
                  <w:vAlign w:val="center"/>
                </w:tcPr>
                <w:p w14:paraId="54AB3269">
                  <w:pPr>
                    <w:jc w:val="center"/>
                    <w:rPr>
                      <w:szCs w:val="21"/>
                    </w:rPr>
                  </w:pPr>
                  <w:r>
                    <w:rPr>
                      <w:rFonts w:hint="eastAsia"/>
                      <w:szCs w:val="21"/>
                    </w:rPr>
                    <w:t>80~90</w:t>
                  </w:r>
                </w:p>
              </w:tc>
              <w:tc>
                <w:tcPr>
                  <w:tcW w:w="655" w:type="pct"/>
                  <w:vAlign w:val="center"/>
                </w:tcPr>
                <w:p w14:paraId="5E58099F">
                  <w:pPr>
                    <w:jc w:val="center"/>
                    <w:rPr>
                      <w:szCs w:val="21"/>
                    </w:rPr>
                  </w:pPr>
                  <w:r>
                    <w:rPr>
                      <w:szCs w:val="21"/>
                    </w:rPr>
                    <w:t>设备减振、厂房隔声</w:t>
                  </w:r>
                </w:p>
              </w:tc>
              <w:tc>
                <w:tcPr>
                  <w:tcW w:w="213" w:type="pct"/>
                  <w:vAlign w:val="center"/>
                </w:tcPr>
                <w:p w14:paraId="0B71366C">
                  <w:pPr>
                    <w:jc w:val="center"/>
                    <w:rPr>
                      <w:szCs w:val="21"/>
                    </w:rPr>
                  </w:pPr>
                  <w:r>
                    <w:rPr>
                      <w:rFonts w:hint="eastAsia"/>
                      <w:szCs w:val="21"/>
                    </w:rPr>
                    <w:t>24</w:t>
                  </w:r>
                </w:p>
              </w:tc>
              <w:tc>
                <w:tcPr>
                  <w:tcW w:w="248" w:type="pct"/>
                  <w:vAlign w:val="center"/>
                </w:tcPr>
                <w:p w14:paraId="50F9296F">
                  <w:pPr>
                    <w:jc w:val="center"/>
                    <w:rPr>
                      <w:szCs w:val="21"/>
                    </w:rPr>
                  </w:pPr>
                  <w:r>
                    <w:rPr>
                      <w:rFonts w:hint="eastAsia"/>
                      <w:szCs w:val="21"/>
                    </w:rPr>
                    <w:t>214</w:t>
                  </w:r>
                </w:p>
              </w:tc>
              <w:tc>
                <w:tcPr>
                  <w:tcW w:w="234" w:type="pct"/>
                  <w:vAlign w:val="center"/>
                </w:tcPr>
                <w:p w14:paraId="57BFD987">
                  <w:pPr>
                    <w:jc w:val="center"/>
                    <w:rPr>
                      <w:szCs w:val="21"/>
                    </w:rPr>
                  </w:pPr>
                  <w:r>
                    <w:rPr>
                      <w:rFonts w:hint="eastAsia"/>
                      <w:szCs w:val="21"/>
                    </w:rPr>
                    <w:t>4</w:t>
                  </w:r>
                </w:p>
              </w:tc>
              <w:tc>
                <w:tcPr>
                  <w:tcW w:w="225" w:type="pct"/>
                  <w:vAlign w:val="center"/>
                </w:tcPr>
                <w:p w14:paraId="5A3A145E">
                  <w:pPr>
                    <w:jc w:val="center"/>
                    <w:rPr>
                      <w:szCs w:val="21"/>
                    </w:rPr>
                  </w:pPr>
                  <w:r>
                    <w:rPr>
                      <w:rFonts w:hint="eastAsia"/>
                      <w:szCs w:val="21"/>
                    </w:rPr>
                    <w:t>14</w:t>
                  </w:r>
                </w:p>
              </w:tc>
              <w:tc>
                <w:tcPr>
                  <w:tcW w:w="358" w:type="pct"/>
                  <w:vAlign w:val="center"/>
                </w:tcPr>
                <w:p w14:paraId="6437773D">
                  <w:pPr>
                    <w:jc w:val="center"/>
                    <w:rPr>
                      <w:szCs w:val="21"/>
                    </w:rPr>
                  </w:pPr>
                  <w:r>
                    <w:rPr>
                      <w:rFonts w:hint="eastAsia"/>
                      <w:szCs w:val="21"/>
                    </w:rPr>
                    <w:t>75~85</w:t>
                  </w:r>
                </w:p>
              </w:tc>
              <w:tc>
                <w:tcPr>
                  <w:tcW w:w="627" w:type="pct"/>
                  <w:vAlign w:val="center"/>
                </w:tcPr>
                <w:p w14:paraId="40F0A9D8">
                  <w:pPr>
                    <w:jc w:val="center"/>
                    <w:rPr>
                      <w:szCs w:val="21"/>
                    </w:rPr>
                  </w:pPr>
                  <w:r>
                    <w:rPr>
                      <w:szCs w:val="21"/>
                    </w:rPr>
                    <w:t>0</w:t>
                  </w:r>
                  <w:r>
                    <w:rPr>
                      <w:rFonts w:hint="eastAsia"/>
                      <w:szCs w:val="21"/>
                      <w:lang w:val="en-US" w:eastAsia="zh-CN"/>
                    </w:rPr>
                    <w:t>8</w:t>
                  </w:r>
                  <w:r>
                    <w:rPr>
                      <w:szCs w:val="21"/>
                    </w:rPr>
                    <w:t>:</w:t>
                  </w:r>
                  <w:r>
                    <w:rPr>
                      <w:rFonts w:hint="eastAsia"/>
                      <w:szCs w:val="21"/>
                      <w:lang w:val="en-US" w:eastAsia="zh-CN"/>
                    </w:rPr>
                    <w:t>3</w:t>
                  </w:r>
                  <w:r>
                    <w:rPr>
                      <w:szCs w:val="21"/>
                    </w:rPr>
                    <w:t>0</w:t>
                  </w:r>
                  <w:r>
                    <w:rPr>
                      <w:rFonts w:hint="eastAsia"/>
                      <w:szCs w:val="21"/>
                    </w:rPr>
                    <w:t>~</w:t>
                  </w:r>
                  <w:r>
                    <w:rPr>
                      <w:rFonts w:hint="eastAsia"/>
                      <w:szCs w:val="21"/>
                      <w:lang w:val="en-US" w:eastAsia="zh-CN"/>
                    </w:rPr>
                    <w:t>16</w:t>
                  </w:r>
                  <w:r>
                    <w:rPr>
                      <w:szCs w:val="21"/>
                    </w:rPr>
                    <w:t>:</w:t>
                  </w:r>
                  <w:r>
                    <w:rPr>
                      <w:rFonts w:hint="eastAsia"/>
                      <w:szCs w:val="21"/>
                      <w:lang w:val="en-US" w:eastAsia="zh-CN"/>
                    </w:rPr>
                    <w:t>3</w:t>
                  </w:r>
                  <w:r>
                    <w:rPr>
                      <w:szCs w:val="21"/>
                    </w:rPr>
                    <w:t>0</w:t>
                  </w:r>
                </w:p>
              </w:tc>
              <w:tc>
                <w:tcPr>
                  <w:tcW w:w="389" w:type="pct"/>
                  <w:vAlign w:val="center"/>
                </w:tcPr>
                <w:p w14:paraId="02C311B2">
                  <w:pPr>
                    <w:widowControl/>
                    <w:jc w:val="center"/>
                    <w:textAlignment w:val="center"/>
                    <w:rPr>
                      <w:szCs w:val="21"/>
                    </w:rPr>
                  </w:pPr>
                  <w:r>
                    <w:rPr>
                      <w:szCs w:val="21"/>
                    </w:rPr>
                    <w:t>15~20</w:t>
                  </w:r>
                </w:p>
              </w:tc>
              <w:tc>
                <w:tcPr>
                  <w:tcW w:w="358" w:type="pct"/>
                  <w:vAlign w:val="center"/>
                </w:tcPr>
                <w:p w14:paraId="512181E9">
                  <w:pPr>
                    <w:jc w:val="center"/>
                    <w:rPr>
                      <w:szCs w:val="21"/>
                    </w:rPr>
                  </w:pPr>
                  <w:r>
                    <w:rPr>
                      <w:rFonts w:hint="eastAsia"/>
                      <w:szCs w:val="21"/>
                    </w:rPr>
                    <w:t>60~70</w:t>
                  </w:r>
                </w:p>
              </w:tc>
              <w:tc>
                <w:tcPr>
                  <w:tcW w:w="342" w:type="pct"/>
                  <w:vMerge w:val="continue"/>
                  <w:vAlign w:val="center"/>
                </w:tcPr>
                <w:p w14:paraId="739B1201">
                  <w:pPr>
                    <w:widowControl/>
                    <w:jc w:val="center"/>
                    <w:textAlignment w:val="center"/>
                    <w:rPr>
                      <w:szCs w:val="21"/>
                    </w:rPr>
                  </w:pPr>
                </w:p>
              </w:tc>
            </w:tr>
            <w:tr w14:paraId="37CCA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8" w:type="pct"/>
                  <w:vAlign w:val="center"/>
                </w:tcPr>
                <w:p w14:paraId="4EB2C8BD">
                  <w:pPr>
                    <w:widowControl/>
                    <w:jc w:val="center"/>
                    <w:textAlignment w:val="bottom"/>
                    <w:rPr>
                      <w:szCs w:val="21"/>
                    </w:rPr>
                  </w:pPr>
                  <w:r>
                    <w:rPr>
                      <w:rFonts w:hint="eastAsia"/>
                      <w:szCs w:val="21"/>
                    </w:rPr>
                    <w:t>6</w:t>
                  </w:r>
                </w:p>
              </w:tc>
              <w:tc>
                <w:tcPr>
                  <w:tcW w:w="174" w:type="pct"/>
                  <w:vMerge w:val="continue"/>
                  <w:vAlign w:val="center"/>
                </w:tcPr>
                <w:p w14:paraId="32FCB1D4">
                  <w:pPr>
                    <w:widowControl/>
                    <w:jc w:val="center"/>
                    <w:textAlignment w:val="center"/>
                    <w:rPr>
                      <w:szCs w:val="21"/>
                    </w:rPr>
                  </w:pPr>
                </w:p>
              </w:tc>
              <w:tc>
                <w:tcPr>
                  <w:tcW w:w="489" w:type="pct"/>
                  <w:vAlign w:val="center"/>
                </w:tcPr>
                <w:p w14:paraId="1DCD594A">
                  <w:pPr>
                    <w:widowControl/>
                    <w:jc w:val="center"/>
                    <w:textAlignment w:val="center"/>
                    <w:rPr>
                      <w:sz w:val="21"/>
                      <w:szCs w:val="21"/>
                    </w:rPr>
                  </w:pPr>
                  <w:r>
                    <w:rPr>
                      <w:rFonts w:hint="eastAsia"/>
                      <w:sz w:val="21"/>
                      <w:szCs w:val="21"/>
                      <w:lang w:bidi="ar"/>
                    </w:rPr>
                    <w:t>铣床</w:t>
                  </w:r>
                </w:p>
              </w:tc>
              <w:tc>
                <w:tcPr>
                  <w:tcW w:w="196" w:type="pct"/>
                  <w:vAlign w:val="center"/>
                </w:tcPr>
                <w:p w14:paraId="17D5F28B">
                  <w:pPr>
                    <w:widowControl/>
                    <w:jc w:val="center"/>
                    <w:textAlignment w:val="center"/>
                    <w:rPr>
                      <w:szCs w:val="21"/>
                    </w:rPr>
                  </w:pPr>
                </w:p>
              </w:tc>
              <w:tc>
                <w:tcPr>
                  <w:tcW w:w="358" w:type="pct"/>
                  <w:vAlign w:val="center"/>
                </w:tcPr>
                <w:p w14:paraId="61850C75">
                  <w:pPr>
                    <w:jc w:val="center"/>
                    <w:rPr>
                      <w:szCs w:val="21"/>
                    </w:rPr>
                  </w:pPr>
                  <w:r>
                    <w:rPr>
                      <w:rFonts w:hint="eastAsia"/>
                      <w:szCs w:val="21"/>
                    </w:rPr>
                    <w:t>75</w:t>
                  </w:r>
                  <w:r>
                    <w:rPr>
                      <w:szCs w:val="21"/>
                    </w:rPr>
                    <w:t>~</w:t>
                  </w:r>
                  <w:r>
                    <w:rPr>
                      <w:rFonts w:hint="eastAsia"/>
                      <w:szCs w:val="21"/>
                    </w:rPr>
                    <w:t>85</w:t>
                  </w:r>
                </w:p>
              </w:tc>
              <w:tc>
                <w:tcPr>
                  <w:tcW w:w="655" w:type="pct"/>
                  <w:vAlign w:val="center"/>
                </w:tcPr>
                <w:p w14:paraId="65685E01">
                  <w:pPr>
                    <w:jc w:val="center"/>
                    <w:rPr>
                      <w:szCs w:val="21"/>
                    </w:rPr>
                  </w:pPr>
                  <w:r>
                    <w:rPr>
                      <w:szCs w:val="21"/>
                    </w:rPr>
                    <w:t>设备减振、厂房隔声</w:t>
                  </w:r>
                </w:p>
              </w:tc>
              <w:tc>
                <w:tcPr>
                  <w:tcW w:w="213" w:type="pct"/>
                  <w:vAlign w:val="center"/>
                </w:tcPr>
                <w:p w14:paraId="1D2E9D1E">
                  <w:pPr>
                    <w:jc w:val="center"/>
                    <w:rPr>
                      <w:szCs w:val="21"/>
                    </w:rPr>
                  </w:pPr>
                  <w:r>
                    <w:rPr>
                      <w:rFonts w:hint="eastAsia"/>
                      <w:szCs w:val="21"/>
                    </w:rPr>
                    <w:t>64</w:t>
                  </w:r>
                </w:p>
              </w:tc>
              <w:tc>
                <w:tcPr>
                  <w:tcW w:w="248" w:type="pct"/>
                  <w:vAlign w:val="center"/>
                </w:tcPr>
                <w:p w14:paraId="0AAE3274">
                  <w:pPr>
                    <w:jc w:val="center"/>
                    <w:rPr>
                      <w:szCs w:val="21"/>
                    </w:rPr>
                  </w:pPr>
                  <w:r>
                    <w:rPr>
                      <w:rFonts w:hint="eastAsia"/>
                      <w:szCs w:val="21"/>
                    </w:rPr>
                    <w:t>198</w:t>
                  </w:r>
                </w:p>
              </w:tc>
              <w:tc>
                <w:tcPr>
                  <w:tcW w:w="234" w:type="pct"/>
                  <w:vAlign w:val="center"/>
                </w:tcPr>
                <w:p w14:paraId="4CC97BF1">
                  <w:pPr>
                    <w:jc w:val="center"/>
                    <w:rPr>
                      <w:szCs w:val="21"/>
                    </w:rPr>
                  </w:pPr>
                  <w:r>
                    <w:rPr>
                      <w:rFonts w:hint="eastAsia"/>
                      <w:szCs w:val="21"/>
                    </w:rPr>
                    <w:t>1.5</w:t>
                  </w:r>
                </w:p>
              </w:tc>
              <w:tc>
                <w:tcPr>
                  <w:tcW w:w="225" w:type="pct"/>
                  <w:vAlign w:val="center"/>
                </w:tcPr>
                <w:p w14:paraId="07F8D41B">
                  <w:pPr>
                    <w:jc w:val="center"/>
                    <w:rPr>
                      <w:szCs w:val="21"/>
                    </w:rPr>
                  </w:pPr>
                  <w:r>
                    <w:rPr>
                      <w:rFonts w:hint="eastAsia"/>
                      <w:szCs w:val="21"/>
                    </w:rPr>
                    <w:t>12</w:t>
                  </w:r>
                </w:p>
              </w:tc>
              <w:tc>
                <w:tcPr>
                  <w:tcW w:w="358" w:type="pct"/>
                  <w:vAlign w:val="center"/>
                </w:tcPr>
                <w:p w14:paraId="0BED7A84">
                  <w:pPr>
                    <w:jc w:val="center"/>
                    <w:rPr>
                      <w:szCs w:val="21"/>
                    </w:rPr>
                  </w:pPr>
                  <w:r>
                    <w:rPr>
                      <w:rFonts w:hint="eastAsia"/>
                      <w:szCs w:val="21"/>
                    </w:rPr>
                    <w:t>70~80</w:t>
                  </w:r>
                </w:p>
              </w:tc>
              <w:tc>
                <w:tcPr>
                  <w:tcW w:w="627" w:type="pct"/>
                  <w:vAlign w:val="center"/>
                </w:tcPr>
                <w:p w14:paraId="67BAC90A">
                  <w:pPr>
                    <w:jc w:val="center"/>
                    <w:rPr>
                      <w:szCs w:val="21"/>
                    </w:rPr>
                  </w:pPr>
                  <w:r>
                    <w:rPr>
                      <w:szCs w:val="21"/>
                    </w:rPr>
                    <w:t>0</w:t>
                  </w:r>
                  <w:r>
                    <w:rPr>
                      <w:rFonts w:hint="eastAsia"/>
                      <w:szCs w:val="21"/>
                      <w:lang w:val="en-US" w:eastAsia="zh-CN"/>
                    </w:rPr>
                    <w:t>8</w:t>
                  </w:r>
                  <w:r>
                    <w:rPr>
                      <w:szCs w:val="21"/>
                    </w:rPr>
                    <w:t>:</w:t>
                  </w:r>
                  <w:r>
                    <w:rPr>
                      <w:rFonts w:hint="eastAsia"/>
                      <w:szCs w:val="21"/>
                      <w:lang w:val="en-US" w:eastAsia="zh-CN"/>
                    </w:rPr>
                    <w:t>3</w:t>
                  </w:r>
                  <w:r>
                    <w:rPr>
                      <w:szCs w:val="21"/>
                    </w:rPr>
                    <w:t>0</w:t>
                  </w:r>
                  <w:r>
                    <w:rPr>
                      <w:rFonts w:hint="eastAsia"/>
                      <w:szCs w:val="21"/>
                    </w:rPr>
                    <w:t>~</w:t>
                  </w:r>
                  <w:r>
                    <w:rPr>
                      <w:rFonts w:hint="eastAsia"/>
                      <w:szCs w:val="21"/>
                      <w:lang w:val="en-US" w:eastAsia="zh-CN"/>
                    </w:rPr>
                    <w:t>16</w:t>
                  </w:r>
                  <w:r>
                    <w:rPr>
                      <w:szCs w:val="21"/>
                    </w:rPr>
                    <w:t>:</w:t>
                  </w:r>
                  <w:r>
                    <w:rPr>
                      <w:rFonts w:hint="eastAsia"/>
                      <w:szCs w:val="21"/>
                      <w:lang w:val="en-US" w:eastAsia="zh-CN"/>
                    </w:rPr>
                    <w:t>3</w:t>
                  </w:r>
                  <w:r>
                    <w:rPr>
                      <w:szCs w:val="21"/>
                    </w:rPr>
                    <w:t>0</w:t>
                  </w:r>
                </w:p>
              </w:tc>
              <w:tc>
                <w:tcPr>
                  <w:tcW w:w="389" w:type="pct"/>
                  <w:vAlign w:val="center"/>
                </w:tcPr>
                <w:p w14:paraId="69C4958D">
                  <w:pPr>
                    <w:widowControl/>
                    <w:jc w:val="center"/>
                    <w:textAlignment w:val="bottom"/>
                    <w:rPr>
                      <w:szCs w:val="21"/>
                    </w:rPr>
                  </w:pPr>
                  <w:r>
                    <w:rPr>
                      <w:szCs w:val="21"/>
                    </w:rPr>
                    <w:t>15~20</w:t>
                  </w:r>
                </w:p>
              </w:tc>
              <w:tc>
                <w:tcPr>
                  <w:tcW w:w="358" w:type="pct"/>
                  <w:vAlign w:val="center"/>
                </w:tcPr>
                <w:p w14:paraId="392C43C7">
                  <w:pPr>
                    <w:jc w:val="center"/>
                    <w:rPr>
                      <w:szCs w:val="21"/>
                    </w:rPr>
                  </w:pPr>
                  <w:r>
                    <w:rPr>
                      <w:rFonts w:hint="eastAsia"/>
                      <w:szCs w:val="21"/>
                    </w:rPr>
                    <w:t>55~65</w:t>
                  </w:r>
                </w:p>
              </w:tc>
              <w:tc>
                <w:tcPr>
                  <w:tcW w:w="342" w:type="pct"/>
                  <w:vMerge w:val="continue"/>
                  <w:vAlign w:val="center"/>
                </w:tcPr>
                <w:p w14:paraId="29AED7DC">
                  <w:pPr>
                    <w:widowControl/>
                    <w:jc w:val="center"/>
                    <w:textAlignment w:val="center"/>
                    <w:rPr>
                      <w:szCs w:val="21"/>
                    </w:rPr>
                  </w:pPr>
                </w:p>
              </w:tc>
            </w:tr>
            <w:tr w14:paraId="47AFE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8" w:type="pct"/>
                  <w:vAlign w:val="center"/>
                </w:tcPr>
                <w:p w14:paraId="45122A21">
                  <w:pPr>
                    <w:widowControl/>
                    <w:jc w:val="center"/>
                    <w:textAlignment w:val="bottom"/>
                    <w:rPr>
                      <w:szCs w:val="21"/>
                    </w:rPr>
                  </w:pPr>
                  <w:r>
                    <w:rPr>
                      <w:rFonts w:hint="eastAsia"/>
                      <w:szCs w:val="21"/>
                    </w:rPr>
                    <w:t>7</w:t>
                  </w:r>
                </w:p>
              </w:tc>
              <w:tc>
                <w:tcPr>
                  <w:tcW w:w="174" w:type="pct"/>
                  <w:vMerge w:val="continue"/>
                  <w:vAlign w:val="center"/>
                </w:tcPr>
                <w:p w14:paraId="53142200">
                  <w:pPr>
                    <w:widowControl/>
                    <w:jc w:val="center"/>
                    <w:textAlignment w:val="center"/>
                    <w:rPr>
                      <w:szCs w:val="21"/>
                    </w:rPr>
                  </w:pPr>
                </w:p>
              </w:tc>
              <w:tc>
                <w:tcPr>
                  <w:tcW w:w="489" w:type="pct"/>
                  <w:vAlign w:val="center"/>
                </w:tcPr>
                <w:p w14:paraId="4B77BF04">
                  <w:pPr>
                    <w:widowControl/>
                    <w:jc w:val="center"/>
                    <w:textAlignment w:val="center"/>
                    <w:rPr>
                      <w:sz w:val="21"/>
                      <w:szCs w:val="21"/>
                    </w:rPr>
                  </w:pPr>
                  <w:r>
                    <w:rPr>
                      <w:rFonts w:hint="eastAsia"/>
                      <w:sz w:val="21"/>
                      <w:szCs w:val="21"/>
                      <w:lang w:bidi="ar"/>
                    </w:rPr>
                    <w:t>空压机</w:t>
                  </w:r>
                </w:p>
              </w:tc>
              <w:tc>
                <w:tcPr>
                  <w:tcW w:w="196" w:type="pct"/>
                  <w:vAlign w:val="center"/>
                </w:tcPr>
                <w:p w14:paraId="1C6241F3">
                  <w:pPr>
                    <w:widowControl/>
                    <w:jc w:val="center"/>
                    <w:textAlignment w:val="center"/>
                    <w:rPr>
                      <w:szCs w:val="21"/>
                    </w:rPr>
                  </w:pPr>
                </w:p>
              </w:tc>
              <w:tc>
                <w:tcPr>
                  <w:tcW w:w="358" w:type="pct"/>
                  <w:vAlign w:val="center"/>
                </w:tcPr>
                <w:p w14:paraId="4086C406">
                  <w:pPr>
                    <w:jc w:val="center"/>
                    <w:rPr>
                      <w:szCs w:val="21"/>
                    </w:rPr>
                  </w:pPr>
                  <w:r>
                    <w:rPr>
                      <w:rFonts w:hint="eastAsia"/>
                      <w:szCs w:val="21"/>
                    </w:rPr>
                    <w:t>75</w:t>
                  </w:r>
                  <w:r>
                    <w:rPr>
                      <w:szCs w:val="21"/>
                    </w:rPr>
                    <w:t>~</w:t>
                  </w:r>
                  <w:r>
                    <w:rPr>
                      <w:rFonts w:hint="eastAsia"/>
                      <w:szCs w:val="21"/>
                    </w:rPr>
                    <w:t>85</w:t>
                  </w:r>
                </w:p>
              </w:tc>
              <w:tc>
                <w:tcPr>
                  <w:tcW w:w="655" w:type="pct"/>
                  <w:vAlign w:val="center"/>
                </w:tcPr>
                <w:p w14:paraId="3C7B6963">
                  <w:pPr>
                    <w:jc w:val="center"/>
                    <w:rPr>
                      <w:szCs w:val="21"/>
                    </w:rPr>
                  </w:pPr>
                  <w:r>
                    <w:rPr>
                      <w:szCs w:val="21"/>
                    </w:rPr>
                    <w:t>设备减振、厂房隔声</w:t>
                  </w:r>
                </w:p>
              </w:tc>
              <w:tc>
                <w:tcPr>
                  <w:tcW w:w="213" w:type="pct"/>
                  <w:vAlign w:val="center"/>
                </w:tcPr>
                <w:p w14:paraId="137A66F2">
                  <w:pPr>
                    <w:jc w:val="center"/>
                    <w:rPr>
                      <w:szCs w:val="21"/>
                    </w:rPr>
                  </w:pPr>
                  <w:r>
                    <w:rPr>
                      <w:rFonts w:hint="eastAsia"/>
                      <w:szCs w:val="21"/>
                    </w:rPr>
                    <w:t>68</w:t>
                  </w:r>
                </w:p>
              </w:tc>
              <w:tc>
                <w:tcPr>
                  <w:tcW w:w="248" w:type="pct"/>
                  <w:vAlign w:val="center"/>
                </w:tcPr>
                <w:p w14:paraId="6DC246F8">
                  <w:pPr>
                    <w:jc w:val="center"/>
                    <w:rPr>
                      <w:szCs w:val="21"/>
                    </w:rPr>
                  </w:pPr>
                  <w:r>
                    <w:rPr>
                      <w:rFonts w:hint="eastAsia"/>
                      <w:szCs w:val="21"/>
                    </w:rPr>
                    <w:t>184</w:t>
                  </w:r>
                </w:p>
              </w:tc>
              <w:tc>
                <w:tcPr>
                  <w:tcW w:w="234" w:type="pct"/>
                  <w:vAlign w:val="center"/>
                </w:tcPr>
                <w:p w14:paraId="583EFEE2">
                  <w:pPr>
                    <w:jc w:val="center"/>
                    <w:rPr>
                      <w:szCs w:val="21"/>
                    </w:rPr>
                  </w:pPr>
                  <w:r>
                    <w:rPr>
                      <w:rFonts w:hint="eastAsia"/>
                      <w:szCs w:val="21"/>
                    </w:rPr>
                    <w:t>2</w:t>
                  </w:r>
                </w:p>
              </w:tc>
              <w:tc>
                <w:tcPr>
                  <w:tcW w:w="225" w:type="pct"/>
                  <w:vAlign w:val="center"/>
                </w:tcPr>
                <w:p w14:paraId="1D42EC46">
                  <w:pPr>
                    <w:jc w:val="center"/>
                    <w:rPr>
                      <w:szCs w:val="21"/>
                    </w:rPr>
                  </w:pPr>
                  <w:r>
                    <w:rPr>
                      <w:rFonts w:hint="eastAsia"/>
                      <w:szCs w:val="21"/>
                    </w:rPr>
                    <w:t>6</w:t>
                  </w:r>
                </w:p>
              </w:tc>
              <w:tc>
                <w:tcPr>
                  <w:tcW w:w="358" w:type="pct"/>
                  <w:vAlign w:val="center"/>
                </w:tcPr>
                <w:p w14:paraId="30FDC228">
                  <w:pPr>
                    <w:jc w:val="center"/>
                    <w:rPr>
                      <w:szCs w:val="21"/>
                    </w:rPr>
                  </w:pPr>
                  <w:r>
                    <w:rPr>
                      <w:rFonts w:hint="eastAsia"/>
                      <w:szCs w:val="21"/>
                    </w:rPr>
                    <w:t>70~80</w:t>
                  </w:r>
                </w:p>
              </w:tc>
              <w:tc>
                <w:tcPr>
                  <w:tcW w:w="627" w:type="pct"/>
                  <w:vAlign w:val="center"/>
                </w:tcPr>
                <w:p w14:paraId="19263277">
                  <w:pPr>
                    <w:jc w:val="center"/>
                    <w:rPr>
                      <w:szCs w:val="21"/>
                    </w:rPr>
                  </w:pPr>
                  <w:r>
                    <w:rPr>
                      <w:szCs w:val="21"/>
                    </w:rPr>
                    <w:t>0</w:t>
                  </w:r>
                  <w:r>
                    <w:rPr>
                      <w:rFonts w:hint="eastAsia"/>
                      <w:szCs w:val="21"/>
                      <w:lang w:val="en-US" w:eastAsia="zh-CN"/>
                    </w:rPr>
                    <w:t>8</w:t>
                  </w:r>
                  <w:r>
                    <w:rPr>
                      <w:szCs w:val="21"/>
                    </w:rPr>
                    <w:t>:</w:t>
                  </w:r>
                  <w:r>
                    <w:rPr>
                      <w:rFonts w:hint="eastAsia"/>
                      <w:szCs w:val="21"/>
                      <w:lang w:val="en-US" w:eastAsia="zh-CN"/>
                    </w:rPr>
                    <w:t>3</w:t>
                  </w:r>
                  <w:r>
                    <w:rPr>
                      <w:szCs w:val="21"/>
                    </w:rPr>
                    <w:t>0</w:t>
                  </w:r>
                  <w:r>
                    <w:rPr>
                      <w:rFonts w:hint="eastAsia"/>
                      <w:szCs w:val="21"/>
                    </w:rPr>
                    <w:t>~</w:t>
                  </w:r>
                  <w:r>
                    <w:rPr>
                      <w:rFonts w:hint="eastAsia"/>
                      <w:szCs w:val="21"/>
                      <w:lang w:val="en-US" w:eastAsia="zh-CN"/>
                    </w:rPr>
                    <w:t>16</w:t>
                  </w:r>
                  <w:r>
                    <w:rPr>
                      <w:szCs w:val="21"/>
                    </w:rPr>
                    <w:t>:</w:t>
                  </w:r>
                  <w:r>
                    <w:rPr>
                      <w:rFonts w:hint="eastAsia"/>
                      <w:szCs w:val="21"/>
                      <w:lang w:val="en-US" w:eastAsia="zh-CN"/>
                    </w:rPr>
                    <w:t>3</w:t>
                  </w:r>
                  <w:r>
                    <w:rPr>
                      <w:szCs w:val="21"/>
                    </w:rPr>
                    <w:t>0</w:t>
                  </w:r>
                </w:p>
              </w:tc>
              <w:tc>
                <w:tcPr>
                  <w:tcW w:w="389" w:type="pct"/>
                  <w:vAlign w:val="center"/>
                </w:tcPr>
                <w:p w14:paraId="00883040">
                  <w:pPr>
                    <w:widowControl/>
                    <w:jc w:val="center"/>
                    <w:textAlignment w:val="bottom"/>
                    <w:rPr>
                      <w:szCs w:val="21"/>
                    </w:rPr>
                  </w:pPr>
                  <w:r>
                    <w:rPr>
                      <w:szCs w:val="21"/>
                    </w:rPr>
                    <w:t>15~20</w:t>
                  </w:r>
                </w:p>
              </w:tc>
              <w:tc>
                <w:tcPr>
                  <w:tcW w:w="358" w:type="pct"/>
                  <w:vAlign w:val="center"/>
                </w:tcPr>
                <w:p w14:paraId="7B73A603">
                  <w:pPr>
                    <w:jc w:val="center"/>
                    <w:rPr>
                      <w:szCs w:val="21"/>
                    </w:rPr>
                  </w:pPr>
                  <w:r>
                    <w:rPr>
                      <w:rFonts w:hint="eastAsia"/>
                      <w:szCs w:val="21"/>
                    </w:rPr>
                    <w:t>55~65</w:t>
                  </w:r>
                </w:p>
              </w:tc>
              <w:tc>
                <w:tcPr>
                  <w:tcW w:w="342" w:type="pct"/>
                  <w:vMerge w:val="continue"/>
                  <w:vAlign w:val="center"/>
                </w:tcPr>
                <w:p w14:paraId="4D541346">
                  <w:pPr>
                    <w:widowControl/>
                    <w:jc w:val="center"/>
                    <w:textAlignment w:val="center"/>
                    <w:rPr>
                      <w:szCs w:val="21"/>
                    </w:rPr>
                  </w:pPr>
                </w:p>
              </w:tc>
            </w:tr>
            <w:tr w14:paraId="5C667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8" w:type="pct"/>
                  <w:vAlign w:val="center"/>
                </w:tcPr>
                <w:p w14:paraId="2CDEBE28">
                  <w:pPr>
                    <w:widowControl/>
                    <w:jc w:val="center"/>
                    <w:textAlignment w:val="bottom"/>
                    <w:rPr>
                      <w:szCs w:val="21"/>
                    </w:rPr>
                  </w:pPr>
                  <w:r>
                    <w:rPr>
                      <w:rFonts w:hint="eastAsia"/>
                      <w:szCs w:val="21"/>
                    </w:rPr>
                    <w:t>8</w:t>
                  </w:r>
                </w:p>
              </w:tc>
              <w:tc>
                <w:tcPr>
                  <w:tcW w:w="174" w:type="pct"/>
                  <w:vMerge w:val="continue"/>
                  <w:vAlign w:val="center"/>
                </w:tcPr>
                <w:p w14:paraId="431E6C28">
                  <w:pPr>
                    <w:widowControl/>
                    <w:jc w:val="center"/>
                    <w:textAlignment w:val="center"/>
                    <w:rPr>
                      <w:szCs w:val="21"/>
                    </w:rPr>
                  </w:pPr>
                </w:p>
              </w:tc>
              <w:tc>
                <w:tcPr>
                  <w:tcW w:w="489" w:type="pct"/>
                  <w:vAlign w:val="center"/>
                </w:tcPr>
                <w:p w14:paraId="041AA431">
                  <w:pPr>
                    <w:widowControl/>
                    <w:jc w:val="center"/>
                    <w:textAlignment w:val="center"/>
                    <w:rPr>
                      <w:sz w:val="21"/>
                      <w:szCs w:val="21"/>
                    </w:rPr>
                  </w:pPr>
                  <w:r>
                    <w:rPr>
                      <w:rFonts w:hint="eastAsia"/>
                      <w:sz w:val="21"/>
                      <w:szCs w:val="21"/>
                      <w:lang w:bidi="ar"/>
                    </w:rPr>
                    <w:t>线切割机床</w:t>
                  </w:r>
                </w:p>
              </w:tc>
              <w:tc>
                <w:tcPr>
                  <w:tcW w:w="196" w:type="pct"/>
                  <w:vAlign w:val="center"/>
                </w:tcPr>
                <w:p w14:paraId="2FA09B8F">
                  <w:pPr>
                    <w:widowControl/>
                    <w:jc w:val="center"/>
                    <w:textAlignment w:val="center"/>
                    <w:rPr>
                      <w:szCs w:val="21"/>
                    </w:rPr>
                  </w:pPr>
                </w:p>
              </w:tc>
              <w:tc>
                <w:tcPr>
                  <w:tcW w:w="358" w:type="pct"/>
                  <w:vAlign w:val="center"/>
                </w:tcPr>
                <w:p w14:paraId="133FE74F">
                  <w:pPr>
                    <w:jc w:val="center"/>
                    <w:rPr>
                      <w:szCs w:val="21"/>
                    </w:rPr>
                  </w:pPr>
                  <w:r>
                    <w:rPr>
                      <w:rFonts w:hint="eastAsia"/>
                      <w:szCs w:val="21"/>
                    </w:rPr>
                    <w:t>80~90</w:t>
                  </w:r>
                </w:p>
              </w:tc>
              <w:tc>
                <w:tcPr>
                  <w:tcW w:w="655" w:type="pct"/>
                  <w:vAlign w:val="center"/>
                </w:tcPr>
                <w:p w14:paraId="22EF73EE">
                  <w:pPr>
                    <w:jc w:val="center"/>
                    <w:rPr>
                      <w:szCs w:val="21"/>
                    </w:rPr>
                  </w:pPr>
                  <w:r>
                    <w:rPr>
                      <w:szCs w:val="21"/>
                    </w:rPr>
                    <w:t>设备减振</w:t>
                  </w:r>
                  <w:r>
                    <w:rPr>
                      <w:rFonts w:hint="eastAsia"/>
                      <w:szCs w:val="21"/>
                    </w:rPr>
                    <w:t>、厂房隔声</w:t>
                  </w:r>
                </w:p>
              </w:tc>
              <w:tc>
                <w:tcPr>
                  <w:tcW w:w="213" w:type="pct"/>
                  <w:vAlign w:val="center"/>
                </w:tcPr>
                <w:p w14:paraId="7D9D8976">
                  <w:pPr>
                    <w:jc w:val="center"/>
                    <w:rPr>
                      <w:szCs w:val="21"/>
                    </w:rPr>
                  </w:pPr>
                  <w:r>
                    <w:rPr>
                      <w:rFonts w:hint="eastAsia"/>
                      <w:szCs w:val="21"/>
                    </w:rPr>
                    <w:t>82</w:t>
                  </w:r>
                </w:p>
              </w:tc>
              <w:tc>
                <w:tcPr>
                  <w:tcW w:w="248" w:type="pct"/>
                  <w:vAlign w:val="center"/>
                </w:tcPr>
                <w:p w14:paraId="3754782B">
                  <w:pPr>
                    <w:jc w:val="center"/>
                    <w:rPr>
                      <w:szCs w:val="21"/>
                    </w:rPr>
                  </w:pPr>
                  <w:r>
                    <w:rPr>
                      <w:rFonts w:hint="eastAsia"/>
                      <w:szCs w:val="21"/>
                    </w:rPr>
                    <w:t>184</w:t>
                  </w:r>
                </w:p>
              </w:tc>
              <w:tc>
                <w:tcPr>
                  <w:tcW w:w="234" w:type="pct"/>
                  <w:vAlign w:val="center"/>
                </w:tcPr>
                <w:p w14:paraId="7FD59F97">
                  <w:pPr>
                    <w:jc w:val="center"/>
                    <w:rPr>
                      <w:szCs w:val="21"/>
                    </w:rPr>
                  </w:pPr>
                  <w:r>
                    <w:rPr>
                      <w:rFonts w:hint="eastAsia"/>
                      <w:szCs w:val="21"/>
                    </w:rPr>
                    <w:t>4</w:t>
                  </w:r>
                </w:p>
              </w:tc>
              <w:tc>
                <w:tcPr>
                  <w:tcW w:w="225" w:type="pct"/>
                  <w:vAlign w:val="center"/>
                </w:tcPr>
                <w:p w14:paraId="7A77C26B">
                  <w:pPr>
                    <w:jc w:val="center"/>
                    <w:rPr>
                      <w:szCs w:val="21"/>
                    </w:rPr>
                  </w:pPr>
                  <w:r>
                    <w:rPr>
                      <w:rFonts w:hint="eastAsia"/>
                      <w:szCs w:val="21"/>
                    </w:rPr>
                    <w:t>6</w:t>
                  </w:r>
                </w:p>
              </w:tc>
              <w:tc>
                <w:tcPr>
                  <w:tcW w:w="358" w:type="pct"/>
                  <w:vAlign w:val="center"/>
                </w:tcPr>
                <w:p w14:paraId="5A64CF87">
                  <w:pPr>
                    <w:jc w:val="center"/>
                    <w:rPr>
                      <w:szCs w:val="21"/>
                    </w:rPr>
                  </w:pPr>
                  <w:r>
                    <w:rPr>
                      <w:rFonts w:hint="eastAsia"/>
                      <w:szCs w:val="21"/>
                    </w:rPr>
                    <w:t>75~85</w:t>
                  </w:r>
                </w:p>
              </w:tc>
              <w:tc>
                <w:tcPr>
                  <w:tcW w:w="627" w:type="pct"/>
                  <w:vAlign w:val="center"/>
                </w:tcPr>
                <w:p w14:paraId="3F6817F9">
                  <w:pPr>
                    <w:jc w:val="center"/>
                    <w:rPr>
                      <w:szCs w:val="21"/>
                    </w:rPr>
                  </w:pPr>
                  <w:r>
                    <w:rPr>
                      <w:szCs w:val="21"/>
                    </w:rPr>
                    <w:t>0</w:t>
                  </w:r>
                  <w:r>
                    <w:rPr>
                      <w:rFonts w:hint="eastAsia"/>
                      <w:szCs w:val="21"/>
                      <w:lang w:val="en-US" w:eastAsia="zh-CN"/>
                    </w:rPr>
                    <w:t>8</w:t>
                  </w:r>
                  <w:r>
                    <w:rPr>
                      <w:szCs w:val="21"/>
                    </w:rPr>
                    <w:t>:</w:t>
                  </w:r>
                  <w:r>
                    <w:rPr>
                      <w:rFonts w:hint="eastAsia"/>
                      <w:szCs w:val="21"/>
                      <w:lang w:val="en-US" w:eastAsia="zh-CN"/>
                    </w:rPr>
                    <w:t>3</w:t>
                  </w:r>
                  <w:r>
                    <w:rPr>
                      <w:szCs w:val="21"/>
                    </w:rPr>
                    <w:t>0</w:t>
                  </w:r>
                  <w:r>
                    <w:rPr>
                      <w:rFonts w:hint="eastAsia"/>
                      <w:szCs w:val="21"/>
                    </w:rPr>
                    <w:t>~</w:t>
                  </w:r>
                  <w:r>
                    <w:rPr>
                      <w:rFonts w:hint="eastAsia"/>
                      <w:szCs w:val="21"/>
                      <w:lang w:val="en-US" w:eastAsia="zh-CN"/>
                    </w:rPr>
                    <w:t>16</w:t>
                  </w:r>
                  <w:r>
                    <w:rPr>
                      <w:szCs w:val="21"/>
                    </w:rPr>
                    <w:t>:</w:t>
                  </w:r>
                  <w:r>
                    <w:rPr>
                      <w:rFonts w:hint="eastAsia"/>
                      <w:szCs w:val="21"/>
                      <w:lang w:val="en-US" w:eastAsia="zh-CN"/>
                    </w:rPr>
                    <w:t>3</w:t>
                  </w:r>
                  <w:r>
                    <w:rPr>
                      <w:szCs w:val="21"/>
                    </w:rPr>
                    <w:t>0</w:t>
                  </w:r>
                </w:p>
              </w:tc>
              <w:tc>
                <w:tcPr>
                  <w:tcW w:w="389" w:type="pct"/>
                  <w:vAlign w:val="center"/>
                </w:tcPr>
                <w:p w14:paraId="6816B539">
                  <w:pPr>
                    <w:widowControl/>
                    <w:jc w:val="center"/>
                    <w:textAlignment w:val="center"/>
                    <w:rPr>
                      <w:szCs w:val="21"/>
                    </w:rPr>
                  </w:pPr>
                  <w:r>
                    <w:rPr>
                      <w:szCs w:val="21"/>
                    </w:rPr>
                    <w:t>15~20</w:t>
                  </w:r>
                </w:p>
              </w:tc>
              <w:tc>
                <w:tcPr>
                  <w:tcW w:w="358" w:type="pct"/>
                  <w:vAlign w:val="center"/>
                </w:tcPr>
                <w:p w14:paraId="0407D37E">
                  <w:pPr>
                    <w:jc w:val="center"/>
                    <w:rPr>
                      <w:szCs w:val="21"/>
                    </w:rPr>
                  </w:pPr>
                  <w:r>
                    <w:rPr>
                      <w:rFonts w:hint="eastAsia"/>
                      <w:szCs w:val="21"/>
                    </w:rPr>
                    <w:t>60~70</w:t>
                  </w:r>
                </w:p>
              </w:tc>
              <w:tc>
                <w:tcPr>
                  <w:tcW w:w="342" w:type="pct"/>
                  <w:vMerge w:val="continue"/>
                  <w:vAlign w:val="center"/>
                </w:tcPr>
                <w:p w14:paraId="2971D9F6">
                  <w:pPr>
                    <w:widowControl/>
                    <w:jc w:val="center"/>
                    <w:textAlignment w:val="center"/>
                    <w:rPr>
                      <w:szCs w:val="21"/>
                    </w:rPr>
                  </w:pPr>
                </w:p>
              </w:tc>
            </w:tr>
          </w:tbl>
          <w:p w14:paraId="6D120AD7">
            <w:pPr>
              <w:rPr>
                <w:b/>
                <w:bCs/>
                <w:szCs w:val="21"/>
              </w:rPr>
            </w:pPr>
            <w:r>
              <w:rPr>
                <w:b/>
                <w:bCs/>
                <w:szCs w:val="21"/>
              </w:rPr>
              <w:t>备注：以</w:t>
            </w:r>
            <w:r>
              <w:rPr>
                <w:rFonts w:hint="eastAsia"/>
                <w:b/>
                <w:bCs/>
                <w:szCs w:val="21"/>
              </w:rPr>
              <w:t>厂区</w:t>
            </w:r>
            <w:r>
              <w:rPr>
                <w:b/>
                <w:bCs/>
                <w:szCs w:val="21"/>
              </w:rPr>
              <w:t>西南角为原点（0,0,0,0），东西为X轴，南北为Y轴，上下为Z轴，东、北、上为正，西、南、下为负。</w:t>
            </w:r>
          </w:p>
          <w:p w14:paraId="4D408814">
            <w:pPr>
              <w:widowControl/>
              <w:numPr>
                <w:ilvl w:val="0"/>
                <w:numId w:val="2"/>
              </w:numPr>
              <w:jc w:val="center"/>
              <w:rPr>
                <w:b/>
                <w:bCs/>
              </w:rPr>
            </w:pPr>
            <w:r>
              <w:rPr>
                <w:b/>
                <w:bCs/>
              </w:rPr>
              <w:t xml:space="preserve">  本项目室外噪声源强一览表</w:t>
            </w:r>
          </w:p>
          <w:tbl>
            <w:tblPr>
              <w:tblStyle w:val="2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46"/>
              <w:gridCol w:w="2093"/>
              <w:gridCol w:w="648"/>
              <w:gridCol w:w="748"/>
              <w:gridCol w:w="747"/>
              <w:gridCol w:w="753"/>
              <w:gridCol w:w="1220"/>
              <w:gridCol w:w="872"/>
              <w:gridCol w:w="1081"/>
            </w:tblGrid>
            <w:tr w14:paraId="659F8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260" w:type="pct"/>
                  <w:vMerge w:val="restart"/>
                  <w:noWrap w:val="0"/>
                  <w:vAlign w:val="center"/>
                </w:tcPr>
                <w:p w14:paraId="05EDC8F3">
                  <w:pPr>
                    <w:jc w:val="center"/>
                    <w:rPr>
                      <w:b/>
                      <w:bCs/>
                      <w:szCs w:val="21"/>
                    </w:rPr>
                  </w:pPr>
                  <w:r>
                    <w:rPr>
                      <w:b/>
                      <w:bCs/>
                      <w:szCs w:val="21"/>
                    </w:rPr>
                    <w:t>序号</w:t>
                  </w:r>
                </w:p>
              </w:tc>
              <w:tc>
                <w:tcPr>
                  <w:tcW w:w="1216" w:type="pct"/>
                  <w:vMerge w:val="restart"/>
                  <w:noWrap w:val="0"/>
                  <w:vAlign w:val="center"/>
                </w:tcPr>
                <w:p w14:paraId="212DC3D1">
                  <w:pPr>
                    <w:jc w:val="center"/>
                    <w:rPr>
                      <w:b/>
                      <w:bCs/>
                      <w:szCs w:val="21"/>
                    </w:rPr>
                  </w:pPr>
                  <w:r>
                    <w:rPr>
                      <w:b/>
                      <w:bCs/>
                      <w:szCs w:val="21"/>
                    </w:rPr>
                    <w:t>声源名称</w:t>
                  </w:r>
                </w:p>
              </w:tc>
              <w:tc>
                <w:tcPr>
                  <w:tcW w:w="377" w:type="pct"/>
                  <w:vMerge w:val="restart"/>
                  <w:noWrap w:val="0"/>
                  <w:vAlign w:val="center"/>
                </w:tcPr>
                <w:p w14:paraId="15637C80">
                  <w:pPr>
                    <w:jc w:val="center"/>
                    <w:rPr>
                      <w:b/>
                      <w:bCs/>
                      <w:szCs w:val="21"/>
                    </w:rPr>
                  </w:pPr>
                  <w:r>
                    <w:rPr>
                      <w:b/>
                      <w:bCs/>
                      <w:szCs w:val="21"/>
                    </w:rPr>
                    <w:t>型号</w:t>
                  </w:r>
                </w:p>
              </w:tc>
              <w:tc>
                <w:tcPr>
                  <w:tcW w:w="1307" w:type="pct"/>
                  <w:gridSpan w:val="3"/>
                  <w:noWrap w:val="0"/>
                  <w:vAlign w:val="center"/>
                </w:tcPr>
                <w:p w14:paraId="1CE9FA62">
                  <w:pPr>
                    <w:jc w:val="center"/>
                    <w:rPr>
                      <w:b/>
                      <w:bCs/>
                      <w:szCs w:val="21"/>
                    </w:rPr>
                  </w:pPr>
                  <w:r>
                    <w:rPr>
                      <w:b/>
                      <w:bCs/>
                      <w:szCs w:val="21"/>
                    </w:rPr>
                    <w:t>空间相对位置</w:t>
                  </w:r>
                </w:p>
              </w:tc>
              <w:tc>
                <w:tcPr>
                  <w:tcW w:w="709" w:type="pct"/>
                  <w:vMerge w:val="restart"/>
                  <w:noWrap w:val="0"/>
                  <w:vAlign w:val="center"/>
                </w:tcPr>
                <w:p w14:paraId="728089AB">
                  <w:pPr>
                    <w:jc w:val="center"/>
                    <w:rPr>
                      <w:b/>
                      <w:bCs/>
                      <w:szCs w:val="21"/>
                    </w:rPr>
                  </w:pPr>
                  <w:r>
                    <w:rPr>
                      <w:b/>
                      <w:bCs/>
                      <w:szCs w:val="21"/>
                    </w:rPr>
                    <w:t>声功率级/dB</w:t>
                  </w:r>
                  <w:r>
                    <w:rPr>
                      <w:rFonts w:hint="eastAsia"/>
                      <w:b/>
                      <w:bCs/>
                      <w:szCs w:val="21"/>
                    </w:rPr>
                    <w:t>（</w:t>
                  </w:r>
                  <w:r>
                    <w:rPr>
                      <w:b/>
                      <w:bCs/>
                      <w:szCs w:val="21"/>
                    </w:rPr>
                    <w:t>A</w:t>
                  </w:r>
                  <w:r>
                    <w:rPr>
                      <w:rFonts w:hint="eastAsia"/>
                      <w:b/>
                      <w:bCs/>
                      <w:szCs w:val="21"/>
                    </w:rPr>
                    <w:t>）</w:t>
                  </w:r>
                </w:p>
              </w:tc>
              <w:tc>
                <w:tcPr>
                  <w:tcW w:w="507" w:type="pct"/>
                  <w:vMerge w:val="restart"/>
                  <w:noWrap w:val="0"/>
                  <w:vAlign w:val="center"/>
                </w:tcPr>
                <w:p w14:paraId="61DF36B6">
                  <w:pPr>
                    <w:jc w:val="center"/>
                    <w:rPr>
                      <w:b/>
                      <w:bCs/>
                      <w:szCs w:val="21"/>
                    </w:rPr>
                  </w:pPr>
                  <w:r>
                    <w:rPr>
                      <w:b/>
                      <w:bCs/>
                      <w:szCs w:val="21"/>
                    </w:rPr>
                    <w:t>声源控制措施</w:t>
                  </w:r>
                </w:p>
              </w:tc>
              <w:tc>
                <w:tcPr>
                  <w:tcW w:w="621" w:type="pct"/>
                  <w:vMerge w:val="restart"/>
                  <w:noWrap w:val="0"/>
                  <w:vAlign w:val="center"/>
                </w:tcPr>
                <w:p w14:paraId="1462C6EE">
                  <w:pPr>
                    <w:jc w:val="center"/>
                    <w:rPr>
                      <w:b/>
                      <w:bCs/>
                      <w:szCs w:val="21"/>
                    </w:rPr>
                  </w:pPr>
                  <w:r>
                    <w:rPr>
                      <w:b/>
                      <w:bCs/>
                      <w:szCs w:val="21"/>
                    </w:rPr>
                    <w:t>运行时段</w:t>
                  </w:r>
                </w:p>
              </w:tc>
            </w:tr>
            <w:tr w14:paraId="5FF30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260" w:type="pct"/>
                  <w:vMerge w:val="continue"/>
                  <w:noWrap w:val="0"/>
                  <w:vAlign w:val="center"/>
                </w:tcPr>
                <w:p w14:paraId="6183B35E">
                  <w:pPr>
                    <w:jc w:val="center"/>
                    <w:rPr>
                      <w:szCs w:val="21"/>
                    </w:rPr>
                  </w:pPr>
                </w:p>
              </w:tc>
              <w:tc>
                <w:tcPr>
                  <w:tcW w:w="1216" w:type="pct"/>
                  <w:vMerge w:val="continue"/>
                  <w:noWrap w:val="0"/>
                  <w:vAlign w:val="center"/>
                </w:tcPr>
                <w:p w14:paraId="3E952ACE">
                  <w:pPr>
                    <w:jc w:val="center"/>
                    <w:rPr>
                      <w:szCs w:val="21"/>
                    </w:rPr>
                  </w:pPr>
                </w:p>
              </w:tc>
              <w:tc>
                <w:tcPr>
                  <w:tcW w:w="377" w:type="pct"/>
                  <w:vMerge w:val="continue"/>
                  <w:noWrap w:val="0"/>
                  <w:vAlign w:val="center"/>
                </w:tcPr>
                <w:p w14:paraId="7EAB355D">
                  <w:pPr>
                    <w:jc w:val="center"/>
                    <w:rPr>
                      <w:szCs w:val="21"/>
                    </w:rPr>
                  </w:pPr>
                </w:p>
              </w:tc>
              <w:tc>
                <w:tcPr>
                  <w:tcW w:w="435" w:type="pct"/>
                  <w:noWrap w:val="0"/>
                  <w:vAlign w:val="center"/>
                </w:tcPr>
                <w:p w14:paraId="60DB7826">
                  <w:pPr>
                    <w:jc w:val="center"/>
                    <w:rPr>
                      <w:b/>
                      <w:bCs/>
                      <w:szCs w:val="21"/>
                    </w:rPr>
                  </w:pPr>
                  <w:r>
                    <w:rPr>
                      <w:b/>
                      <w:bCs/>
                      <w:szCs w:val="21"/>
                    </w:rPr>
                    <w:t>X</w:t>
                  </w:r>
                </w:p>
              </w:tc>
              <w:tc>
                <w:tcPr>
                  <w:tcW w:w="434" w:type="pct"/>
                  <w:noWrap w:val="0"/>
                  <w:vAlign w:val="center"/>
                </w:tcPr>
                <w:p w14:paraId="227999C4">
                  <w:pPr>
                    <w:jc w:val="center"/>
                    <w:rPr>
                      <w:b/>
                      <w:bCs/>
                      <w:szCs w:val="21"/>
                    </w:rPr>
                  </w:pPr>
                  <w:r>
                    <w:rPr>
                      <w:b/>
                      <w:bCs/>
                      <w:szCs w:val="21"/>
                    </w:rPr>
                    <w:t>Y</w:t>
                  </w:r>
                </w:p>
              </w:tc>
              <w:tc>
                <w:tcPr>
                  <w:tcW w:w="437" w:type="pct"/>
                  <w:noWrap w:val="0"/>
                  <w:vAlign w:val="center"/>
                </w:tcPr>
                <w:p w14:paraId="1F3C72EF">
                  <w:pPr>
                    <w:jc w:val="center"/>
                    <w:rPr>
                      <w:b/>
                      <w:bCs/>
                      <w:szCs w:val="21"/>
                    </w:rPr>
                  </w:pPr>
                  <w:r>
                    <w:rPr>
                      <w:b/>
                      <w:bCs/>
                      <w:szCs w:val="21"/>
                    </w:rPr>
                    <w:t>Z</w:t>
                  </w:r>
                </w:p>
              </w:tc>
              <w:tc>
                <w:tcPr>
                  <w:tcW w:w="709" w:type="pct"/>
                  <w:vMerge w:val="continue"/>
                  <w:noWrap w:val="0"/>
                  <w:vAlign w:val="center"/>
                </w:tcPr>
                <w:p w14:paraId="6A555CF7">
                  <w:pPr>
                    <w:jc w:val="center"/>
                    <w:rPr>
                      <w:b/>
                      <w:bCs/>
                      <w:szCs w:val="21"/>
                    </w:rPr>
                  </w:pPr>
                </w:p>
              </w:tc>
              <w:tc>
                <w:tcPr>
                  <w:tcW w:w="507" w:type="pct"/>
                  <w:vMerge w:val="continue"/>
                  <w:noWrap w:val="0"/>
                  <w:vAlign w:val="center"/>
                </w:tcPr>
                <w:p w14:paraId="3120DB09">
                  <w:pPr>
                    <w:jc w:val="center"/>
                    <w:rPr>
                      <w:b/>
                      <w:bCs/>
                      <w:szCs w:val="21"/>
                    </w:rPr>
                  </w:pPr>
                </w:p>
              </w:tc>
              <w:tc>
                <w:tcPr>
                  <w:tcW w:w="621" w:type="pct"/>
                  <w:vMerge w:val="continue"/>
                  <w:noWrap w:val="0"/>
                  <w:vAlign w:val="center"/>
                </w:tcPr>
                <w:p w14:paraId="5D706EA8">
                  <w:pPr>
                    <w:jc w:val="center"/>
                    <w:rPr>
                      <w:b/>
                      <w:bCs/>
                      <w:szCs w:val="21"/>
                    </w:rPr>
                  </w:pPr>
                </w:p>
              </w:tc>
            </w:tr>
            <w:tr w14:paraId="1DC97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60" w:type="pct"/>
                  <w:noWrap w:val="0"/>
                  <w:vAlign w:val="center"/>
                </w:tcPr>
                <w:p w14:paraId="2EA04DC0">
                  <w:pPr>
                    <w:widowControl/>
                    <w:jc w:val="center"/>
                    <w:textAlignment w:val="bottom"/>
                    <w:rPr>
                      <w:rFonts w:hint="eastAsia"/>
                      <w:kern w:val="0"/>
                      <w:szCs w:val="21"/>
                      <w:lang w:bidi="ar"/>
                    </w:rPr>
                  </w:pPr>
                  <w:r>
                    <w:rPr>
                      <w:rFonts w:hint="eastAsia"/>
                      <w:kern w:val="0"/>
                      <w:szCs w:val="21"/>
                      <w:lang w:bidi="ar"/>
                    </w:rPr>
                    <w:t>1</w:t>
                  </w:r>
                </w:p>
              </w:tc>
              <w:tc>
                <w:tcPr>
                  <w:tcW w:w="1216" w:type="pct"/>
                  <w:noWrap w:val="0"/>
                  <w:vAlign w:val="center"/>
                </w:tcPr>
                <w:p w14:paraId="71FA3FCF">
                  <w:pPr>
                    <w:widowControl/>
                    <w:jc w:val="center"/>
                    <w:textAlignment w:val="center"/>
                    <w:rPr>
                      <w:rFonts w:hint="eastAsia" w:eastAsia="宋体"/>
                      <w:kern w:val="0"/>
                      <w:szCs w:val="21"/>
                      <w:lang w:eastAsia="zh-CN"/>
                    </w:rPr>
                  </w:pPr>
                  <w:r>
                    <w:rPr>
                      <w:rFonts w:hint="eastAsia"/>
                      <w:kern w:val="0"/>
                      <w:szCs w:val="21"/>
                      <w:lang w:eastAsia="zh-CN"/>
                    </w:rPr>
                    <w:t>循环冷却塔</w:t>
                  </w:r>
                </w:p>
              </w:tc>
              <w:tc>
                <w:tcPr>
                  <w:tcW w:w="377" w:type="pct"/>
                  <w:noWrap w:val="0"/>
                  <w:vAlign w:val="center"/>
                </w:tcPr>
                <w:p w14:paraId="33F1DE1A">
                  <w:pPr>
                    <w:widowControl/>
                    <w:jc w:val="center"/>
                    <w:textAlignment w:val="center"/>
                    <w:rPr>
                      <w:szCs w:val="21"/>
                    </w:rPr>
                  </w:pPr>
                  <w:r>
                    <w:rPr>
                      <w:rFonts w:hint="eastAsia"/>
                      <w:szCs w:val="21"/>
                    </w:rPr>
                    <w:t>/</w:t>
                  </w:r>
                </w:p>
              </w:tc>
              <w:tc>
                <w:tcPr>
                  <w:tcW w:w="435" w:type="pct"/>
                  <w:noWrap w:val="0"/>
                  <w:vAlign w:val="center"/>
                </w:tcPr>
                <w:p w14:paraId="577F0CB4">
                  <w:pPr>
                    <w:jc w:val="center"/>
                    <w:rPr>
                      <w:rFonts w:hint="default" w:eastAsia="宋体"/>
                      <w:szCs w:val="21"/>
                      <w:lang w:val="en-US" w:eastAsia="zh-CN"/>
                    </w:rPr>
                  </w:pPr>
                  <w:r>
                    <w:rPr>
                      <w:rFonts w:hint="eastAsia"/>
                      <w:szCs w:val="21"/>
                      <w:lang w:val="en-US" w:eastAsia="zh-CN"/>
                    </w:rPr>
                    <w:t>350</w:t>
                  </w:r>
                </w:p>
              </w:tc>
              <w:tc>
                <w:tcPr>
                  <w:tcW w:w="434" w:type="pct"/>
                  <w:noWrap w:val="0"/>
                  <w:vAlign w:val="center"/>
                </w:tcPr>
                <w:p w14:paraId="7AF04485">
                  <w:pPr>
                    <w:jc w:val="center"/>
                    <w:rPr>
                      <w:rFonts w:hint="default" w:eastAsia="宋体"/>
                      <w:szCs w:val="21"/>
                      <w:lang w:val="en-US" w:eastAsia="zh-CN"/>
                    </w:rPr>
                  </w:pPr>
                  <w:r>
                    <w:rPr>
                      <w:rFonts w:hint="eastAsia"/>
                      <w:szCs w:val="21"/>
                      <w:lang w:val="en-US" w:eastAsia="zh-CN"/>
                    </w:rPr>
                    <w:t>40</w:t>
                  </w:r>
                </w:p>
              </w:tc>
              <w:tc>
                <w:tcPr>
                  <w:tcW w:w="437" w:type="pct"/>
                  <w:noWrap w:val="0"/>
                  <w:vAlign w:val="center"/>
                </w:tcPr>
                <w:p w14:paraId="650A7E17">
                  <w:pPr>
                    <w:jc w:val="center"/>
                    <w:rPr>
                      <w:rFonts w:hint="eastAsia" w:eastAsia="宋体"/>
                      <w:szCs w:val="21"/>
                      <w:lang w:eastAsia="zh-CN"/>
                    </w:rPr>
                  </w:pPr>
                  <w:r>
                    <w:rPr>
                      <w:rFonts w:hint="eastAsia"/>
                      <w:szCs w:val="21"/>
                      <w:lang w:val="en-US" w:eastAsia="zh-CN"/>
                    </w:rPr>
                    <w:t>2</w:t>
                  </w:r>
                </w:p>
              </w:tc>
              <w:tc>
                <w:tcPr>
                  <w:tcW w:w="709" w:type="pct"/>
                  <w:noWrap w:val="0"/>
                  <w:vAlign w:val="center"/>
                </w:tcPr>
                <w:p w14:paraId="089E8E5D">
                  <w:pPr>
                    <w:jc w:val="center"/>
                    <w:rPr>
                      <w:szCs w:val="21"/>
                    </w:rPr>
                  </w:pPr>
                  <w:r>
                    <w:rPr>
                      <w:szCs w:val="21"/>
                    </w:rPr>
                    <w:t>80</w:t>
                  </w:r>
                  <w:r>
                    <w:rPr>
                      <w:rFonts w:hint="eastAsia"/>
                      <w:szCs w:val="21"/>
                    </w:rPr>
                    <w:t>~</w:t>
                  </w:r>
                  <w:r>
                    <w:rPr>
                      <w:szCs w:val="21"/>
                    </w:rPr>
                    <w:t>90</w:t>
                  </w:r>
                </w:p>
              </w:tc>
              <w:tc>
                <w:tcPr>
                  <w:tcW w:w="507" w:type="pct"/>
                  <w:noWrap w:val="0"/>
                  <w:vAlign w:val="center"/>
                </w:tcPr>
                <w:p w14:paraId="6A43D069">
                  <w:pPr>
                    <w:jc w:val="center"/>
                    <w:rPr>
                      <w:szCs w:val="21"/>
                    </w:rPr>
                  </w:pPr>
                  <w:r>
                    <w:rPr>
                      <w:szCs w:val="21"/>
                    </w:rPr>
                    <w:t>设备减振</w:t>
                  </w:r>
                </w:p>
              </w:tc>
              <w:tc>
                <w:tcPr>
                  <w:tcW w:w="621" w:type="pct"/>
                  <w:noWrap w:val="0"/>
                  <w:vAlign w:val="center"/>
                </w:tcPr>
                <w:p w14:paraId="3D1297C1">
                  <w:pPr>
                    <w:jc w:val="center"/>
                    <w:rPr>
                      <w:szCs w:val="21"/>
                    </w:rPr>
                  </w:pPr>
                  <w:r>
                    <w:rPr>
                      <w:szCs w:val="21"/>
                    </w:rPr>
                    <w:t>0</w:t>
                  </w:r>
                  <w:r>
                    <w:rPr>
                      <w:rFonts w:hint="eastAsia"/>
                      <w:szCs w:val="21"/>
                      <w:lang w:val="en-US" w:eastAsia="zh-CN"/>
                    </w:rPr>
                    <w:t>8</w:t>
                  </w:r>
                  <w:r>
                    <w:rPr>
                      <w:szCs w:val="21"/>
                    </w:rPr>
                    <w:t>:</w:t>
                  </w:r>
                  <w:r>
                    <w:rPr>
                      <w:rFonts w:hint="eastAsia"/>
                      <w:szCs w:val="21"/>
                      <w:lang w:val="en-US" w:eastAsia="zh-CN"/>
                    </w:rPr>
                    <w:t>3</w:t>
                  </w:r>
                  <w:r>
                    <w:rPr>
                      <w:szCs w:val="21"/>
                    </w:rPr>
                    <w:t>0</w:t>
                  </w:r>
                  <w:r>
                    <w:rPr>
                      <w:rFonts w:hint="eastAsia"/>
                      <w:szCs w:val="21"/>
                    </w:rPr>
                    <w:t>~</w:t>
                  </w:r>
                  <w:r>
                    <w:rPr>
                      <w:rFonts w:hint="eastAsia"/>
                      <w:szCs w:val="21"/>
                      <w:lang w:val="en-US" w:eastAsia="zh-CN"/>
                    </w:rPr>
                    <w:t>16</w:t>
                  </w:r>
                  <w:r>
                    <w:rPr>
                      <w:szCs w:val="21"/>
                    </w:rPr>
                    <w:t>:</w:t>
                  </w:r>
                  <w:r>
                    <w:rPr>
                      <w:rFonts w:hint="eastAsia"/>
                      <w:szCs w:val="21"/>
                      <w:lang w:val="en-US" w:eastAsia="zh-CN"/>
                    </w:rPr>
                    <w:t>3</w:t>
                  </w:r>
                  <w:r>
                    <w:rPr>
                      <w:szCs w:val="21"/>
                    </w:rPr>
                    <w:t>0</w:t>
                  </w:r>
                </w:p>
              </w:tc>
            </w:tr>
            <w:tr w14:paraId="62B89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60" w:type="pct"/>
                  <w:noWrap w:val="0"/>
                  <w:vAlign w:val="center"/>
                </w:tcPr>
                <w:p w14:paraId="129433FE">
                  <w:pPr>
                    <w:widowControl/>
                    <w:jc w:val="center"/>
                    <w:textAlignment w:val="bottom"/>
                    <w:rPr>
                      <w:rFonts w:hint="eastAsia" w:eastAsia="宋体"/>
                      <w:kern w:val="0"/>
                      <w:szCs w:val="21"/>
                      <w:lang w:val="en-US" w:eastAsia="zh-CN" w:bidi="ar"/>
                    </w:rPr>
                  </w:pPr>
                  <w:r>
                    <w:rPr>
                      <w:rFonts w:hint="eastAsia"/>
                      <w:kern w:val="0"/>
                      <w:szCs w:val="21"/>
                      <w:lang w:val="en-US" w:eastAsia="zh-CN" w:bidi="ar"/>
                    </w:rPr>
                    <w:t>2</w:t>
                  </w:r>
                </w:p>
              </w:tc>
              <w:tc>
                <w:tcPr>
                  <w:tcW w:w="1216" w:type="pct"/>
                  <w:noWrap w:val="0"/>
                  <w:vAlign w:val="center"/>
                </w:tcPr>
                <w:p w14:paraId="5851A6BA">
                  <w:pPr>
                    <w:widowControl/>
                    <w:jc w:val="center"/>
                    <w:textAlignment w:val="center"/>
                    <w:rPr>
                      <w:rFonts w:hint="eastAsia"/>
                      <w:kern w:val="0"/>
                      <w:szCs w:val="21"/>
                      <w:lang w:eastAsia="zh-CN"/>
                    </w:rPr>
                  </w:pPr>
                  <w:r>
                    <w:rPr>
                      <w:rFonts w:hint="eastAsia"/>
                      <w:kern w:val="0"/>
                      <w:szCs w:val="21"/>
                      <w:lang w:eastAsia="zh-CN"/>
                    </w:rPr>
                    <w:t>风机</w:t>
                  </w:r>
                </w:p>
              </w:tc>
              <w:tc>
                <w:tcPr>
                  <w:tcW w:w="377" w:type="pct"/>
                  <w:noWrap w:val="0"/>
                  <w:vAlign w:val="center"/>
                </w:tcPr>
                <w:p w14:paraId="63217035">
                  <w:pPr>
                    <w:widowControl/>
                    <w:jc w:val="center"/>
                    <w:textAlignment w:val="center"/>
                    <w:rPr>
                      <w:rFonts w:hint="eastAsia" w:eastAsia="宋体"/>
                      <w:szCs w:val="21"/>
                      <w:lang w:val="en-US" w:eastAsia="zh-CN"/>
                    </w:rPr>
                  </w:pPr>
                  <w:r>
                    <w:rPr>
                      <w:rFonts w:hint="eastAsia"/>
                      <w:szCs w:val="21"/>
                      <w:lang w:val="en-US" w:eastAsia="zh-CN"/>
                    </w:rPr>
                    <w:t>/</w:t>
                  </w:r>
                </w:p>
              </w:tc>
              <w:tc>
                <w:tcPr>
                  <w:tcW w:w="435" w:type="pct"/>
                  <w:noWrap w:val="0"/>
                  <w:vAlign w:val="center"/>
                </w:tcPr>
                <w:p w14:paraId="046DCDB8">
                  <w:pPr>
                    <w:jc w:val="center"/>
                    <w:rPr>
                      <w:rFonts w:hint="default"/>
                      <w:szCs w:val="21"/>
                      <w:lang w:val="en-US" w:eastAsia="zh-CN"/>
                    </w:rPr>
                  </w:pPr>
                  <w:r>
                    <w:rPr>
                      <w:rFonts w:hint="eastAsia"/>
                      <w:szCs w:val="21"/>
                      <w:lang w:val="en-US" w:eastAsia="zh-CN"/>
                    </w:rPr>
                    <w:t>30</w:t>
                  </w:r>
                </w:p>
              </w:tc>
              <w:tc>
                <w:tcPr>
                  <w:tcW w:w="434" w:type="pct"/>
                  <w:noWrap w:val="0"/>
                  <w:vAlign w:val="center"/>
                </w:tcPr>
                <w:p w14:paraId="208742D8">
                  <w:pPr>
                    <w:jc w:val="center"/>
                    <w:rPr>
                      <w:rFonts w:hint="default"/>
                      <w:szCs w:val="21"/>
                      <w:lang w:val="en-US" w:eastAsia="zh-CN"/>
                    </w:rPr>
                  </w:pPr>
                  <w:r>
                    <w:rPr>
                      <w:rFonts w:hint="eastAsia"/>
                      <w:szCs w:val="21"/>
                      <w:lang w:val="en-US" w:eastAsia="zh-CN"/>
                    </w:rPr>
                    <w:t>300</w:t>
                  </w:r>
                </w:p>
              </w:tc>
              <w:tc>
                <w:tcPr>
                  <w:tcW w:w="437" w:type="pct"/>
                  <w:noWrap w:val="0"/>
                  <w:vAlign w:val="center"/>
                </w:tcPr>
                <w:p w14:paraId="59B2292F">
                  <w:pPr>
                    <w:jc w:val="center"/>
                    <w:rPr>
                      <w:rFonts w:hint="default"/>
                      <w:szCs w:val="21"/>
                      <w:lang w:val="en-US" w:eastAsia="zh-CN"/>
                    </w:rPr>
                  </w:pPr>
                  <w:r>
                    <w:rPr>
                      <w:rFonts w:hint="eastAsia"/>
                      <w:szCs w:val="21"/>
                      <w:lang w:val="en-US" w:eastAsia="zh-CN"/>
                    </w:rPr>
                    <w:t>20</w:t>
                  </w:r>
                </w:p>
              </w:tc>
              <w:tc>
                <w:tcPr>
                  <w:tcW w:w="1220" w:type="dxa"/>
                  <w:noWrap w:val="0"/>
                  <w:vAlign w:val="center"/>
                </w:tcPr>
                <w:p w14:paraId="63AED30A">
                  <w:pPr>
                    <w:jc w:val="center"/>
                    <w:rPr>
                      <w:szCs w:val="21"/>
                    </w:rPr>
                  </w:pPr>
                  <w:r>
                    <w:rPr>
                      <w:szCs w:val="21"/>
                    </w:rPr>
                    <w:t>80</w:t>
                  </w:r>
                  <w:r>
                    <w:rPr>
                      <w:rFonts w:hint="eastAsia"/>
                      <w:szCs w:val="21"/>
                    </w:rPr>
                    <w:t>~</w:t>
                  </w:r>
                  <w:r>
                    <w:rPr>
                      <w:szCs w:val="21"/>
                    </w:rPr>
                    <w:t>90</w:t>
                  </w:r>
                </w:p>
              </w:tc>
              <w:tc>
                <w:tcPr>
                  <w:tcW w:w="872" w:type="dxa"/>
                  <w:noWrap w:val="0"/>
                  <w:vAlign w:val="center"/>
                </w:tcPr>
                <w:p w14:paraId="309C7E70">
                  <w:pPr>
                    <w:jc w:val="center"/>
                    <w:rPr>
                      <w:szCs w:val="21"/>
                    </w:rPr>
                  </w:pPr>
                  <w:r>
                    <w:rPr>
                      <w:szCs w:val="21"/>
                    </w:rPr>
                    <w:t>设备减振</w:t>
                  </w:r>
                </w:p>
              </w:tc>
              <w:tc>
                <w:tcPr>
                  <w:tcW w:w="1081" w:type="dxa"/>
                  <w:noWrap w:val="0"/>
                  <w:vAlign w:val="center"/>
                </w:tcPr>
                <w:p w14:paraId="113F868E">
                  <w:pPr>
                    <w:jc w:val="center"/>
                    <w:rPr>
                      <w:szCs w:val="21"/>
                    </w:rPr>
                  </w:pPr>
                  <w:r>
                    <w:rPr>
                      <w:szCs w:val="21"/>
                    </w:rPr>
                    <w:t>0</w:t>
                  </w:r>
                  <w:r>
                    <w:rPr>
                      <w:rFonts w:hint="eastAsia"/>
                      <w:szCs w:val="21"/>
                      <w:lang w:val="en-US" w:eastAsia="zh-CN"/>
                    </w:rPr>
                    <w:t>8</w:t>
                  </w:r>
                  <w:r>
                    <w:rPr>
                      <w:szCs w:val="21"/>
                    </w:rPr>
                    <w:t>:</w:t>
                  </w:r>
                  <w:r>
                    <w:rPr>
                      <w:rFonts w:hint="eastAsia"/>
                      <w:szCs w:val="21"/>
                      <w:lang w:val="en-US" w:eastAsia="zh-CN"/>
                    </w:rPr>
                    <w:t>3</w:t>
                  </w:r>
                  <w:r>
                    <w:rPr>
                      <w:szCs w:val="21"/>
                    </w:rPr>
                    <w:t>0</w:t>
                  </w:r>
                  <w:r>
                    <w:rPr>
                      <w:rFonts w:hint="eastAsia"/>
                      <w:szCs w:val="21"/>
                    </w:rPr>
                    <w:t>~</w:t>
                  </w:r>
                  <w:r>
                    <w:rPr>
                      <w:rFonts w:hint="eastAsia"/>
                      <w:szCs w:val="21"/>
                      <w:lang w:val="en-US" w:eastAsia="zh-CN"/>
                    </w:rPr>
                    <w:t>16</w:t>
                  </w:r>
                  <w:r>
                    <w:rPr>
                      <w:szCs w:val="21"/>
                    </w:rPr>
                    <w:t>:</w:t>
                  </w:r>
                  <w:r>
                    <w:rPr>
                      <w:rFonts w:hint="eastAsia"/>
                      <w:szCs w:val="21"/>
                      <w:lang w:val="en-US" w:eastAsia="zh-CN"/>
                    </w:rPr>
                    <w:t>3</w:t>
                  </w:r>
                  <w:r>
                    <w:rPr>
                      <w:szCs w:val="21"/>
                    </w:rPr>
                    <w:t>0</w:t>
                  </w:r>
                </w:p>
              </w:tc>
            </w:tr>
          </w:tbl>
          <w:p w14:paraId="695A49D7">
            <w:r>
              <w:rPr>
                <w:b/>
                <w:bCs/>
                <w:szCs w:val="21"/>
              </w:rPr>
              <w:t>备注：以</w:t>
            </w:r>
            <w:r>
              <w:rPr>
                <w:rFonts w:hint="eastAsia"/>
                <w:b/>
                <w:bCs/>
                <w:szCs w:val="21"/>
              </w:rPr>
              <w:t>厂区</w:t>
            </w:r>
            <w:r>
              <w:rPr>
                <w:b/>
                <w:bCs/>
                <w:szCs w:val="21"/>
              </w:rPr>
              <w:t>西南角为原点（0,0,0,0），东西为X轴，南北为Y轴，上下为Z轴，东、北、上为正，西、南、下为负。</w:t>
            </w:r>
          </w:p>
          <w:p w14:paraId="0DE570C2">
            <w:pPr>
              <w:spacing w:line="360" w:lineRule="auto"/>
              <w:ind w:firstLine="480" w:firstLineChars="200"/>
              <w:rPr>
                <w:sz w:val="24"/>
              </w:rPr>
            </w:pPr>
            <w:r>
              <w:rPr>
                <w:sz w:val="24"/>
              </w:rPr>
              <w:t>本项目通过选用低噪设备、安装减振基座，并经厂区建筑物的隔声、距离的衰减，厂界噪声排放预测模式选用《环境影响评价技术导则 声环境》（HJ2.4-2021）推荐的模式，其数学表达式如下：</w:t>
            </w:r>
          </w:p>
          <w:p w14:paraId="624690F1">
            <w:pPr>
              <w:widowControl/>
              <w:overflowPunct w:val="0"/>
              <w:topLinePunct/>
              <w:autoSpaceDE w:val="0"/>
              <w:autoSpaceDN w:val="0"/>
              <w:adjustRightInd w:val="0"/>
              <w:snapToGrid w:val="0"/>
              <w:spacing w:line="360" w:lineRule="auto"/>
              <w:ind w:firstLine="480" w:firstLineChars="200"/>
              <w:jc w:val="both"/>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sz w:val="24"/>
                <w:szCs w:val="24"/>
                <w:lang w:val="en-US" w:eastAsia="zh-CN" w:bidi="ar-SA"/>
              </w:rPr>
              <w:t>（1）室内声源</w:t>
            </w:r>
          </w:p>
          <w:p w14:paraId="78B45620">
            <w:pPr>
              <w:widowControl/>
              <w:overflowPunct w:val="0"/>
              <w:topLinePunct/>
              <w:autoSpaceDE w:val="0"/>
              <w:autoSpaceDN w:val="0"/>
              <w:adjustRightInd w:val="0"/>
              <w:snapToGrid w:val="0"/>
              <w:spacing w:line="360" w:lineRule="auto"/>
              <w:ind w:firstLine="480" w:firstLineChars="200"/>
              <w:jc w:val="both"/>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sz w:val="24"/>
                <w:szCs w:val="24"/>
                <w:lang w:val="en-US" w:eastAsia="zh-CN" w:bidi="ar-SA"/>
              </w:rPr>
              <w:t>①若声源所在室内声场为近似扩散声场，则室外的倍频带声压级：</w:t>
            </w:r>
          </w:p>
          <w:p w14:paraId="7AD146DB">
            <w:pPr>
              <w:widowControl/>
              <w:overflowPunct w:val="0"/>
              <w:topLinePunct/>
              <w:autoSpaceDE w:val="0"/>
              <w:autoSpaceDN w:val="0"/>
              <w:adjustRightInd w:val="0"/>
              <w:snapToGrid w:val="0"/>
              <w:spacing w:line="360" w:lineRule="auto"/>
              <w:ind w:firstLine="480" w:firstLineChars="200"/>
              <w:jc w:val="center"/>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position w:val="-14"/>
                <w:sz w:val="24"/>
                <w:szCs w:val="24"/>
                <w:lang w:val="en-US" w:eastAsia="zh-CN" w:bidi="ar-SA"/>
              </w:rPr>
              <w:object>
                <v:shape id="_x0000_i1028" o:spt="75" type="#_x0000_t75" style="height:20.85pt;width:108.55pt;" o:ole="t" filled="f" o:preferrelative="t" stroked="f" coordsize="21600,21600">
                  <v:path/>
                  <v:fill on="f" focussize="0,0"/>
                  <v:stroke on="f"/>
                  <v:imagedata r:id="rId22" o:title=""/>
                  <o:lock v:ext="edit" aspectratio="t"/>
                  <w10:wrap type="none"/>
                  <w10:anchorlock/>
                </v:shape>
                <o:OLEObject Type="Embed" ProgID="Equation.3" ShapeID="_x0000_i1028" DrawAspect="Content" ObjectID="_1468075728" r:id="rId21">
                  <o:LockedField>false</o:LockedField>
                </o:OLEObject>
              </w:object>
            </w:r>
          </w:p>
          <w:p w14:paraId="4AED010F">
            <w:pPr>
              <w:widowControl/>
              <w:overflowPunct w:val="0"/>
              <w:topLinePunct/>
              <w:autoSpaceDE w:val="0"/>
              <w:autoSpaceDN w:val="0"/>
              <w:adjustRightInd w:val="0"/>
              <w:snapToGrid w:val="0"/>
              <w:spacing w:line="360" w:lineRule="auto"/>
              <w:ind w:firstLine="480" w:firstLineChars="200"/>
              <w:jc w:val="both"/>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sz w:val="24"/>
                <w:szCs w:val="24"/>
                <w:lang w:val="en-US" w:eastAsia="zh-CN" w:bidi="ar-SA"/>
              </w:rPr>
              <w:t>式中：L</w:t>
            </w:r>
            <w:r>
              <w:rPr>
                <w:rFonts w:ascii="Times New Roman" w:hAnsi="Times New Roman" w:eastAsia="宋体" w:cs="Times New Roman"/>
                <w:snapToGrid w:val="0"/>
                <w:kern w:val="0"/>
                <w:sz w:val="24"/>
                <w:szCs w:val="24"/>
                <w:vertAlign w:val="subscript"/>
                <w:lang w:val="en-US" w:eastAsia="zh-CN" w:bidi="ar-SA"/>
              </w:rPr>
              <w:t>p1</w:t>
            </w:r>
            <w:r>
              <w:rPr>
                <w:rFonts w:ascii="Times New Roman" w:hAnsi="Times New Roman" w:eastAsia="宋体" w:cs="Times New Roman"/>
                <w:snapToGrid w:val="0"/>
                <w:kern w:val="0"/>
                <w:sz w:val="24"/>
                <w:szCs w:val="24"/>
                <w:lang w:val="en-US" w:eastAsia="zh-CN" w:bidi="ar-SA"/>
              </w:rPr>
              <w:sym w:font="Symbol" w:char="F0BE"/>
            </w:r>
            <w:r>
              <w:rPr>
                <w:rFonts w:ascii="Times New Roman" w:hAnsi="Times New Roman" w:eastAsia="宋体" w:cs="Times New Roman"/>
                <w:snapToGrid w:val="0"/>
                <w:kern w:val="0"/>
                <w:sz w:val="24"/>
                <w:szCs w:val="24"/>
                <w:lang w:val="en-US" w:eastAsia="zh-CN" w:bidi="ar-SA"/>
              </w:rPr>
              <w:t>靠近开口处（或窗户）室内某倍频带的声压级或A声级，dB；</w:t>
            </w:r>
          </w:p>
          <w:p w14:paraId="6CAD1A79">
            <w:pPr>
              <w:widowControl/>
              <w:overflowPunct w:val="0"/>
              <w:topLinePunct/>
              <w:autoSpaceDE w:val="0"/>
              <w:autoSpaceDN w:val="0"/>
              <w:adjustRightInd w:val="0"/>
              <w:snapToGrid w:val="0"/>
              <w:spacing w:line="360" w:lineRule="auto"/>
              <w:ind w:firstLine="1200" w:firstLineChars="500"/>
              <w:jc w:val="both"/>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sz w:val="24"/>
                <w:szCs w:val="24"/>
                <w:lang w:val="en-US" w:eastAsia="zh-CN" w:bidi="ar-SA"/>
              </w:rPr>
              <w:t>L</w:t>
            </w:r>
            <w:r>
              <w:rPr>
                <w:rFonts w:ascii="Times New Roman" w:hAnsi="Times New Roman" w:eastAsia="宋体" w:cs="Times New Roman"/>
                <w:snapToGrid w:val="0"/>
                <w:kern w:val="0"/>
                <w:sz w:val="24"/>
                <w:szCs w:val="24"/>
                <w:vertAlign w:val="subscript"/>
                <w:lang w:val="en-US" w:eastAsia="zh-CN" w:bidi="ar-SA"/>
              </w:rPr>
              <w:t>p2</w:t>
            </w:r>
            <w:r>
              <w:rPr>
                <w:rFonts w:ascii="Times New Roman" w:hAnsi="Times New Roman" w:eastAsia="宋体" w:cs="Times New Roman"/>
                <w:snapToGrid w:val="0"/>
                <w:kern w:val="0"/>
                <w:sz w:val="24"/>
                <w:szCs w:val="24"/>
                <w:lang w:val="en-US" w:eastAsia="zh-CN" w:bidi="ar-SA"/>
              </w:rPr>
              <w:sym w:font="Symbol" w:char="F0BE"/>
            </w:r>
            <w:r>
              <w:rPr>
                <w:rFonts w:ascii="Times New Roman" w:hAnsi="Times New Roman" w:eastAsia="宋体" w:cs="Times New Roman"/>
                <w:snapToGrid w:val="0"/>
                <w:kern w:val="0"/>
                <w:sz w:val="24"/>
                <w:szCs w:val="24"/>
                <w:lang w:val="en-US" w:eastAsia="zh-CN" w:bidi="ar-SA"/>
              </w:rPr>
              <w:t>靠近开口处（或窗户）室外某倍频带的声压级或A声级，dB；</w:t>
            </w:r>
          </w:p>
          <w:p w14:paraId="57672E52">
            <w:pPr>
              <w:widowControl/>
              <w:overflowPunct w:val="0"/>
              <w:topLinePunct/>
              <w:autoSpaceDE w:val="0"/>
              <w:autoSpaceDN w:val="0"/>
              <w:adjustRightInd w:val="0"/>
              <w:snapToGrid w:val="0"/>
              <w:spacing w:line="360" w:lineRule="auto"/>
              <w:ind w:firstLine="1200" w:firstLineChars="500"/>
              <w:jc w:val="both"/>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sz w:val="24"/>
                <w:szCs w:val="24"/>
                <w:lang w:val="en-US" w:eastAsia="zh-CN" w:bidi="ar-SA"/>
              </w:rPr>
              <w:t>TL</w:t>
            </w:r>
            <w:r>
              <w:rPr>
                <w:rFonts w:ascii="Times New Roman" w:hAnsi="Times New Roman" w:eastAsia="宋体" w:cs="Times New Roman"/>
                <w:snapToGrid w:val="0"/>
                <w:kern w:val="0"/>
                <w:sz w:val="24"/>
                <w:szCs w:val="24"/>
                <w:lang w:val="en-US" w:eastAsia="zh-CN" w:bidi="ar-SA"/>
              </w:rPr>
              <w:sym w:font="Symbol" w:char="F0BE"/>
            </w:r>
            <w:r>
              <w:rPr>
                <w:rFonts w:ascii="Times New Roman" w:hAnsi="Times New Roman" w:eastAsia="宋体" w:cs="Times New Roman"/>
                <w:snapToGrid w:val="0"/>
                <w:kern w:val="0"/>
                <w:sz w:val="24"/>
                <w:szCs w:val="24"/>
                <w:lang w:val="en-US" w:eastAsia="zh-CN" w:bidi="ar-SA"/>
              </w:rPr>
              <w:t>隔墙（或窗户）倍频带或A声级的隔声量，dB</w:t>
            </w:r>
          </w:p>
          <w:p w14:paraId="1C8A7331">
            <w:pPr>
              <w:widowControl/>
              <w:overflowPunct w:val="0"/>
              <w:topLinePunct/>
              <w:autoSpaceDE w:val="0"/>
              <w:autoSpaceDN w:val="0"/>
              <w:adjustRightInd w:val="0"/>
              <w:snapToGrid w:val="0"/>
              <w:spacing w:line="360" w:lineRule="auto"/>
              <w:ind w:firstLine="0" w:firstLineChars="0"/>
              <w:jc w:val="center"/>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sz w:val="24"/>
                <w:szCs w:val="24"/>
                <w:lang w:val="en-US" w:eastAsia="zh-CN" w:bidi="ar-SA"/>
              </w:rPr>
              <w:drawing>
                <wp:inline distT="0" distB="0" distL="114300" distR="114300">
                  <wp:extent cx="3523615" cy="1695450"/>
                  <wp:effectExtent l="0" t="0" r="635" b="0"/>
                  <wp:docPr id="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8"/>
                          <pic:cNvPicPr>
                            <a:picLocks noChangeAspect="1"/>
                          </pic:cNvPicPr>
                        </pic:nvPicPr>
                        <pic:blipFill>
                          <a:blip r:embed="rId23"/>
                          <a:stretch>
                            <a:fillRect/>
                          </a:stretch>
                        </pic:blipFill>
                        <pic:spPr>
                          <a:xfrm>
                            <a:off x="0" y="0"/>
                            <a:ext cx="3523615" cy="1695450"/>
                          </a:xfrm>
                          <a:prstGeom prst="rect">
                            <a:avLst/>
                          </a:prstGeom>
                          <a:noFill/>
                          <a:ln>
                            <a:noFill/>
                          </a:ln>
                        </pic:spPr>
                      </pic:pic>
                    </a:graphicData>
                  </a:graphic>
                </wp:inline>
              </w:drawing>
            </w:r>
          </w:p>
          <w:p w14:paraId="2F633B06">
            <w:pPr>
              <w:jc w:val="center"/>
              <w:rPr>
                <w:b/>
                <w:bCs/>
              </w:rPr>
            </w:pPr>
            <w:r>
              <w:rPr>
                <w:b/>
                <w:bCs/>
              </w:rPr>
              <w:t>图</w:t>
            </w:r>
            <w:r>
              <w:rPr>
                <w:rFonts w:hint="eastAsia"/>
                <w:b/>
                <w:bCs/>
              </w:rPr>
              <w:t>6</w:t>
            </w:r>
            <w:r>
              <w:rPr>
                <w:b/>
                <w:bCs/>
              </w:rPr>
              <w:t xml:space="preserve">  室内声源等效为室外声源图例</w:t>
            </w:r>
          </w:p>
          <w:p w14:paraId="566EF1C6">
            <w:pPr>
              <w:widowControl/>
              <w:overflowPunct w:val="0"/>
              <w:topLinePunct/>
              <w:autoSpaceDE w:val="0"/>
              <w:autoSpaceDN w:val="0"/>
              <w:adjustRightInd w:val="0"/>
              <w:snapToGrid w:val="0"/>
              <w:spacing w:line="360" w:lineRule="auto"/>
              <w:ind w:firstLine="480" w:firstLineChars="200"/>
              <w:jc w:val="both"/>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sz w:val="24"/>
                <w:szCs w:val="24"/>
                <w:lang w:val="en-US" w:eastAsia="zh-CN" w:bidi="ar-SA"/>
              </w:rPr>
              <w:t>②计算某一室内声源靠近围护结构处产生的倍频带声压级或A声级：</w:t>
            </w:r>
          </w:p>
          <w:p w14:paraId="076C2D08">
            <w:pPr>
              <w:widowControl/>
              <w:overflowPunct w:val="0"/>
              <w:topLinePunct/>
              <w:autoSpaceDE w:val="0"/>
              <w:autoSpaceDN w:val="0"/>
              <w:adjustRightInd w:val="0"/>
              <w:snapToGrid w:val="0"/>
              <w:spacing w:line="360" w:lineRule="auto"/>
              <w:ind w:firstLine="0" w:firstLineChars="0"/>
              <w:jc w:val="center"/>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position w:val="-26"/>
                <w:sz w:val="24"/>
                <w:szCs w:val="24"/>
                <w:lang w:val="en-US" w:eastAsia="zh-CN" w:bidi="ar-SA"/>
              </w:rPr>
              <w:object>
                <v:shape id="_x0000_i1029" o:spt="75" type="#_x0000_t75" style="height:31pt;width:119.3pt;" o:ole="t" filled="f" o:preferrelative="t" stroked="f" coordsize="21600,21600">
                  <v:path/>
                  <v:fill on="f" focussize="0,0"/>
                  <v:stroke on="f"/>
                  <v:imagedata r:id="rId25" o:title=""/>
                  <o:lock v:ext="edit" aspectratio="t"/>
                  <w10:wrap type="none"/>
                  <w10:anchorlock/>
                </v:shape>
                <o:OLEObject Type="Embed" ProgID="Equation.3" ShapeID="_x0000_i1029" DrawAspect="Content" ObjectID="_1468075729" r:id="rId24">
                  <o:LockedField>false</o:LockedField>
                </o:OLEObject>
              </w:object>
            </w:r>
          </w:p>
          <w:p w14:paraId="7815E09A">
            <w:pPr>
              <w:widowControl/>
              <w:overflowPunct w:val="0"/>
              <w:topLinePunct/>
              <w:autoSpaceDE w:val="0"/>
              <w:autoSpaceDN w:val="0"/>
              <w:adjustRightInd w:val="0"/>
              <w:snapToGrid w:val="0"/>
              <w:spacing w:line="360" w:lineRule="auto"/>
              <w:ind w:firstLine="480" w:firstLineChars="200"/>
              <w:jc w:val="both"/>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sz w:val="24"/>
                <w:szCs w:val="24"/>
                <w:lang w:val="en-US" w:eastAsia="zh-CN" w:bidi="ar-SA"/>
              </w:rPr>
              <w:t>式中：L</w:t>
            </w:r>
            <w:r>
              <w:rPr>
                <w:rFonts w:ascii="Times New Roman" w:hAnsi="Times New Roman" w:eastAsia="宋体" w:cs="Times New Roman"/>
                <w:snapToGrid w:val="0"/>
                <w:kern w:val="0"/>
                <w:sz w:val="24"/>
                <w:szCs w:val="24"/>
                <w:vertAlign w:val="subscript"/>
                <w:lang w:val="en-US" w:eastAsia="zh-CN" w:bidi="ar-SA"/>
              </w:rPr>
              <w:t>p1</w:t>
            </w:r>
            <w:r>
              <w:rPr>
                <w:rFonts w:ascii="Times New Roman" w:hAnsi="Times New Roman" w:eastAsia="宋体" w:cs="Times New Roman"/>
                <w:snapToGrid w:val="0"/>
                <w:kern w:val="0"/>
                <w:sz w:val="24"/>
                <w:szCs w:val="24"/>
                <w:lang w:val="en-US" w:eastAsia="zh-CN" w:bidi="ar-SA"/>
              </w:rPr>
              <w:sym w:font="Symbol" w:char="F0BE"/>
            </w:r>
            <w:r>
              <w:rPr>
                <w:rFonts w:ascii="Times New Roman" w:hAnsi="Times New Roman" w:eastAsia="宋体" w:cs="Times New Roman"/>
                <w:snapToGrid w:val="0"/>
                <w:kern w:val="0"/>
                <w:sz w:val="24"/>
                <w:szCs w:val="24"/>
                <w:lang w:val="en-US" w:eastAsia="zh-CN" w:bidi="ar-SA"/>
              </w:rPr>
              <w:t>靠近开口处（或窗户）室内某倍频带的声压级或A声级，dB；</w:t>
            </w:r>
          </w:p>
          <w:p w14:paraId="5D7803C7">
            <w:pPr>
              <w:widowControl/>
              <w:overflowPunct w:val="0"/>
              <w:topLinePunct/>
              <w:autoSpaceDE w:val="0"/>
              <w:autoSpaceDN w:val="0"/>
              <w:adjustRightInd w:val="0"/>
              <w:snapToGrid w:val="0"/>
              <w:spacing w:line="360" w:lineRule="auto"/>
              <w:ind w:firstLine="1200" w:firstLineChars="500"/>
              <w:jc w:val="both"/>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sz w:val="24"/>
                <w:szCs w:val="24"/>
                <w:lang w:val="en-US" w:eastAsia="zh-CN" w:bidi="ar-SA"/>
              </w:rPr>
              <w:t>L</w:t>
            </w:r>
            <w:r>
              <w:rPr>
                <w:rFonts w:ascii="Times New Roman" w:hAnsi="Times New Roman" w:eastAsia="宋体" w:cs="Times New Roman"/>
                <w:snapToGrid w:val="0"/>
                <w:kern w:val="0"/>
                <w:sz w:val="24"/>
                <w:szCs w:val="24"/>
                <w:vertAlign w:val="subscript"/>
                <w:lang w:val="en-US" w:eastAsia="zh-CN" w:bidi="ar-SA"/>
              </w:rPr>
              <w:t>w</w:t>
            </w:r>
            <w:r>
              <w:rPr>
                <w:rFonts w:ascii="Times New Roman" w:hAnsi="Times New Roman" w:eastAsia="宋体" w:cs="Times New Roman"/>
                <w:snapToGrid w:val="0"/>
                <w:kern w:val="0"/>
                <w:sz w:val="24"/>
                <w:szCs w:val="24"/>
                <w:lang w:val="en-US" w:eastAsia="zh-CN" w:bidi="ar-SA"/>
              </w:rPr>
              <w:sym w:font="Symbol" w:char="F0BE"/>
            </w:r>
            <w:r>
              <w:rPr>
                <w:rFonts w:ascii="Times New Roman" w:hAnsi="Times New Roman" w:eastAsia="宋体" w:cs="Times New Roman"/>
                <w:snapToGrid w:val="0"/>
                <w:kern w:val="0"/>
                <w:sz w:val="24"/>
                <w:szCs w:val="24"/>
                <w:lang w:val="en-US" w:eastAsia="zh-CN" w:bidi="ar-SA"/>
              </w:rPr>
              <w:t>点声源声功率级（A计权或倍频带），dB；</w:t>
            </w:r>
          </w:p>
          <w:p w14:paraId="3C0990F4">
            <w:pPr>
              <w:widowControl/>
              <w:overflowPunct w:val="0"/>
              <w:topLinePunct/>
              <w:autoSpaceDE w:val="0"/>
              <w:autoSpaceDN w:val="0"/>
              <w:adjustRightInd w:val="0"/>
              <w:snapToGrid w:val="0"/>
              <w:spacing w:line="360" w:lineRule="auto"/>
              <w:ind w:left="479" w:leftChars="228" w:firstLine="720" w:firstLineChars="300"/>
              <w:jc w:val="both"/>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sz w:val="24"/>
                <w:szCs w:val="24"/>
                <w:lang w:val="en-US" w:eastAsia="zh-CN" w:bidi="ar-SA"/>
              </w:rPr>
              <w:t>Q</w:t>
            </w:r>
            <w:r>
              <w:rPr>
                <w:rFonts w:ascii="Times New Roman" w:hAnsi="Times New Roman" w:eastAsia="宋体" w:cs="Times New Roman"/>
                <w:snapToGrid w:val="0"/>
                <w:kern w:val="0"/>
                <w:sz w:val="24"/>
                <w:szCs w:val="24"/>
                <w:lang w:val="en-US" w:eastAsia="zh-CN" w:bidi="ar-SA"/>
              </w:rPr>
              <w:sym w:font="Symbol" w:char="F0BE"/>
            </w:r>
            <w:r>
              <w:rPr>
                <w:rFonts w:ascii="Times New Roman" w:hAnsi="Times New Roman" w:eastAsia="宋体" w:cs="Times New Roman"/>
                <w:snapToGrid w:val="0"/>
                <w:kern w:val="0"/>
                <w:sz w:val="24"/>
                <w:szCs w:val="24"/>
                <w:lang w:val="en-US" w:eastAsia="zh-CN" w:bidi="ar-SA"/>
              </w:rPr>
              <w:t>指向性因数；通常对无指向性声源，当声源放在房间中心时，Q=1；当放在一面墙的中心时，Q=2；当放在两面墙夹角处时，Q=4；当放在三面墙夹角处时，Q=8；</w:t>
            </w:r>
          </w:p>
          <w:p w14:paraId="2303F07C">
            <w:pPr>
              <w:widowControl/>
              <w:overflowPunct w:val="0"/>
              <w:topLinePunct/>
              <w:autoSpaceDE w:val="0"/>
              <w:autoSpaceDN w:val="0"/>
              <w:adjustRightInd w:val="0"/>
              <w:snapToGrid w:val="0"/>
              <w:spacing w:line="360" w:lineRule="auto"/>
              <w:ind w:firstLine="1200" w:firstLineChars="500"/>
              <w:jc w:val="both"/>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sz w:val="24"/>
                <w:szCs w:val="24"/>
                <w:lang w:val="en-US" w:eastAsia="zh-CN" w:bidi="ar-SA"/>
              </w:rPr>
              <w:t>R</w:t>
            </w:r>
            <w:r>
              <w:rPr>
                <w:rFonts w:ascii="Times New Roman" w:hAnsi="Times New Roman" w:eastAsia="宋体" w:cs="Times New Roman"/>
                <w:snapToGrid w:val="0"/>
                <w:kern w:val="0"/>
                <w:sz w:val="24"/>
                <w:szCs w:val="24"/>
                <w:lang w:val="en-US" w:eastAsia="zh-CN" w:bidi="ar-SA"/>
              </w:rPr>
              <w:sym w:font="Symbol" w:char="F0BE"/>
            </w:r>
            <w:r>
              <w:rPr>
                <w:rFonts w:ascii="Times New Roman" w:hAnsi="Times New Roman" w:eastAsia="宋体" w:cs="Times New Roman"/>
                <w:snapToGrid w:val="0"/>
                <w:kern w:val="0"/>
                <w:sz w:val="24"/>
                <w:szCs w:val="24"/>
                <w:lang w:val="en-US" w:eastAsia="zh-CN" w:bidi="ar-SA"/>
              </w:rPr>
              <w:t>房间常数；</w:t>
            </w:r>
            <w:r>
              <w:rPr>
                <w:rFonts w:ascii="Times New Roman" w:hAnsi="Times New Roman" w:eastAsia="宋体" w:cs="Times New Roman"/>
                <w:snapToGrid w:val="0"/>
                <w:kern w:val="0"/>
                <w:position w:val="-10"/>
                <w:sz w:val="24"/>
                <w:szCs w:val="24"/>
                <w:lang w:val="en-US" w:eastAsia="zh-CN" w:bidi="ar-SA"/>
              </w:rPr>
              <w:object>
                <v:shape id="_x0000_i1030" o:spt="75" type="#_x0000_t75" style="height:15pt;width:55pt;" o:ole="t" filled="f" o:preferrelative="t" stroked="f" coordsize="21600,21600">
                  <v:path/>
                  <v:fill on="f" focussize="0,0"/>
                  <v:stroke on="f"/>
                  <v:imagedata r:id="rId27" o:title=""/>
                  <o:lock v:ext="edit" aspectratio="t"/>
                  <w10:wrap type="none"/>
                  <w10:anchorlock/>
                </v:shape>
                <o:OLEObject Type="Embed" ProgID="Equation.KSEE3" ShapeID="_x0000_i1030" DrawAspect="Content" ObjectID="_1468075730" r:id="rId26">
                  <o:LockedField>false</o:LockedField>
                </o:OLEObject>
              </w:object>
            </w:r>
            <w:r>
              <w:rPr>
                <w:rFonts w:ascii="Times New Roman" w:hAnsi="Times New Roman" w:eastAsia="宋体" w:cs="Times New Roman"/>
                <w:snapToGrid w:val="0"/>
                <w:kern w:val="0"/>
                <w:sz w:val="24"/>
                <w:szCs w:val="24"/>
                <w:lang w:val="en-US" w:eastAsia="zh-CN" w:bidi="ar-SA"/>
              </w:rPr>
              <w:t>，S为房间内表面面积，m</w:t>
            </w:r>
            <w:r>
              <w:rPr>
                <w:rFonts w:ascii="Times New Roman" w:hAnsi="Times New Roman" w:eastAsia="宋体" w:cs="Times New Roman"/>
                <w:snapToGrid w:val="0"/>
                <w:kern w:val="0"/>
                <w:sz w:val="24"/>
                <w:szCs w:val="24"/>
                <w:vertAlign w:val="superscript"/>
                <w:lang w:val="en-US" w:eastAsia="zh-CN" w:bidi="ar-SA"/>
              </w:rPr>
              <w:t>2</w:t>
            </w:r>
            <w:r>
              <w:rPr>
                <w:rFonts w:ascii="Times New Roman" w:hAnsi="Times New Roman" w:eastAsia="宋体" w:cs="Times New Roman"/>
                <w:snapToGrid w:val="0"/>
                <w:kern w:val="0"/>
                <w:sz w:val="24"/>
                <w:szCs w:val="24"/>
                <w:lang w:val="en-US" w:eastAsia="zh-CN" w:bidi="ar-SA"/>
              </w:rPr>
              <w:t>；α为平均吸声系数；</w:t>
            </w:r>
          </w:p>
          <w:p w14:paraId="0E6EAB35">
            <w:pPr>
              <w:widowControl/>
              <w:overflowPunct w:val="0"/>
              <w:topLinePunct/>
              <w:autoSpaceDE w:val="0"/>
              <w:autoSpaceDN w:val="0"/>
              <w:adjustRightInd w:val="0"/>
              <w:snapToGrid w:val="0"/>
              <w:spacing w:line="360" w:lineRule="auto"/>
              <w:ind w:firstLine="1200" w:firstLineChars="500"/>
              <w:jc w:val="both"/>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sz w:val="24"/>
                <w:szCs w:val="24"/>
                <w:lang w:val="en-US" w:eastAsia="zh-CN" w:bidi="ar-SA"/>
              </w:rPr>
              <w:t>r</w:t>
            </w:r>
            <w:r>
              <w:rPr>
                <w:rFonts w:ascii="Times New Roman" w:hAnsi="Times New Roman" w:eastAsia="宋体" w:cs="Times New Roman"/>
                <w:snapToGrid w:val="0"/>
                <w:kern w:val="0"/>
                <w:sz w:val="24"/>
                <w:szCs w:val="24"/>
                <w:lang w:val="en-US" w:eastAsia="zh-CN" w:bidi="ar-SA"/>
              </w:rPr>
              <w:sym w:font="Symbol" w:char="F0BE"/>
            </w:r>
            <w:r>
              <w:rPr>
                <w:rFonts w:ascii="Times New Roman" w:hAnsi="Times New Roman" w:eastAsia="宋体" w:cs="Times New Roman"/>
                <w:snapToGrid w:val="0"/>
                <w:kern w:val="0"/>
                <w:sz w:val="24"/>
                <w:szCs w:val="24"/>
                <w:lang w:val="en-US" w:eastAsia="zh-CN" w:bidi="ar-SA"/>
              </w:rPr>
              <w:t>声源到靠近围护结构某点处的距离，m。</w:t>
            </w:r>
          </w:p>
          <w:p w14:paraId="269DCB48">
            <w:pPr>
              <w:widowControl/>
              <w:overflowPunct w:val="0"/>
              <w:topLinePunct/>
              <w:autoSpaceDE w:val="0"/>
              <w:autoSpaceDN w:val="0"/>
              <w:adjustRightInd w:val="0"/>
              <w:snapToGrid w:val="0"/>
              <w:spacing w:line="360" w:lineRule="auto"/>
              <w:ind w:firstLine="480" w:firstLineChars="200"/>
              <w:jc w:val="both"/>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sz w:val="24"/>
                <w:szCs w:val="24"/>
                <w:lang w:val="en-US" w:eastAsia="zh-CN" w:bidi="ar-SA"/>
              </w:rPr>
              <w:t>③在室内近似为扩散声场时，计算出靠近室外围护结构处的声压级：</w:t>
            </w:r>
          </w:p>
          <w:p w14:paraId="00E665EB">
            <w:pPr>
              <w:widowControl/>
              <w:overflowPunct w:val="0"/>
              <w:topLinePunct/>
              <w:autoSpaceDE w:val="0"/>
              <w:autoSpaceDN w:val="0"/>
              <w:adjustRightInd w:val="0"/>
              <w:snapToGrid w:val="0"/>
              <w:spacing w:line="360" w:lineRule="auto"/>
              <w:ind w:firstLine="0" w:firstLineChars="0"/>
              <w:jc w:val="center"/>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position w:val="-14"/>
                <w:sz w:val="24"/>
                <w:szCs w:val="24"/>
                <w:lang w:val="en-US" w:eastAsia="zh-CN" w:bidi="ar-SA"/>
              </w:rPr>
              <w:object>
                <v:shape id="_x0000_i1031" o:spt="75" type="#_x0000_t75" style="height:16.8pt;width:116.05pt;" o:ole="t" filled="f" o:preferrelative="t" stroked="f" coordsize="21600,21600">
                  <v:path/>
                  <v:fill on="f" focussize="0,0"/>
                  <v:stroke on="f"/>
                  <v:imagedata r:id="rId29" o:title=""/>
                  <o:lock v:ext="edit" aspectratio="t"/>
                  <w10:wrap type="none"/>
                  <w10:anchorlock/>
                </v:shape>
                <o:OLEObject Type="Embed" ProgID="Equation.3" ShapeID="_x0000_i1031" DrawAspect="Content" ObjectID="_1468075731" r:id="rId28">
                  <o:LockedField>false</o:LockedField>
                </o:OLEObject>
              </w:object>
            </w:r>
          </w:p>
          <w:p w14:paraId="24D1A52B">
            <w:pPr>
              <w:widowControl/>
              <w:overflowPunct w:val="0"/>
              <w:topLinePunct/>
              <w:autoSpaceDE w:val="0"/>
              <w:autoSpaceDN w:val="0"/>
              <w:adjustRightInd w:val="0"/>
              <w:snapToGrid w:val="0"/>
              <w:spacing w:line="360" w:lineRule="auto"/>
              <w:ind w:firstLine="480" w:firstLineChars="200"/>
              <w:jc w:val="both"/>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sz w:val="24"/>
                <w:szCs w:val="24"/>
                <w:lang w:val="en-US" w:eastAsia="zh-CN" w:bidi="ar-SA"/>
              </w:rPr>
              <w:t>式中：L</w:t>
            </w:r>
            <w:r>
              <w:rPr>
                <w:rFonts w:ascii="Times New Roman" w:hAnsi="Times New Roman" w:eastAsia="宋体" w:cs="Times New Roman"/>
                <w:snapToGrid w:val="0"/>
                <w:kern w:val="0"/>
                <w:sz w:val="24"/>
                <w:szCs w:val="24"/>
                <w:vertAlign w:val="subscript"/>
                <w:lang w:val="en-US" w:eastAsia="zh-CN" w:bidi="ar-SA"/>
              </w:rPr>
              <w:t>p2i</w:t>
            </w:r>
            <w:r>
              <w:rPr>
                <w:rFonts w:ascii="Times New Roman" w:hAnsi="Times New Roman" w:eastAsia="宋体" w:cs="Times New Roman"/>
                <w:snapToGrid w:val="0"/>
                <w:kern w:val="0"/>
                <w:sz w:val="24"/>
                <w:szCs w:val="24"/>
                <w:lang w:val="en-US" w:eastAsia="zh-CN" w:bidi="ar-SA"/>
              </w:rPr>
              <w:t>（T）</w:t>
            </w:r>
            <w:r>
              <w:rPr>
                <w:rFonts w:ascii="Times New Roman" w:hAnsi="Times New Roman" w:eastAsia="宋体" w:cs="Times New Roman"/>
                <w:snapToGrid w:val="0"/>
                <w:kern w:val="0"/>
                <w:sz w:val="24"/>
                <w:szCs w:val="24"/>
                <w:lang w:val="en-US" w:eastAsia="zh-CN" w:bidi="ar-SA"/>
              </w:rPr>
              <w:sym w:font="Symbol" w:char="F0BE"/>
            </w:r>
            <w:r>
              <w:rPr>
                <w:rFonts w:ascii="Times New Roman" w:hAnsi="Times New Roman" w:eastAsia="宋体" w:cs="Times New Roman"/>
                <w:snapToGrid w:val="0"/>
                <w:kern w:val="0"/>
                <w:sz w:val="24"/>
                <w:szCs w:val="24"/>
                <w:lang w:val="en-US" w:eastAsia="zh-CN" w:bidi="ar-SA"/>
              </w:rPr>
              <w:t>靠近围护结构处室外N个声源i倍频带的叠加声压级，dB；</w:t>
            </w:r>
          </w:p>
          <w:p w14:paraId="55758F88">
            <w:pPr>
              <w:widowControl/>
              <w:overflowPunct w:val="0"/>
              <w:topLinePunct/>
              <w:autoSpaceDE w:val="0"/>
              <w:autoSpaceDN w:val="0"/>
              <w:adjustRightInd w:val="0"/>
              <w:snapToGrid w:val="0"/>
              <w:spacing w:line="360" w:lineRule="auto"/>
              <w:ind w:firstLine="960" w:firstLineChars="400"/>
              <w:jc w:val="both"/>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sz w:val="24"/>
                <w:szCs w:val="24"/>
                <w:lang w:val="en-US" w:eastAsia="zh-CN" w:bidi="ar-SA"/>
              </w:rPr>
              <w:t>L</w:t>
            </w:r>
            <w:r>
              <w:rPr>
                <w:rFonts w:ascii="Times New Roman" w:hAnsi="Times New Roman" w:eastAsia="宋体" w:cs="Times New Roman"/>
                <w:snapToGrid w:val="0"/>
                <w:kern w:val="0"/>
                <w:sz w:val="24"/>
                <w:szCs w:val="24"/>
                <w:vertAlign w:val="subscript"/>
                <w:lang w:val="en-US" w:eastAsia="zh-CN" w:bidi="ar-SA"/>
              </w:rPr>
              <w:t>p1i</w:t>
            </w:r>
            <w:r>
              <w:rPr>
                <w:rFonts w:ascii="Times New Roman" w:hAnsi="Times New Roman" w:eastAsia="宋体" w:cs="Times New Roman"/>
                <w:snapToGrid w:val="0"/>
                <w:kern w:val="0"/>
                <w:sz w:val="24"/>
                <w:szCs w:val="24"/>
                <w:lang w:val="en-US" w:eastAsia="zh-CN" w:bidi="ar-SA"/>
              </w:rPr>
              <w:t>（T）</w:t>
            </w:r>
            <w:r>
              <w:rPr>
                <w:rFonts w:ascii="Times New Roman" w:hAnsi="Times New Roman" w:eastAsia="宋体" w:cs="Times New Roman"/>
                <w:snapToGrid w:val="0"/>
                <w:kern w:val="0"/>
                <w:sz w:val="24"/>
                <w:szCs w:val="24"/>
                <w:lang w:val="en-US" w:eastAsia="zh-CN" w:bidi="ar-SA"/>
              </w:rPr>
              <w:sym w:font="Symbol" w:char="F0BE"/>
            </w:r>
            <w:r>
              <w:rPr>
                <w:rFonts w:ascii="Times New Roman" w:hAnsi="Times New Roman" w:eastAsia="宋体" w:cs="Times New Roman"/>
                <w:snapToGrid w:val="0"/>
                <w:kern w:val="0"/>
                <w:sz w:val="24"/>
                <w:szCs w:val="24"/>
                <w:lang w:val="en-US" w:eastAsia="zh-CN" w:bidi="ar-SA"/>
              </w:rPr>
              <w:t>靠近围护结构处室内N个声源i倍频带的叠加声压级，dB；</w:t>
            </w:r>
          </w:p>
          <w:p w14:paraId="1761A1D9">
            <w:pPr>
              <w:widowControl/>
              <w:overflowPunct w:val="0"/>
              <w:topLinePunct/>
              <w:autoSpaceDE w:val="0"/>
              <w:autoSpaceDN w:val="0"/>
              <w:adjustRightInd w:val="0"/>
              <w:snapToGrid w:val="0"/>
              <w:spacing w:line="360" w:lineRule="auto"/>
              <w:ind w:firstLine="960" w:firstLineChars="400"/>
              <w:jc w:val="both"/>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sz w:val="24"/>
                <w:szCs w:val="24"/>
                <w:lang w:val="en-US" w:eastAsia="zh-CN" w:bidi="ar-SA"/>
              </w:rPr>
              <w:t>TL</w:t>
            </w:r>
            <w:r>
              <w:rPr>
                <w:rFonts w:ascii="Times New Roman" w:hAnsi="Times New Roman" w:eastAsia="宋体" w:cs="Times New Roman"/>
                <w:snapToGrid w:val="0"/>
                <w:kern w:val="0"/>
                <w:sz w:val="24"/>
                <w:szCs w:val="24"/>
                <w:vertAlign w:val="subscript"/>
                <w:lang w:val="en-US" w:eastAsia="zh-CN" w:bidi="ar-SA"/>
              </w:rPr>
              <w:t>i</w:t>
            </w:r>
            <w:r>
              <w:rPr>
                <w:rFonts w:ascii="Times New Roman" w:hAnsi="Times New Roman" w:eastAsia="宋体" w:cs="Times New Roman"/>
                <w:snapToGrid w:val="0"/>
                <w:kern w:val="0"/>
                <w:sz w:val="24"/>
                <w:szCs w:val="24"/>
                <w:lang w:val="en-US" w:eastAsia="zh-CN" w:bidi="ar-SA"/>
              </w:rPr>
              <w:sym w:font="Symbol" w:char="F0BE"/>
            </w:r>
            <w:r>
              <w:rPr>
                <w:rFonts w:ascii="Times New Roman" w:hAnsi="Times New Roman" w:eastAsia="宋体" w:cs="Times New Roman"/>
                <w:snapToGrid w:val="0"/>
                <w:kern w:val="0"/>
                <w:sz w:val="24"/>
                <w:szCs w:val="24"/>
                <w:lang w:val="en-US" w:eastAsia="zh-CN" w:bidi="ar-SA"/>
              </w:rPr>
              <w:t>围护结构i倍频带的隔声量，dB。</w:t>
            </w:r>
          </w:p>
          <w:p w14:paraId="7E52190B">
            <w:pPr>
              <w:widowControl/>
              <w:overflowPunct w:val="0"/>
              <w:topLinePunct/>
              <w:autoSpaceDE w:val="0"/>
              <w:autoSpaceDN w:val="0"/>
              <w:adjustRightInd w:val="0"/>
              <w:snapToGrid w:val="0"/>
              <w:spacing w:line="360" w:lineRule="auto"/>
              <w:ind w:firstLine="480" w:firstLineChars="200"/>
              <w:jc w:val="both"/>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sz w:val="24"/>
                <w:szCs w:val="24"/>
                <w:lang w:val="en-US" w:eastAsia="zh-CN" w:bidi="ar-SA"/>
              </w:rPr>
              <w:t>④将室外声源的声压级和透过面积换算成等效的室外声源，计算出中心位置位于透声面积（S）处的等效声源的倍频带声功率级：</w:t>
            </w:r>
          </w:p>
          <w:p w14:paraId="021CA1FB">
            <w:pPr>
              <w:widowControl/>
              <w:overflowPunct w:val="0"/>
              <w:topLinePunct/>
              <w:autoSpaceDE w:val="0"/>
              <w:autoSpaceDN w:val="0"/>
              <w:adjustRightInd w:val="0"/>
              <w:snapToGrid w:val="0"/>
              <w:spacing w:line="360" w:lineRule="auto"/>
              <w:ind w:firstLine="0" w:firstLineChars="0"/>
              <w:jc w:val="center"/>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position w:val="-14"/>
                <w:sz w:val="24"/>
                <w:szCs w:val="24"/>
                <w:lang w:val="en-US" w:eastAsia="zh-CN" w:bidi="ar-SA"/>
              </w:rPr>
              <w:object>
                <v:shape id="_x0000_i1032" o:spt="75" type="#_x0000_t75" style="height:18.75pt;width:101pt;" o:ole="t" filled="f" o:preferrelative="t" stroked="f" coordsize="21600,21600">
                  <v:path/>
                  <v:fill on="f" focussize="0,0"/>
                  <v:stroke on="f"/>
                  <v:imagedata r:id="rId31" o:title=""/>
                  <o:lock v:ext="edit" aspectratio="t"/>
                  <w10:wrap type="none"/>
                  <w10:anchorlock/>
                </v:shape>
                <o:OLEObject Type="Embed" ProgID="Equation.3" ShapeID="_x0000_i1032" DrawAspect="Content" ObjectID="_1468075732" r:id="rId30">
                  <o:LockedField>false</o:LockedField>
                </o:OLEObject>
              </w:object>
            </w:r>
          </w:p>
          <w:p w14:paraId="3CC42C9E">
            <w:pPr>
              <w:widowControl/>
              <w:overflowPunct w:val="0"/>
              <w:topLinePunct/>
              <w:autoSpaceDE w:val="0"/>
              <w:autoSpaceDN w:val="0"/>
              <w:adjustRightInd w:val="0"/>
              <w:snapToGrid w:val="0"/>
              <w:spacing w:line="360" w:lineRule="auto"/>
              <w:ind w:firstLine="480" w:firstLineChars="200"/>
              <w:jc w:val="both"/>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sz w:val="24"/>
                <w:szCs w:val="24"/>
                <w:lang w:val="en-US" w:eastAsia="zh-CN" w:bidi="ar-SA"/>
              </w:rPr>
              <w:t>式中：L</w:t>
            </w:r>
            <w:r>
              <w:rPr>
                <w:rFonts w:ascii="Times New Roman" w:hAnsi="Times New Roman" w:eastAsia="宋体" w:cs="Times New Roman"/>
                <w:snapToGrid w:val="0"/>
                <w:kern w:val="0"/>
                <w:sz w:val="24"/>
                <w:szCs w:val="24"/>
                <w:vertAlign w:val="subscript"/>
                <w:lang w:val="en-US" w:eastAsia="zh-CN" w:bidi="ar-SA"/>
              </w:rPr>
              <w:t>w</w:t>
            </w:r>
            <w:r>
              <w:rPr>
                <w:rFonts w:ascii="Times New Roman" w:hAnsi="Times New Roman" w:eastAsia="宋体" w:cs="Times New Roman"/>
                <w:snapToGrid w:val="0"/>
                <w:kern w:val="0"/>
                <w:sz w:val="24"/>
                <w:szCs w:val="24"/>
                <w:lang w:val="en-US" w:eastAsia="zh-CN" w:bidi="ar-SA"/>
              </w:rPr>
              <w:sym w:font="Symbol" w:char="F0BE"/>
            </w:r>
            <w:r>
              <w:rPr>
                <w:rFonts w:ascii="Times New Roman" w:hAnsi="Times New Roman" w:eastAsia="宋体" w:cs="Times New Roman"/>
                <w:snapToGrid w:val="0"/>
                <w:kern w:val="0"/>
                <w:sz w:val="24"/>
                <w:szCs w:val="24"/>
                <w:lang w:val="en-US" w:eastAsia="zh-CN" w:bidi="ar-SA"/>
              </w:rPr>
              <w:t>中心位置位于透声面积（S）处的等效声源的倍频带声功率级，dB；</w:t>
            </w:r>
          </w:p>
          <w:p w14:paraId="0A140880">
            <w:pPr>
              <w:widowControl/>
              <w:overflowPunct w:val="0"/>
              <w:topLinePunct/>
              <w:autoSpaceDE w:val="0"/>
              <w:autoSpaceDN w:val="0"/>
              <w:adjustRightInd w:val="0"/>
              <w:snapToGrid w:val="0"/>
              <w:spacing w:line="360" w:lineRule="auto"/>
              <w:ind w:firstLine="960" w:firstLineChars="400"/>
              <w:jc w:val="both"/>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sz w:val="24"/>
                <w:szCs w:val="24"/>
                <w:lang w:val="en-US" w:eastAsia="zh-CN" w:bidi="ar-SA"/>
              </w:rPr>
              <w:t>L</w:t>
            </w:r>
            <w:r>
              <w:rPr>
                <w:rFonts w:ascii="Times New Roman" w:hAnsi="Times New Roman" w:eastAsia="宋体" w:cs="Times New Roman"/>
                <w:snapToGrid w:val="0"/>
                <w:kern w:val="0"/>
                <w:sz w:val="24"/>
                <w:szCs w:val="24"/>
                <w:vertAlign w:val="subscript"/>
                <w:lang w:val="en-US" w:eastAsia="zh-CN" w:bidi="ar-SA"/>
              </w:rPr>
              <w:t>p2</w:t>
            </w:r>
            <w:r>
              <w:rPr>
                <w:rFonts w:ascii="Times New Roman" w:hAnsi="Times New Roman" w:eastAsia="宋体" w:cs="Times New Roman"/>
                <w:snapToGrid w:val="0"/>
                <w:kern w:val="0"/>
                <w:sz w:val="24"/>
                <w:szCs w:val="24"/>
                <w:lang w:val="en-US" w:eastAsia="zh-CN" w:bidi="ar-SA"/>
              </w:rPr>
              <w:t>(T)</w:t>
            </w:r>
            <w:r>
              <w:rPr>
                <w:rFonts w:ascii="Times New Roman" w:hAnsi="Times New Roman" w:eastAsia="宋体" w:cs="Times New Roman"/>
                <w:snapToGrid w:val="0"/>
                <w:kern w:val="0"/>
                <w:sz w:val="24"/>
                <w:szCs w:val="24"/>
                <w:lang w:val="en-US" w:eastAsia="zh-CN" w:bidi="ar-SA"/>
              </w:rPr>
              <w:sym w:font="Symbol" w:char="F0BE"/>
            </w:r>
            <w:r>
              <w:rPr>
                <w:rFonts w:ascii="Times New Roman" w:hAnsi="Times New Roman" w:eastAsia="宋体" w:cs="Times New Roman"/>
                <w:snapToGrid w:val="0"/>
                <w:kern w:val="0"/>
                <w:sz w:val="24"/>
                <w:szCs w:val="24"/>
                <w:lang w:val="en-US" w:eastAsia="zh-CN" w:bidi="ar-SA"/>
              </w:rPr>
              <w:t>靠近围护结构处室外声源的声压级，dB；</w:t>
            </w:r>
          </w:p>
          <w:p w14:paraId="5A7FE41D">
            <w:pPr>
              <w:widowControl/>
              <w:overflowPunct w:val="0"/>
              <w:topLinePunct/>
              <w:autoSpaceDE w:val="0"/>
              <w:autoSpaceDN w:val="0"/>
              <w:adjustRightInd w:val="0"/>
              <w:snapToGrid w:val="0"/>
              <w:spacing w:line="360" w:lineRule="auto"/>
              <w:ind w:firstLine="960" w:firstLineChars="400"/>
              <w:jc w:val="both"/>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sz w:val="24"/>
                <w:szCs w:val="24"/>
                <w:lang w:val="en-US" w:eastAsia="zh-CN" w:bidi="ar-SA"/>
              </w:rPr>
              <w:t>S—透声面积，m</w:t>
            </w:r>
            <w:r>
              <w:rPr>
                <w:rFonts w:ascii="Times New Roman" w:hAnsi="Times New Roman" w:eastAsia="宋体" w:cs="Times New Roman"/>
                <w:snapToGrid w:val="0"/>
                <w:kern w:val="0"/>
                <w:sz w:val="24"/>
                <w:szCs w:val="24"/>
                <w:vertAlign w:val="superscript"/>
                <w:lang w:val="en-US" w:eastAsia="zh-CN" w:bidi="ar-SA"/>
              </w:rPr>
              <w:t>2</w:t>
            </w:r>
            <w:r>
              <w:rPr>
                <w:rFonts w:ascii="Times New Roman" w:hAnsi="Times New Roman" w:eastAsia="宋体" w:cs="Times New Roman"/>
                <w:snapToGrid w:val="0"/>
                <w:kern w:val="0"/>
                <w:sz w:val="24"/>
                <w:szCs w:val="24"/>
                <w:lang w:val="en-US" w:eastAsia="zh-CN" w:bidi="ar-SA"/>
              </w:rPr>
              <w:t>。</w:t>
            </w:r>
          </w:p>
          <w:p w14:paraId="102A89BF">
            <w:pPr>
              <w:widowControl/>
              <w:overflowPunct w:val="0"/>
              <w:topLinePunct/>
              <w:autoSpaceDE w:val="0"/>
              <w:autoSpaceDN w:val="0"/>
              <w:adjustRightInd w:val="0"/>
              <w:snapToGrid w:val="0"/>
              <w:spacing w:line="360" w:lineRule="auto"/>
              <w:ind w:firstLine="480" w:firstLineChars="200"/>
              <w:jc w:val="both"/>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sz w:val="24"/>
                <w:szCs w:val="24"/>
                <w:lang w:val="en-US" w:eastAsia="zh-CN" w:bidi="ar-SA"/>
              </w:rPr>
              <w:t>⑤工业企业噪声计算：</w:t>
            </w:r>
          </w:p>
          <w:p w14:paraId="2A4593C5">
            <w:pPr>
              <w:widowControl/>
              <w:overflowPunct w:val="0"/>
              <w:topLinePunct/>
              <w:autoSpaceDE w:val="0"/>
              <w:autoSpaceDN w:val="0"/>
              <w:adjustRightInd w:val="0"/>
              <w:snapToGrid w:val="0"/>
              <w:spacing w:line="360" w:lineRule="auto"/>
              <w:ind w:firstLine="0" w:firstLineChars="0"/>
              <w:jc w:val="center"/>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position w:val="-28"/>
                <w:sz w:val="24"/>
                <w:szCs w:val="24"/>
                <w:lang w:val="en-US" w:eastAsia="zh-CN" w:bidi="ar-SA"/>
              </w:rPr>
              <w:object>
                <v:shape id="_x0000_i1033" o:spt="75" type="#_x0000_t75" style="height:33pt;width:181pt;" o:ole="t" filled="f" o:preferrelative="t" stroked="f" coordsize="21600,21600">
                  <v:path/>
                  <v:fill on="f" focussize="0,0"/>
                  <v:stroke on="f"/>
                  <v:imagedata r:id="rId33" o:title=""/>
                  <o:lock v:ext="edit" aspectratio="t"/>
                  <w10:wrap type="none"/>
                  <w10:anchorlock/>
                </v:shape>
                <o:OLEObject Type="Embed" ProgID="Equation.3" ShapeID="_x0000_i1033" DrawAspect="Content" ObjectID="_1468075733" r:id="rId32">
                  <o:LockedField>false</o:LockedField>
                </o:OLEObject>
              </w:object>
            </w:r>
          </w:p>
          <w:p w14:paraId="31CAC326">
            <w:pPr>
              <w:widowControl/>
              <w:overflowPunct w:val="0"/>
              <w:topLinePunct/>
              <w:autoSpaceDE w:val="0"/>
              <w:autoSpaceDN w:val="0"/>
              <w:adjustRightInd w:val="0"/>
              <w:snapToGrid w:val="0"/>
              <w:spacing w:line="360" w:lineRule="auto"/>
              <w:ind w:firstLine="480" w:firstLineChars="200"/>
              <w:jc w:val="both"/>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sz w:val="24"/>
                <w:szCs w:val="24"/>
                <w:lang w:val="en-US" w:eastAsia="zh-CN" w:bidi="ar-SA"/>
              </w:rPr>
              <w:t>式中：L</w:t>
            </w:r>
            <w:r>
              <w:rPr>
                <w:rFonts w:ascii="Times New Roman" w:hAnsi="Times New Roman" w:eastAsia="宋体" w:cs="Times New Roman"/>
                <w:snapToGrid w:val="0"/>
                <w:kern w:val="0"/>
                <w:sz w:val="24"/>
                <w:szCs w:val="24"/>
                <w:vertAlign w:val="subscript"/>
                <w:lang w:val="en-US" w:eastAsia="zh-CN" w:bidi="ar-SA"/>
              </w:rPr>
              <w:t>eqg</w:t>
            </w:r>
            <w:r>
              <w:rPr>
                <w:rFonts w:ascii="Times New Roman" w:hAnsi="Times New Roman" w:eastAsia="宋体" w:cs="Times New Roman"/>
                <w:snapToGrid w:val="0"/>
                <w:kern w:val="0"/>
                <w:sz w:val="24"/>
                <w:szCs w:val="24"/>
                <w:lang w:val="en-US" w:eastAsia="zh-CN" w:bidi="ar-SA"/>
              </w:rPr>
              <w:t>—建设项目声源在预测点产生的噪声贡献值，dB；</w:t>
            </w:r>
          </w:p>
          <w:p w14:paraId="42C52642">
            <w:pPr>
              <w:widowControl/>
              <w:overflowPunct w:val="0"/>
              <w:topLinePunct/>
              <w:autoSpaceDE w:val="0"/>
              <w:autoSpaceDN w:val="0"/>
              <w:adjustRightInd w:val="0"/>
              <w:snapToGrid w:val="0"/>
              <w:spacing w:line="360" w:lineRule="auto"/>
              <w:ind w:firstLine="1200" w:firstLineChars="500"/>
              <w:jc w:val="both"/>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sz w:val="24"/>
                <w:szCs w:val="24"/>
                <w:lang w:val="en-US" w:eastAsia="zh-CN" w:bidi="ar-SA"/>
              </w:rPr>
              <w:t>T—用于计算等效声级的时间，s；</w:t>
            </w:r>
          </w:p>
          <w:p w14:paraId="662195BA">
            <w:pPr>
              <w:widowControl/>
              <w:overflowPunct w:val="0"/>
              <w:topLinePunct/>
              <w:autoSpaceDE w:val="0"/>
              <w:autoSpaceDN w:val="0"/>
              <w:adjustRightInd w:val="0"/>
              <w:snapToGrid w:val="0"/>
              <w:spacing w:line="360" w:lineRule="auto"/>
              <w:ind w:firstLine="1200" w:firstLineChars="500"/>
              <w:jc w:val="both"/>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sz w:val="24"/>
                <w:szCs w:val="24"/>
                <w:lang w:val="en-US" w:eastAsia="zh-CN" w:bidi="ar-SA"/>
              </w:rPr>
              <w:t>N—室外声源个数；</w:t>
            </w:r>
          </w:p>
          <w:p w14:paraId="15529EFC">
            <w:pPr>
              <w:widowControl/>
              <w:overflowPunct w:val="0"/>
              <w:topLinePunct/>
              <w:autoSpaceDE w:val="0"/>
              <w:autoSpaceDN w:val="0"/>
              <w:adjustRightInd w:val="0"/>
              <w:snapToGrid w:val="0"/>
              <w:spacing w:line="360" w:lineRule="auto"/>
              <w:ind w:firstLine="1200" w:firstLineChars="500"/>
              <w:jc w:val="both"/>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sz w:val="24"/>
                <w:szCs w:val="24"/>
                <w:lang w:val="en-US" w:eastAsia="zh-CN" w:bidi="ar-SA"/>
              </w:rPr>
              <w:t>t</w:t>
            </w:r>
            <w:r>
              <w:rPr>
                <w:rFonts w:ascii="Times New Roman" w:hAnsi="Times New Roman" w:eastAsia="宋体" w:cs="Times New Roman"/>
                <w:snapToGrid w:val="0"/>
                <w:kern w:val="0"/>
                <w:sz w:val="24"/>
                <w:szCs w:val="24"/>
                <w:vertAlign w:val="subscript"/>
                <w:lang w:val="en-US" w:eastAsia="zh-CN" w:bidi="ar-SA"/>
              </w:rPr>
              <w:t>i</w:t>
            </w:r>
            <w:r>
              <w:rPr>
                <w:rFonts w:ascii="Times New Roman" w:hAnsi="Times New Roman" w:eastAsia="宋体" w:cs="Times New Roman"/>
                <w:snapToGrid w:val="0"/>
                <w:kern w:val="0"/>
                <w:sz w:val="24"/>
                <w:szCs w:val="24"/>
                <w:lang w:val="en-US" w:eastAsia="zh-CN" w:bidi="ar-SA"/>
              </w:rPr>
              <w:t>—在T时间内i声源工作时间，s；</w:t>
            </w:r>
          </w:p>
          <w:p w14:paraId="1FFA748D">
            <w:pPr>
              <w:widowControl/>
              <w:overflowPunct w:val="0"/>
              <w:topLinePunct/>
              <w:autoSpaceDE w:val="0"/>
              <w:autoSpaceDN w:val="0"/>
              <w:adjustRightInd w:val="0"/>
              <w:snapToGrid w:val="0"/>
              <w:spacing w:line="360" w:lineRule="auto"/>
              <w:ind w:firstLine="1200" w:firstLineChars="500"/>
              <w:jc w:val="both"/>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sz w:val="24"/>
                <w:szCs w:val="24"/>
                <w:lang w:val="en-US" w:eastAsia="zh-CN" w:bidi="ar-SA"/>
              </w:rPr>
              <w:t>M—等效室外声源个数；</w:t>
            </w:r>
          </w:p>
          <w:p w14:paraId="3B5C6BE5">
            <w:pPr>
              <w:widowControl/>
              <w:overflowPunct w:val="0"/>
              <w:topLinePunct/>
              <w:autoSpaceDE w:val="0"/>
              <w:autoSpaceDN w:val="0"/>
              <w:adjustRightInd w:val="0"/>
              <w:snapToGrid w:val="0"/>
              <w:spacing w:line="360" w:lineRule="auto"/>
              <w:ind w:firstLine="1200" w:firstLineChars="500"/>
              <w:jc w:val="both"/>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sz w:val="24"/>
                <w:szCs w:val="24"/>
                <w:lang w:val="en-US" w:eastAsia="zh-CN" w:bidi="ar-SA"/>
              </w:rPr>
              <w:t>t</w:t>
            </w:r>
            <w:r>
              <w:rPr>
                <w:rFonts w:ascii="Times New Roman" w:hAnsi="Times New Roman" w:eastAsia="宋体" w:cs="Times New Roman"/>
                <w:snapToGrid w:val="0"/>
                <w:kern w:val="0"/>
                <w:sz w:val="24"/>
                <w:szCs w:val="24"/>
                <w:vertAlign w:val="subscript"/>
                <w:lang w:val="en-US" w:eastAsia="zh-CN" w:bidi="ar-SA"/>
              </w:rPr>
              <w:t>j</w:t>
            </w:r>
            <w:r>
              <w:rPr>
                <w:rFonts w:ascii="Times New Roman" w:hAnsi="Times New Roman" w:eastAsia="宋体" w:cs="Times New Roman"/>
                <w:snapToGrid w:val="0"/>
                <w:kern w:val="0"/>
                <w:sz w:val="24"/>
                <w:szCs w:val="24"/>
                <w:lang w:val="en-US" w:eastAsia="zh-CN" w:bidi="ar-SA"/>
              </w:rPr>
              <w:t>—在T时间内j声源工作时间，s。</w:t>
            </w:r>
          </w:p>
          <w:p w14:paraId="22783F3C">
            <w:pPr>
              <w:widowControl/>
              <w:overflowPunct w:val="0"/>
              <w:topLinePunct/>
              <w:autoSpaceDE w:val="0"/>
              <w:autoSpaceDN w:val="0"/>
              <w:adjustRightInd w:val="0"/>
              <w:snapToGrid w:val="0"/>
              <w:spacing w:line="360" w:lineRule="auto"/>
              <w:ind w:firstLine="480" w:firstLineChars="200"/>
              <w:jc w:val="both"/>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sz w:val="24"/>
                <w:szCs w:val="24"/>
                <w:lang w:val="en-US" w:eastAsia="zh-CN" w:bidi="ar-SA"/>
              </w:rPr>
              <w:t>（2）室外声源的衰减</w:t>
            </w:r>
          </w:p>
          <w:p w14:paraId="044A5BB0">
            <w:pPr>
              <w:widowControl/>
              <w:overflowPunct w:val="0"/>
              <w:topLinePunct/>
              <w:autoSpaceDE w:val="0"/>
              <w:autoSpaceDN w:val="0"/>
              <w:adjustRightInd w:val="0"/>
              <w:snapToGrid w:val="0"/>
              <w:spacing w:line="360" w:lineRule="auto"/>
              <w:ind w:firstLine="480" w:firstLineChars="200"/>
              <w:jc w:val="both"/>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sz w:val="24"/>
                <w:szCs w:val="24"/>
                <w:lang w:val="en-US" w:eastAsia="zh-CN" w:bidi="ar-SA"/>
              </w:rPr>
              <w:t>a）基本公式</w:t>
            </w:r>
          </w:p>
          <w:p w14:paraId="13EA91FA">
            <w:pPr>
              <w:widowControl/>
              <w:overflowPunct w:val="0"/>
              <w:topLinePunct/>
              <w:autoSpaceDE w:val="0"/>
              <w:autoSpaceDN w:val="0"/>
              <w:adjustRightInd w:val="0"/>
              <w:snapToGrid w:val="0"/>
              <w:spacing w:line="360" w:lineRule="auto"/>
              <w:ind w:firstLine="480" w:firstLineChars="200"/>
              <w:jc w:val="both"/>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sz w:val="24"/>
                <w:szCs w:val="24"/>
                <w:lang w:val="en-US" w:eastAsia="zh-CN" w:bidi="ar-SA"/>
              </w:rPr>
              <w:t>①在环境影响评价中，应根据声源声功率级或参考位置处的声压级、户外声传播衰减，计算预测点的声级：</w:t>
            </w:r>
          </w:p>
          <w:p w14:paraId="10A062CB">
            <w:pPr>
              <w:widowControl/>
              <w:overflowPunct w:val="0"/>
              <w:topLinePunct/>
              <w:autoSpaceDE w:val="0"/>
              <w:autoSpaceDN w:val="0"/>
              <w:adjustRightInd w:val="0"/>
              <w:snapToGrid w:val="0"/>
              <w:spacing w:line="360" w:lineRule="auto"/>
              <w:ind w:firstLine="0" w:firstLineChars="0"/>
              <w:jc w:val="center"/>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position w:val="-14"/>
                <w:sz w:val="24"/>
                <w:szCs w:val="24"/>
                <w:lang w:val="en-US" w:eastAsia="zh-CN" w:bidi="ar-SA"/>
              </w:rPr>
              <w:object>
                <v:shape id="_x0000_i1034" o:spt="75" type="#_x0000_t75" style="height:17pt;width:214pt;" o:ole="t" filled="f" o:preferrelative="t" stroked="f" coordsize="21600,21600">
                  <v:path/>
                  <v:fill on="f" focussize="0,0"/>
                  <v:stroke on="f"/>
                  <v:imagedata r:id="rId35" o:title=""/>
                  <o:lock v:ext="edit" aspectratio="t"/>
                  <w10:wrap type="none"/>
                  <w10:anchorlock/>
                </v:shape>
                <o:OLEObject Type="Embed" ProgID="Equation.KSEE3" ShapeID="_x0000_i1034" DrawAspect="Content" ObjectID="_1468075734" r:id="rId34">
                  <o:LockedField>false</o:LockedField>
                </o:OLEObject>
              </w:object>
            </w:r>
          </w:p>
          <w:p w14:paraId="6BA4AFCF">
            <w:pPr>
              <w:widowControl/>
              <w:overflowPunct w:val="0"/>
              <w:topLinePunct/>
              <w:autoSpaceDE w:val="0"/>
              <w:autoSpaceDN w:val="0"/>
              <w:adjustRightInd w:val="0"/>
              <w:snapToGrid w:val="0"/>
              <w:spacing w:line="360" w:lineRule="auto"/>
              <w:ind w:firstLine="480" w:firstLineChars="200"/>
              <w:jc w:val="both"/>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sz w:val="24"/>
                <w:szCs w:val="24"/>
                <w:lang w:val="en-US" w:eastAsia="zh-CN" w:bidi="ar-SA"/>
              </w:rPr>
              <w:t>式中：L</w:t>
            </w:r>
            <w:r>
              <w:rPr>
                <w:rFonts w:ascii="Times New Roman" w:hAnsi="Times New Roman" w:eastAsia="宋体" w:cs="Times New Roman"/>
                <w:snapToGrid w:val="0"/>
                <w:kern w:val="0"/>
                <w:sz w:val="24"/>
                <w:szCs w:val="24"/>
                <w:vertAlign w:val="subscript"/>
                <w:lang w:val="en-US" w:eastAsia="zh-CN" w:bidi="ar-SA"/>
              </w:rPr>
              <w:t>p</w:t>
            </w:r>
            <w:r>
              <w:rPr>
                <w:rFonts w:ascii="Times New Roman" w:hAnsi="Times New Roman" w:eastAsia="宋体" w:cs="Times New Roman"/>
                <w:snapToGrid w:val="0"/>
                <w:kern w:val="0"/>
                <w:sz w:val="24"/>
                <w:szCs w:val="24"/>
                <w:lang w:val="en-US" w:eastAsia="zh-CN" w:bidi="ar-SA"/>
              </w:rPr>
              <w:t>(r)</w:t>
            </w:r>
            <w:r>
              <w:rPr>
                <w:rFonts w:ascii="Times New Roman" w:hAnsi="Times New Roman" w:eastAsia="宋体" w:cs="Times New Roman"/>
                <w:snapToGrid w:val="0"/>
                <w:kern w:val="0"/>
                <w:sz w:val="24"/>
                <w:szCs w:val="24"/>
                <w:lang w:val="en-US" w:eastAsia="zh-CN" w:bidi="ar-SA"/>
              </w:rPr>
              <w:sym w:font="Symbol" w:char="F0BE"/>
            </w:r>
            <w:r>
              <w:rPr>
                <w:rFonts w:ascii="Times New Roman" w:hAnsi="Times New Roman" w:eastAsia="宋体" w:cs="Times New Roman"/>
                <w:snapToGrid w:val="0"/>
                <w:kern w:val="0"/>
                <w:sz w:val="24"/>
                <w:szCs w:val="24"/>
                <w:lang w:val="en-US" w:eastAsia="zh-CN" w:bidi="ar-SA"/>
              </w:rPr>
              <w:t>预测点处声压级，dB；</w:t>
            </w:r>
          </w:p>
          <w:p w14:paraId="4D9CF60E">
            <w:pPr>
              <w:widowControl/>
              <w:overflowPunct w:val="0"/>
              <w:topLinePunct/>
              <w:autoSpaceDE w:val="0"/>
              <w:autoSpaceDN w:val="0"/>
              <w:adjustRightInd w:val="0"/>
              <w:snapToGrid w:val="0"/>
              <w:spacing w:line="360" w:lineRule="auto"/>
              <w:ind w:firstLine="1200" w:firstLineChars="500"/>
              <w:jc w:val="both"/>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sz w:val="24"/>
                <w:szCs w:val="24"/>
                <w:lang w:val="en-US" w:eastAsia="zh-CN" w:bidi="ar-SA"/>
              </w:rPr>
              <w:t>L</w:t>
            </w:r>
            <w:r>
              <w:rPr>
                <w:rFonts w:ascii="Times New Roman" w:hAnsi="Times New Roman" w:eastAsia="宋体" w:cs="Times New Roman"/>
                <w:snapToGrid w:val="0"/>
                <w:kern w:val="0"/>
                <w:sz w:val="24"/>
                <w:szCs w:val="24"/>
                <w:vertAlign w:val="subscript"/>
                <w:lang w:val="en-US" w:eastAsia="zh-CN" w:bidi="ar-SA"/>
              </w:rPr>
              <w:t>w</w:t>
            </w:r>
            <w:r>
              <w:rPr>
                <w:rFonts w:ascii="Times New Roman" w:hAnsi="Times New Roman" w:eastAsia="宋体" w:cs="Times New Roman"/>
                <w:snapToGrid w:val="0"/>
                <w:kern w:val="0"/>
                <w:sz w:val="24"/>
                <w:szCs w:val="24"/>
                <w:lang w:val="en-US" w:eastAsia="zh-CN" w:bidi="ar-SA"/>
              </w:rPr>
              <w:sym w:font="Symbol" w:char="F0BE"/>
            </w:r>
            <w:r>
              <w:rPr>
                <w:rFonts w:ascii="Times New Roman" w:hAnsi="Times New Roman" w:eastAsia="宋体" w:cs="Times New Roman"/>
                <w:snapToGrid w:val="0"/>
                <w:kern w:val="0"/>
                <w:sz w:val="24"/>
                <w:szCs w:val="24"/>
                <w:lang w:val="en-US" w:eastAsia="zh-CN" w:bidi="ar-SA"/>
              </w:rPr>
              <w:t>由点声源产生的声功率级（A计权或倍频带），dB；</w:t>
            </w:r>
          </w:p>
          <w:p w14:paraId="53E5C5B9">
            <w:pPr>
              <w:widowControl/>
              <w:overflowPunct w:val="0"/>
              <w:topLinePunct/>
              <w:autoSpaceDE w:val="0"/>
              <w:autoSpaceDN w:val="0"/>
              <w:adjustRightInd w:val="0"/>
              <w:snapToGrid w:val="0"/>
              <w:spacing w:line="360" w:lineRule="auto"/>
              <w:ind w:firstLine="1200" w:firstLineChars="500"/>
              <w:jc w:val="both"/>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sz w:val="24"/>
                <w:szCs w:val="24"/>
                <w:lang w:val="en-US" w:eastAsia="zh-CN" w:bidi="ar-SA"/>
              </w:rPr>
              <w:t>D</w:t>
            </w:r>
            <w:r>
              <w:rPr>
                <w:rFonts w:ascii="Times New Roman" w:hAnsi="Times New Roman" w:eastAsia="宋体" w:cs="Times New Roman"/>
                <w:snapToGrid w:val="0"/>
                <w:kern w:val="0"/>
                <w:sz w:val="24"/>
                <w:szCs w:val="24"/>
                <w:vertAlign w:val="subscript"/>
                <w:lang w:val="en-US" w:eastAsia="zh-CN" w:bidi="ar-SA"/>
              </w:rPr>
              <w:t>C</w:t>
            </w:r>
            <w:r>
              <w:rPr>
                <w:rFonts w:ascii="Times New Roman" w:hAnsi="Times New Roman" w:eastAsia="宋体" w:cs="Times New Roman"/>
                <w:snapToGrid w:val="0"/>
                <w:kern w:val="0"/>
                <w:sz w:val="24"/>
                <w:szCs w:val="24"/>
                <w:lang w:val="en-US" w:eastAsia="zh-CN" w:bidi="ar-SA"/>
              </w:rPr>
              <w:sym w:font="Symbol" w:char="F0BE"/>
            </w:r>
            <w:r>
              <w:rPr>
                <w:rFonts w:ascii="Times New Roman" w:hAnsi="Times New Roman" w:eastAsia="宋体" w:cs="Times New Roman"/>
                <w:snapToGrid w:val="0"/>
                <w:kern w:val="0"/>
                <w:sz w:val="24"/>
                <w:szCs w:val="24"/>
                <w:lang w:val="en-US" w:eastAsia="zh-CN" w:bidi="ar-SA"/>
              </w:rPr>
              <w:t>指向性校正，它描述点声源的等效连续声压级与产生声功率级Lw的全向点声源在规定方向的声级的偏差程度，dB；</w:t>
            </w:r>
          </w:p>
          <w:p w14:paraId="248FBDD8">
            <w:pPr>
              <w:widowControl/>
              <w:overflowPunct w:val="0"/>
              <w:topLinePunct/>
              <w:autoSpaceDE w:val="0"/>
              <w:autoSpaceDN w:val="0"/>
              <w:adjustRightInd w:val="0"/>
              <w:snapToGrid w:val="0"/>
              <w:spacing w:line="360" w:lineRule="auto"/>
              <w:ind w:firstLine="1200" w:firstLineChars="500"/>
              <w:jc w:val="both"/>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sz w:val="24"/>
                <w:szCs w:val="24"/>
                <w:lang w:val="en-US" w:eastAsia="zh-CN" w:bidi="ar-SA"/>
              </w:rPr>
              <w:t>A</w:t>
            </w:r>
            <w:r>
              <w:rPr>
                <w:rFonts w:ascii="Times New Roman" w:hAnsi="Times New Roman" w:eastAsia="宋体" w:cs="Times New Roman"/>
                <w:snapToGrid w:val="0"/>
                <w:kern w:val="0"/>
                <w:sz w:val="24"/>
                <w:szCs w:val="24"/>
                <w:vertAlign w:val="subscript"/>
                <w:lang w:val="en-US" w:eastAsia="zh-CN" w:bidi="ar-SA"/>
              </w:rPr>
              <w:t>div</w:t>
            </w:r>
            <w:r>
              <w:rPr>
                <w:rFonts w:ascii="Times New Roman" w:hAnsi="Times New Roman" w:eastAsia="宋体" w:cs="Times New Roman"/>
                <w:snapToGrid w:val="0"/>
                <w:kern w:val="0"/>
                <w:sz w:val="24"/>
                <w:szCs w:val="24"/>
                <w:lang w:val="en-US" w:eastAsia="zh-CN" w:bidi="ar-SA"/>
              </w:rPr>
              <w:sym w:font="Symbol" w:char="F0BE"/>
            </w:r>
            <w:r>
              <w:rPr>
                <w:rFonts w:ascii="Times New Roman" w:hAnsi="Times New Roman" w:eastAsia="宋体" w:cs="Times New Roman"/>
                <w:snapToGrid w:val="0"/>
                <w:kern w:val="0"/>
                <w:sz w:val="24"/>
                <w:szCs w:val="24"/>
                <w:lang w:val="en-US" w:eastAsia="zh-CN" w:bidi="ar-SA"/>
              </w:rPr>
              <w:t>几何发散引起的衰减，dB；</w:t>
            </w:r>
          </w:p>
          <w:p w14:paraId="3BE6D131">
            <w:pPr>
              <w:widowControl/>
              <w:overflowPunct w:val="0"/>
              <w:topLinePunct/>
              <w:autoSpaceDE w:val="0"/>
              <w:autoSpaceDN w:val="0"/>
              <w:adjustRightInd w:val="0"/>
              <w:snapToGrid w:val="0"/>
              <w:spacing w:line="360" w:lineRule="auto"/>
              <w:ind w:firstLine="1200" w:firstLineChars="500"/>
              <w:jc w:val="both"/>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sz w:val="24"/>
                <w:szCs w:val="24"/>
                <w:lang w:val="en-US" w:eastAsia="zh-CN" w:bidi="ar-SA"/>
              </w:rPr>
              <w:t>A</w:t>
            </w:r>
            <w:r>
              <w:rPr>
                <w:rFonts w:ascii="Times New Roman" w:hAnsi="Times New Roman" w:eastAsia="宋体" w:cs="Times New Roman"/>
                <w:snapToGrid w:val="0"/>
                <w:kern w:val="0"/>
                <w:sz w:val="24"/>
                <w:szCs w:val="24"/>
                <w:vertAlign w:val="subscript"/>
                <w:lang w:val="en-US" w:eastAsia="zh-CN" w:bidi="ar-SA"/>
              </w:rPr>
              <w:t>atm</w:t>
            </w:r>
            <w:r>
              <w:rPr>
                <w:rFonts w:ascii="Times New Roman" w:hAnsi="Times New Roman" w:eastAsia="宋体" w:cs="Times New Roman"/>
                <w:snapToGrid w:val="0"/>
                <w:kern w:val="0"/>
                <w:sz w:val="24"/>
                <w:szCs w:val="24"/>
                <w:lang w:val="en-US" w:eastAsia="zh-CN" w:bidi="ar-SA"/>
              </w:rPr>
              <w:sym w:font="Symbol" w:char="F0BE"/>
            </w:r>
            <w:r>
              <w:rPr>
                <w:rFonts w:ascii="Times New Roman" w:hAnsi="Times New Roman" w:eastAsia="宋体" w:cs="Times New Roman"/>
                <w:snapToGrid w:val="0"/>
                <w:kern w:val="0"/>
                <w:sz w:val="24"/>
                <w:szCs w:val="24"/>
                <w:lang w:val="en-US" w:eastAsia="zh-CN" w:bidi="ar-SA"/>
              </w:rPr>
              <w:t>大气吸收引起的衰减，dB；</w:t>
            </w:r>
          </w:p>
          <w:p w14:paraId="37368B3A">
            <w:pPr>
              <w:widowControl/>
              <w:overflowPunct w:val="0"/>
              <w:topLinePunct/>
              <w:autoSpaceDE w:val="0"/>
              <w:autoSpaceDN w:val="0"/>
              <w:adjustRightInd w:val="0"/>
              <w:snapToGrid w:val="0"/>
              <w:spacing w:line="360" w:lineRule="auto"/>
              <w:ind w:firstLine="1200" w:firstLineChars="500"/>
              <w:jc w:val="both"/>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sz w:val="24"/>
                <w:szCs w:val="24"/>
                <w:lang w:val="en-US" w:eastAsia="zh-CN" w:bidi="ar-SA"/>
              </w:rPr>
              <w:t>A</w:t>
            </w:r>
            <w:r>
              <w:rPr>
                <w:rFonts w:ascii="Times New Roman" w:hAnsi="Times New Roman" w:eastAsia="宋体" w:cs="Times New Roman"/>
                <w:snapToGrid w:val="0"/>
                <w:kern w:val="0"/>
                <w:sz w:val="24"/>
                <w:szCs w:val="24"/>
                <w:vertAlign w:val="subscript"/>
                <w:lang w:val="en-US" w:eastAsia="zh-CN" w:bidi="ar-SA"/>
              </w:rPr>
              <w:t>gr</w:t>
            </w:r>
            <w:r>
              <w:rPr>
                <w:rFonts w:ascii="Times New Roman" w:hAnsi="Times New Roman" w:eastAsia="宋体" w:cs="Times New Roman"/>
                <w:snapToGrid w:val="0"/>
                <w:kern w:val="0"/>
                <w:sz w:val="24"/>
                <w:szCs w:val="24"/>
                <w:lang w:val="en-US" w:eastAsia="zh-CN" w:bidi="ar-SA"/>
              </w:rPr>
              <w:sym w:font="Symbol" w:char="F0BE"/>
            </w:r>
            <w:r>
              <w:rPr>
                <w:rFonts w:ascii="Times New Roman" w:hAnsi="Times New Roman" w:eastAsia="宋体" w:cs="Times New Roman"/>
                <w:snapToGrid w:val="0"/>
                <w:kern w:val="0"/>
                <w:sz w:val="24"/>
                <w:szCs w:val="24"/>
                <w:lang w:val="en-US" w:eastAsia="zh-CN" w:bidi="ar-SA"/>
              </w:rPr>
              <w:t>地面效应引起的衰减，dB；</w:t>
            </w:r>
          </w:p>
          <w:p w14:paraId="64033273">
            <w:pPr>
              <w:widowControl/>
              <w:overflowPunct w:val="0"/>
              <w:topLinePunct/>
              <w:autoSpaceDE w:val="0"/>
              <w:autoSpaceDN w:val="0"/>
              <w:adjustRightInd w:val="0"/>
              <w:snapToGrid w:val="0"/>
              <w:spacing w:line="360" w:lineRule="auto"/>
              <w:ind w:firstLine="1200" w:firstLineChars="500"/>
              <w:jc w:val="both"/>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sz w:val="24"/>
                <w:szCs w:val="24"/>
                <w:lang w:val="en-US" w:eastAsia="zh-CN" w:bidi="ar-SA"/>
              </w:rPr>
              <w:t>A</w:t>
            </w:r>
            <w:r>
              <w:rPr>
                <w:rFonts w:ascii="Times New Roman" w:hAnsi="Times New Roman" w:eastAsia="宋体" w:cs="Times New Roman"/>
                <w:snapToGrid w:val="0"/>
                <w:kern w:val="0"/>
                <w:sz w:val="24"/>
                <w:szCs w:val="24"/>
                <w:vertAlign w:val="subscript"/>
                <w:lang w:val="en-US" w:eastAsia="zh-CN" w:bidi="ar-SA"/>
              </w:rPr>
              <w:t>bar</w:t>
            </w:r>
            <w:r>
              <w:rPr>
                <w:rFonts w:ascii="Times New Roman" w:hAnsi="Times New Roman" w:eastAsia="宋体" w:cs="Times New Roman"/>
                <w:snapToGrid w:val="0"/>
                <w:kern w:val="0"/>
                <w:sz w:val="24"/>
                <w:szCs w:val="24"/>
                <w:lang w:val="en-US" w:eastAsia="zh-CN" w:bidi="ar-SA"/>
              </w:rPr>
              <w:sym w:font="Symbol" w:char="F0BE"/>
            </w:r>
            <w:r>
              <w:rPr>
                <w:rFonts w:ascii="Times New Roman" w:hAnsi="Times New Roman" w:eastAsia="宋体" w:cs="Times New Roman"/>
                <w:snapToGrid w:val="0"/>
                <w:kern w:val="0"/>
                <w:sz w:val="24"/>
                <w:szCs w:val="24"/>
                <w:lang w:val="en-US" w:eastAsia="zh-CN" w:bidi="ar-SA"/>
              </w:rPr>
              <w:t>障碍物屏蔽引起的衰减，dB；</w:t>
            </w:r>
          </w:p>
          <w:p w14:paraId="6232624C">
            <w:pPr>
              <w:widowControl/>
              <w:overflowPunct w:val="0"/>
              <w:topLinePunct/>
              <w:autoSpaceDE w:val="0"/>
              <w:autoSpaceDN w:val="0"/>
              <w:adjustRightInd w:val="0"/>
              <w:snapToGrid w:val="0"/>
              <w:spacing w:line="360" w:lineRule="auto"/>
              <w:ind w:firstLine="1200" w:firstLineChars="500"/>
              <w:jc w:val="both"/>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sz w:val="24"/>
                <w:szCs w:val="24"/>
                <w:lang w:val="en-US" w:eastAsia="zh-CN" w:bidi="ar-SA"/>
              </w:rPr>
              <w:t>A</w:t>
            </w:r>
            <w:r>
              <w:rPr>
                <w:rFonts w:ascii="Times New Roman" w:hAnsi="Times New Roman" w:eastAsia="宋体" w:cs="Times New Roman"/>
                <w:snapToGrid w:val="0"/>
                <w:kern w:val="0"/>
                <w:sz w:val="24"/>
                <w:szCs w:val="24"/>
                <w:vertAlign w:val="subscript"/>
                <w:lang w:val="en-US" w:eastAsia="zh-CN" w:bidi="ar-SA"/>
              </w:rPr>
              <w:t>misc</w:t>
            </w:r>
            <w:r>
              <w:rPr>
                <w:rFonts w:ascii="Times New Roman" w:hAnsi="Times New Roman" w:eastAsia="宋体" w:cs="Times New Roman"/>
                <w:snapToGrid w:val="0"/>
                <w:kern w:val="0"/>
                <w:sz w:val="24"/>
                <w:szCs w:val="24"/>
                <w:lang w:val="en-US" w:eastAsia="zh-CN" w:bidi="ar-SA"/>
              </w:rPr>
              <w:sym w:font="Symbol" w:char="F0BE"/>
            </w:r>
            <w:r>
              <w:rPr>
                <w:rFonts w:ascii="Times New Roman" w:hAnsi="Times New Roman" w:eastAsia="宋体" w:cs="Times New Roman"/>
                <w:snapToGrid w:val="0"/>
                <w:kern w:val="0"/>
                <w:sz w:val="24"/>
                <w:szCs w:val="24"/>
                <w:lang w:val="en-US" w:eastAsia="zh-CN" w:bidi="ar-SA"/>
              </w:rPr>
              <w:t>其他多方面效应引起的衰减，dB。</w:t>
            </w:r>
          </w:p>
          <w:p w14:paraId="26146BFF">
            <w:pPr>
              <w:widowControl/>
              <w:overflowPunct w:val="0"/>
              <w:topLinePunct/>
              <w:autoSpaceDE w:val="0"/>
              <w:autoSpaceDN w:val="0"/>
              <w:adjustRightInd w:val="0"/>
              <w:snapToGrid w:val="0"/>
              <w:spacing w:line="360" w:lineRule="auto"/>
              <w:ind w:firstLine="0" w:firstLineChars="0"/>
              <w:jc w:val="center"/>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position w:val="-14"/>
                <w:sz w:val="24"/>
                <w:szCs w:val="24"/>
                <w:lang w:val="en-US" w:eastAsia="zh-CN" w:bidi="ar-SA"/>
              </w:rPr>
              <w:object>
                <v:shape id="_x0000_i1035" o:spt="75" type="#_x0000_t75" style="height:17pt;width:227pt;" o:ole="t" filled="f" o:preferrelative="t" stroked="f" coordsize="21600,21600">
                  <v:path/>
                  <v:fill on="f" focussize="0,0"/>
                  <v:stroke on="f"/>
                  <v:imagedata r:id="rId37" o:title=""/>
                  <o:lock v:ext="edit" aspectratio="t"/>
                  <w10:wrap type="none"/>
                  <w10:anchorlock/>
                </v:shape>
                <o:OLEObject Type="Embed" ProgID="Equation.KSEE3" ShapeID="_x0000_i1035" DrawAspect="Content" ObjectID="_1468075735" r:id="rId36">
                  <o:LockedField>false</o:LockedField>
                </o:OLEObject>
              </w:object>
            </w:r>
          </w:p>
          <w:p w14:paraId="193969EC">
            <w:pPr>
              <w:widowControl/>
              <w:overflowPunct w:val="0"/>
              <w:topLinePunct/>
              <w:autoSpaceDE w:val="0"/>
              <w:autoSpaceDN w:val="0"/>
              <w:adjustRightInd w:val="0"/>
              <w:snapToGrid w:val="0"/>
              <w:spacing w:line="360" w:lineRule="auto"/>
              <w:ind w:firstLine="480" w:firstLineChars="200"/>
              <w:jc w:val="both"/>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sz w:val="24"/>
                <w:szCs w:val="24"/>
                <w:lang w:val="en-US" w:eastAsia="zh-CN" w:bidi="ar-SA"/>
              </w:rPr>
              <w:t>式中：L</w:t>
            </w:r>
            <w:r>
              <w:rPr>
                <w:rFonts w:ascii="Times New Roman" w:hAnsi="Times New Roman" w:eastAsia="宋体" w:cs="Times New Roman"/>
                <w:snapToGrid w:val="0"/>
                <w:kern w:val="0"/>
                <w:sz w:val="24"/>
                <w:szCs w:val="24"/>
                <w:vertAlign w:val="subscript"/>
                <w:lang w:val="en-US" w:eastAsia="zh-CN" w:bidi="ar-SA"/>
              </w:rPr>
              <w:t>p</w:t>
            </w:r>
            <w:r>
              <w:rPr>
                <w:rFonts w:ascii="Times New Roman" w:hAnsi="Times New Roman" w:eastAsia="宋体" w:cs="Times New Roman"/>
                <w:snapToGrid w:val="0"/>
                <w:kern w:val="0"/>
                <w:sz w:val="24"/>
                <w:szCs w:val="24"/>
                <w:lang w:val="en-US" w:eastAsia="zh-CN" w:bidi="ar-SA"/>
              </w:rPr>
              <w:t>(r)</w:t>
            </w:r>
            <w:r>
              <w:rPr>
                <w:rFonts w:ascii="Times New Roman" w:hAnsi="Times New Roman" w:eastAsia="宋体" w:cs="Times New Roman"/>
                <w:snapToGrid w:val="0"/>
                <w:kern w:val="0"/>
                <w:sz w:val="24"/>
                <w:szCs w:val="24"/>
                <w:lang w:val="en-US" w:eastAsia="zh-CN" w:bidi="ar-SA"/>
              </w:rPr>
              <w:sym w:font="Symbol" w:char="F0BE"/>
            </w:r>
            <w:r>
              <w:rPr>
                <w:rFonts w:ascii="Times New Roman" w:hAnsi="Times New Roman" w:eastAsia="宋体" w:cs="Times New Roman"/>
                <w:snapToGrid w:val="0"/>
                <w:kern w:val="0"/>
                <w:sz w:val="24"/>
                <w:szCs w:val="24"/>
                <w:lang w:val="en-US" w:eastAsia="zh-CN" w:bidi="ar-SA"/>
              </w:rPr>
              <w:t>预测点处声压级，dB；</w:t>
            </w:r>
          </w:p>
          <w:p w14:paraId="3AEAAAD1">
            <w:pPr>
              <w:widowControl/>
              <w:overflowPunct w:val="0"/>
              <w:topLinePunct/>
              <w:autoSpaceDE w:val="0"/>
              <w:autoSpaceDN w:val="0"/>
              <w:adjustRightInd w:val="0"/>
              <w:snapToGrid w:val="0"/>
              <w:spacing w:line="360" w:lineRule="auto"/>
              <w:ind w:firstLine="1200" w:firstLineChars="500"/>
              <w:jc w:val="both"/>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sz w:val="24"/>
                <w:szCs w:val="24"/>
                <w:lang w:val="en-US" w:eastAsia="zh-CN" w:bidi="ar-SA"/>
              </w:rPr>
              <w:t>L</w:t>
            </w:r>
            <w:r>
              <w:rPr>
                <w:rFonts w:ascii="Times New Roman" w:hAnsi="Times New Roman" w:eastAsia="宋体" w:cs="Times New Roman"/>
                <w:snapToGrid w:val="0"/>
                <w:kern w:val="0"/>
                <w:sz w:val="24"/>
                <w:szCs w:val="24"/>
                <w:vertAlign w:val="subscript"/>
                <w:lang w:val="en-US" w:eastAsia="zh-CN" w:bidi="ar-SA"/>
              </w:rPr>
              <w:t>p</w:t>
            </w:r>
            <w:r>
              <w:rPr>
                <w:rFonts w:ascii="Times New Roman" w:hAnsi="Times New Roman" w:eastAsia="宋体" w:cs="Times New Roman"/>
                <w:snapToGrid w:val="0"/>
                <w:kern w:val="0"/>
                <w:sz w:val="24"/>
                <w:szCs w:val="24"/>
                <w:lang w:val="en-US" w:eastAsia="zh-CN" w:bidi="ar-SA"/>
              </w:rPr>
              <w:t>(r</w:t>
            </w:r>
            <w:r>
              <w:rPr>
                <w:rFonts w:ascii="Times New Roman" w:hAnsi="Times New Roman" w:eastAsia="宋体" w:cs="Times New Roman"/>
                <w:snapToGrid w:val="0"/>
                <w:kern w:val="0"/>
                <w:sz w:val="24"/>
                <w:szCs w:val="24"/>
                <w:vertAlign w:val="subscript"/>
                <w:lang w:val="en-US" w:eastAsia="zh-CN" w:bidi="ar-SA"/>
              </w:rPr>
              <w:t>0</w:t>
            </w:r>
            <w:r>
              <w:rPr>
                <w:rFonts w:ascii="Times New Roman" w:hAnsi="Times New Roman" w:eastAsia="宋体" w:cs="Times New Roman"/>
                <w:snapToGrid w:val="0"/>
                <w:kern w:val="0"/>
                <w:sz w:val="24"/>
                <w:szCs w:val="24"/>
                <w:lang w:val="en-US" w:eastAsia="zh-CN" w:bidi="ar-SA"/>
              </w:rPr>
              <w:t>)</w:t>
            </w:r>
            <w:r>
              <w:rPr>
                <w:rFonts w:ascii="Times New Roman" w:hAnsi="Times New Roman" w:eastAsia="宋体" w:cs="Times New Roman"/>
                <w:snapToGrid w:val="0"/>
                <w:kern w:val="0"/>
                <w:sz w:val="24"/>
                <w:szCs w:val="24"/>
                <w:lang w:val="en-US" w:eastAsia="zh-CN" w:bidi="ar-SA"/>
              </w:rPr>
              <w:sym w:font="Symbol" w:char="F0BE"/>
            </w:r>
            <w:r>
              <w:rPr>
                <w:rFonts w:ascii="Times New Roman" w:hAnsi="Times New Roman" w:eastAsia="宋体" w:cs="Times New Roman"/>
                <w:snapToGrid w:val="0"/>
                <w:kern w:val="0"/>
                <w:sz w:val="24"/>
                <w:szCs w:val="24"/>
                <w:lang w:val="en-US" w:eastAsia="zh-CN" w:bidi="ar-SA"/>
              </w:rPr>
              <w:t>参考位置r0处的声压级，dB；</w:t>
            </w:r>
          </w:p>
          <w:p w14:paraId="7D61A152">
            <w:pPr>
              <w:widowControl/>
              <w:overflowPunct w:val="0"/>
              <w:topLinePunct/>
              <w:autoSpaceDE w:val="0"/>
              <w:autoSpaceDN w:val="0"/>
              <w:adjustRightInd w:val="0"/>
              <w:snapToGrid w:val="0"/>
              <w:spacing w:line="360" w:lineRule="auto"/>
              <w:ind w:firstLine="1200" w:firstLineChars="500"/>
              <w:jc w:val="both"/>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sz w:val="24"/>
                <w:szCs w:val="24"/>
                <w:lang w:val="en-US" w:eastAsia="zh-CN" w:bidi="ar-SA"/>
              </w:rPr>
              <w:t>D</w:t>
            </w:r>
            <w:r>
              <w:rPr>
                <w:rFonts w:ascii="Times New Roman" w:hAnsi="Times New Roman" w:eastAsia="宋体" w:cs="Times New Roman"/>
                <w:snapToGrid w:val="0"/>
                <w:kern w:val="0"/>
                <w:sz w:val="24"/>
                <w:szCs w:val="24"/>
                <w:vertAlign w:val="subscript"/>
                <w:lang w:val="en-US" w:eastAsia="zh-CN" w:bidi="ar-SA"/>
              </w:rPr>
              <w:t>C</w:t>
            </w:r>
            <w:r>
              <w:rPr>
                <w:rFonts w:ascii="Times New Roman" w:hAnsi="Times New Roman" w:eastAsia="宋体" w:cs="Times New Roman"/>
                <w:snapToGrid w:val="0"/>
                <w:kern w:val="0"/>
                <w:sz w:val="24"/>
                <w:szCs w:val="24"/>
                <w:lang w:val="en-US" w:eastAsia="zh-CN" w:bidi="ar-SA"/>
              </w:rPr>
              <w:sym w:font="Symbol" w:char="F0BE"/>
            </w:r>
            <w:r>
              <w:rPr>
                <w:rFonts w:ascii="Times New Roman" w:hAnsi="Times New Roman" w:eastAsia="宋体" w:cs="Times New Roman"/>
                <w:snapToGrid w:val="0"/>
                <w:kern w:val="0"/>
                <w:sz w:val="24"/>
                <w:szCs w:val="24"/>
                <w:lang w:val="en-US" w:eastAsia="zh-CN" w:bidi="ar-SA"/>
              </w:rPr>
              <w:t>指向性校正，它描述点声源的等效连续声压级与产生声功率级Lw的全向点声源在规定方向的声级的偏差程度，dB；</w:t>
            </w:r>
          </w:p>
          <w:p w14:paraId="1DB389EF">
            <w:pPr>
              <w:widowControl/>
              <w:overflowPunct w:val="0"/>
              <w:topLinePunct/>
              <w:autoSpaceDE w:val="0"/>
              <w:autoSpaceDN w:val="0"/>
              <w:adjustRightInd w:val="0"/>
              <w:snapToGrid w:val="0"/>
              <w:spacing w:line="360" w:lineRule="auto"/>
              <w:ind w:firstLine="1200" w:firstLineChars="500"/>
              <w:jc w:val="both"/>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sz w:val="24"/>
                <w:szCs w:val="24"/>
                <w:lang w:val="en-US" w:eastAsia="zh-CN" w:bidi="ar-SA"/>
              </w:rPr>
              <w:t>A</w:t>
            </w:r>
            <w:r>
              <w:rPr>
                <w:rFonts w:ascii="Times New Roman" w:hAnsi="Times New Roman" w:eastAsia="宋体" w:cs="Times New Roman"/>
                <w:snapToGrid w:val="0"/>
                <w:kern w:val="0"/>
                <w:sz w:val="24"/>
                <w:szCs w:val="24"/>
                <w:vertAlign w:val="subscript"/>
                <w:lang w:val="en-US" w:eastAsia="zh-CN" w:bidi="ar-SA"/>
              </w:rPr>
              <w:t>div</w:t>
            </w:r>
            <w:r>
              <w:rPr>
                <w:rFonts w:ascii="Times New Roman" w:hAnsi="Times New Roman" w:eastAsia="宋体" w:cs="Times New Roman"/>
                <w:snapToGrid w:val="0"/>
                <w:kern w:val="0"/>
                <w:sz w:val="24"/>
                <w:szCs w:val="24"/>
                <w:lang w:val="en-US" w:eastAsia="zh-CN" w:bidi="ar-SA"/>
              </w:rPr>
              <w:sym w:font="Symbol" w:char="F0BE"/>
            </w:r>
            <w:r>
              <w:rPr>
                <w:rFonts w:ascii="Times New Roman" w:hAnsi="Times New Roman" w:eastAsia="宋体" w:cs="Times New Roman"/>
                <w:snapToGrid w:val="0"/>
                <w:kern w:val="0"/>
                <w:sz w:val="24"/>
                <w:szCs w:val="24"/>
                <w:lang w:val="en-US" w:eastAsia="zh-CN" w:bidi="ar-SA"/>
              </w:rPr>
              <w:t>几何发散引起的衰减，dB；</w:t>
            </w:r>
          </w:p>
          <w:p w14:paraId="012C99CE">
            <w:pPr>
              <w:widowControl/>
              <w:overflowPunct w:val="0"/>
              <w:topLinePunct/>
              <w:autoSpaceDE w:val="0"/>
              <w:autoSpaceDN w:val="0"/>
              <w:adjustRightInd w:val="0"/>
              <w:snapToGrid w:val="0"/>
              <w:spacing w:line="360" w:lineRule="auto"/>
              <w:ind w:firstLine="1200" w:firstLineChars="500"/>
              <w:jc w:val="both"/>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sz w:val="24"/>
                <w:szCs w:val="24"/>
                <w:lang w:val="en-US" w:eastAsia="zh-CN" w:bidi="ar-SA"/>
              </w:rPr>
              <w:t>A</w:t>
            </w:r>
            <w:r>
              <w:rPr>
                <w:rFonts w:ascii="Times New Roman" w:hAnsi="Times New Roman" w:eastAsia="宋体" w:cs="Times New Roman"/>
                <w:snapToGrid w:val="0"/>
                <w:kern w:val="0"/>
                <w:sz w:val="24"/>
                <w:szCs w:val="24"/>
                <w:vertAlign w:val="subscript"/>
                <w:lang w:val="en-US" w:eastAsia="zh-CN" w:bidi="ar-SA"/>
              </w:rPr>
              <w:t>atm</w:t>
            </w:r>
            <w:r>
              <w:rPr>
                <w:rFonts w:ascii="Times New Roman" w:hAnsi="Times New Roman" w:eastAsia="宋体" w:cs="Times New Roman"/>
                <w:snapToGrid w:val="0"/>
                <w:kern w:val="0"/>
                <w:sz w:val="24"/>
                <w:szCs w:val="24"/>
                <w:lang w:val="en-US" w:eastAsia="zh-CN" w:bidi="ar-SA"/>
              </w:rPr>
              <w:sym w:font="Symbol" w:char="F0BE"/>
            </w:r>
            <w:r>
              <w:rPr>
                <w:rFonts w:ascii="Times New Roman" w:hAnsi="Times New Roman" w:eastAsia="宋体" w:cs="Times New Roman"/>
                <w:snapToGrid w:val="0"/>
                <w:kern w:val="0"/>
                <w:sz w:val="24"/>
                <w:szCs w:val="24"/>
                <w:lang w:val="en-US" w:eastAsia="zh-CN" w:bidi="ar-SA"/>
              </w:rPr>
              <w:t>大气吸收引起的衰减，dB；</w:t>
            </w:r>
          </w:p>
          <w:p w14:paraId="1A3EDF8C">
            <w:pPr>
              <w:widowControl/>
              <w:overflowPunct w:val="0"/>
              <w:topLinePunct/>
              <w:autoSpaceDE w:val="0"/>
              <w:autoSpaceDN w:val="0"/>
              <w:adjustRightInd w:val="0"/>
              <w:snapToGrid w:val="0"/>
              <w:spacing w:line="360" w:lineRule="auto"/>
              <w:ind w:firstLine="1200" w:firstLineChars="500"/>
              <w:jc w:val="both"/>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sz w:val="24"/>
                <w:szCs w:val="24"/>
                <w:lang w:val="en-US" w:eastAsia="zh-CN" w:bidi="ar-SA"/>
              </w:rPr>
              <w:t>A</w:t>
            </w:r>
            <w:r>
              <w:rPr>
                <w:rFonts w:ascii="Times New Roman" w:hAnsi="Times New Roman" w:eastAsia="宋体" w:cs="Times New Roman"/>
                <w:snapToGrid w:val="0"/>
                <w:kern w:val="0"/>
                <w:sz w:val="24"/>
                <w:szCs w:val="24"/>
                <w:vertAlign w:val="subscript"/>
                <w:lang w:val="en-US" w:eastAsia="zh-CN" w:bidi="ar-SA"/>
              </w:rPr>
              <w:t>gr</w:t>
            </w:r>
            <w:r>
              <w:rPr>
                <w:rFonts w:ascii="Times New Roman" w:hAnsi="Times New Roman" w:eastAsia="宋体" w:cs="Times New Roman"/>
                <w:snapToGrid w:val="0"/>
                <w:kern w:val="0"/>
                <w:sz w:val="24"/>
                <w:szCs w:val="24"/>
                <w:lang w:val="en-US" w:eastAsia="zh-CN" w:bidi="ar-SA"/>
              </w:rPr>
              <w:sym w:font="Symbol" w:char="F0BE"/>
            </w:r>
            <w:r>
              <w:rPr>
                <w:rFonts w:ascii="Times New Roman" w:hAnsi="Times New Roman" w:eastAsia="宋体" w:cs="Times New Roman"/>
                <w:snapToGrid w:val="0"/>
                <w:kern w:val="0"/>
                <w:sz w:val="24"/>
                <w:szCs w:val="24"/>
                <w:lang w:val="en-US" w:eastAsia="zh-CN" w:bidi="ar-SA"/>
              </w:rPr>
              <w:t>地面效应引起的衰减，dB；</w:t>
            </w:r>
          </w:p>
          <w:p w14:paraId="29E1C7A4">
            <w:pPr>
              <w:widowControl/>
              <w:overflowPunct w:val="0"/>
              <w:topLinePunct/>
              <w:autoSpaceDE w:val="0"/>
              <w:autoSpaceDN w:val="0"/>
              <w:adjustRightInd w:val="0"/>
              <w:snapToGrid w:val="0"/>
              <w:spacing w:line="360" w:lineRule="auto"/>
              <w:ind w:firstLine="1200" w:firstLineChars="500"/>
              <w:jc w:val="both"/>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sz w:val="24"/>
                <w:szCs w:val="24"/>
                <w:lang w:val="en-US" w:eastAsia="zh-CN" w:bidi="ar-SA"/>
              </w:rPr>
              <w:t>A</w:t>
            </w:r>
            <w:r>
              <w:rPr>
                <w:rFonts w:ascii="Times New Roman" w:hAnsi="Times New Roman" w:eastAsia="宋体" w:cs="Times New Roman"/>
                <w:snapToGrid w:val="0"/>
                <w:kern w:val="0"/>
                <w:sz w:val="24"/>
                <w:szCs w:val="24"/>
                <w:vertAlign w:val="subscript"/>
                <w:lang w:val="en-US" w:eastAsia="zh-CN" w:bidi="ar-SA"/>
              </w:rPr>
              <w:t>bar</w:t>
            </w:r>
            <w:r>
              <w:rPr>
                <w:rFonts w:ascii="Times New Roman" w:hAnsi="Times New Roman" w:eastAsia="宋体" w:cs="Times New Roman"/>
                <w:snapToGrid w:val="0"/>
                <w:kern w:val="0"/>
                <w:sz w:val="24"/>
                <w:szCs w:val="24"/>
                <w:lang w:val="en-US" w:eastAsia="zh-CN" w:bidi="ar-SA"/>
              </w:rPr>
              <w:sym w:font="Symbol" w:char="F0BE"/>
            </w:r>
            <w:r>
              <w:rPr>
                <w:rFonts w:ascii="Times New Roman" w:hAnsi="Times New Roman" w:eastAsia="宋体" w:cs="Times New Roman"/>
                <w:snapToGrid w:val="0"/>
                <w:kern w:val="0"/>
                <w:sz w:val="24"/>
                <w:szCs w:val="24"/>
                <w:lang w:val="en-US" w:eastAsia="zh-CN" w:bidi="ar-SA"/>
              </w:rPr>
              <w:t>障碍物屏蔽引起的衰减，dB；</w:t>
            </w:r>
          </w:p>
          <w:p w14:paraId="37CEBF4A">
            <w:pPr>
              <w:widowControl/>
              <w:overflowPunct w:val="0"/>
              <w:topLinePunct/>
              <w:autoSpaceDE w:val="0"/>
              <w:autoSpaceDN w:val="0"/>
              <w:adjustRightInd w:val="0"/>
              <w:snapToGrid w:val="0"/>
              <w:spacing w:line="360" w:lineRule="auto"/>
              <w:ind w:firstLine="1200" w:firstLineChars="500"/>
              <w:jc w:val="both"/>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sz w:val="24"/>
                <w:szCs w:val="24"/>
                <w:lang w:val="en-US" w:eastAsia="zh-CN" w:bidi="ar-SA"/>
              </w:rPr>
              <w:t>A</w:t>
            </w:r>
            <w:r>
              <w:rPr>
                <w:rFonts w:ascii="Times New Roman" w:hAnsi="Times New Roman" w:eastAsia="宋体" w:cs="Times New Roman"/>
                <w:snapToGrid w:val="0"/>
                <w:kern w:val="0"/>
                <w:sz w:val="24"/>
                <w:szCs w:val="24"/>
                <w:vertAlign w:val="subscript"/>
                <w:lang w:val="en-US" w:eastAsia="zh-CN" w:bidi="ar-SA"/>
              </w:rPr>
              <w:t>misc</w:t>
            </w:r>
            <w:r>
              <w:rPr>
                <w:rFonts w:ascii="Times New Roman" w:hAnsi="Times New Roman" w:eastAsia="宋体" w:cs="Times New Roman"/>
                <w:snapToGrid w:val="0"/>
                <w:kern w:val="0"/>
                <w:sz w:val="24"/>
                <w:szCs w:val="24"/>
                <w:lang w:val="en-US" w:eastAsia="zh-CN" w:bidi="ar-SA"/>
              </w:rPr>
              <w:sym w:font="Symbol" w:char="F0BE"/>
            </w:r>
            <w:r>
              <w:rPr>
                <w:rFonts w:ascii="Times New Roman" w:hAnsi="Times New Roman" w:eastAsia="宋体" w:cs="Times New Roman"/>
                <w:snapToGrid w:val="0"/>
                <w:kern w:val="0"/>
                <w:sz w:val="24"/>
                <w:szCs w:val="24"/>
                <w:lang w:val="en-US" w:eastAsia="zh-CN" w:bidi="ar-SA"/>
              </w:rPr>
              <w:t>其他多方面效应引起的衰减，dB。</w:t>
            </w:r>
          </w:p>
          <w:p w14:paraId="26242F28">
            <w:pPr>
              <w:widowControl/>
              <w:overflowPunct w:val="0"/>
              <w:topLinePunct/>
              <w:autoSpaceDE w:val="0"/>
              <w:autoSpaceDN w:val="0"/>
              <w:adjustRightInd w:val="0"/>
              <w:snapToGrid w:val="0"/>
              <w:spacing w:line="360" w:lineRule="auto"/>
              <w:ind w:firstLine="480" w:firstLineChars="200"/>
              <w:jc w:val="both"/>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sz w:val="24"/>
                <w:szCs w:val="24"/>
                <w:lang w:val="en-US" w:eastAsia="zh-CN" w:bidi="ar-SA"/>
              </w:rPr>
              <w:t>②预测点的A声级L</w:t>
            </w:r>
            <w:r>
              <w:rPr>
                <w:rFonts w:ascii="Times New Roman" w:hAnsi="Times New Roman" w:eastAsia="宋体" w:cs="Times New Roman"/>
                <w:snapToGrid w:val="0"/>
                <w:kern w:val="0"/>
                <w:sz w:val="24"/>
                <w:szCs w:val="24"/>
                <w:vertAlign w:val="subscript"/>
                <w:lang w:val="en-US" w:eastAsia="zh-CN" w:bidi="ar-SA"/>
              </w:rPr>
              <w:t>A</w:t>
            </w:r>
            <w:r>
              <w:rPr>
                <w:rFonts w:ascii="Times New Roman" w:hAnsi="Times New Roman" w:eastAsia="宋体" w:cs="Times New Roman"/>
                <w:snapToGrid w:val="0"/>
                <w:kern w:val="0"/>
                <w:sz w:val="24"/>
                <w:szCs w:val="24"/>
                <w:lang w:val="en-US" w:eastAsia="zh-CN" w:bidi="ar-SA"/>
              </w:rPr>
              <w:t>(r)可按下式算，即将8个倍频带声压级合成，计算出预测点的A声级[L</w:t>
            </w:r>
            <w:r>
              <w:rPr>
                <w:rFonts w:ascii="Times New Roman" w:hAnsi="Times New Roman" w:eastAsia="宋体" w:cs="Times New Roman"/>
                <w:snapToGrid w:val="0"/>
                <w:kern w:val="0"/>
                <w:sz w:val="24"/>
                <w:szCs w:val="24"/>
                <w:vertAlign w:val="subscript"/>
                <w:lang w:val="en-US" w:eastAsia="zh-CN" w:bidi="ar-SA"/>
              </w:rPr>
              <w:t>A</w:t>
            </w:r>
            <w:r>
              <w:rPr>
                <w:rFonts w:ascii="Times New Roman" w:hAnsi="Times New Roman" w:eastAsia="宋体" w:cs="Times New Roman"/>
                <w:snapToGrid w:val="0"/>
                <w:kern w:val="0"/>
                <w:sz w:val="24"/>
                <w:szCs w:val="24"/>
                <w:lang w:val="en-US" w:eastAsia="zh-CN" w:bidi="ar-SA"/>
              </w:rPr>
              <w:t>(r)]。</w:t>
            </w:r>
          </w:p>
          <w:p w14:paraId="31EA4D46">
            <w:pPr>
              <w:widowControl/>
              <w:overflowPunct w:val="0"/>
              <w:topLinePunct/>
              <w:autoSpaceDE w:val="0"/>
              <w:autoSpaceDN w:val="0"/>
              <w:adjustRightInd w:val="0"/>
              <w:snapToGrid w:val="0"/>
              <w:spacing w:line="360" w:lineRule="auto"/>
              <w:ind w:firstLine="0" w:firstLineChars="0"/>
              <w:jc w:val="center"/>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position w:val="-38"/>
                <w:sz w:val="24"/>
                <w:szCs w:val="24"/>
                <w:lang w:val="en-US" w:eastAsia="zh-CN" w:bidi="ar-SA"/>
              </w:rPr>
              <w:object>
                <v:shape id="_x0000_i1036" o:spt="75" type="#_x0000_t75" style="height:42.95pt;width:178pt;" o:ole="t" filled="f" o:preferrelative="t" stroked="f" coordsize="21600,21600">
                  <v:path/>
                  <v:fill on="f" focussize="0,0"/>
                  <v:stroke on="f"/>
                  <v:imagedata r:id="rId39" o:title=""/>
                  <o:lock v:ext="edit" aspectratio="t"/>
                  <w10:wrap type="none"/>
                  <w10:anchorlock/>
                </v:shape>
                <o:OLEObject Type="Embed" ProgID="Equation.KSEE3" ShapeID="_x0000_i1036" DrawAspect="Content" ObjectID="_1468075736" r:id="rId38">
                  <o:LockedField>false</o:LockedField>
                </o:OLEObject>
              </w:object>
            </w:r>
          </w:p>
          <w:p w14:paraId="5C723014">
            <w:pPr>
              <w:widowControl/>
              <w:overflowPunct w:val="0"/>
              <w:topLinePunct/>
              <w:autoSpaceDE w:val="0"/>
              <w:autoSpaceDN w:val="0"/>
              <w:adjustRightInd w:val="0"/>
              <w:snapToGrid w:val="0"/>
              <w:spacing w:line="360" w:lineRule="auto"/>
              <w:ind w:firstLine="480" w:firstLineChars="200"/>
              <w:jc w:val="both"/>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sz w:val="24"/>
                <w:szCs w:val="24"/>
                <w:lang w:val="en-US" w:eastAsia="zh-CN" w:bidi="ar-SA"/>
              </w:rPr>
              <w:t>式中：L</w:t>
            </w:r>
            <w:r>
              <w:rPr>
                <w:rFonts w:ascii="Times New Roman" w:hAnsi="Times New Roman" w:eastAsia="宋体" w:cs="Times New Roman"/>
                <w:snapToGrid w:val="0"/>
                <w:kern w:val="0"/>
                <w:sz w:val="24"/>
                <w:szCs w:val="24"/>
                <w:vertAlign w:val="subscript"/>
                <w:lang w:val="en-US" w:eastAsia="zh-CN" w:bidi="ar-SA"/>
              </w:rPr>
              <w:t>A</w:t>
            </w:r>
            <w:r>
              <w:rPr>
                <w:rFonts w:ascii="Times New Roman" w:hAnsi="Times New Roman" w:eastAsia="宋体" w:cs="Times New Roman"/>
                <w:snapToGrid w:val="0"/>
                <w:kern w:val="0"/>
                <w:sz w:val="24"/>
                <w:szCs w:val="24"/>
                <w:lang w:val="en-US" w:eastAsia="zh-CN" w:bidi="ar-SA"/>
              </w:rPr>
              <w:t>(r)</w:t>
            </w:r>
            <w:r>
              <w:rPr>
                <w:rFonts w:ascii="Times New Roman" w:hAnsi="Times New Roman" w:eastAsia="宋体" w:cs="Times New Roman"/>
                <w:snapToGrid w:val="0"/>
                <w:kern w:val="0"/>
                <w:sz w:val="24"/>
                <w:szCs w:val="24"/>
                <w:lang w:val="en-US" w:eastAsia="zh-CN" w:bidi="ar-SA"/>
              </w:rPr>
              <w:sym w:font="Symbol" w:char="F0BE"/>
            </w:r>
            <w:r>
              <w:rPr>
                <w:rFonts w:ascii="Times New Roman" w:hAnsi="Times New Roman" w:eastAsia="宋体" w:cs="Times New Roman"/>
                <w:snapToGrid w:val="0"/>
                <w:kern w:val="0"/>
                <w:sz w:val="24"/>
                <w:szCs w:val="24"/>
                <w:lang w:val="en-US" w:eastAsia="zh-CN" w:bidi="ar-SA"/>
              </w:rPr>
              <w:t>距声源r处的A声级，dB(A)；</w:t>
            </w:r>
          </w:p>
          <w:p w14:paraId="5F7F78A4">
            <w:pPr>
              <w:widowControl/>
              <w:overflowPunct w:val="0"/>
              <w:topLinePunct/>
              <w:autoSpaceDE w:val="0"/>
              <w:autoSpaceDN w:val="0"/>
              <w:adjustRightInd w:val="0"/>
              <w:snapToGrid w:val="0"/>
              <w:spacing w:line="360" w:lineRule="auto"/>
              <w:ind w:firstLine="1200" w:firstLineChars="500"/>
              <w:jc w:val="both"/>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sz w:val="24"/>
                <w:szCs w:val="24"/>
                <w:lang w:val="en-US" w:eastAsia="zh-CN" w:bidi="ar-SA"/>
              </w:rPr>
              <w:t>L</w:t>
            </w:r>
            <w:r>
              <w:rPr>
                <w:rFonts w:ascii="Times New Roman" w:hAnsi="Times New Roman" w:eastAsia="宋体" w:cs="Times New Roman"/>
                <w:snapToGrid w:val="0"/>
                <w:kern w:val="0"/>
                <w:sz w:val="24"/>
                <w:szCs w:val="24"/>
                <w:vertAlign w:val="subscript"/>
                <w:lang w:val="en-US" w:eastAsia="zh-CN" w:bidi="ar-SA"/>
              </w:rPr>
              <w:t>pi</w:t>
            </w:r>
            <w:r>
              <w:rPr>
                <w:rFonts w:ascii="Times New Roman" w:hAnsi="Times New Roman" w:eastAsia="宋体" w:cs="Times New Roman"/>
                <w:snapToGrid w:val="0"/>
                <w:kern w:val="0"/>
                <w:sz w:val="24"/>
                <w:szCs w:val="24"/>
                <w:lang w:val="en-US" w:eastAsia="zh-CN" w:bidi="ar-SA"/>
              </w:rPr>
              <w:t>(r)</w:t>
            </w:r>
            <w:r>
              <w:rPr>
                <w:rFonts w:ascii="Times New Roman" w:hAnsi="Times New Roman" w:eastAsia="宋体" w:cs="Times New Roman"/>
                <w:snapToGrid w:val="0"/>
                <w:kern w:val="0"/>
                <w:sz w:val="24"/>
                <w:szCs w:val="24"/>
                <w:lang w:val="en-US" w:eastAsia="zh-CN" w:bidi="ar-SA"/>
              </w:rPr>
              <w:sym w:font="Symbol" w:char="F0BE"/>
            </w:r>
            <w:r>
              <w:rPr>
                <w:rFonts w:ascii="Times New Roman" w:hAnsi="Times New Roman" w:eastAsia="宋体" w:cs="Times New Roman"/>
                <w:snapToGrid w:val="0"/>
                <w:kern w:val="0"/>
                <w:sz w:val="24"/>
                <w:szCs w:val="24"/>
                <w:lang w:val="en-US" w:eastAsia="zh-CN" w:bidi="ar-SA"/>
              </w:rPr>
              <w:t>预测点（r）处，第i倍频带声压级，dB；</w:t>
            </w:r>
          </w:p>
          <w:p w14:paraId="4F1CD20A">
            <w:pPr>
              <w:widowControl/>
              <w:overflowPunct w:val="0"/>
              <w:topLinePunct/>
              <w:autoSpaceDE w:val="0"/>
              <w:autoSpaceDN w:val="0"/>
              <w:adjustRightInd w:val="0"/>
              <w:snapToGrid w:val="0"/>
              <w:spacing w:line="360" w:lineRule="auto"/>
              <w:ind w:firstLine="1200" w:firstLineChars="500"/>
              <w:jc w:val="both"/>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sz w:val="24"/>
                <w:szCs w:val="24"/>
                <w:lang w:val="en-US" w:eastAsia="zh-CN" w:bidi="ar-SA"/>
              </w:rPr>
              <w:t>ΔL</w:t>
            </w:r>
            <w:r>
              <w:rPr>
                <w:rFonts w:ascii="Times New Roman" w:hAnsi="Times New Roman" w:eastAsia="宋体" w:cs="Times New Roman"/>
                <w:snapToGrid w:val="0"/>
                <w:kern w:val="0"/>
                <w:sz w:val="24"/>
                <w:szCs w:val="24"/>
                <w:vertAlign w:val="subscript"/>
                <w:lang w:val="en-US" w:eastAsia="zh-CN" w:bidi="ar-SA"/>
              </w:rPr>
              <w:t>i</w:t>
            </w:r>
            <w:r>
              <w:rPr>
                <w:rFonts w:ascii="Times New Roman" w:hAnsi="Times New Roman" w:eastAsia="宋体" w:cs="Times New Roman"/>
                <w:snapToGrid w:val="0"/>
                <w:kern w:val="0"/>
                <w:sz w:val="24"/>
                <w:szCs w:val="24"/>
                <w:lang w:val="en-US" w:eastAsia="zh-CN" w:bidi="ar-SA"/>
              </w:rPr>
              <w:sym w:font="Symbol" w:char="F0BE"/>
            </w:r>
            <w:r>
              <w:rPr>
                <w:rFonts w:ascii="Times New Roman" w:hAnsi="Times New Roman" w:eastAsia="宋体" w:cs="Times New Roman"/>
                <w:snapToGrid w:val="0"/>
                <w:kern w:val="0"/>
                <w:sz w:val="24"/>
                <w:szCs w:val="24"/>
                <w:lang w:val="en-US" w:eastAsia="zh-CN" w:bidi="ar-SA"/>
              </w:rPr>
              <w:t>第i倍频带的A计权网络修正值，dB。</w:t>
            </w:r>
          </w:p>
          <w:p w14:paraId="001B47DD">
            <w:pPr>
              <w:widowControl/>
              <w:overflowPunct w:val="0"/>
              <w:topLinePunct/>
              <w:autoSpaceDE w:val="0"/>
              <w:autoSpaceDN w:val="0"/>
              <w:adjustRightInd w:val="0"/>
              <w:snapToGrid w:val="0"/>
              <w:spacing w:line="360" w:lineRule="auto"/>
              <w:ind w:firstLine="480" w:firstLineChars="200"/>
              <w:jc w:val="both"/>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sz w:val="24"/>
                <w:szCs w:val="24"/>
                <w:lang w:val="en-US" w:eastAsia="zh-CN" w:bidi="ar-SA"/>
              </w:rPr>
              <w:t>③在只考虑几何发散衰减时，可按下式计算：</w:t>
            </w:r>
          </w:p>
          <w:p w14:paraId="27E85B73">
            <w:pPr>
              <w:widowControl/>
              <w:overflowPunct w:val="0"/>
              <w:topLinePunct/>
              <w:autoSpaceDE w:val="0"/>
              <w:autoSpaceDN w:val="0"/>
              <w:adjustRightInd w:val="0"/>
              <w:snapToGrid w:val="0"/>
              <w:spacing w:line="360" w:lineRule="auto"/>
              <w:ind w:firstLine="0" w:firstLineChars="0"/>
              <w:jc w:val="center"/>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position w:val="-10"/>
                <w:sz w:val="24"/>
                <w:szCs w:val="24"/>
                <w:lang w:val="en-US" w:eastAsia="zh-CN" w:bidi="ar-SA"/>
              </w:rPr>
              <w:object>
                <v:shape id="_x0000_i1037" o:spt="75" type="#_x0000_t75" style="height:15pt;width:89pt;" o:ole="t" filled="f" o:preferrelative="t" stroked="f" coordsize="21600,21600">
                  <v:path/>
                  <v:fill on="f" focussize="0,0"/>
                  <v:stroke on="f"/>
                  <v:imagedata r:id="rId41" o:title=""/>
                  <o:lock v:ext="edit" aspectratio="t"/>
                  <w10:wrap type="none"/>
                  <w10:anchorlock/>
                </v:shape>
                <o:OLEObject Type="Embed" ProgID="Equation.KSEE3" ShapeID="_x0000_i1037" DrawAspect="Content" ObjectID="_1468075737" r:id="rId40">
                  <o:LockedField>false</o:LockedField>
                </o:OLEObject>
              </w:object>
            </w:r>
          </w:p>
          <w:p w14:paraId="4146E952">
            <w:pPr>
              <w:widowControl/>
              <w:overflowPunct w:val="0"/>
              <w:topLinePunct/>
              <w:autoSpaceDE w:val="0"/>
              <w:autoSpaceDN w:val="0"/>
              <w:adjustRightInd w:val="0"/>
              <w:snapToGrid w:val="0"/>
              <w:spacing w:line="360" w:lineRule="auto"/>
              <w:ind w:firstLine="480" w:firstLineChars="200"/>
              <w:jc w:val="both"/>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sz w:val="24"/>
                <w:szCs w:val="24"/>
                <w:lang w:val="en-US" w:eastAsia="zh-CN" w:bidi="ar-SA"/>
              </w:rPr>
              <w:t>式中：L</w:t>
            </w:r>
            <w:r>
              <w:rPr>
                <w:rFonts w:ascii="Times New Roman" w:hAnsi="Times New Roman" w:eastAsia="宋体" w:cs="Times New Roman"/>
                <w:snapToGrid w:val="0"/>
                <w:kern w:val="0"/>
                <w:sz w:val="24"/>
                <w:szCs w:val="24"/>
                <w:vertAlign w:val="subscript"/>
                <w:lang w:val="en-US" w:eastAsia="zh-CN" w:bidi="ar-SA"/>
              </w:rPr>
              <w:t>A</w:t>
            </w:r>
            <w:r>
              <w:rPr>
                <w:rFonts w:ascii="Times New Roman" w:hAnsi="Times New Roman" w:eastAsia="宋体" w:cs="Times New Roman"/>
                <w:snapToGrid w:val="0"/>
                <w:kern w:val="0"/>
                <w:sz w:val="24"/>
                <w:szCs w:val="24"/>
                <w:lang w:val="en-US" w:eastAsia="zh-CN" w:bidi="ar-SA"/>
              </w:rPr>
              <w:t>(r)</w:t>
            </w:r>
            <w:r>
              <w:rPr>
                <w:rFonts w:ascii="Times New Roman" w:hAnsi="Times New Roman" w:eastAsia="宋体" w:cs="Times New Roman"/>
                <w:snapToGrid w:val="0"/>
                <w:kern w:val="0"/>
                <w:sz w:val="24"/>
                <w:szCs w:val="24"/>
                <w:lang w:val="en-US" w:eastAsia="zh-CN" w:bidi="ar-SA"/>
              </w:rPr>
              <w:sym w:font="Symbol" w:char="F0BE"/>
            </w:r>
            <w:r>
              <w:rPr>
                <w:rFonts w:ascii="Times New Roman" w:hAnsi="Times New Roman" w:eastAsia="宋体" w:cs="Times New Roman"/>
                <w:snapToGrid w:val="0"/>
                <w:kern w:val="0"/>
                <w:sz w:val="24"/>
                <w:szCs w:val="24"/>
                <w:lang w:val="en-US" w:eastAsia="zh-CN" w:bidi="ar-SA"/>
              </w:rPr>
              <w:t>距声源r处的A声级，dB(A)；</w:t>
            </w:r>
          </w:p>
          <w:p w14:paraId="4894BB39">
            <w:pPr>
              <w:widowControl/>
              <w:overflowPunct w:val="0"/>
              <w:topLinePunct/>
              <w:autoSpaceDE w:val="0"/>
              <w:autoSpaceDN w:val="0"/>
              <w:adjustRightInd w:val="0"/>
              <w:snapToGrid w:val="0"/>
              <w:spacing w:line="360" w:lineRule="auto"/>
              <w:ind w:firstLine="1200" w:firstLineChars="500"/>
              <w:jc w:val="both"/>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sz w:val="24"/>
                <w:szCs w:val="24"/>
                <w:lang w:val="en-US" w:eastAsia="zh-CN" w:bidi="ar-SA"/>
              </w:rPr>
              <w:t>L</w:t>
            </w:r>
            <w:r>
              <w:rPr>
                <w:rFonts w:ascii="Times New Roman" w:hAnsi="Times New Roman" w:eastAsia="宋体" w:cs="Times New Roman"/>
                <w:snapToGrid w:val="0"/>
                <w:kern w:val="0"/>
                <w:sz w:val="24"/>
                <w:szCs w:val="24"/>
                <w:vertAlign w:val="subscript"/>
                <w:lang w:val="en-US" w:eastAsia="zh-CN" w:bidi="ar-SA"/>
              </w:rPr>
              <w:t>A</w:t>
            </w:r>
            <w:r>
              <w:rPr>
                <w:rFonts w:ascii="Times New Roman" w:hAnsi="Times New Roman" w:eastAsia="宋体" w:cs="Times New Roman"/>
                <w:snapToGrid w:val="0"/>
                <w:kern w:val="0"/>
                <w:sz w:val="24"/>
                <w:szCs w:val="24"/>
                <w:lang w:val="en-US" w:eastAsia="zh-CN" w:bidi="ar-SA"/>
              </w:rPr>
              <w:t>(r</w:t>
            </w:r>
            <w:r>
              <w:rPr>
                <w:rFonts w:ascii="Times New Roman" w:hAnsi="Times New Roman" w:eastAsia="宋体" w:cs="Times New Roman"/>
                <w:snapToGrid w:val="0"/>
                <w:kern w:val="0"/>
                <w:sz w:val="24"/>
                <w:szCs w:val="24"/>
                <w:vertAlign w:val="subscript"/>
                <w:lang w:val="en-US" w:eastAsia="zh-CN" w:bidi="ar-SA"/>
              </w:rPr>
              <w:t>0</w:t>
            </w:r>
            <w:r>
              <w:rPr>
                <w:rFonts w:ascii="Times New Roman" w:hAnsi="Times New Roman" w:eastAsia="宋体" w:cs="Times New Roman"/>
                <w:snapToGrid w:val="0"/>
                <w:kern w:val="0"/>
                <w:sz w:val="24"/>
                <w:szCs w:val="24"/>
                <w:lang w:val="en-US" w:eastAsia="zh-CN" w:bidi="ar-SA"/>
              </w:rPr>
              <w:t>)</w:t>
            </w:r>
            <w:r>
              <w:rPr>
                <w:rFonts w:ascii="Times New Roman" w:hAnsi="Times New Roman" w:eastAsia="宋体" w:cs="Times New Roman"/>
                <w:snapToGrid w:val="0"/>
                <w:kern w:val="0"/>
                <w:sz w:val="24"/>
                <w:szCs w:val="24"/>
                <w:lang w:val="en-US" w:eastAsia="zh-CN" w:bidi="ar-SA"/>
              </w:rPr>
              <w:sym w:font="Symbol" w:char="F0BE"/>
            </w:r>
            <w:r>
              <w:rPr>
                <w:rFonts w:ascii="Times New Roman" w:hAnsi="Times New Roman" w:eastAsia="宋体" w:cs="Times New Roman"/>
                <w:snapToGrid w:val="0"/>
                <w:kern w:val="0"/>
                <w:sz w:val="24"/>
                <w:szCs w:val="24"/>
                <w:lang w:val="en-US" w:eastAsia="zh-CN" w:bidi="ar-SA"/>
              </w:rPr>
              <w:t>参考位置r</w:t>
            </w:r>
            <w:r>
              <w:rPr>
                <w:rFonts w:ascii="Times New Roman" w:hAnsi="Times New Roman" w:eastAsia="宋体" w:cs="Times New Roman"/>
                <w:snapToGrid w:val="0"/>
                <w:kern w:val="0"/>
                <w:sz w:val="24"/>
                <w:szCs w:val="24"/>
                <w:vertAlign w:val="subscript"/>
                <w:lang w:val="en-US" w:eastAsia="zh-CN" w:bidi="ar-SA"/>
              </w:rPr>
              <w:t>0</w:t>
            </w:r>
            <w:r>
              <w:rPr>
                <w:rFonts w:ascii="Times New Roman" w:hAnsi="Times New Roman" w:eastAsia="宋体" w:cs="Times New Roman"/>
                <w:snapToGrid w:val="0"/>
                <w:kern w:val="0"/>
                <w:sz w:val="24"/>
                <w:szCs w:val="24"/>
                <w:lang w:val="en-US" w:eastAsia="zh-CN" w:bidi="ar-SA"/>
              </w:rPr>
              <w:t>处的A声级，dB(A)；</w:t>
            </w:r>
          </w:p>
          <w:p w14:paraId="5E82C3BB">
            <w:pPr>
              <w:widowControl/>
              <w:overflowPunct w:val="0"/>
              <w:topLinePunct/>
              <w:autoSpaceDE w:val="0"/>
              <w:autoSpaceDN w:val="0"/>
              <w:adjustRightInd w:val="0"/>
              <w:snapToGrid w:val="0"/>
              <w:spacing w:line="360" w:lineRule="auto"/>
              <w:ind w:firstLine="1200" w:firstLineChars="500"/>
              <w:jc w:val="both"/>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sz w:val="24"/>
                <w:szCs w:val="24"/>
                <w:lang w:val="en-US" w:eastAsia="zh-CN" w:bidi="ar-SA"/>
              </w:rPr>
              <w:t>A</w:t>
            </w:r>
            <w:r>
              <w:rPr>
                <w:rFonts w:ascii="Times New Roman" w:hAnsi="Times New Roman" w:eastAsia="宋体" w:cs="Times New Roman"/>
                <w:snapToGrid w:val="0"/>
                <w:kern w:val="0"/>
                <w:sz w:val="24"/>
                <w:szCs w:val="24"/>
                <w:vertAlign w:val="subscript"/>
                <w:lang w:val="en-US" w:eastAsia="zh-CN" w:bidi="ar-SA"/>
              </w:rPr>
              <w:t>div</w:t>
            </w:r>
            <w:r>
              <w:rPr>
                <w:rFonts w:ascii="Times New Roman" w:hAnsi="Times New Roman" w:eastAsia="宋体" w:cs="Times New Roman"/>
                <w:snapToGrid w:val="0"/>
                <w:kern w:val="0"/>
                <w:sz w:val="24"/>
                <w:szCs w:val="24"/>
                <w:lang w:val="en-US" w:eastAsia="zh-CN" w:bidi="ar-SA"/>
              </w:rPr>
              <w:sym w:font="Symbol" w:char="F0BE"/>
            </w:r>
            <w:r>
              <w:rPr>
                <w:rFonts w:ascii="Times New Roman" w:hAnsi="Times New Roman" w:eastAsia="宋体" w:cs="Times New Roman"/>
                <w:snapToGrid w:val="0"/>
                <w:kern w:val="0"/>
                <w:sz w:val="24"/>
                <w:szCs w:val="24"/>
                <w:lang w:val="en-US" w:eastAsia="zh-CN" w:bidi="ar-SA"/>
              </w:rPr>
              <w:t>几何发散引起的衰减，dB。</w:t>
            </w:r>
          </w:p>
          <w:p w14:paraId="18175CD7">
            <w:pPr>
              <w:widowControl/>
              <w:overflowPunct w:val="0"/>
              <w:topLinePunct/>
              <w:autoSpaceDE w:val="0"/>
              <w:autoSpaceDN w:val="0"/>
              <w:adjustRightInd w:val="0"/>
              <w:snapToGrid w:val="0"/>
              <w:spacing w:line="360" w:lineRule="auto"/>
              <w:ind w:firstLine="480" w:firstLineChars="200"/>
              <w:jc w:val="both"/>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sz w:val="24"/>
                <w:szCs w:val="24"/>
                <w:lang w:val="en-US" w:eastAsia="zh-CN" w:bidi="ar-SA"/>
              </w:rPr>
              <w:t>b）衰减项的计算</w:t>
            </w:r>
          </w:p>
          <w:p w14:paraId="7C1AE9F9">
            <w:pPr>
              <w:widowControl/>
              <w:overflowPunct w:val="0"/>
              <w:topLinePunct/>
              <w:autoSpaceDE w:val="0"/>
              <w:autoSpaceDN w:val="0"/>
              <w:adjustRightInd w:val="0"/>
              <w:snapToGrid w:val="0"/>
              <w:spacing w:line="360" w:lineRule="auto"/>
              <w:ind w:firstLine="480" w:firstLineChars="200"/>
              <w:jc w:val="both"/>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sz w:val="24"/>
                <w:szCs w:val="24"/>
                <w:lang w:val="en-US" w:eastAsia="zh-CN" w:bidi="ar-SA"/>
              </w:rPr>
              <w:t>无指向性点声源几何发散衰减的基本公式是：</w:t>
            </w:r>
          </w:p>
          <w:p w14:paraId="0CCD3132">
            <w:pPr>
              <w:widowControl/>
              <w:overflowPunct w:val="0"/>
              <w:topLinePunct/>
              <w:autoSpaceDE w:val="0"/>
              <w:autoSpaceDN w:val="0"/>
              <w:adjustRightInd w:val="0"/>
              <w:snapToGrid w:val="0"/>
              <w:spacing w:line="360" w:lineRule="auto"/>
              <w:ind w:firstLine="0" w:firstLineChars="0"/>
              <w:jc w:val="center"/>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position w:val="-10"/>
                <w:sz w:val="24"/>
                <w:szCs w:val="24"/>
                <w:lang w:val="en-US" w:eastAsia="zh-CN" w:bidi="ar-SA"/>
              </w:rPr>
              <w:object>
                <v:shape id="_x0000_i1038" o:spt="75" type="#_x0000_t75" style="height:15pt;width:121pt;" o:ole="t" filled="f" o:preferrelative="t" stroked="f" coordsize="21600,21600">
                  <v:path/>
                  <v:fill on="f" focussize="0,0"/>
                  <v:stroke on="f"/>
                  <v:imagedata r:id="rId43" o:title=""/>
                  <o:lock v:ext="edit" aspectratio="t"/>
                  <w10:wrap type="none"/>
                  <w10:anchorlock/>
                </v:shape>
                <o:OLEObject Type="Embed" ProgID="Equation.KSEE3" ShapeID="_x0000_i1038" DrawAspect="Content" ObjectID="_1468075738" r:id="rId42">
                  <o:LockedField>false</o:LockedField>
                </o:OLEObject>
              </w:object>
            </w:r>
          </w:p>
          <w:p w14:paraId="77AD63A1">
            <w:pPr>
              <w:widowControl/>
              <w:overflowPunct w:val="0"/>
              <w:topLinePunct/>
              <w:autoSpaceDE w:val="0"/>
              <w:autoSpaceDN w:val="0"/>
              <w:adjustRightInd w:val="0"/>
              <w:snapToGrid w:val="0"/>
              <w:spacing w:line="360" w:lineRule="auto"/>
              <w:ind w:firstLine="480" w:firstLineChars="200"/>
              <w:jc w:val="both"/>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sz w:val="24"/>
                <w:szCs w:val="24"/>
                <w:lang w:val="en-US" w:eastAsia="zh-CN" w:bidi="ar-SA"/>
              </w:rPr>
              <w:t>式中：L</w:t>
            </w:r>
            <w:r>
              <w:rPr>
                <w:rFonts w:ascii="Times New Roman" w:hAnsi="Times New Roman" w:eastAsia="宋体" w:cs="Times New Roman"/>
                <w:snapToGrid w:val="0"/>
                <w:kern w:val="0"/>
                <w:sz w:val="24"/>
                <w:szCs w:val="24"/>
                <w:vertAlign w:val="subscript"/>
                <w:lang w:val="en-US" w:eastAsia="zh-CN" w:bidi="ar-SA"/>
              </w:rPr>
              <w:t>p</w:t>
            </w:r>
            <w:r>
              <w:rPr>
                <w:rFonts w:ascii="Times New Roman" w:hAnsi="Times New Roman" w:eastAsia="宋体" w:cs="Times New Roman"/>
                <w:snapToGrid w:val="0"/>
                <w:kern w:val="0"/>
                <w:sz w:val="24"/>
                <w:szCs w:val="24"/>
                <w:lang w:val="en-US" w:eastAsia="zh-CN" w:bidi="ar-SA"/>
              </w:rPr>
              <w:t>(r)</w:t>
            </w:r>
            <w:r>
              <w:rPr>
                <w:rFonts w:ascii="Times New Roman" w:hAnsi="Times New Roman" w:eastAsia="宋体" w:cs="Times New Roman"/>
                <w:snapToGrid w:val="0"/>
                <w:kern w:val="0"/>
                <w:sz w:val="24"/>
                <w:szCs w:val="24"/>
                <w:lang w:val="en-US" w:eastAsia="zh-CN" w:bidi="ar-SA"/>
              </w:rPr>
              <w:sym w:font="Symbol" w:char="F0BE"/>
            </w:r>
            <w:r>
              <w:rPr>
                <w:rFonts w:ascii="Times New Roman" w:hAnsi="Times New Roman" w:eastAsia="宋体" w:cs="Times New Roman"/>
                <w:snapToGrid w:val="0"/>
                <w:kern w:val="0"/>
                <w:sz w:val="24"/>
                <w:szCs w:val="24"/>
                <w:lang w:val="en-US" w:eastAsia="zh-CN" w:bidi="ar-SA"/>
              </w:rPr>
              <w:t>预测点处声压级，dB；</w:t>
            </w:r>
          </w:p>
          <w:p w14:paraId="6F8A3EE4">
            <w:pPr>
              <w:widowControl/>
              <w:overflowPunct w:val="0"/>
              <w:topLinePunct/>
              <w:autoSpaceDE w:val="0"/>
              <w:autoSpaceDN w:val="0"/>
              <w:adjustRightInd w:val="0"/>
              <w:snapToGrid w:val="0"/>
              <w:spacing w:line="360" w:lineRule="auto"/>
              <w:ind w:firstLine="1200" w:firstLineChars="500"/>
              <w:jc w:val="both"/>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sz w:val="24"/>
                <w:szCs w:val="24"/>
                <w:lang w:val="en-US" w:eastAsia="zh-CN" w:bidi="ar-SA"/>
              </w:rPr>
              <w:t>L</w:t>
            </w:r>
            <w:r>
              <w:rPr>
                <w:rFonts w:ascii="Times New Roman" w:hAnsi="Times New Roman" w:eastAsia="宋体" w:cs="Times New Roman"/>
                <w:snapToGrid w:val="0"/>
                <w:kern w:val="0"/>
                <w:sz w:val="24"/>
                <w:szCs w:val="24"/>
                <w:vertAlign w:val="subscript"/>
                <w:lang w:val="en-US" w:eastAsia="zh-CN" w:bidi="ar-SA"/>
              </w:rPr>
              <w:t>p</w:t>
            </w:r>
            <w:r>
              <w:rPr>
                <w:rFonts w:ascii="Times New Roman" w:hAnsi="Times New Roman" w:eastAsia="宋体" w:cs="Times New Roman"/>
                <w:snapToGrid w:val="0"/>
                <w:kern w:val="0"/>
                <w:sz w:val="24"/>
                <w:szCs w:val="24"/>
                <w:lang w:val="en-US" w:eastAsia="zh-CN" w:bidi="ar-SA"/>
              </w:rPr>
              <w:t>(r</w:t>
            </w:r>
            <w:r>
              <w:rPr>
                <w:rFonts w:ascii="Times New Roman" w:hAnsi="Times New Roman" w:eastAsia="宋体" w:cs="Times New Roman"/>
                <w:snapToGrid w:val="0"/>
                <w:kern w:val="0"/>
                <w:sz w:val="24"/>
                <w:szCs w:val="24"/>
                <w:vertAlign w:val="subscript"/>
                <w:lang w:val="en-US" w:eastAsia="zh-CN" w:bidi="ar-SA"/>
              </w:rPr>
              <w:t>0</w:t>
            </w:r>
            <w:r>
              <w:rPr>
                <w:rFonts w:ascii="Times New Roman" w:hAnsi="Times New Roman" w:eastAsia="宋体" w:cs="Times New Roman"/>
                <w:snapToGrid w:val="0"/>
                <w:kern w:val="0"/>
                <w:sz w:val="24"/>
                <w:szCs w:val="24"/>
                <w:lang w:val="en-US" w:eastAsia="zh-CN" w:bidi="ar-SA"/>
              </w:rPr>
              <w:t>)</w:t>
            </w:r>
            <w:r>
              <w:rPr>
                <w:rFonts w:ascii="Times New Roman" w:hAnsi="Times New Roman" w:eastAsia="宋体" w:cs="Times New Roman"/>
                <w:snapToGrid w:val="0"/>
                <w:kern w:val="0"/>
                <w:sz w:val="24"/>
                <w:szCs w:val="24"/>
                <w:lang w:val="en-US" w:eastAsia="zh-CN" w:bidi="ar-SA"/>
              </w:rPr>
              <w:sym w:font="Symbol" w:char="F0BE"/>
            </w:r>
            <w:r>
              <w:rPr>
                <w:rFonts w:ascii="Times New Roman" w:hAnsi="Times New Roman" w:eastAsia="宋体" w:cs="Times New Roman"/>
                <w:snapToGrid w:val="0"/>
                <w:kern w:val="0"/>
                <w:sz w:val="24"/>
                <w:szCs w:val="24"/>
                <w:lang w:val="en-US" w:eastAsia="zh-CN" w:bidi="ar-SA"/>
              </w:rPr>
              <w:t>参考位置r</w:t>
            </w:r>
            <w:r>
              <w:rPr>
                <w:rFonts w:ascii="Times New Roman" w:hAnsi="Times New Roman" w:eastAsia="宋体" w:cs="Times New Roman"/>
                <w:snapToGrid w:val="0"/>
                <w:kern w:val="0"/>
                <w:sz w:val="24"/>
                <w:szCs w:val="24"/>
                <w:vertAlign w:val="subscript"/>
                <w:lang w:val="en-US" w:eastAsia="zh-CN" w:bidi="ar-SA"/>
              </w:rPr>
              <w:t>0</w:t>
            </w:r>
            <w:r>
              <w:rPr>
                <w:rFonts w:ascii="Times New Roman" w:hAnsi="Times New Roman" w:eastAsia="宋体" w:cs="Times New Roman"/>
                <w:snapToGrid w:val="0"/>
                <w:kern w:val="0"/>
                <w:sz w:val="24"/>
                <w:szCs w:val="24"/>
                <w:lang w:val="en-US" w:eastAsia="zh-CN" w:bidi="ar-SA"/>
              </w:rPr>
              <w:t>处的声压级，dB；</w:t>
            </w:r>
          </w:p>
          <w:p w14:paraId="336835B1">
            <w:pPr>
              <w:widowControl/>
              <w:overflowPunct w:val="0"/>
              <w:topLinePunct/>
              <w:autoSpaceDE w:val="0"/>
              <w:autoSpaceDN w:val="0"/>
              <w:adjustRightInd w:val="0"/>
              <w:snapToGrid w:val="0"/>
              <w:spacing w:line="360" w:lineRule="auto"/>
              <w:ind w:firstLine="1200" w:firstLineChars="500"/>
              <w:jc w:val="both"/>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sz w:val="24"/>
                <w:szCs w:val="24"/>
                <w:lang w:val="en-US" w:eastAsia="zh-CN" w:bidi="ar-SA"/>
              </w:rPr>
              <w:t>r</w:t>
            </w:r>
            <w:r>
              <w:rPr>
                <w:rFonts w:ascii="Times New Roman" w:hAnsi="Times New Roman" w:eastAsia="宋体" w:cs="Times New Roman"/>
                <w:snapToGrid w:val="0"/>
                <w:kern w:val="0"/>
                <w:sz w:val="24"/>
                <w:szCs w:val="24"/>
                <w:lang w:val="en-US" w:eastAsia="zh-CN" w:bidi="ar-SA"/>
              </w:rPr>
              <w:sym w:font="Symbol" w:char="F0BE"/>
            </w:r>
            <w:r>
              <w:rPr>
                <w:rFonts w:ascii="Times New Roman" w:hAnsi="Times New Roman" w:eastAsia="宋体" w:cs="Times New Roman"/>
                <w:snapToGrid w:val="0"/>
                <w:kern w:val="0"/>
                <w:sz w:val="24"/>
                <w:szCs w:val="24"/>
                <w:lang w:val="en-US" w:eastAsia="zh-CN" w:bidi="ar-SA"/>
              </w:rPr>
              <w:t>预测点距声源的距离；</w:t>
            </w:r>
          </w:p>
          <w:p w14:paraId="45496280">
            <w:pPr>
              <w:widowControl/>
              <w:overflowPunct w:val="0"/>
              <w:topLinePunct/>
              <w:autoSpaceDE w:val="0"/>
              <w:autoSpaceDN w:val="0"/>
              <w:adjustRightInd w:val="0"/>
              <w:snapToGrid w:val="0"/>
              <w:spacing w:line="360" w:lineRule="auto"/>
              <w:ind w:firstLine="1200" w:firstLineChars="500"/>
              <w:jc w:val="both"/>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sz w:val="24"/>
                <w:szCs w:val="24"/>
                <w:lang w:val="en-US" w:eastAsia="zh-CN" w:bidi="ar-SA"/>
              </w:rPr>
              <w:t>r</w:t>
            </w:r>
            <w:r>
              <w:rPr>
                <w:rFonts w:ascii="Times New Roman" w:hAnsi="Times New Roman" w:eastAsia="宋体" w:cs="Times New Roman"/>
                <w:snapToGrid w:val="0"/>
                <w:kern w:val="0"/>
                <w:sz w:val="24"/>
                <w:szCs w:val="24"/>
                <w:vertAlign w:val="subscript"/>
                <w:lang w:val="en-US" w:eastAsia="zh-CN" w:bidi="ar-SA"/>
              </w:rPr>
              <w:t>0</w:t>
            </w:r>
            <w:r>
              <w:rPr>
                <w:rFonts w:ascii="Times New Roman" w:hAnsi="Times New Roman" w:eastAsia="宋体" w:cs="Times New Roman"/>
                <w:snapToGrid w:val="0"/>
                <w:kern w:val="0"/>
                <w:sz w:val="24"/>
                <w:szCs w:val="24"/>
                <w:lang w:val="en-US" w:eastAsia="zh-CN" w:bidi="ar-SA"/>
              </w:rPr>
              <w:sym w:font="Symbol" w:char="F0BE"/>
            </w:r>
            <w:r>
              <w:rPr>
                <w:rFonts w:ascii="Times New Roman" w:hAnsi="Times New Roman" w:eastAsia="宋体" w:cs="Times New Roman"/>
                <w:snapToGrid w:val="0"/>
                <w:kern w:val="0"/>
                <w:sz w:val="24"/>
                <w:szCs w:val="24"/>
                <w:lang w:val="en-US" w:eastAsia="zh-CN" w:bidi="ar-SA"/>
              </w:rPr>
              <w:t>参考位置距声源的距离。</w:t>
            </w:r>
          </w:p>
          <w:p w14:paraId="731FBEBA">
            <w:pPr>
              <w:widowControl/>
              <w:overflowPunct w:val="0"/>
              <w:topLinePunct/>
              <w:autoSpaceDE w:val="0"/>
              <w:autoSpaceDN w:val="0"/>
              <w:adjustRightInd w:val="0"/>
              <w:snapToGrid w:val="0"/>
              <w:spacing w:line="360" w:lineRule="auto"/>
              <w:ind w:firstLine="0" w:firstLineChars="0"/>
              <w:jc w:val="center"/>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position w:val="-10"/>
                <w:sz w:val="24"/>
                <w:szCs w:val="24"/>
                <w:lang w:val="en-US" w:eastAsia="zh-CN" w:bidi="ar-SA"/>
              </w:rPr>
              <w:object>
                <v:shape id="_x0000_i1039" o:spt="75" type="#_x0000_t75" style="height:15pt;width:77pt;" o:ole="t" filled="f" o:preferrelative="t" stroked="f" coordsize="21600,21600">
                  <v:path/>
                  <v:fill on="f" focussize="0,0"/>
                  <v:stroke on="f"/>
                  <v:imagedata r:id="rId45" o:title=""/>
                  <o:lock v:ext="edit" aspectratio="t"/>
                  <w10:wrap type="none"/>
                  <w10:anchorlock/>
                </v:shape>
                <o:OLEObject Type="Embed" ProgID="Equation.KSEE3" ShapeID="_x0000_i1039" DrawAspect="Content" ObjectID="_1468075739" r:id="rId44">
                  <o:LockedField>false</o:LockedField>
                </o:OLEObject>
              </w:object>
            </w:r>
          </w:p>
          <w:p w14:paraId="260BA1D6">
            <w:pPr>
              <w:widowControl/>
              <w:overflowPunct w:val="0"/>
              <w:topLinePunct/>
              <w:autoSpaceDE w:val="0"/>
              <w:autoSpaceDN w:val="0"/>
              <w:adjustRightInd w:val="0"/>
              <w:snapToGrid w:val="0"/>
              <w:spacing w:line="360" w:lineRule="auto"/>
              <w:ind w:firstLine="480" w:firstLineChars="200"/>
              <w:jc w:val="both"/>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sz w:val="24"/>
                <w:szCs w:val="24"/>
                <w:lang w:val="en-US" w:eastAsia="zh-CN" w:bidi="ar-SA"/>
              </w:rPr>
              <w:t>式中：A</w:t>
            </w:r>
            <w:r>
              <w:rPr>
                <w:rFonts w:ascii="Times New Roman" w:hAnsi="Times New Roman" w:eastAsia="宋体" w:cs="Times New Roman"/>
                <w:snapToGrid w:val="0"/>
                <w:kern w:val="0"/>
                <w:sz w:val="24"/>
                <w:szCs w:val="24"/>
                <w:vertAlign w:val="subscript"/>
                <w:lang w:val="en-US" w:eastAsia="zh-CN" w:bidi="ar-SA"/>
              </w:rPr>
              <w:t>div</w:t>
            </w:r>
            <w:r>
              <w:rPr>
                <w:rFonts w:ascii="Times New Roman" w:hAnsi="Times New Roman" w:eastAsia="宋体" w:cs="Times New Roman"/>
                <w:snapToGrid w:val="0"/>
                <w:kern w:val="0"/>
                <w:sz w:val="24"/>
                <w:szCs w:val="24"/>
                <w:lang w:val="en-US" w:eastAsia="zh-CN" w:bidi="ar-SA"/>
              </w:rPr>
              <w:sym w:font="Symbol" w:char="F0BE"/>
            </w:r>
            <w:r>
              <w:rPr>
                <w:rFonts w:ascii="Times New Roman" w:hAnsi="Times New Roman" w:eastAsia="宋体" w:cs="Times New Roman"/>
                <w:snapToGrid w:val="0"/>
                <w:kern w:val="0"/>
                <w:sz w:val="24"/>
                <w:szCs w:val="24"/>
                <w:lang w:val="en-US" w:eastAsia="zh-CN" w:bidi="ar-SA"/>
              </w:rPr>
              <w:t>几何发散引起的衰减，dB；</w:t>
            </w:r>
          </w:p>
          <w:p w14:paraId="1FC25EC4">
            <w:pPr>
              <w:widowControl/>
              <w:overflowPunct w:val="0"/>
              <w:topLinePunct/>
              <w:autoSpaceDE w:val="0"/>
              <w:autoSpaceDN w:val="0"/>
              <w:adjustRightInd w:val="0"/>
              <w:snapToGrid w:val="0"/>
              <w:spacing w:line="360" w:lineRule="auto"/>
              <w:ind w:firstLine="1200" w:firstLineChars="500"/>
              <w:jc w:val="both"/>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sz w:val="24"/>
                <w:szCs w:val="24"/>
                <w:lang w:val="en-US" w:eastAsia="zh-CN" w:bidi="ar-SA"/>
              </w:rPr>
              <w:t>r</w:t>
            </w:r>
            <w:r>
              <w:rPr>
                <w:rFonts w:ascii="Times New Roman" w:hAnsi="Times New Roman" w:eastAsia="宋体" w:cs="Times New Roman"/>
                <w:snapToGrid w:val="0"/>
                <w:kern w:val="0"/>
                <w:sz w:val="24"/>
                <w:szCs w:val="24"/>
                <w:lang w:val="en-US" w:eastAsia="zh-CN" w:bidi="ar-SA"/>
              </w:rPr>
              <w:sym w:font="Symbol" w:char="F0BE"/>
            </w:r>
            <w:r>
              <w:rPr>
                <w:rFonts w:ascii="Times New Roman" w:hAnsi="Times New Roman" w:eastAsia="宋体" w:cs="Times New Roman"/>
                <w:snapToGrid w:val="0"/>
                <w:kern w:val="0"/>
                <w:sz w:val="24"/>
                <w:szCs w:val="24"/>
                <w:lang w:val="en-US" w:eastAsia="zh-CN" w:bidi="ar-SA"/>
              </w:rPr>
              <w:t>预测点距声源的距离；</w:t>
            </w:r>
          </w:p>
          <w:p w14:paraId="33AB8D8D">
            <w:pPr>
              <w:widowControl/>
              <w:overflowPunct w:val="0"/>
              <w:topLinePunct/>
              <w:autoSpaceDE w:val="0"/>
              <w:autoSpaceDN w:val="0"/>
              <w:adjustRightInd w:val="0"/>
              <w:snapToGrid w:val="0"/>
              <w:spacing w:line="360" w:lineRule="auto"/>
              <w:ind w:firstLine="1200" w:firstLineChars="500"/>
              <w:jc w:val="both"/>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sz w:val="24"/>
                <w:szCs w:val="24"/>
                <w:lang w:val="en-US" w:eastAsia="zh-CN" w:bidi="ar-SA"/>
              </w:rPr>
              <w:t>r</w:t>
            </w:r>
            <w:r>
              <w:rPr>
                <w:rFonts w:ascii="Times New Roman" w:hAnsi="Times New Roman" w:eastAsia="宋体" w:cs="Times New Roman"/>
                <w:snapToGrid w:val="0"/>
                <w:kern w:val="0"/>
                <w:sz w:val="24"/>
                <w:szCs w:val="24"/>
                <w:vertAlign w:val="subscript"/>
                <w:lang w:val="en-US" w:eastAsia="zh-CN" w:bidi="ar-SA"/>
              </w:rPr>
              <w:t>0</w:t>
            </w:r>
            <w:r>
              <w:rPr>
                <w:rFonts w:ascii="Times New Roman" w:hAnsi="Times New Roman" w:eastAsia="宋体" w:cs="Times New Roman"/>
                <w:snapToGrid w:val="0"/>
                <w:kern w:val="0"/>
                <w:sz w:val="24"/>
                <w:szCs w:val="24"/>
                <w:lang w:val="en-US" w:eastAsia="zh-CN" w:bidi="ar-SA"/>
              </w:rPr>
              <w:sym w:font="Symbol" w:char="F0BE"/>
            </w:r>
            <w:r>
              <w:rPr>
                <w:rFonts w:ascii="Times New Roman" w:hAnsi="Times New Roman" w:eastAsia="宋体" w:cs="Times New Roman"/>
                <w:snapToGrid w:val="0"/>
                <w:kern w:val="0"/>
                <w:sz w:val="24"/>
                <w:szCs w:val="24"/>
                <w:lang w:val="en-US" w:eastAsia="zh-CN" w:bidi="ar-SA"/>
              </w:rPr>
              <w:t>参考位置距声源的距离。</w:t>
            </w:r>
          </w:p>
          <w:p w14:paraId="79E09585">
            <w:pPr>
              <w:widowControl/>
              <w:overflowPunct w:val="0"/>
              <w:topLinePunct/>
              <w:autoSpaceDE w:val="0"/>
              <w:autoSpaceDN w:val="0"/>
              <w:adjustRightInd w:val="0"/>
              <w:snapToGrid w:val="0"/>
              <w:spacing w:line="360" w:lineRule="auto"/>
              <w:ind w:firstLine="480" w:firstLineChars="200"/>
              <w:jc w:val="both"/>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sz w:val="24"/>
                <w:szCs w:val="24"/>
                <w:lang w:val="en-US" w:eastAsia="zh-CN" w:bidi="ar-SA"/>
              </w:rPr>
              <w:t>如果已知点声源的倍频带声功率级或A计权声功率级（L</w:t>
            </w:r>
            <w:r>
              <w:rPr>
                <w:rFonts w:ascii="Times New Roman" w:hAnsi="Times New Roman" w:eastAsia="宋体" w:cs="Times New Roman"/>
                <w:snapToGrid w:val="0"/>
                <w:kern w:val="0"/>
                <w:sz w:val="24"/>
                <w:szCs w:val="24"/>
                <w:vertAlign w:val="subscript"/>
                <w:lang w:val="en-US" w:eastAsia="zh-CN" w:bidi="ar-SA"/>
              </w:rPr>
              <w:t>AW</w:t>
            </w:r>
            <w:r>
              <w:rPr>
                <w:rFonts w:ascii="Times New Roman" w:hAnsi="Times New Roman" w:eastAsia="宋体" w:cs="Times New Roman"/>
                <w:snapToGrid w:val="0"/>
                <w:kern w:val="0"/>
                <w:sz w:val="24"/>
                <w:szCs w:val="24"/>
                <w:lang w:val="en-US" w:eastAsia="zh-CN" w:bidi="ar-SA"/>
              </w:rPr>
              <w:t>），且声源处于自由声场：</w:t>
            </w:r>
          </w:p>
          <w:p w14:paraId="0B121FD4">
            <w:pPr>
              <w:widowControl/>
              <w:overflowPunct w:val="0"/>
              <w:topLinePunct/>
              <w:autoSpaceDE w:val="0"/>
              <w:autoSpaceDN w:val="0"/>
              <w:adjustRightInd w:val="0"/>
              <w:snapToGrid w:val="0"/>
              <w:spacing w:line="360" w:lineRule="auto"/>
              <w:ind w:firstLine="0" w:firstLineChars="0"/>
              <w:jc w:val="center"/>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position w:val="-10"/>
                <w:sz w:val="24"/>
                <w:szCs w:val="24"/>
                <w:lang w:val="en-US" w:eastAsia="zh-CN" w:bidi="ar-SA"/>
              </w:rPr>
              <w:object>
                <v:shape id="_x0000_i1040" o:spt="75" type="#_x0000_t75" style="height:15pt;width:102pt;" o:ole="t" filled="f" o:preferrelative="t" stroked="f" coordsize="21600,21600">
                  <v:path/>
                  <v:fill on="f" focussize="0,0"/>
                  <v:stroke on="f"/>
                  <v:imagedata r:id="rId47" o:title=""/>
                  <o:lock v:ext="edit" aspectratio="t"/>
                  <w10:wrap type="none"/>
                  <w10:anchorlock/>
                </v:shape>
                <o:OLEObject Type="Embed" ProgID="Equation.KSEE3" ShapeID="_x0000_i1040" DrawAspect="Content" ObjectID="_1468075740" r:id="rId46">
                  <o:LockedField>false</o:LockedField>
                </o:OLEObject>
              </w:object>
            </w:r>
          </w:p>
          <w:p w14:paraId="6CD75C99">
            <w:pPr>
              <w:widowControl/>
              <w:overflowPunct w:val="0"/>
              <w:topLinePunct/>
              <w:autoSpaceDE w:val="0"/>
              <w:autoSpaceDN w:val="0"/>
              <w:adjustRightInd w:val="0"/>
              <w:snapToGrid w:val="0"/>
              <w:spacing w:line="360" w:lineRule="auto"/>
              <w:ind w:firstLine="480" w:firstLineChars="200"/>
              <w:jc w:val="both"/>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sz w:val="24"/>
                <w:szCs w:val="24"/>
                <w:lang w:val="en-US" w:eastAsia="zh-CN" w:bidi="ar-SA"/>
              </w:rPr>
              <w:t>式中：L</w:t>
            </w:r>
            <w:r>
              <w:rPr>
                <w:rFonts w:ascii="Times New Roman" w:hAnsi="Times New Roman" w:eastAsia="宋体" w:cs="Times New Roman"/>
                <w:snapToGrid w:val="0"/>
                <w:kern w:val="0"/>
                <w:sz w:val="24"/>
                <w:szCs w:val="24"/>
                <w:vertAlign w:val="subscript"/>
                <w:lang w:val="en-US" w:eastAsia="zh-CN" w:bidi="ar-SA"/>
              </w:rPr>
              <w:t>p</w:t>
            </w:r>
            <w:r>
              <w:rPr>
                <w:rFonts w:ascii="Times New Roman" w:hAnsi="Times New Roman" w:eastAsia="宋体" w:cs="Times New Roman"/>
                <w:snapToGrid w:val="0"/>
                <w:kern w:val="0"/>
                <w:sz w:val="24"/>
                <w:szCs w:val="24"/>
                <w:lang w:val="en-US" w:eastAsia="zh-CN" w:bidi="ar-SA"/>
              </w:rPr>
              <w:t>(r)</w:t>
            </w:r>
            <w:r>
              <w:rPr>
                <w:rFonts w:ascii="Times New Roman" w:hAnsi="Times New Roman" w:eastAsia="宋体" w:cs="Times New Roman"/>
                <w:snapToGrid w:val="0"/>
                <w:kern w:val="0"/>
                <w:sz w:val="24"/>
                <w:szCs w:val="24"/>
                <w:lang w:val="en-US" w:eastAsia="zh-CN" w:bidi="ar-SA"/>
              </w:rPr>
              <w:sym w:font="Symbol" w:char="F0BE"/>
            </w:r>
            <w:r>
              <w:rPr>
                <w:rFonts w:ascii="Times New Roman" w:hAnsi="Times New Roman" w:eastAsia="宋体" w:cs="Times New Roman"/>
                <w:snapToGrid w:val="0"/>
                <w:kern w:val="0"/>
                <w:sz w:val="24"/>
                <w:szCs w:val="24"/>
                <w:lang w:val="en-US" w:eastAsia="zh-CN" w:bidi="ar-SA"/>
              </w:rPr>
              <w:t>预测点处声压级，dB；</w:t>
            </w:r>
          </w:p>
          <w:p w14:paraId="420CEBC9">
            <w:pPr>
              <w:widowControl/>
              <w:overflowPunct w:val="0"/>
              <w:topLinePunct/>
              <w:autoSpaceDE w:val="0"/>
              <w:autoSpaceDN w:val="0"/>
              <w:adjustRightInd w:val="0"/>
              <w:snapToGrid w:val="0"/>
              <w:spacing w:line="360" w:lineRule="auto"/>
              <w:ind w:firstLine="1200" w:firstLineChars="500"/>
              <w:jc w:val="both"/>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sz w:val="24"/>
                <w:szCs w:val="24"/>
                <w:lang w:val="en-US" w:eastAsia="zh-CN" w:bidi="ar-SA"/>
              </w:rPr>
              <w:t>L</w:t>
            </w:r>
            <w:r>
              <w:rPr>
                <w:rFonts w:ascii="Times New Roman" w:hAnsi="Times New Roman" w:eastAsia="宋体" w:cs="Times New Roman"/>
                <w:snapToGrid w:val="0"/>
                <w:kern w:val="0"/>
                <w:sz w:val="24"/>
                <w:szCs w:val="24"/>
                <w:vertAlign w:val="subscript"/>
                <w:lang w:val="en-US" w:eastAsia="zh-CN" w:bidi="ar-SA"/>
              </w:rPr>
              <w:t>w</w:t>
            </w:r>
            <w:r>
              <w:rPr>
                <w:rFonts w:ascii="Times New Roman" w:hAnsi="Times New Roman" w:eastAsia="宋体" w:cs="Times New Roman"/>
                <w:snapToGrid w:val="0"/>
                <w:kern w:val="0"/>
                <w:sz w:val="24"/>
                <w:szCs w:val="24"/>
                <w:lang w:val="en-US" w:eastAsia="zh-CN" w:bidi="ar-SA"/>
              </w:rPr>
              <w:sym w:font="Symbol" w:char="F0BE"/>
            </w:r>
            <w:r>
              <w:rPr>
                <w:rFonts w:ascii="Times New Roman" w:hAnsi="Times New Roman" w:eastAsia="宋体" w:cs="Times New Roman"/>
                <w:snapToGrid w:val="0"/>
                <w:kern w:val="0"/>
                <w:sz w:val="24"/>
                <w:szCs w:val="24"/>
                <w:lang w:val="en-US" w:eastAsia="zh-CN" w:bidi="ar-SA"/>
              </w:rPr>
              <w:t>由点声源产生的倍频带声功率级，dB；</w:t>
            </w:r>
          </w:p>
          <w:p w14:paraId="53DDC0AE">
            <w:pPr>
              <w:widowControl/>
              <w:overflowPunct w:val="0"/>
              <w:topLinePunct/>
              <w:autoSpaceDE w:val="0"/>
              <w:autoSpaceDN w:val="0"/>
              <w:adjustRightInd w:val="0"/>
              <w:snapToGrid w:val="0"/>
              <w:spacing w:line="360" w:lineRule="auto"/>
              <w:ind w:firstLine="1200" w:firstLineChars="500"/>
              <w:jc w:val="both"/>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sz w:val="24"/>
                <w:szCs w:val="24"/>
                <w:lang w:val="en-US" w:eastAsia="zh-CN" w:bidi="ar-SA"/>
              </w:rPr>
              <w:t>r</w:t>
            </w:r>
            <w:r>
              <w:rPr>
                <w:rFonts w:ascii="Times New Roman" w:hAnsi="Times New Roman" w:eastAsia="宋体" w:cs="Times New Roman"/>
                <w:snapToGrid w:val="0"/>
                <w:kern w:val="0"/>
                <w:sz w:val="24"/>
                <w:szCs w:val="24"/>
                <w:lang w:val="en-US" w:eastAsia="zh-CN" w:bidi="ar-SA"/>
              </w:rPr>
              <w:sym w:font="Symbol" w:char="F0BE"/>
            </w:r>
            <w:r>
              <w:rPr>
                <w:rFonts w:ascii="Times New Roman" w:hAnsi="Times New Roman" w:eastAsia="宋体" w:cs="Times New Roman"/>
                <w:snapToGrid w:val="0"/>
                <w:kern w:val="0"/>
                <w:sz w:val="24"/>
                <w:szCs w:val="24"/>
                <w:lang w:val="en-US" w:eastAsia="zh-CN" w:bidi="ar-SA"/>
              </w:rPr>
              <w:t>预测点距声源的距离。</w:t>
            </w:r>
          </w:p>
          <w:p w14:paraId="11537BC2">
            <w:pPr>
              <w:widowControl/>
              <w:overflowPunct w:val="0"/>
              <w:topLinePunct/>
              <w:autoSpaceDE w:val="0"/>
              <w:autoSpaceDN w:val="0"/>
              <w:adjustRightInd w:val="0"/>
              <w:snapToGrid w:val="0"/>
              <w:spacing w:line="360" w:lineRule="auto"/>
              <w:ind w:firstLine="0" w:firstLineChars="0"/>
              <w:jc w:val="center"/>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position w:val="-10"/>
                <w:sz w:val="24"/>
                <w:szCs w:val="24"/>
                <w:lang w:val="en-US" w:eastAsia="zh-CN" w:bidi="ar-SA"/>
              </w:rPr>
              <w:object>
                <v:shape id="_x0000_i1041" o:spt="75" type="#_x0000_t75" style="height:15pt;width:107pt;" o:ole="t" filled="f" o:preferrelative="t" stroked="f" coordsize="21600,21600">
                  <v:path/>
                  <v:fill on="f" focussize="0,0"/>
                  <v:stroke on="f"/>
                  <v:imagedata r:id="rId49" o:title=""/>
                  <o:lock v:ext="edit" aspectratio="t"/>
                  <w10:wrap type="none"/>
                  <w10:anchorlock/>
                </v:shape>
                <o:OLEObject Type="Embed" ProgID="Equation.KSEE3" ShapeID="_x0000_i1041" DrawAspect="Content" ObjectID="_1468075741" r:id="rId48">
                  <o:LockedField>false</o:LockedField>
                </o:OLEObject>
              </w:object>
            </w:r>
          </w:p>
          <w:p w14:paraId="36934281">
            <w:pPr>
              <w:widowControl/>
              <w:overflowPunct w:val="0"/>
              <w:topLinePunct/>
              <w:autoSpaceDE w:val="0"/>
              <w:autoSpaceDN w:val="0"/>
              <w:adjustRightInd w:val="0"/>
              <w:snapToGrid w:val="0"/>
              <w:spacing w:line="360" w:lineRule="auto"/>
              <w:ind w:firstLine="480" w:firstLineChars="200"/>
              <w:jc w:val="both"/>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sz w:val="24"/>
                <w:szCs w:val="24"/>
                <w:lang w:val="en-US" w:eastAsia="zh-CN" w:bidi="ar-SA"/>
              </w:rPr>
              <w:t>式中：L</w:t>
            </w:r>
            <w:r>
              <w:rPr>
                <w:rFonts w:ascii="Times New Roman" w:hAnsi="Times New Roman" w:eastAsia="宋体" w:cs="Times New Roman"/>
                <w:snapToGrid w:val="0"/>
                <w:kern w:val="0"/>
                <w:sz w:val="24"/>
                <w:szCs w:val="24"/>
                <w:vertAlign w:val="subscript"/>
                <w:lang w:val="en-US" w:eastAsia="zh-CN" w:bidi="ar-SA"/>
              </w:rPr>
              <w:t>AW</w:t>
            </w:r>
            <w:r>
              <w:rPr>
                <w:rFonts w:ascii="Times New Roman" w:hAnsi="Times New Roman" w:eastAsia="宋体" w:cs="Times New Roman"/>
                <w:snapToGrid w:val="0"/>
                <w:kern w:val="0"/>
                <w:sz w:val="24"/>
                <w:szCs w:val="24"/>
                <w:lang w:val="en-US" w:eastAsia="zh-CN" w:bidi="ar-SA"/>
              </w:rPr>
              <w:t>(r)</w:t>
            </w:r>
            <w:r>
              <w:rPr>
                <w:rFonts w:ascii="Times New Roman" w:hAnsi="Times New Roman" w:eastAsia="宋体" w:cs="Times New Roman"/>
                <w:snapToGrid w:val="0"/>
                <w:kern w:val="0"/>
                <w:sz w:val="24"/>
                <w:szCs w:val="24"/>
                <w:lang w:val="en-US" w:eastAsia="zh-CN" w:bidi="ar-SA"/>
              </w:rPr>
              <w:sym w:font="Symbol" w:char="F0BE"/>
            </w:r>
            <w:r>
              <w:rPr>
                <w:rFonts w:ascii="Times New Roman" w:hAnsi="Times New Roman" w:eastAsia="宋体" w:cs="Times New Roman"/>
                <w:snapToGrid w:val="0"/>
                <w:kern w:val="0"/>
                <w:sz w:val="24"/>
                <w:szCs w:val="24"/>
                <w:lang w:val="en-US" w:eastAsia="zh-CN" w:bidi="ar-SA"/>
              </w:rPr>
              <w:t>距声源r处的A声级，dB(A)；</w:t>
            </w:r>
          </w:p>
          <w:p w14:paraId="4F668D23">
            <w:pPr>
              <w:widowControl/>
              <w:overflowPunct w:val="0"/>
              <w:topLinePunct/>
              <w:autoSpaceDE w:val="0"/>
              <w:autoSpaceDN w:val="0"/>
              <w:adjustRightInd w:val="0"/>
              <w:snapToGrid w:val="0"/>
              <w:spacing w:line="360" w:lineRule="auto"/>
              <w:ind w:firstLine="1200" w:firstLineChars="500"/>
              <w:jc w:val="both"/>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sz w:val="24"/>
                <w:szCs w:val="24"/>
                <w:lang w:val="en-US" w:eastAsia="zh-CN" w:bidi="ar-SA"/>
              </w:rPr>
              <w:t>L</w:t>
            </w:r>
            <w:r>
              <w:rPr>
                <w:rFonts w:ascii="Times New Roman" w:hAnsi="Times New Roman" w:eastAsia="宋体" w:cs="Times New Roman"/>
                <w:snapToGrid w:val="0"/>
                <w:kern w:val="0"/>
                <w:sz w:val="24"/>
                <w:szCs w:val="24"/>
                <w:vertAlign w:val="subscript"/>
                <w:lang w:val="en-US" w:eastAsia="zh-CN" w:bidi="ar-SA"/>
              </w:rPr>
              <w:t>AW</w:t>
            </w:r>
            <w:r>
              <w:rPr>
                <w:rFonts w:ascii="Times New Roman" w:hAnsi="Times New Roman" w:eastAsia="宋体" w:cs="Times New Roman"/>
                <w:snapToGrid w:val="0"/>
                <w:kern w:val="0"/>
                <w:sz w:val="24"/>
                <w:szCs w:val="24"/>
                <w:lang w:val="en-US" w:eastAsia="zh-CN" w:bidi="ar-SA"/>
              </w:rPr>
              <w:sym w:font="Symbol" w:char="F0BE"/>
            </w:r>
            <w:r>
              <w:rPr>
                <w:rFonts w:ascii="Times New Roman" w:hAnsi="Times New Roman" w:eastAsia="宋体" w:cs="Times New Roman"/>
                <w:snapToGrid w:val="0"/>
                <w:kern w:val="0"/>
                <w:sz w:val="24"/>
                <w:szCs w:val="24"/>
                <w:lang w:val="en-US" w:eastAsia="zh-CN" w:bidi="ar-SA"/>
              </w:rPr>
              <w:t>点声源A计权声功率级，dB；</w:t>
            </w:r>
          </w:p>
          <w:p w14:paraId="43FBDEBD">
            <w:pPr>
              <w:widowControl/>
              <w:overflowPunct w:val="0"/>
              <w:topLinePunct/>
              <w:autoSpaceDE w:val="0"/>
              <w:autoSpaceDN w:val="0"/>
              <w:adjustRightInd w:val="0"/>
              <w:snapToGrid w:val="0"/>
              <w:spacing w:line="360" w:lineRule="auto"/>
              <w:ind w:firstLine="1200" w:firstLineChars="500"/>
              <w:jc w:val="both"/>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sz w:val="24"/>
                <w:szCs w:val="24"/>
                <w:lang w:val="en-US" w:eastAsia="zh-CN" w:bidi="ar-SA"/>
              </w:rPr>
              <w:t>r</w:t>
            </w:r>
            <w:r>
              <w:rPr>
                <w:rFonts w:ascii="Times New Roman" w:hAnsi="Times New Roman" w:eastAsia="宋体" w:cs="Times New Roman"/>
                <w:snapToGrid w:val="0"/>
                <w:kern w:val="0"/>
                <w:sz w:val="24"/>
                <w:szCs w:val="24"/>
                <w:lang w:val="en-US" w:eastAsia="zh-CN" w:bidi="ar-SA"/>
              </w:rPr>
              <w:sym w:font="Symbol" w:char="F0BE"/>
            </w:r>
            <w:r>
              <w:rPr>
                <w:rFonts w:ascii="Times New Roman" w:hAnsi="Times New Roman" w:eastAsia="宋体" w:cs="Times New Roman"/>
                <w:snapToGrid w:val="0"/>
                <w:kern w:val="0"/>
                <w:sz w:val="24"/>
                <w:szCs w:val="24"/>
                <w:lang w:val="en-US" w:eastAsia="zh-CN" w:bidi="ar-SA"/>
              </w:rPr>
              <w:t>预测点距声源的距离。</w:t>
            </w:r>
          </w:p>
          <w:p w14:paraId="768291AD">
            <w:pPr>
              <w:widowControl/>
              <w:overflowPunct w:val="0"/>
              <w:topLinePunct/>
              <w:autoSpaceDE w:val="0"/>
              <w:autoSpaceDN w:val="0"/>
              <w:adjustRightInd w:val="0"/>
              <w:snapToGrid w:val="0"/>
              <w:spacing w:line="360" w:lineRule="auto"/>
              <w:ind w:firstLine="480" w:firstLineChars="200"/>
              <w:jc w:val="both"/>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sz w:val="24"/>
                <w:szCs w:val="24"/>
                <w:lang w:val="en-US" w:eastAsia="zh-CN" w:bidi="ar-SA"/>
              </w:rPr>
              <w:t>如果声源处于半自由声场：</w:t>
            </w:r>
          </w:p>
          <w:p w14:paraId="49559408">
            <w:pPr>
              <w:widowControl/>
              <w:overflowPunct w:val="0"/>
              <w:topLinePunct/>
              <w:autoSpaceDE w:val="0"/>
              <w:autoSpaceDN w:val="0"/>
              <w:adjustRightInd w:val="0"/>
              <w:snapToGrid w:val="0"/>
              <w:spacing w:line="360" w:lineRule="auto"/>
              <w:ind w:firstLine="0" w:firstLineChars="0"/>
              <w:jc w:val="center"/>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position w:val="-10"/>
                <w:sz w:val="24"/>
                <w:szCs w:val="24"/>
                <w:lang w:val="en-US" w:eastAsia="zh-CN" w:bidi="ar-SA"/>
              </w:rPr>
              <w:object>
                <v:shape id="_x0000_i1042" o:spt="75" type="#_x0000_t75" style="height:15pt;width:98pt;" o:ole="t" filled="f" o:preferrelative="t" stroked="f" coordsize="21600,21600">
                  <v:path/>
                  <v:fill on="f" focussize="0,0"/>
                  <v:stroke on="f"/>
                  <v:imagedata r:id="rId51" o:title=""/>
                  <o:lock v:ext="edit" aspectratio="t"/>
                  <w10:wrap type="none"/>
                  <w10:anchorlock/>
                </v:shape>
                <o:OLEObject Type="Embed" ProgID="Equation.KSEE3" ShapeID="_x0000_i1042" DrawAspect="Content" ObjectID="_1468075742" r:id="rId50">
                  <o:LockedField>false</o:LockedField>
                </o:OLEObject>
              </w:object>
            </w:r>
          </w:p>
          <w:p w14:paraId="7BD57F6C">
            <w:pPr>
              <w:widowControl/>
              <w:overflowPunct w:val="0"/>
              <w:topLinePunct/>
              <w:autoSpaceDE w:val="0"/>
              <w:autoSpaceDN w:val="0"/>
              <w:adjustRightInd w:val="0"/>
              <w:snapToGrid w:val="0"/>
              <w:spacing w:line="360" w:lineRule="auto"/>
              <w:ind w:firstLine="480" w:firstLineChars="200"/>
              <w:jc w:val="both"/>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sz w:val="24"/>
                <w:szCs w:val="24"/>
                <w:lang w:val="en-US" w:eastAsia="zh-CN" w:bidi="ar-SA"/>
              </w:rPr>
              <w:t>式中：L</w:t>
            </w:r>
            <w:r>
              <w:rPr>
                <w:rFonts w:ascii="Times New Roman" w:hAnsi="Times New Roman" w:eastAsia="宋体" w:cs="Times New Roman"/>
                <w:snapToGrid w:val="0"/>
                <w:kern w:val="0"/>
                <w:sz w:val="24"/>
                <w:szCs w:val="24"/>
                <w:vertAlign w:val="subscript"/>
                <w:lang w:val="en-US" w:eastAsia="zh-CN" w:bidi="ar-SA"/>
              </w:rPr>
              <w:t>p</w:t>
            </w:r>
            <w:r>
              <w:rPr>
                <w:rFonts w:ascii="Times New Roman" w:hAnsi="Times New Roman" w:eastAsia="宋体" w:cs="Times New Roman"/>
                <w:snapToGrid w:val="0"/>
                <w:kern w:val="0"/>
                <w:sz w:val="24"/>
                <w:szCs w:val="24"/>
                <w:lang w:val="en-US" w:eastAsia="zh-CN" w:bidi="ar-SA"/>
              </w:rPr>
              <w:t>(r)</w:t>
            </w:r>
            <w:r>
              <w:rPr>
                <w:rFonts w:ascii="Times New Roman" w:hAnsi="Times New Roman" w:eastAsia="宋体" w:cs="Times New Roman"/>
                <w:snapToGrid w:val="0"/>
                <w:kern w:val="0"/>
                <w:sz w:val="24"/>
                <w:szCs w:val="24"/>
                <w:lang w:val="en-US" w:eastAsia="zh-CN" w:bidi="ar-SA"/>
              </w:rPr>
              <w:sym w:font="Symbol" w:char="F0BE"/>
            </w:r>
            <w:r>
              <w:rPr>
                <w:rFonts w:ascii="Times New Roman" w:hAnsi="Times New Roman" w:eastAsia="宋体" w:cs="Times New Roman"/>
                <w:snapToGrid w:val="0"/>
                <w:kern w:val="0"/>
                <w:sz w:val="24"/>
                <w:szCs w:val="24"/>
                <w:lang w:val="en-US" w:eastAsia="zh-CN" w:bidi="ar-SA"/>
              </w:rPr>
              <w:t>预测点处声压级，dB；</w:t>
            </w:r>
          </w:p>
          <w:p w14:paraId="4D495332">
            <w:pPr>
              <w:widowControl/>
              <w:overflowPunct w:val="0"/>
              <w:topLinePunct/>
              <w:autoSpaceDE w:val="0"/>
              <w:autoSpaceDN w:val="0"/>
              <w:adjustRightInd w:val="0"/>
              <w:snapToGrid w:val="0"/>
              <w:spacing w:line="360" w:lineRule="auto"/>
              <w:ind w:firstLine="1200" w:firstLineChars="500"/>
              <w:jc w:val="both"/>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sz w:val="24"/>
                <w:szCs w:val="24"/>
                <w:lang w:val="en-US" w:eastAsia="zh-CN" w:bidi="ar-SA"/>
              </w:rPr>
              <w:t>L</w:t>
            </w:r>
            <w:r>
              <w:rPr>
                <w:rFonts w:ascii="Times New Roman" w:hAnsi="Times New Roman" w:eastAsia="宋体" w:cs="Times New Roman"/>
                <w:snapToGrid w:val="0"/>
                <w:kern w:val="0"/>
                <w:sz w:val="24"/>
                <w:szCs w:val="24"/>
                <w:vertAlign w:val="subscript"/>
                <w:lang w:val="en-US" w:eastAsia="zh-CN" w:bidi="ar-SA"/>
              </w:rPr>
              <w:t>w</w:t>
            </w:r>
            <w:r>
              <w:rPr>
                <w:rFonts w:ascii="Times New Roman" w:hAnsi="Times New Roman" w:eastAsia="宋体" w:cs="Times New Roman"/>
                <w:snapToGrid w:val="0"/>
                <w:kern w:val="0"/>
                <w:sz w:val="24"/>
                <w:szCs w:val="24"/>
                <w:lang w:val="en-US" w:eastAsia="zh-CN" w:bidi="ar-SA"/>
              </w:rPr>
              <w:sym w:font="Symbol" w:char="F0BE"/>
            </w:r>
            <w:r>
              <w:rPr>
                <w:rFonts w:ascii="Times New Roman" w:hAnsi="Times New Roman" w:eastAsia="宋体" w:cs="Times New Roman"/>
                <w:snapToGrid w:val="0"/>
                <w:kern w:val="0"/>
                <w:sz w:val="24"/>
                <w:szCs w:val="24"/>
                <w:lang w:val="en-US" w:eastAsia="zh-CN" w:bidi="ar-SA"/>
              </w:rPr>
              <w:t>由点声源产生的倍频带声功率级，dB；</w:t>
            </w:r>
          </w:p>
          <w:p w14:paraId="4519E73E">
            <w:pPr>
              <w:widowControl/>
              <w:overflowPunct w:val="0"/>
              <w:topLinePunct/>
              <w:autoSpaceDE w:val="0"/>
              <w:autoSpaceDN w:val="0"/>
              <w:adjustRightInd w:val="0"/>
              <w:snapToGrid w:val="0"/>
              <w:spacing w:line="360" w:lineRule="auto"/>
              <w:ind w:firstLine="1200" w:firstLineChars="500"/>
              <w:jc w:val="both"/>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sz w:val="24"/>
                <w:szCs w:val="24"/>
                <w:lang w:val="en-US" w:eastAsia="zh-CN" w:bidi="ar-SA"/>
              </w:rPr>
              <w:t>r</w:t>
            </w:r>
            <w:r>
              <w:rPr>
                <w:rFonts w:ascii="Times New Roman" w:hAnsi="Times New Roman" w:eastAsia="宋体" w:cs="Times New Roman"/>
                <w:snapToGrid w:val="0"/>
                <w:kern w:val="0"/>
                <w:sz w:val="24"/>
                <w:szCs w:val="24"/>
                <w:lang w:val="en-US" w:eastAsia="zh-CN" w:bidi="ar-SA"/>
              </w:rPr>
              <w:sym w:font="Symbol" w:char="F0BE"/>
            </w:r>
            <w:r>
              <w:rPr>
                <w:rFonts w:ascii="Times New Roman" w:hAnsi="Times New Roman" w:eastAsia="宋体" w:cs="Times New Roman"/>
                <w:snapToGrid w:val="0"/>
                <w:kern w:val="0"/>
                <w:sz w:val="24"/>
                <w:szCs w:val="24"/>
                <w:lang w:val="en-US" w:eastAsia="zh-CN" w:bidi="ar-SA"/>
              </w:rPr>
              <w:t>预测点距声源的距离。</w:t>
            </w:r>
          </w:p>
          <w:p w14:paraId="2B3F56E3">
            <w:pPr>
              <w:widowControl/>
              <w:overflowPunct w:val="0"/>
              <w:topLinePunct/>
              <w:autoSpaceDE w:val="0"/>
              <w:autoSpaceDN w:val="0"/>
              <w:adjustRightInd w:val="0"/>
              <w:snapToGrid w:val="0"/>
              <w:spacing w:line="360" w:lineRule="auto"/>
              <w:ind w:firstLine="0" w:firstLineChars="0"/>
              <w:jc w:val="center"/>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position w:val="-10"/>
                <w:sz w:val="24"/>
                <w:szCs w:val="24"/>
                <w:lang w:val="en-US" w:eastAsia="zh-CN" w:bidi="ar-SA"/>
              </w:rPr>
              <w:object>
                <v:shape id="_x0000_i1043" o:spt="75" type="#_x0000_t75" style="height:15pt;width:103pt;" o:ole="t" filled="f" o:preferrelative="t" stroked="f" coordsize="21600,21600">
                  <v:path/>
                  <v:fill on="f" focussize="0,0"/>
                  <v:stroke on="f"/>
                  <v:imagedata r:id="rId53" o:title=""/>
                  <o:lock v:ext="edit" aspectratio="t"/>
                  <w10:wrap type="none"/>
                  <w10:anchorlock/>
                </v:shape>
                <o:OLEObject Type="Embed" ProgID="Equation.KSEE3" ShapeID="_x0000_i1043" DrawAspect="Content" ObjectID="_1468075743" r:id="rId52">
                  <o:LockedField>false</o:LockedField>
                </o:OLEObject>
              </w:object>
            </w:r>
          </w:p>
          <w:p w14:paraId="4AD24BAD">
            <w:pPr>
              <w:widowControl/>
              <w:overflowPunct w:val="0"/>
              <w:topLinePunct/>
              <w:autoSpaceDE w:val="0"/>
              <w:autoSpaceDN w:val="0"/>
              <w:adjustRightInd w:val="0"/>
              <w:snapToGrid w:val="0"/>
              <w:spacing w:line="360" w:lineRule="auto"/>
              <w:ind w:firstLine="480" w:firstLineChars="200"/>
              <w:jc w:val="both"/>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sz w:val="24"/>
                <w:szCs w:val="24"/>
                <w:lang w:val="en-US" w:eastAsia="zh-CN" w:bidi="ar-SA"/>
              </w:rPr>
              <w:t>式中：L</w:t>
            </w:r>
            <w:r>
              <w:rPr>
                <w:rFonts w:ascii="Times New Roman" w:hAnsi="Times New Roman" w:eastAsia="宋体" w:cs="Times New Roman"/>
                <w:snapToGrid w:val="0"/>
                <w:kern w:val="0"/>
                <w:sz w:val="24"/>
                <w:szCs w:val="24"/>
                <w:vertAlign w:val="subscript"/>
                <w:lang w:val="en-US" w:eastAsia="zh-CN" w:bidi="ar-SA"/>
              </w:rPr>
              <w:t>A</w:t>
            </w:r>
            <w:r>
              <w:rPr>
                <w:rFonts w:ascii="Times New Roman" w:hAnsi="Times New Roman" w:eastAsia="宋体" w:cs="Times New Roman"/>
                <w:snapToGrid w:val="0"/>
                <w:kern w:val="0"/>
                <w:sz w:val="24"/>
                <w:szCs w:val="24"/>
                <w:lang w:val="en-US" w:eastAsia="zh-CN" w:bidi="ar-SA"/>
              </w:rPr>
              <w:t>(r)</w:t>
            </w:r>
            <w:r>
              <w:rPr>
                <w:rFonts w:ascii="Times New Roman" w:hAnsi="Times New Roman" w:eastAsia="宋体" w:cs="Times New Roman"/>
                <w:snapToGrid w:val="0"/>
                <w:kern w:val="0"/>
                <w:sz w:val="24"/>
                <w:szCs w:val="24"/>
                <w:lang w:val="en-US" w:eastAsia="zh-CN" w:bidi="ar-SA"/>
              </w:rPr>
              <w:sym w:font="Symbol" w:char="F0BE"/>
            </w:r>
            <w:r>
              <w:rPr>
                <w:rFonts w:ascii="Times New Roman" w:hAnsi="Times New Roman" w:eastAsia="宋体" w:cs="Times New Roman"/>
                <w:snapToGrid w:val="0"/>
                <w:kern w:val="0"/>
                <w:sz w:val="24"/>
                <w:szCs w:val="24"/>
                <w:lang w:val="en-US" w:eastAsia="zh-CN" w:bidi="ar-SA"/>
              </w:rPr>
              <w:t>距声源r处的A声级，dB(A)；</w:t>
            </w:r>
          </w:p>
          <w:p w14:paraId="0D39748B">
            <w:pPr>
              <w:widowControl/>
              <w:overflowPunct w:val="0"/>
              <w:topLinePunct/>
              <w:autoSpaceDE w:val="0"/>
              <w:autoSpaceDN w:val="0"/>
              <w:adjustRightInd w:val="0"/>
              <w:snapToGrid w:val="0"/>
              <w:spacing w:line="360" w:lineRule="auto"/>
              <w:ind w:firstLine="1200" w:firstLineChars="500"/>
              <w:jc w:val="both"/>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sz w:val="24"/>
                <w:szCs w:val="24"/>
                <w:lang w:val="en-US" w:eastAsia="zh-CN" w:bidi="ar-SA"/>
              </w:rPr>
              <w:t>L</w:t>
            </w:r>
            <w:r>
              <w:rPr>
                <w:rFonts w:ascii="Times New Roman" w:hAnsi="Times New Roman" w:eastAsia="宋体" w:cs="Times New Roman"/>
                <w:snapToGrid w:val="0"/>
                <w:kern w:val="0"/>
                <w:sz w:val="24"/>
                <w:szCs w:val="24"/>
                <w:vertAlign w:val="subscript"/>
                <w:lang w:val="en-US" w:eastAsia="zh-CN" w:bidi="ar-SA"/>
              </w:rPr>
              <w:t>AW</w:t>
            </w:r>
            <w:r>
              <w:rPr>
                <w:rFonts w:ascii="Times New Roman" w:hAnsi="Times New Roman" w:eastAsia="宋体" w:cs="Times New Roman"/>
                <w:snapToGrid w:val="0"/>
                <w:kern w:val="0"/>
                <w:sz w:val="24"/>
                <w:szCs w:val="24"/>
                <w:lang w:val="en-US" w:eastAsia="zh-CN" w:bidi="ar-SA"/>
              </w:rPr>
              <w:sym w:font="Symbol" w:char="F0BE"/>
            </w:r>
            <w:r>
              <w:rPr>
                <w:rFonts w:ascii="Times New Roman" w:hAnsi="Times New Roman" w:eastAsia="宋体" w:cs="Times New Roman"/>
                <w:snapToGrid w:val="0"/>
                <w:kern w:val="0"/>
                <w:sz w:val="24"/>
                <w:szCs w:val="24"/>
                <w:lang w:val="en-US" w:eastAsia="zh-CN" w:bidi="ar-SA"/>
              </w:rPr>
              <w:t>点声源A计权声功率级，dB；</w:t>
            </w:r>
          </w:p>
          <w:p w14:paraId="66186574">
            <w:pPr>
              <w:widowControl/>
              <w:overflowPunct w:val="0"/>
              <w:topLinePunct/>
              <w:autoSpaceDE w:val="0"/>
              <w:autoSpaceDN w:val="0"/>
              <w:adjustRightInd w:val="0"/>
              <w:snapToGrid w:val="0"/>
              <w:spacing w:line="360" w:lineRule="auto"/>
              <w:ind w:firstLine="1200" w:firstLineChars="500"/>
              <w:jc w:val="both"/>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sz w:val="24"/>
                <w:szCs w:val="24"/>
                <w:lang w:val="en-US" w:eastAsia="zh-CN" w:bidi="ar-SA"/>
              </w:rPr>
              <w:t>r</w:t>
            </w:r>
            <w:r>
              <w:rPr>
                <w:rFonts w:ascii="Times New Roman" w:hAnsi="Times New Roman" w:eastAsia="宋体" w:cs="Times New Roman"/>
                <w:snapToGrid w:val="0"/>
                <w:kern w:val="0"/>
                <w:sz w:val="24"/>
                <w:szCs w:val="24"/>
                <w:lang w:val="en-US" w:eastAsia="zh-CN" w:bidi="ar-SA"/>
              </w:rPr>
              <w:sym w:font="Symbol" w:char="F0BE"/>
            </w:r>
            <w:r>
              <w:rPr>
                <w:rFonts w:ascii="Times New Roman" w:hAnsi="Times New Roman" w:eastAsia="宋体" w:cs="Times New Roman"/>
                <w:snapToGrid w:val="0"/>
                <w:kern w:val="0"/>
                <w:sz w:val="24"/>
                <w:szCs w:val="24"/>
                <w:lang w:val="en-US" w:eastAsia="zh-CN" w:bidi="ar-SA"/>
              </w:rPr>
              <w:t>预测点距声源的距离。</w:t>
            </w:r>
          </w:p>
          <w:p w14:paraId="64039E13">
            <w:pPr>
              <w:widowControl/>
              <w:overflowPunct w:val="0"/>
              <w:topLinePunct/>
              <w:autoSpaceDE w:val="0"/>
              <w:autoSpaceDN w:val="0"/>
              <w:adjustRightInd w:val="0"/>
              <w:snapToGrid w:val="0"/>
              <w:spacing w:line="360" w:lineRule="auto"/>
              <w:ind w:firstLine="480" w:firstLineChars="200"/>
              <w:jc w:val="both"/>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sz w:val="24"/>
                <w:szCs w:val="24"/>
                <w:lang w:val="en-US" w:eastAsia="zh-CN" w:bidi="ar-SA"/>
              </w:rPr>
              <w:t>c）大气吸收引起的衰减（A</w:t>
            </w:r>
            <w:r>
              <w:rPr>
                <w:rFonts w:ascii="Times New Roman" w:hAnsi="Times New Roman" w:eastAsia="宋体" w:cs="Times New Roman"/>
                <w:snapToGrid w:val="0"/>
                <w:kern w:val="0"/>
                <w:sz w:val="24"/>
                <w:szCs w:val="24"/>
                <w:vertAlign w:val="subscript"/>
                <w:lang w:val="en-US" w:eastAsia="zh-CN" w:bidi="ar-SA"/>
              </w:rPr>
              <w:t>atm</w:t>
            </w:r>
            <w:r>
              <w:rPr>
                <w:rFonts w:ascii="Times New Roman" w:hAnsi="Times New Roman" w:eastAsia="宋体" w:cs="Times New Roman"/>
                <w:snapToGrid w:val="0"/>
                <w:kern w:val="0"/>
                <w:sz w:val="24"/>
                <w:szCs w:val="24"/>
                <w:lang w:val="en-US" w:eastAsia="zh-CN" w:bidi="ar-SA"/>
              </w:rPr>
              <w:t>）</w:t>
            </w:r>
          </w:p>
          <w:p w14:paraId="52372FEE">
            <w:pPr>
              <w:widowControl/>
              <w:overflowPunct w:val="0"/>
              <w:topLinePunct/>
              <w:autoSpaceDE w:val="0"/>
              <w:autoSpaceDN w:val="0"/>
              <w:adjustRightInd w:val="0"/>
              <w:snapToGrid w:val="0"/>
              <w:spacing w:line="360" w:lineRule="auto"/>
              <w:ind w:firstLine="0" w:firstLineChars="0"/>
              <w:jc w:val="center"/>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position w:val="-22"/>
                <w:sz w:val="24"/>
                <w:szCs w:val="24"/>
                <w:lang w:val="en-US" w:eastAsia="zh-CN" w:bidi="ar-SA"/>
              </w:rPr>
              <w:object>
                <v:shape id="_x0000_i1044" o:spt="75" type="#_x0000_t75" style="height:29pt;width:69pt;" o:ole="t" filled="f" o:preferrelative="t" stroked="f" coordsize="21600,21600">
                  <v:path/>
                  <v:fill on="f" focussize="0,0"/>
                  <v:stroke on="f"/>
                  <v:imagedata r:id="rId55" o:title=""/>
                  <o:lock v:ext="edit" aspectratio="t"/>
                  <w10:wrap type="none"/>
                  <w10:anchorlock/>
                </v:shape>
                <o:OLEObject Type="Embed" ProgID="Equation.KSEE3" ShapeID="_x0000_i1044" DrawAspect="Content" ObjectID="_1468075744" r:id="rId54">
                  <o:LockedField>false</o:LockedField>
                </o:OLEObject>
              </w:object>
            </w:r>
          </w:p>
          <w:p w14:paraId="417AD63B">
            <w:pPr>
              <w:widowControl/>
              <w:overflowPunct w:val="0"/>
              <w:topLinePunct/>
              <w:autoSpaceDE w:val="0"/>
              <w:autoSpaceDN w:val="0"/>
              <w:adjustRightInd w:val="0"/>
              <w:snapToGrid w:val="0"/>
              <w:spacing w:line="360" w:lineRule="auto"/>
              <w:ind w:firstLine="480" w:firstLineChars="200"/>
              <w:jc w:val="both"/>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sz w:val="24"/>
                <w:szCs w:val="24"/>
                <w:lang w:val="en-US" w:eastAsia="zh-CN" w:bidi="ar-SA"/>
              </w:rPr>
              <w:t>式中：Aatm</w:t>
            </w:r>
            <w:r>
              <w:rPr>
                <w:rFonts w:ascii="Times New Roman" w:hAnsi="Times New Roman" w:eastAsia="宋体" w:cs="Times New Roman"/>
                <w:snapToGrid w:val="0"/>
                <w:kern w:val="0"/>
                <w:sz w:val="24"/>
                <w:szCs w:val="24"/>
                <w:lang w:val="en-US" w:eastAsia="zh-CN" w:bidi="ar-SA"/>
              </w:rPr>
              <w:sym w:font="Symbol" w:char="F0BE"/>
            </w:r>
            <w:r>
              <w:rPr>
                <w:rFonts w:ascii="Times New Roman" w:hAnsi="Times New Roman" w:eastAsia="宋体" w:cs="Times New Roman"/>
                <w:snapToGrid w:val="0"/>
                <w:kern w:val="0"/>
                <w:sz w:val="24"/>
                <w:szCs w:val="24"/>
                <w:lang w:val="en-US" w:eastAsia="zh-CN" w:bidi="ar-SA"/>
              </w:rPr>
              <w:t>大气吸收引起的衰减，dB；</w:t>
            </w:r>
          </w:p>
          <w:p w14:paraId="2DBBA1E8">
            <w:pPr>
              <w:widowControl/>
              <w:overflowPunct w:val="0"/>
              <w:topLinePunct/>
              <w:autoSpaceDE w:val="0"/>
              <w:autoSpaceDN w:val="0"/>
              <w:adjustRightInd w:val="0"/>
              <w:snapToGrid w:val="0"/>
              <w:spacing w:line="360" w:lineRule="auto"/>
              <w:ind w:firstLine="1200" w:firstLineChars="500"/>
              <w:jc w:val="both"/>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sz w:val="24"/>
                <w:szCs w:val="24"/>
                <w:lang w:val="en-US" w:eastAsia="zh-CN" w:bidi="ar-SA"/>
              </w:rPr>
              <w:t>α</w:t>
            </w:r>
            <w:r>
              <w:rPr>
                <w:rFonts w:ascii="Times New Roman" w:hAnsi="Times New Roman" w:eastAsia="宋体" w:cs="Times New Roman"/>
                <w:snapToGrid w:val="0"/>
                <w:kern w:val="0"/>
                <w:sz w:val="24"/>
                <w:szCs w:val="24"/>
                <w:lang w:val="en-US" w:eastAsia="zh-CN" w:bidi="ar-SA"/>
              </w:rPr>
              <w:sym w:font="Symbol" w:char="F0BE"/>
            </w:r>
            <w:r>
              <w:rPr>
                <w:rFonts w:ascii="Times New Roman" w:hAnsi="Times New Roman" w:eastAsia="宋体" w:cs="Times New Roman"/>
                <w:snapToGrid w:val="0"/>
                <w:kern w:val="0"/>
                <w:sz w:val="24"/>
                <w:szCs w:val="24"/>
                <w:lang w:val="en-US" w:eastAsia="zh-CN" w:bidi="ar-SA"/>
              </w:rPr>
              <w:t>与温度、湿度和声波频率有关的大气吸收衰减系数，预测计算中一般根据建设项目所处区域常年平均气温和湿度选择相应的大气吸收衰减系数，本次取温度20℃，相对湿度70%，倍频带中心频率63H</w:t>
            </w:r>
            <w:r>
              <w:rPr>
                <w:rFonts w:ascii="Times New Roman" w:hAnsi="Times New Roman" w:eastAsia="宋体" w:cs="Times New Roman"/>
                <w:snapToGrid w:val="0"/>
                <w:kern w:val="0"/>
                <w:sz w:val="24"/>
                <w:szCs w:val="24"/>
                <w:vertAlign w:val="subscript"/>
                <w:lang w:val="en-US" w:eastAsia="zh-CN" w:bidi="ar-SA"/>
              </w:rPr>
              <w:t>Z</w:t>
            </w:r>
            <w:r>
              <w:rPr>
                <w:rFonts w:ascii="Times New Roman" w:hAnsi="Times New Roman" w:eastAsia="宋体" w:cs="Times New Roman"/>
                <w:snapToGrid w:val="0"/>
                <w:kern w:val="0"/>
                <w:sz w:val="24"/>
                <w:szCs w:val="24"/>
                <w:lang w:val="en-US" w:eastAsia="zh-CN" w:bidi="ar-SA"/>
              </w:rPr>
              <w:t>，则大气吸收衰减系数α为0.1dB/km；</w:t>
            </w:r>
          </w:p>
          <w:p w14:paraId="6452A705">
            <w:pPr>
              <w:widowControl/>
              <w:overflowPunct w:val="0"/>
              <w:topLinePunct/>
              <w:autoSpaceDE w:val="0"/>
              <w:autoSpaceDN w:val="0"/>
              <w:adjustRightInd w:val="0"/>
              <w:snapToGrid w:val="0"/>
              <w:spacing w:line="360" w:lineRule="auto"/>
              <w:ind w:firstLine="1200" w:firstLineChars="500"/>
              <w:jc w:val="both"/>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sz w:val="24"/>
                <w:szCs w:val="24"/>
                <w:lang w:val="en-US" w:eastAsia="zh-CN" w:bidi="ar-SA"/>
              </w:rPr>
              <w:t>r</w:t>
            </w:r>
            <w:r>
              <w:rPr>
                <w:rFonts w:ascii="Times New Roman" w:hAnsi="Times New Roman" w:eastAsia="宋体" w:cs="Times New Roman"/>
                <w:snapToGrid w:val="0"/>
                <w:kern w:val="0"/>
                <w:sz w:val="24"/>
                <w:szCs w:val="24"/>
                <w:lang w:val="en-US" w:eastAsia="zh-CN" w:bidi="ar-SA"/>
              </w:rPr>
              <w:sym w:font="Symbol" w:char="F0BE"/>
            </w:r>
            <w:r>
              <w:rPr>
                <w:rFonts w:ascii="Times New Roman" w:hAnsi="Times New Roman" w:eastAsia="宋体" w:cs="Times New Roman"/>
                <w:snapToGrid w:val="0"/>
                <w:kern w:val="0"/>
                <w:sz w:val="24"/>
                <w:szCs w:val="24"/>
                <w:lang w:val="en-US" w:eastAsia="zh-CN" w:bidi="ar-SA"/>
              </w:rPr>
              <w:t>预测点距声源的距离；</w:t>
            </w:r>
          </w:p>
          <w:p w14:paraId="0DC70F5F">
            <w:pPr>
              <w:widowControl/>
              <w:overflowPunct w:val="0"/>
              <w:topLinePunct/>
              <w:autoSpaceDE w:val="0"/>
              <w:autoSpaceDN w:val="0"/>
              <w:adjustRightInd w:val="0"/>
              <w:snapToGrid w:val="0"/>
              <w:spacing w:line="360" w:lineRule="auto"/>
              <w:ind w:firstLine="1200" w:firstLineChars="500"/>
              <w:jc w:val="both"/>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sz w:val="24"/>
                <w:szCs w:val="24"/>
                <w:lang w:val="en-US" w:eastAsia="zh-CN" w:bidi="ar-SA"/>
              </w:rPr>
              <w:t>r</w:t>
            </w:r>
            <w:r>
              <w:rPr>
                <w:rFonts w:ascii="Times New Roman" w:hAnsi="Times New Roman" w:eastAsia="宋体" w:cs="Times New Roman"/>
                <w:snapToGrid w:val="0"/>
                <w:kern w:val="0"/>
                <w:sz w:val="24"/>
                <w:szCs w:val="24"/>
                <w:vertAlign w:val="subscript"/>
                <w:lang w:val="en-US" w:eastAsia="zh-CN" w:bidi="ar-SA"/>
              </w:rPr>
              <w:t>0</w:t>
            </w:r>
            <w:r>
              <w:rPr>
                <w:rFonts w:ascii="Times New Roman" w:hAnsi="Times New Roman" w:eastAsia="宋体" w:cs="Times New Roman"/>
                <w:snapToGrid w:val="0"/>
                <w:kern w:val="0"/>
                <w:sz w:val="24"/>
                <w:szCs w:val="24"/>
                <w:lang w:val="en-US" w:eastAsia="zh-CN" w:bidi="ar-SA"/>
              </w:rPr>
              <w:sym w:font="Symbol" w:char="F0BE"/>
            </w:r>
            <w:r>
              <w:rPr>
                <w:rFonts w:ascii="Times New Roman" w:hAnsi="Times New Roman" w:eastAsia="宋体" w:cs="Times New Roman"/>
                <w:snapToGrid w:val="0"/>
                <w:kern w:val="0"/>
                <w:sz w:val="24"/>
                <w:szCs w:val="24"/>
                <w:lang w:val="en-US" w:eastAsia="zh-CN" w:bidi="ar-SA"/>
              </w:rPr>
              <w:t>参考位置距声源的距离。</w:t>
            </w:r>
          </w:p>
          <w:p w14:paraId="47799B2A">
            <w:pPr>
              <w:widowControl/>
              <w:overflowPunct w:val="0"/>
              <w:topLinePunct/>
              <w:autoSpaceDE w:val="0"/>
              <w:autoSpaceDN w:val="0"/>
              <w:adjustRightInd w:val="0"/>
              <w:snapToGrid w:val="0"/>
              <w:spacing w:line="360" w:lineRule="auto"/>
              <w:ind w:firstLine="480" w:firstLineChars="200"/>
              <w:jc w:val="both"/>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sz w:val="24"/>
                <w:szCs w:val="24"/>
                <w:lang w:val="en-US" w:eastAsia="zh-CN" w:bidi="ar-SA"/>
              </w:rPr>
              <w:t>d）地面效应引起的衰减（A</w:t>
            </w:r>
            <w:r>
              <w:rPr>
                <w:rFonts w:ascii="Times New Roman" w:hAnsi="Times New Roman" w:eastAsia="宋体" w:cs="Times New Roman"/>
                <w:snapToGrid w:val="0"/>
                <w:kern w:val="0"/>
                <w:sz w:val="24"/>
                <w:szCs w:val="24"/>
                <w:vertAlign w:val="subscript"/>
                <w:lang w:val="en-US" w:eastAsia="zh-CN" w:bidi="ar-SA"/>
              </w:rPr>
              <w:t>gr</w:t>
            </w:r>
            <w:r>
              <w:rPr>
                <w:rFonts w:ascii="Times New Roman" w:hAnsi="Times New Roman" w:eastAsia="宋体" w:cs="Times New Roman"/>
                <w:snapToGrid w:val="0"/>
                <w:kern w:val="0"/>
                <w:sz w:val="24"/>
                <w:szCs w:val="24"/>
                <w:lang w:val="en-US" w:eastAsia="zh-CN" w:bidi="ar-SA"/>
              </w:rPr>
              <w:t>）</w:t>
            </w:r>
          </w:p>
          <w:p w14:paraId="4476E568">
            <w:pPr>
              <w:widowControl/>
              <w:overflowPunct w:val="0"/>
              <w:topLinePunct/>
              <w:autoSpaceDE w:val="0"/>
              <w:autoSpaceDN w:val="0"/>
              <w:adjustRightInd w:val="0"/>
              <w:snapToGrid w:val="0"/>
              <w:spacing w:line="360" w:lineRule="auto"/>
              <w:ind w:firstLine="1200" w:firstLineChars="500"/>
              <w:jc w:val="both"/>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sz w:val="24"/>
                <w:szCs w:val="24"/>
                <w:lang w:val="en-US" w:eastAsia="zh-CN" w:bidi="ar-SA"/>
              </w:rPr>
              <w:t>本项目地面类型为坚实地面，则A</w:t>
            </w:r>
            <w:r>
              <w:rPr>
                <w:rFonts w:ascii="Times New Roman" w:hAnsi="Times New Roman" w:eastAsia="宋体" w:cs="Times New Roman"/>
                <w:snapToGrid w:val="0"/>
                <w:kern w:val="0"/>
                <w:sz w:val="24"/>
                <w:szCs w:val="24"/>
                <w:vertAlign w:val="subscript"/>
                <w:lang w:val="en-US" w:eastAsia="zh-CN" w:bidi="ar-SA"/>
              </w:rPr>
              <w:t>gr</w:t>
            </w:r>
            <w:r>
              <w:rPr>
                <w:rFonts w:ascii="Times New Roman" w:hAnsi="Times New Roman" w:eastAsia="宋体" w:cs="Times New Roman"/>
                <w:snapToGrid w:val="0"/>
                <w:kern w:val="0"/>
                <w:sz w:val="24"/>
                <w:szCs w:val="24"/>
                <w:lang w:val="en-US" w:eastAsia="zh-CN" w:bidi="ar-SA"/>
              </w:rPr>
              <w:t>为0。</w:t>
            </w:r>
          </w:p>
          <w:p w14:paraId="5A2432AA">
            <w:pPr>
              <w:widowControl/>
              <w:overflowPunct w:val="0"/>
              <w:topLinePunct/>
              <w:autoSpaceDE w:val="0"/>
              <w:autoSpaceDN w:val="0"/>
              <w:adjustRightInd w:val="0"/>
              <w:snapToGrid w:val="0"/>
              <w:spacing w:line="360" w:lineRule="auto"/>
              <w:ind w:firstLine="480" w:firstLineChars="200"/>
              <w:jc w:val="both"/>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sz w:val="24"/>
                <w:szCs w:val="24"/>
                <w:lang w:val="en-US" w:eastAsia="zh-CN" w:bidi="ar-SA"/>
              </w:rPr>
              <w:t>e）障碍物屏蔽引起的衰减（A</w:t>
            </w:r>
            <w:r>
              <w:rPr>
                <w:rFonts w:ascii="Times New Roman" w:hAnsi="Times New Roman" w:eastAsia="宋体" w:cs="Times New Roman"/>
                <w:snapToGrid w:val="0"/>
                <w:kern w:val="0"/>
                <w:sz w:val="24"/>
                <w:szCs w:val="24"/>
                <w:vertAlign w:val="subscript"/>
                <w:lang w:val="en-US" w:eastAsia="zh-CN" w:bidi="ar-SA"/>
              </w:rPr>
              <w:t>bar</w:t>
            </w:r>
            <w:r>
              <w:rPr>
                <w:rFonts w:ascii="Times New Roman" w:hAnsi="Times New Roman" w:eastAsia="宋体" w:cs="Times New Roman"/>
                <w:snapToGrid w:val="0"/>
                <w:kern w:val="0"/>
                <w:sz w:val="24"/>
                <w:szCs w:val="24"/>
                <w:lang w:val="en-US" w:eastAsia="zh-CN" w:bidi="ar-SA"/>
              </w:rPr>
              <w:t>）</w:t>
            </w:r>
          </w:p>
          <w:p w14:paraId="556D0796">
            <w:pPr>
              <w:widowControl/>
              <w:overflowPunct w:val="0"/>
              <w:topLinePunct/>
              <w:autoSpaceDE w:val="0"/>
              <w:autoSpaceDN w:val="0"/>
              <w:adjustRightInd w:val="0"/>
              <w:snapToGrid w:val="0"/>
              <w:spacing w:line="360" w:lineRule="auto"/>
              <w:ind w:firstLine="480" w:firstLineChars="200"/>
              <w:jc w:val="both"/>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sz w:val="24"/>
                <w:szCs w:val="24"/>
                <w:lang w:val="en-US" w:eastAsia="zh-CN" w:bidi="ar-SA"/>
              </w:rPr>
              <w:t>屏障衰减Abar在单绕射（即薄屏障）情况，衰减最大取20dB；在双绕射（即厚屏障）情况，衰减最大取25dB。</w:t>
            </w:r>
          </w:p>
          <w:p w14:paraId="3702D299">
            <w:pPr>
              <w:widowControl/>
              <w:overflowPunct w:val="0"/>
              <w:topLinePunct/>
              <w:autoSpaceDE w:val="0"/>
              <w:autoSpaceDN w:val="0"/>
              <w:adjustRightInd w:val="0"/>
              <w:snapToGrid w:val="0"/>
              <w:spacing w:line="360" w:lineRule="auto"/>
              <w:ind w:firstLine="480" w:firstLineChars="200"/>
              <w:jc w:val="both"/>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sz w:val="24"/>
                <w:szCs w:val="24"/>
                <w:lang w:val="en-US" w:eastAsia="zh-CN" w:bidi="ar-SA"/>
              </w:rPr>
              <w:t>f）其他方面效应引起的衰减（A</w:t>
            </w:r>
            <w:r>
              <w:rPr>
                <w:rFonts w:ascii="Times New Roman" w:hAnsi="Times New Roman" w:eastAsia="宋体" w:cs="Times New Roman"/>
                <w:snapToGrid w:val="0"/>
                <w:kern w:val="0"/>
                <w:sz w:val="24"/>
                <w:szCs w:val="24"/>
                <w:vertAlign w:val="subscript"/>
                <w:lang w:val="en-US" w:eastAsia="zh-CN" w:bidi="ar-SA"/>
              </w:rPr>
              <w:t>misc</w:t>
            </w:r>
            <w:r>
              <w:rPr>
                <w:rFonts w:ascii="Times New Roman" w:hAnsi="Times New Roman" w:eastAsia="宋体" w:cs="Times New Roman"/>
                <w:snapToGrid w:val="0"/>
                <w:kern w:val="0"/>
                <w:sz w:val="24"/>
                <w:szCs w:val="24"/>
                <w:lang w:val="en-US" w:eastAsia="zh-CN" w:bidi="ar-SA"/>
              </w:rPr>
              <w:t>）</w:t>
            </w:r>
          </w:p>
          <w:p w14:paraId="4F81CCD3">
            <w:pPr>
              <w:widowControl/>
              <w:overflowPunct w:val="0"/>
              <w:topLinePunct/>
              <w:autoSpaceDE w:val="0"/>
              <w:autoSpaceDN w:val="0"/>
              <w:adjustRightInd w:val="0"/>
              <w:snapToGrid w:val="0"/>
              <w:spacing w:line="360" w:lineRule="auto"/>
              <w:ind w:firstLine="1200" w:firstLineChars="500"/>
              <w:jc w:val="both"/>
              <w:textAlignment w:val="baseline"/>
              <w:rPr>
                <w:rFonts w:ascii="Times New Roman" w:hAnsi="Times New Roman" w:eastAsia="宋体" w:cs="Times New Roman"/>
                <w:snapToGrid w:val="0"/>
                <w:kern w:val="0"/>
                <w:sz w:val="24"/>
                <w:szCs w:val="24"/>
                <w:lang w:val="en-US" w:eastAsia="zh-CN" w:bidi="ar-SA"/>
              </w:rPr>
            </w:pPr>
            <w:r>
              <w:rPr>
                <w:rFonts w:ascii="Times New Roman" w:hAnsi="Times New Roman" w:eastAsia="宋体" w:cs="Times New Roman"/>
                <w:snapToGrid w:val="0"/>
                <w:kern w:val="0"/>
                <w:sz w:val="24"/>
                <w:szCs w:val="24"/>
                <w:lang w:val="en-US" w:eastAsia="zh-CN" w:bidi="ar-SA"/>
              </w:rPr>
              <w:t>在声环境影响评价中，一般情况下，不考虑自然条件（如风、温度梯度、雾）变化引起的附加修正。则A</w:t>
            </w:r>
            <w:r>
              <w:rPr>
                <w:rFonts w:ascii="Times New Roman" w:hAnsi="Times New Roman" w:eastAsia="宋体" w:cs="Times New Roman"/>
                <w:snapToGrid w:val="0"/>
                <w:kern w:val="0"/>
                <w:sz w:val="24"/>
                <w:szCs w:val="24"/>
                <w:vertAlign w:val="subscript"/>
                <w:lang w:val="en-US" w:eastAsia="zh-CN" w:bidi="ar-SA"/>
              </w:rPr>
              <w:t>misc</w:t>
            </w:r>
            <w:r>
              <w:rPr>
                <w:rFonts w:ascii="Times New Roman" w:hAnsi="Times New Roman" w:eastAsia="宋体" w:cs="Times New Roman"/>
                <w:snapToGrid w:val="0"/>
                <w:kern w:val="0"/>
                <w:sz w:val="24"/>
                <w:szCs w:val="24"/>
                <w:lang w:val="en-US" w:eastAsia="zh-CN" w:bidi="ar-SA"/>
              </w:rPr>
              <w:t>取值为0。</w:t>
            </w:r>
          </w:p>
          <w:p w14:paraId="35102628">
            <w:pPr>
              <w:pStyle w:val="74"/>
            </w:pPr>
            <w:r>
              <w:rPr>
                <w:rFonts w:ascii="Times New Roman" w:hAnsi="Times New Roman" w:eastAsia="宋体" w:cs="Times New Roman"/>
                <w:snapToGrid w:val="0"/>
                <w:kern w:val="0"/>
                <w:sz w:val="24"/>
                <w:szCs w:val="24"/>
                <w:lang w:val="en-US" w:eastAsia="zh-CN" w:bidi="ar-SA"/>
              </w:rPr>
              <w:t>利用上述的预测数字模型，将参数代入公式计算，预测拟建工程噪声源对各向厂界的影响如下。</w:t>
            </w:r>
          </w:p>
          <w:p w14:paraId="264F866A">
            <w:pPr>
              <w:widowControl/>
              <w:numPr>
                <w:ilvl w:val="0"/>
                <w:numId w:val="2"/>
              </w:numPr>
              <w:jc w:val="center"/>
              <w:rPr>
                <w:b/>
                <w:bCs/>
              </w:rPr>
            </w:pPr>
            <w:r>
              <w:rPr>
                <w:b/>
                <w:bCs/>
              </w:rPr>
              <w:t>项目厂界噪声预测结果   单位：dB(A)</w:t>
            </w:r>
          </w:p>
          <w:tbl>
            <w:tblPr>
              <w:tblStyle w:val="26"/>
              <w:tblW w:w="86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488"/>
              <w:gridCol w:w="2284"/>
              <w:gridCol w:w="3845"/>
            </w:tblGrid>
            <w:tr w14:paraId="2DE26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jc w:val="center"/>
              </w:trPr>
              <w:tc>
                <w:tcPr>
                  <w:tcW w:w="2488" w:type="dxa"/>
                  <w:vMerge w:val="restart"/>
                  <w:tcBorders>
                    <w:top w:val="single" w:color="auto" w:sz="4" w:space="0"/>
                    <w:left w:val="single" w:color="auto" w:sz="4" w:space="0"/>
                    <w:right w:val="single" w:color="auto" w:sz="4" w:space="0"/>
                  </w:tcBorders>
                  <w:tcMar>
                    <w:top w:w="15" w:type="dxa"/>
                    <w:left w:w="15" w:type="dxa"/>
                    <w:bottom w:w="0" w:type="dxa"/>
                    <w:right w:w="15" w:type="dxa"/>
                  </w:tcMar>
                  <w:vAlign w:val="center"/>
                </w:tcPr>
                <w:p w14:paraId="5D31E832">
                  <w:pPr>
                    <w:jc w:val="center"/>
                    <w:rPr>
                      <w:b/>
                      <w:bCs/>
                    </w:rPr>
                  </w:pPr>
                  <w:r>
                    <w:rPr>
                      <w:b/>
                      <w:bCs/>
                    </w:rPr>
                    <w:t>预测点</w:t>
                  </w:r>
                </w:p>
              </w:tc>
              <w:tc>
                <w:tcPr>
                  <w:tcW w:w="2284" w:type="dxa"/>
                  <w:vMerge w:val="restart"/>
                  <w:tcBorders>
                    <w:top w:val="single" w:color="auto" w:sz="4" w:space="0"/>
                    <w:left w:val="nil"/>
                    <w:right w:val="single" w:color="auto" w:sz="4" w:space="0"/>
                  </w:tcBorders>
                  <w:tcMar>
                    <w:top w:w="15" w:type="dxa"/>
                    <w:left w:w="15" w:type="dxa"/>
                    <w:bottom w:w="0" w:type="dxa"/>
                    <w:right w:w="15" w:type="dxa"/>
                  </w:tcMar>
                  <w:vAlign w:val="center"/>
                </w:tcPr>
                <w:p w14:paraId="018A1DC4">
                  <w:pPr>
                    <w:jc w:val="center"/>
                    <w:rPr>
                      <w:b/>
                      <w:bCs/>
                    </w:rPr>
                  </w:pPr>
                  <w:r>
                    <w:rPr>
                      <w:b/>
                      <w:bCs/>
                    </w:rPr>
                    <w:t>贡献值</w:t>
                  </w:r>
                </w:p>
              </w:tc>
              <w:tc>
                <w:tcPr>
                  <w:tcW w:w="3845"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14:paraId="4E5C0E8D">
                  <w:pPr>
                    <w:jc w:val="center"/>
                    <w:rPr>
                      <w:b/>
                      <w:bCs/>
                    </w:rPr>
                  </w:pPr>
                  <w:r>
                    <w:rPr>
                      <w:rFonts w:hint="eastAsia"/>
                      <w:b/>
                      <w:bCs/>
                    </w:rPr>
                    <w:t>标准限值</w:t>
                  </w:r>
                </w:p>
              </w:tc>
            </w:tr>
            <w:tr w14:paraId="5FF61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2" w:hRule="atLeast"/>
                <w:jc w:val="center"/>
              </w:trPr>
              <w:tc>
                <w:tcPr>
                  <w:tcW w:w="2488" w:type="dxa"/>
                  <w:vMerge w:val="continue"/>
                  <w:tcBorders>
                    <w:left w:val="single" w:color="auto" w:sz="4" w:space="0"/>
                    <w:bottom w:val="single" w:color="auto" w:sz="4" w:space="0"/>
                    <w:right w:val="single" w:color="auto" w:sz="4" w:space="0"/>
                  </w:tcBorders>
                  <w:tcMar>
                    <w:top w:w="15" w:type="dxa"/>
                    <w:left w:w="15" w:type="dxa"/>
                    <w:bottom w:w="0" w:type="dxa"/>
                    <w:right w:w="15" w:type="dxa"/>
                  </w:tcMar>
                  <w:vAlign w:val="center"/>
                </w:tcPr>
                <w:p w14:paraId="7D32FC1B">
                  <w:pPr>
                    <w:jc w:val="center"/>
                    <w:rPr>
                      <w:b/>
                      <w:bCs/>
                    </w:rPr>
                  </w:pPr>
                </w:p>
              </w:tc>
              <w:tc>
                <w:tcPr>
                  <w:tcW w:w="2284" w:type="dxa"/>
                  <w:vMerge w:val="continue"/>
                  <w:tcBorders>
                    <w:left w:val="nil"/>
                    <w:bottom w:val="single" w:color="auto" w:sz="4" w:space="0"/>
                    <w:right w:val="single" w:color="auto" w:sz="4" w:space="0"/>
                  </w:tcBorders>
                  <w:tcMar>
                    <w:top w:w="15" w:type="dxa"/>
                    <w:left w:w="15" w:type="dxa"/>
                    <w:bottom w:w="0" w:type="dxa"/>
                    <w:right w:w="15" w:type="dxa"/>
                  </w:tcMar>
                  <w:vAlign w:val="center"/>
                </w:tcPr>
                <w:p w14:paraId="5194C689">
                  <w:pPr>
                    <w:jc w:val="center"/>
                    <w:rPr>
                      <w:b/>
                      <w:bCs/>
                    </w:rPr>
                  </w:pPr>
                </w:p>
              </w:tc>
              <w:tc>
                <w:tcPr>
                  <w:tcW w:w="3845"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14:paraId="4EC7628B">
                  <w:pPr>
                    <w:jc w:val="center"/>
                    <w:rPr>
                      <w:b/>
                      <w:bCs/>
                    </w:rPr>
                  </w:pPr>
                  <w:r>
                    <w:rPr>
                      <w:b/>
                      <w:bCs/>
                    </w:rPr>
                    <w:t>昼</w:t>
                  </w:r>
                </w:p>
              </w:tc>
            </w:tr>
            <w:tr w14:paraId="283D2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2" w:hRule="atLeast"/>
                <w:jc w:val="center"/>
              </w:trPr>
              <w:tc>
                <w:tcPr>
                  <w:tcW w:w="248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268BCBFA">
                  <w:pPr>
                    <w:jc w:val="center"/>
                  </w:pPr>
                  <w:r>
                    <w:t>东厂界</w:t>
                  </w:r>
                </w:p>
              </w:tc>
              <w:tc>
                <w:tcPr>
                  <w:tcW w:w="2284"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14:paraId="42E2210A">
                  <w:pPr>
                    <w:adjustRightInd w:val="0"/>
                    <w:snapToGrid w:val="0"/>
                    <w:jc w:val="center"/>
                    <w:rPr>
                      <w:rFonts w:hint="eastAsia" w:eastAsia="宋体"/>
                      <w:lang w:eastAsia="zh-CN"/>
                    </w:rPr>
                  </w:pPr>
                  <w:r>
                    <w:rPr>
                      <w:szCs w:val="21"/>
                    </w:rPr>
                    <w:t>4</w:t>
                  </w:r>
                  <w:r>
                    <w:rPr>
                      <w:rFonts w:hint="eastAsia"/>
                      <w:szCs w:val="21"/>
                      <w:lang w:val="en-US" w:eastAsia="zh-CN"/>
                    </w:rPr>
                    <w:t>1</w:t>
                  </w:r>
                  <w:r>
                    <w:rPr>
                      <w:szCs w:val="21"/>
                    </w:rPr>
                    <w:t>.</w:t>
                  </w:r>
                  <w:r>
                    <w:rPr>
                      <w:rFonts w:hint="eastAsia"/>
                      <w:szCs w:val="21"/>
                      <w:lang w:val="en-US" w:eastAsia="zh-CN"/>
                    </w:rPr>
                    <w:t>8</w:t>
                  </w:r>
                </w:p>
              </w:tc>
              <w:tc>
                <w:tcPr>
                  <w:tcW w:w="3845" w:type="dxa"/>
                  <w:vMerge w:val="restart"/>
                  <w:tcBorders>
                    <w:top w:val="single" w:color="auto" w:sz="4" w:space="0"/>
                    <w:left w:val="nil"/>
                    <w:right w:val="single" w:color="auto" w:sz="4" w:space="0"/>
                  </w:tcBorders>
                  <w:tcMar>
                    <w:top w:w="15" w:type="dxa"/>
                    <w:left w:w="15" w:type="dxa"/>
                    <w:bottom w:w="0" w:type="dxa"/>
                    <w:right w:w="15" w:type="dxa"/>
                  </w:tcMar>
                  <w:vAlign w:val="center"/>
                </w:tcPr>
                <w:p w14:paraId="6A6A10DB">
                  <w:pPr>
                    <w:jc w:val="center"/>
                  </w:pPr>
                  <w:r>
                    <w:rPr>
                      <w:rFonts w:hint="eastAsia"/>
                    </w:rPr>
                    <w:t>65</w:t>
                  </w:r>
                </w:p>
              </w:tc>
            </w:tr>
            <w:tr w14:paraId="000DB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2" w:hRule="atLeast"/>
                <w:jc w:val="center"/>
              </w:trPr>
              <w:tc>
                <w:tcPr>
                  <w:tcW w:w="248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6A528501">
                  <w:pPr>
                    <w:jc w:val="center"/>
                  </w:pPr>
                  <w:r>
                    <w:t>南厂界</w:t>
                  </w:r>
                </w:p>
              </w:tc>
              <w:tc>
                <w:tcPr>
                  <w:tcW w:w="2284"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14:paraId="48C9857F">
                  <w:pPr>
                    <w:adjustRightInd w:val="0"/>
                    <w:snapToGrid w:val="0"/>
                    <w:jc w:val="center"/>
                    <w:rPr>
                      <w:rFonts w:hint="eastAsia" w:eastAsia="宋体"/>
                      <w:lang w:eastAsia="zh-CN"/>
                    </w:rPr>
                  </w:pPr>
                  <w:r>
                    <w:rPr>
                      <w:szCs w:val="21"/>
                    </w:rPr>
                    <w:t>4</w:t>
                  </w:r>
                  <w:r>
                    <w:rPr>
                      <w:rFonts w:hint="eastAsia"/>
                      <w:szCs w:val="21"/>
                      <w:lang w:val="en-US" w:eastAsia="zh-CN"/>
                    </w:rPr>
                    <w:t>3</w:t>
                  </w:r>
                  <w:r>
                    <w:rPr>
                      <w:szCs w:val="21"/>
                    </w:rPr>
                    <w:t>.</w:t>
                  </w:r>
                  <w:r>
                    <w:rPr>
                      <w:rFonts w:hint="eastAsia"/>
                      <w:szCs w:val="21"/>
                      <w:lang w:val="en-US" w:eastAsia="zh-CN"/>
                    </w:rPr>
                    <w:t>5</w:t>
                  </w:r>
                </w:p>
              </w:tc>
              <w:tc>
                <w:tcPr>
                  <w:tcW w:w="3845" w:type="dxa"/>
                  <w:vMerge w:val="continue"/>
                  <w:tcBorders>
                    <w:left w:val="nil"/>
                    <w:right w:val="single" w:color="auto" w:sz="4" w:space="0"/>
                  </w:tcBorders>
                  <w:tcMar>
                    <w:top w:w="15" w:type="dxa"/>
                    <w:left w:w="15" w:type="dxa"/>
                    <w:bottom w:w="0" w:type="dxa"/>
                    <w:right w:w="15" w:type="dxa"/>
                  </w:tcMar>
                  <w:vAlign w:val="center"/>
                </w:tcPr>
                <w:p w14:paraId="230A049D">
                  <w:pPr>
                    <w:jc w:val="center"/>
                  </w:pPr>
                </w:p>
              </w:tc>
            </w:tr>
            <w:tr w14:paraId="2F252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2" w:hRule="atLeast"/>
                <w:jc w:val="center"/>
              </w:trPr>
              <w:tc>
                <w:tcPr>
                  <w:tcW w:w="248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538DD81B">
                  <w:pPr>
                    <w:jc w:val="center"/>
                  </w:pPr>
                  <w:r>
                    <w:t>西厂界</w:t>
                  </w:r>
                </w:p>
              </w:tc>
              <w:tc>
                <w:tcPr>
                  <w:tcW w:w="2284"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14:paraId="1220A0AD">
                  <w:pPr>
                    <w:adjustRightInd w:val="0"/>
                    <w:snapToGrid w:val="0"/>
                    <w:jc w:val="center"/>
                    <w:rPr>
                      <w:rFonts w:hint="eastAsia" w:eastAsia="宋体"/>
                      <w:lang w:eastAsia="zh-CN"/>
                    </w:rPr>
                  </w:pPr>
                  <w:r>
                    <w:rPr>
                      <w:rFonts w:hint="eastAsia"/>
                      <w:szCs w:val="21"/>
                    </w:rPr>
                    <w:t>4</w:t>
                  </w:r>
                  <w:r>
                    <w:rPr>
                      <w:rFonts w:hint="eastAsia"/>
                      <w:szCs w:val="21"/>
                      <w:lang w:val="en-US" w:eastAsia="zh-CN"/>
                    </w:rPr>
                    <w:t>7</w:t>
                  </w:r>
                  <w:r>
                    <w:rPr>
                      <w:szCs w:val="21"/>
                    </w:rPr>
                    <w:t>.</w:t>
                  </w:r>
                  <w:r>
                    <w:rPr>
                      <w:rFonts w:hint="eastAsia"/>
                      <w:szCs w:val="21"/>
                      <w:lang w:val="en-US" w:eastAsia="zh-CN"/>
                    </w:rPr>
                    <w:t>6</w:t>
                  </w:r>
                </w:p>
              </w:tc>
              <w:tc>
                <w:tcPr>
                  <w:tcW w:w="3845" w:type="dxa"/>
                  <w:vMerge w:val="continue"/>
                  <w:tcBorders>
                    <w:left w:val="nil"/>
                    <w:right w:val="single" w:color="auto" w:sz="4" w:space="0"/>
                  </w:tcBorders>
                  <w:tcMar>
                    <w:top w:w="15" w:type="dxa"/>
                    <w:left w:w="15" w:type="dxa"/>
                    <w:bottom w:w="0" w:type="dxa"/>
                    <w:right w:w="15" w:type="dxa"/>
                  </w:tcMar>
                  <w:vAlign w:val="center"/>
                </w:tcPr>
                <w:p w14:paraId="61059CDF">
                  <w:pPr>
                    <w:jc w:val="center"/>
                  </w:pPr>
                </w:p>
              </w:tc>
            </w:tr>
            <w:tr w14:paraId="652E4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jc w:val="center"/>
              </w:trPr>
              <w:tc>
                <w:tcPr>
                  <w:tcW w:w="2488"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5AB2860B">
                  <w:pPr>
                    <w:jc w:val="center"/>
                  </w:pPr>
                  <w:r>
                    <w:t>北厂界</w:t>
                  </w:r>
                </w:p>
              </w:tc>
              <w:tc>
                <w:tcPr>
                  <w:tcW w:w="2284"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14:paraId="06AE04C7">
                  <w:pPr>
                    <w:adjustRightInd w:val="0"/>
                    <w:snapToGrid w:val="0"/>
                    <w:jc w:val="center"/>
                    <w:rPr>
                      <w:rFonts w:hint="eastAsia" w:eastAsia="宋体"/>
                      <w:lang w:eastAsia="zh-CN"/>
                    </w:rPr>
                  </w:pPr>
                  <w:r>
                    <w:rPr>
                      <w:szCs w:val="21"/>
                    </w:rPr>
                    <w:t>3</w:t>
                  </w:r>
                  <w:r>
                    <w:rPr>
                      <w:rFonts w:hint="eastAsia"/>
                      <w:szCs w:val="21"/>
                      <w:lang w:val="en-US" w:eastAsia="zh-CN"/>
                    </w:rPr>
                    <w:t>7</w:t>
                  </w:r>
                  <w:r>
                    <w:rPr>
                      <w:szCs w:val="21"/>
                    </w:rPr>
                    <w:t>.</w:t>
                  </w:r>
                  <w:r>
                    <w:rPr>
                      <w:rFonts w:hint="eastAsia"/>
                      <w:szCs w:val="21"/>
                      <w:lang w:val="en-US" w:eastAsia="zh-CN"/>
                    </w:rPr>
                    <w:t>3</w:t>
                  </w:r>
                </w:p>
              </w:tc>
              <w:tc>
                <w:tcPr>
                  <w:tcW w:w="3845" w:type="dxa"/>
                  <w:vMerge w:val="continue"/>
                  <w:tcBorders>
                    <w:left w:val="nil"/>
                    <w:bottom w:val="single" w:color="auto" w:sz="4" w:space="0"/>
                    <w:right w:val="single" w:color="auto" w:sz="4" w:space="0"/>
                  </w:tcBorders>
                  <w:tcMar>
                    <w:top w:w="15" w:type="dxa"/>
                    <w:left w:w="15" w:type="dxa"/>
                    <w:bottom w:w="0" w:type="dxa"/>
                    <w:right w:w="15" w:type="dxa"/>
                  </w:tcMar>
                  <w:vAlign w:val="center"/>
                </w:tcPr>
                <w:p w14:paraId="5AEBD552">
                  <w:pPr>
                    <w:jc w:val="center"/>
                  </w:pPr>
                </w:p>
              </w:tc>
            </w:tr>
          </w:tbl>
          <w:p w14:paraId="0985C05A">
            <w:pPr>
              <w:spacing w:line="360" w:lineRule="auto"/>
              <w:ind w:firstLine="480" w:firstLineChars="200"/>
              <w:rPr>
                <w:sz w:val="24"/>
              </w:rPr>
            </w:pPr>
            <w:r>
              <w:rPr>
                <w:sz w:val="24"/>
              </w:rPr>
              <w:t>经预测厂界噪声能够满足《工业企业厂界环境噪声排放标准》（GB12348-2008）中3类标准，项目周边50m范围内无声环境保护目标，因此本项目建设对区域声环境造成的不利影响较小。</w:t>
            </w:r>
          </w:p>
          <w:p w14:paraId="1FE8ECC2">
            <w:pPr>
              <w:pStyle w:val="15"/>
              <w:ind w:left="0" w:leftChars="0" w:firstLine="480"/>
              <w:rPr>
                <w:sz w:val="24"/>
              </w:rPr>
            </w:pPr>
            <w:r>
              <w:rPr>
                <w:sz w:val="24"/>
              </w:rPr>
              <w:t>本项目厂界噪声监测要求如下：</w:t>
            </w:r>
          </w:p>
          <w:p w14:paraId="2C11A720">
            <w:pPr>
              <w:widowControl/>
              <w:numPr>
                <w:ilvl w:val="0"/>
                <w:numId w:val="2"/>
              </w:numPr>
              <w:jc w:val="center"/>
              <w:rPr>
                <w:b/>
                <w:bCs/>
              </w:rPr>
            </w:pPr>
            <w:r>
              <w:rPr>
                <w:b/>
                <w:bCs/>
              </w:rPr>
              <w:t>本项目厂界噪声检测要求</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5"/>
              <w:gridCol w:w="1551"/>
              <w:gridCol w:w="2219"/>
              <w:gridCol w:w="1750"/>
              <w:gridCol w:w="1779"/>
            </w:tblGrid>
            <w:tr w14:paraId="2DA18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63" w:type="pct"/>
                  <w:vAlign w:val="center"/>
                </w:tcPr>
                <w:p w14:paraId="64E78012">
                  <w:pPr>
                    <w:jc w:val="center"/>
                    <w:rPr>
                      <w:b/>
                      <w:bCs/>
                    </w:rPr>
                  </w:pPr>
                  <w:r>
                    <w:rPr>
                      <w:b/>
                      <w:bCs/>
                    </w:rPr>
                    <w:t>测点编号</w:t>
                  </w:r>
                </w:p>
              </w:tc>
              <w:tc>
                <w:tcPr>
                  <w:tcW w:w="900" w:type="pct"/>
                  <w:vAlign w:val="center"/>
                </w:tcPr>
                <w:p w14:paraId="172AE7F5">
                  <w:pPr>
                    <w:jc w:val="center"/>
                    <w:rPr>
                      <w:b/>
                      <w:bCs/>
                    </w:rPr>
                  </w:pPr>
                  <w:r>
                    <w:rPr>
                      <w:b/>
                      <w:bCs/>
                    </w:rPr>
                    <w:t>监测点位</w:t>
                  </w:r>
                </w:p>
              </w:tc>
              <w:tc>
                <w:tcPr>
                  <w:tcW w:w="1287" w:type="pct"/>
                  <w:vAlign w:val="center"/>
                </w:tcPr>
                <w:p w14:paraId="4BD9FD32">
                  <w:pPr>
                    <w:jc w:val="center"/>
                    <w:rPr>
                      <w:b/>
                      <w:bCs/>
                    </w:rPr>
                  </w:pPr>
                  <w:r>
                    <w:rPr>
                      <w:b/>
                      <w:bCs/>
                    </w:rPr>
                    <w:t>测点位置</w:t>
                  </w:r>
                </w:p>
              </w:tc>
              <w:tc>
                <w:tcPr>
                  <w:tcW w:w="1015" w:type="pct"/>
                  <w:vAlign w:val="center"/>
                </w:tcPr>
                <w:p w14:paraId="20F173F9">
                  <w:pPr>
                    <w:jc w:val="center"/>
                    <w:rPr>
                      <w:b/>
                      <w:bCs/>
                    </w:rPr>
                  </w:pPr>
                  <w:r>
                    <w:rPr>
                      <w:b/>
                      <w:bCs/>
                    </w:rPr>
                    <w:t>监测因子</w:t>
                  </w:r>
                </w:p>
              </w:tc>
              <w:tc>
                <w:tcPr>
                  <w:tcW w:w="1032" w:type="pct"/>
                  <w:vAlign w:val="center"/>
                </w:tcPr>
                <w:p w14:paraId="2639A209">
                  <w:pPr>
                    <w:jc w:val="center"/>
                    <w:rPr>
                      <w:b/>
                      <w:bCs/>
                    </w:rPr>
                  </w:pPr>
                  <w:r>
                    <w:rPr>
                      <w:b/>
                      <w:bCs/>
                    </w:rPr>
                    <w:t>监测频次</w:t>
                  </w:r>
                </w:p>
              </w:tc>
            </w:tr>
            <w:tr w14:paraId="6E3B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63" w:type="pct"/>
                  <w:vAlign w:val="center"/>
                </w:tcPr>
                <w:p w14:paraId="0848C4F9">
                  <w:pPr>
                    <w:jc w:val="center"/>
                  </w:pPr>
                  <w:r>
                    <w:t>N1</w:t>
                  </w:r>
                </w:p>
              </w:tc>
              <w:tc>
                <w:tcPr>
                  <w:tcW w:w="900" w:type="pct"/>
                  <w:vAlign w:val="center"/>
                </w:tcPr>
                <w:p w14:paraId="6D2E7D0C">
                  <w:pPr>
                    <w:jc w:val="center"/>
                  </w:pPr>
                  <w:r>
                    <w:t>厂界东</w:t>
                  </w:r>
                </w:p>
              </w:tc>
              <w:tc>
                <w:tcPr>
                  <w:tcW w:w="1287" w:type="pct"/>
                  <w:vAlign w:val="center"/>
                </w:tcPr>
                <w:p w14:paraId="28A360B9">
                  <w:pPr>
                    <w:jc w:val="center"/>
                  </w:pPr>
                  <w:r>
                    <w:t>东厂界外1m</w:t>
                  </w:r>
                </w:p>
              </w:tc>
              <w:tc>
                <w:tcPr>
                  <w:tcW w:w="1015" w:type="pct"/>
                  <w:vMerge w:val="restart"/>
                  <w:vAlign w:val="center"/>
                </w:tcPr>
                <w:p w14:paraId="1754486F">
                  <w:pPr>
                    <w:jc w:val="center"/>
                  </w:pPr>
                  <w:r>
                    <w:t>连续等效A声级Leq</w:t>
                  </w:r>
                </w:p>
              </w:tc>
              <w:tc>
                <w:tcPr>
                  <w:tcW w:w="1032" w:type="pct"/>
                  <w:vMerge w:val="restart"/>
                  <w:vAlign w:val="center"/>
                </w:tcPr>
                <w:p w14:paraId="7E5777B5">
                  <w:pPr>
                    <w:jc w:val="center"/>
                  </w:pPr>
                  <w:r>
                    <w:t>1次/季</w:t>
                  </w:r>
                </w:p>
              </w:tc>
            </w:tr>
            <w:tr w14:paraId="56C5D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63" w:type="pct"/>
                  <w:vAlign w:val="center"/>
                </w:tcPr>
                <w:p w14:paraId="2FADCF7C">
                  <w:pPr>
                    <w:jc w:val="center"/>
                  </w:pPr>
                  <w:r>
                    <w:t>N2</w:t>
                  </w:r>
                </w:p>
              </w:tc>
              <w:tc>
                <w:tcPr>
                  <w:tcW w:w="900" w:type="pct"/>
                  <w:vAlign w:val="center"/>
                </w:tcPr>
                <w:p w14:paraId="23CD29DC">
                  <w:pPr>
                    <w:jc w:val="center"/>
                  </w:pPr>
                  <w:r>
                    <w:t>厂界南</w:t>
                  </w:r>
                </w:p>
              </w:tc>
              <w:tc>
                <w:tcPr>
                  <w:tcW w:w="1287" w:type="pct"/>
                  <w:vAlign w:val="center"/>
                </w:tcPr>
                <w:p w14:paraId="1BA0EDC9">
                  <w:pPr>
                    <w:jc w:val="center"/>
                  </w:pPr>
                  <w:r>
                    <w:t>南厂界外1m</w:t>
                  </w:r>
                </w:p>
              </w:tc>
              <w:tc>
                <w:tcPr>
                  <w:tcW w:w="1015" w:type="pct"/>
                  <w:vMerge w:val="continue"/>
                  <w:vAlign w:val="center"/>
                </w:tcPr>
                <w:p w14:paraId="256C8A95">
                  <w:pPr>
                    <w:jc w:val="center"/>
                  </w:pPr>
                </w:p>
              </w:tc>
              <w:tc>
                <w:tcPr>
                  <w:tcW w:w="1032" w:type="pct"/>
                  <w:vMerge w:val="continue"/>
                  <w:vAlign w:val="center"/>
                </w:tcPr>
                <w:p w14:paraId="3014B25F">
                  <w:pPr>
                    <w:jc w:val="center"/>
                  </w:pPr>
                </w:p>
              </w:tc>
            </w:tr>
            <w:tr w14:paraId="07C18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63" w:type="pct"/>
                  <w:vAlign w:val="center"/>
                </w:tcPr>
                <w:p w14:paraId="1A8847A3">
                  <w:pPr>
                    <w:jc w:val="center"/>
                  </w:pPr>
                  <w:r>
                    <w:t>N3</w:t>
                  </w:r>
                </w:p>
              </w:tc>
              <w:tc>
                <w:tcPr>
                  <w:tcW w:w="900" w:type="pct"/>
                  <w:vAlign w:val="center"/>
                </w:tcPr>
                <w:p w14:paraId="5A9A29B7">
                  <w:pPr>
                    <w:jc w:val="center"/>
                  </w:pPr>
                  <w:r>
                    <w:t>厂界西</w:t>
                  </w:r>
                </w:p>
              </w:tc>
              <w:tc>
                <w:tcPr>
                  <w:tcW w:w="1287" w:type="pct"/>
                  <w:vAlign w:val="center"/>
                </w:tcPr>
                <w:p w14:paraId="7F1783F6">
                  <w:pPr>
                    <w:jc w:val="center"/>
                  </w:pPr>
                  <w:r>
                    <w:t>西厂界外1m</w:t>
                  </w:r>
                </w:p>
              </w:tc>
              <w:tc>
                <w:tcPr>
                  <w:tcW w:w="1015" w:type="pct"/>
                  <w:vMerge w:val="continue"/>
                  <w:vAlign w:val="center"/>
                </w:tcPr>
                <w:p w14:paraId="27197E2B">
                  <w:pPr>
                    <w:jc w:val="center"/>
                  </w:pPr>
                </w:p>
              </w:tc>
              <w:tc>
                <w:tcPr>
                  <w:tcW w:w="1032" w:type="pct"/>
                  <w:vMerge w:val="continue"/>
                  <w:vAlign w:val="center"/>
                </w:tcPr>
                <w:p w14:paraId="1DF25DAD">
                  <w:pPr>
                    <w:jc w:val="center"/>
                  </w:pPr>
                </w:p>
              </w:tc>
            </w:tr>
            <w:tr w14:paraId="7FAB2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5" w:hRule="atLeast"/>
                <w:jc w:val="center"/>
              </w:trPr>
              <w:tc>
                <w:tcPr>
                  <w:tcW w:w="763" w:type="pct"/>
                  <w:vAlign w:val="center"/>
                </w:tcPr>
                <w:p w14:paraId="404CC7E4">
                  <w:pPr>
                    <w:jc w:val="center"/>
                  </w:pPr>
                  <w:r>
                    <w:t>N4</w:t>
                  </w:r>
                </w:p>
              </w:tc>
              <w:tc>
                <w:tcPr>
                  <w:tcW w:w="900" w:type="pct"/>
                  <w:vAlign w:val="center"/>
                </w:tcPr>
                <w:p w14:paraId="4360E241">
                  <w:pPr>
                    <w:jc w:val="center"/>
                  </w:pPr>
                  <w:r>
                    <w:t>厂界北</w:t>
                  </w:r>
                </w:p>
              </w:tc>
              <w:tc>
                <w:tcPr>
                  <w:tcW w:w="1287" w:type="pct"/>
                  <w:vAlign w:val="center"/>
                </w:tcPr>
                <w:p w14:paraId="18E7DD20">
                  <w:pPr>
                    <w:jc w:val="center"/>
                  </w:pPr>
                  <w:r>
                    <w:t>北厂界外1m</w:t>
                  </w:r>
                </w:p>
              </w:tc>
              <w:tc>
                <w:tcPr>
                  <w:tcW w:w="1015" w:type="pct"/>
                  <w:vMerge w:val="continue"/>
                  <w:vAlign w:val="center"/>
                </w:tcPr>
                <w:p w14:paraId="0E01CB08">
                  <w:pPr>
                    <w:jc w:val="center"/>
                  </w:pPr>
                </w:p>
              </w:tc>
              <w:tc>
                <w:tcPr>
                  <w:tcW w:w="1032" w:type="pct"/>
                  <w:vMerge w:val="continue"/>
                  <w:vAlign w:val="center"/>
                </w:tcPr>
                <w:p w14:paraId="1EB0EBFC">
                  <w:pPr>
                    <w:jc w:val="center"/>
                  </w:pPr>
                </w:p>
              </w:tc>
            </w:tr>
          </w:tbl>
          <w:p w14:paraId="3458443C">
            <w:pPr>
              <w:pStyle w:val="15"/>
              <w:spacing w:line="360" w:lineRule="auto"/>
              <w:ind w:left="0" w:leftChars="0" w:firstLine="0" w:firstLineChars="0"/>
              <w:rPr>
                <w:sz w:val="24"/>
              </w:rPr>
            </w:pPr>
          </w:p>
        </w:tc>
      </w:tr>
    </w:tbl>
    <w:p w14:paraId="42E4738A">
      <w:pPr>
        <w:pStyle w:val="23"/>
        <w:jc w:val="center"/>
        <w:outlineLvl w:val="0"/>
        <w:rPr>
          <w:rFonts w:ascii="黑体" w:hAnsi="黑体" w:eastAsia="黑体"/>
          <w:snapToGrid w:val="0"/>
          <w:sz w:val="30"/>
          <w:szCs w:val="30"/>
        </w:rPr>
        <w:sectPr>
          <w:pgSz w:w="11906" w:h="16838"/>
          <w:pgMar w:top="1418" w:right="1418" w:bottom="1418" w:left="1418" w:header="851" w:footer="851" w:gutter="0"/>
          <w:pgBorders>
            <w:top w:val="none" w:sz="0" w:space="0"/>
            <w:left w:val="none" w:sz="0" w:space="0"/>
            <w:bottom w:val="none" w:sz="0" w:space="0"/>
            <w:right w:val="none" w:sz="0" w:space="0"/>
          </w:pgBorders>
          <w:cols w:space="720" w:num="1"/>
          <w:docGrid w:linePitch="312" w:charSpace="0"/>
        </w:sectPr>
      </w:pPr>
    </w:p>
    <w:tbl>
      <w:tblPr>
        <w:tblStyle w:val="26"/>
        <w:tblW w:w="1431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56"/>
        <w:gridCol w:w="13557"/>
      </w:tblGrid>
      <w:tr w14:paraId="1286C2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662" w:hRule="atLeast"/>
          <w:jc w:val="center"/>
        </w:trPr>
        <w:tc>
          <w:tcPr>
            <w:tcW w:w="756" w:type="dxa"/>
            <w:vAlign w:val="center"/>
          </w:tcPr>
          <w:p w14:paraId="1C294A9E">
            <w:pPr>
              <w:adjustRightInd w:val="0"/>
              <w:snapToGrid w:val="0"/>
              <w:jc w:val="center"/>
              <w:rPr>
                <w:rFonts w:ascii="宋体" w:hAnsi="宋体" w:cs="宋体"/>
                <w:b/>
                <w:bCs/>
                <w:szCs w:val="21"/>
              </w:rPr>
            </w:pPr>
            <w:r>
              <w:rPr>
                <w:rFonts w:hint="eastAsia" w:ascii="宋体" w:hAnsi="宋体" w:cs="宋体"/>
                <w:b/>
                <w:bCs/>
                <w:szCs w:val="21"/>
              </w:rPr>
              <w:t>运营</w:t>
            </w:r>
          </w:p>
          <w:p w14:paraId="05477B97">
            <w:pPr>
              <w:adjustRightInd w:val="0"/>
              <w:snapToGrid w:val="0"/>
              <w:jc w:val="center"/>
              <w:rPr>
                <w:rFonts w:ascii="宋体" w:hAnsi="宋体" w:cs="宋体"/>
                <w:b/>
                <w:bCs/>
                <w:szCs w:val="21"/>
              </w:rPr>
            </w:pPr>
            <w:r>
              <w:rPr>
                <w:rFonts w:hint="eastAsia" w:ascii="宋体" w:hAnsi="宋体" w:cs="宋体"/>
                <w:b/>
                <w:bCs/>
                <w:szCs w:val="21"/>
              </w:rPr>
              <w:t>期环</w:t>
            </w:r>
          </w:p>
          <w:p w14:paraId="228F0936">
            <w:pPr>
              <w:adjustRightInd w:val="0"/>
              <w:snapToGrid w:val="0"/>
              <w:jc w:val="center"/>
              <w:rPr>
                <w:rFonts w:ascii="宋体" w:hAnsi="宋体" w:cs="宋体"/>
                <w:b/>
                <w:bCs/>
                <w:szCs w:val="21"/>
              </w:rPr>
            </w:pPr>
            <w:r>
              <w:rPr>
                <w:rFonts w:hint="eastAsia" w:ascii="宋体" w:hAnsi="宋体" w:cs="宋体"/>
                <w:b/>
                <w:bCs/>
                <w:szCs w:val="21"/>
              </w:rPr>
              <w:t>境影</w:t>
            </w:r>
          </w:p>
          <w:p w14:paraId="2F021539">
            <w:pPr>
              <w:adjustRightInd w:val="0"/>
              <w:snapToGrid w:val="0"/>
              <w:jc w:val="center"/>
              <w:rPr>
                <w:rFonts w:ascii="宋体" w:hAnsi="宋体" w:cs="宋体"/>
                <w:b/>
                <w:bCs/>
                <w:szCs w:val="21"/>
              </w:rPr>
            </w:pPr>
            <w:r>
              <w:rPr>
                <w:rFonts w:hint="eastAsia" w:ascii="宋体" w:hAnsi="宋体" w:cs="宋体"/>
                <w:b/>
                <w:bCs/>
                <w:szCs w:val="21"/>
              </w:rPr>
              <w:t>响和</w:t>
            </w:r>
          </w:p>
          <w:p w14:paraId="3BBCDF8E">
            <w:pPr>
              <w:adjustRightInd w:val="0"/>
              <w:snapToGrid w:val="0"/>
              <w:jc w:val="center"/>
              <w:rPr>
                <w:rFonts w:ascii="黑体" w:hAnsi="黑体" w:eastAsia="黑体"/>
                <w:snapToGrid w:val="0"/>
                <w:sz w:val="30"/>
                <w:szCs w:val="30"/>
              </w:rPr>
            </w:pPr>
            <w:r>
              <w:rPr>
                <w:rFonts w:hint="eastAsia" w:ascii="宋体" w:hAnsi="宋体" w:cs="宋体"/>
                <w:b/>
                <w:bCs/>
                <w:szCs w:val="21"/>
              </w:rPr>
              <w:t>保护措施</w:t>
            </w:r>
          </w:p>
        </w:tc>
        <w:tc>
          <w:tcPr>
            <w:tcW w:w="13557" w:type="dxa"/>
          </w:tcPr>
          <w:p w14:paraId="19676A9B">
            <w:pPr>
              <w:spacing w:line="360" w:lineRule="auto"/>
              <w:ind w:firstLine="482" w:firstLineChars="200"/>
              <w:rPr>
                <w:b/>
                <w:bCs/>
                <w:sz w:val="24"/>
              </w:rPr>
            </w:pPr>
            <w:r>
              <w:rPr>
                <w:rFonts w:hint="eastAsia"/>
                <w:b/>
                <w:bCs/>
                <w:sz w:val="24"/>
              </w:rPr>
              <w:t>（四）固体废物</w:t>
            </w:r>
          </w:p>
          <w:p w14:paraId="50409DA9">
            <w:pPr>
              <w:pStyle w:val="22"/>
              <w:widowControl/>
              <w:spacing w:after="0" w:line="360" w:lineRule="auto"/>
              <w:ind w:firstLine="480" w:firstLineChars="200"/>
            </w:pPr>
            <w:r>
              <w:rPr>
                <w:bCs/>
                <w:sz w:val="24"/>
              </w:rPr>
              <w:t>本项目产生的固体废物分为危险废物、一般工业固体废物。根据《国家危险废物名录》（202</w:t>
            </w:r>
            <w:r>
              <w:rPr>
                <w:rFonts w:hint="eastAsia"/>
                <w:bCs/>
                <w:sz w:val="24"/>
                <w:lang w:val="en-US" w:eastAsia="zh-CN"/>
              </w:rPr>
              <w:t>5</w:t>
            </w:r>
            <w:r>
              <w:rPr>
                <w:bCs/>
                <w:sz w:val="24"/>
              </w:rPr>
              <w:t>版），本项目产生的危险废物主要</w:t>
            </w:r>
            <w:r>
              <w:rPr>
                <w:rFonts w:hint="eastAsia"/>
                <w:bCs/>
                <w:sz w:val="24"/>
              </w:rPr>
              <w:t>为：废润滑油、废</w:t>
            </w:r>
            <w:r>
              <w:rPr>
                <w:rFonts w:hint="eastAsia"/>
                <w:bCs/>
                <w:sz w:val="24"/>
                <w:lang w:eastAsia="zh-CN"/>
              </w:rPr>
              <w:t>漆桶</w:t>
            </w:r>
            <w:r>
              <w:rPr>
                <w:rFonts w:hint="eastAsia"/>
                <w:bCs/>
                <w:sz w:val="24"/>
              </w:rPr>
              <w:t>、</w:t>
            </w:r>
            <w:r>
              <w:rPr>
                <w:rFonts w:hint="eastAsia"/>
                <w:bCs/>
                <w:sz w:val="24"/>
                <w:lang w:eastAsia="zh-CN"/>
              </w:rPr>
              <w:t>漆渣、废活性炭、废过滤棉</w:t>
            </w:r>
            <w:r>
              <w:rPr>
                <w:rFonts w:hint="eastAsia"/>
                <w:bCs/>
                <w:sz w:val="24"/>
              </w:rPr>
              <w:t>，</w:t>
            </w:r>
            <w:r>
              <w:rPr>
                <w:sz w:val="24"/>
              </w:rPr>
              <w:t>危险废物收集在危废</w:t>
            </w:r>
            <w:r>
              <w:rPr>
                <w:rFonts w:hint="eastAsia"/>
                <w:sz w:val="24"/>
              </w:rPr>
              <w:t>间</w:t>
            </w:r>
            <w:r>
              <w:rPr>
                <w:sz w:val="24"/>
              </w:rPr>
              <w:t>暂存后定期委托有资质单位处置</w:t>
            </w:r>
            <w:r>
              <w:rPr>
                <w:bCs/>
                <w:sz w:val="24"/>
              </w:rPr>
              <w:t>。一般工业固废</w:t>
            </w:r>
            <w:r>
              <w:rPr>
                <w:rFonts w:hint="eastAsia"/>
                <w:bCs/>
                <w:sz w:val="24"/>
              </w:rPr>
              <w:t>主要为</w:t>
            </w:r>
            <w:r>
              <w:rPr>
                <w:bCs/>
                <w:sz w:val="24"/>
              </w:rPr>
              <w:t>：</w:t>
            </w:r>
            <w:r>
              <w:rPr>
                <w:rFonts w:hint="eastAsia"/>
                <w:bCs/>
                <w:sz w:val="24"/>
              </w:rPr>
              <w:t>不合格品、边角料等，由物资部门回收利用。</w:t>
            </w:r>
            <w:r>
              <w:rPr>
                <w:sz w:val="24"/>
              </w:rPr>
              <w:t>生活垃圾收集后由环卫部门统一清运处置。</w:t>
            </w:r>
            <w:r>
              <w:rPr>
                <w:rFonts w:hint="eastAsia"/>
                <w:bCs/>
                <w:sz w:val="24"/>
              </w:rPr>
              <w:t>本项目固体废物产生及处置情况见下表。</w:t>
            </w:r>
          </w:p>
          <w:p w14:paraId="349275DE">
            <w:pPr>
              <w:widowControl/>
              <w:numPr>
                <w:ilvl w:val="0"/>
                <w:numId w:val="2"/>
              </w:numPr>
              <w:jc w:val="center"/>
              <w:rPr>
                <w:b/>
                <w:bCs/>
              </w:rPr>
            </w:pPr>
            <w:r>
              <w:rPr>
                <w:b/>
                <w:bCs/>
              </w:rPr>
              <w:t>本项目</w:t>
            </w:r>
            <w:r>
              <w:rPr>
                <w:rFonts w:hint="eastAsia"/>
                <w:b/>
                <w:bCs/>
              </w:rPr>
              <w:t>固体废物产生及排放情况一览表</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1011"/>
              <w:gridCol w:w="1412"/>
              <w:gridCol w:w="1056"/>
              <w:gridCol w:w="1196"/>
              <w:gridCol w:w="1161"/>
              <w:gridCol w:w="636"/>
              <w:gridCol w:w="870"/>
              <w:gridCol w:w="1201"/>
              <w:gridCol w:w="1263"/>
              <w:gridCol w:w="1896"/>
              <w:gridCol w:w="1202"/>
            </w:tblGrid>
            <w:tr w14:paraId="0C5B9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E805F44">
                  <w:pPr>
                    <w:widowControl/>
                    <w:jc w:val="center"/>
                    <w:textAlignment w:val="center"/>
                    <w:rPr>
                      <w:rFonts w:hint="default" w:ascii="Times New Roman" w:hAnsi="Times New Roman" w:eastAsia="宋体" w:cs="Times New Roman"/>
                      <w:b/>
                      <w:bCs/>
                      <w:kern w:val="2"/>
                      <w:sz w:val="21"/>
                      <w:szCs w:val="21"/>
                      <w:lang w:val="en-US" w:eastAsia="zh-CN" w:bidi="ar-SA"/>
                    </w:rPr>
                  </w:pPr>
                  <w:r>
                    <w:rPr>
                      <w:rFonts w:hint="eastAsia" w:ascii="宋体" w:hAnsi="宋体" w:cs="宋体"/>
                      <w:b/>
                      <w:bCs/>
                      <w:kern w:val="0"/>
                      <w:sz w:val="21"/>
                      <w:szCs w:val="21"/>
                      <w:lang w:bidi="ar"/>
                    </w:rPr>
                    <w:t>序号</w:t>
                  </w:r>
                </w:p>
              </w:tc>
              <w:tc>
                <w:tcPr>
                  <w:tcW w:w="1011" w:type="dxa"/>
                  <w:vAlign w:val="center"/>
                </w:tcPr>
                <w:p w14:paraId="0B0D24F0">
                  <w:pPr>
                    <w:widowControl/>
                    <w:jc w:val="center"/>
                    <w:textAlignment w:val="center"/>
                    <w:rPr>
                      <w:rFonts w:hint="default" w:ascii="Times New Roman" w:hAnsi="Times New Roman" w:eastAsia="宋体" w:cs="Times New Roman"/>
                      <w:b/>
                      <w:bCs/>
                      <w:kern w:val="2"/>
                      <w:sz w:val="21"/>
                      <w:szCs w:val="21"/>
                      <w:lang w:val="en-US" w:eastAsia="zh-CN" w:bidi="ar-SA"/>
                    </w:rPr>
                  </w:pPr>
                  <w:r>
                    <w:rPr>
                      <w:rFonts w:hint="eastAsia" w:ascii="宋体" w:hAnsi="宋体" w:cs="宋体"/>
                      <w:b/>
                      <w:bCs/>
                      <w:kern w:val="0"/>
                      <w:sz w:val="21"/>
                      <w:szCs w:val="21"/>
                      <w:lang w:bidi="ar"/>
                    </w:rPr>
                    <w:t>产生环节</w:t>
                  </w:r>
                </w:p>
              </w:tc>
              <w:tc>
                <w:tcPr>
                  <w:tcW w:w="1412" w:type="dxa"/>
                  <w:vAlign w:val="center"/>
                </w:tcPr>
                <w:p w14:paraId="4CA4C97F">
                  <w:pPr>
                    <w:widowControl/>
                    <w:jc w:val="center"/>
                    <w:textAlignment w:val="center"/>
                    <w:rPr>
                      <w:rFonts w:ascii="宋体" w:hAnsi="宋体" w:cs="宋体"/>
                      <w:b/>
                      <w:bCs/>
                      <w:kern w:val="0"/>
                      <w:sz w:val="21"/>
                      <w:szCs w:val="21"/>
                      <w:lang w:bidi="ar"/>
                    </w:rPr>
                  </w:pPr>
                  <w:r>
                    <w:rPr>
                      <w:rFonts w:hint="eastAsia" w:ascii="宋体" w:hAnsi="宋体" w:cs="宋体"/>
                      <w:b/>
                      <w:bCs/>
                      <w:kern w:val="0"/>
                      <w:sz w:val="21"/>
                      <w:szCs w:val="21"/>
                      <w:lang w:bidi="ar"/>
                    </w:rPr>
                    <w:t>固体废</w:t>
                  </w:r>
                </w:p>
                <w:p w14:paraId="595D86B8">
                  <w:pPr>
                    <w:widowControl/>
                    <w:jc w:val="center"/>
                    <w:textAlignment w:val="center"/>
                    <w:rPr>
                      <w:rFonts w:hint="default" w:ascii="Times New Roman" w:hAnsi="Times New Roman" w:eastAsia="宋体" w:cs="Times New Roman"/>
                      <w:b/>
                      <w:bCs/>
                      <w:kern w:val="2"/>
                      <w:sz w:val="21"/>
                      <w:szCs w:val="21"/>
                      <w:lang w:val="en-US" w:eastAsia="zh-CN" w:bidi="ar-SA"/>
                    </w:rPr>
                  </w:pPr>
                  <w:r>
                    <w:rPr>
                      <w:rFonts w:hint="eastAsia" w:ascii="宋体" w:hAnsi="宋体" w:cs="宋体"/>
                      <w:b/>
                      <w:bCs/>
                      <w:kern w:val="0"/>
                      <w:sz w:val="21"/>
                      <w:szCs w:val="21"/>
                      <w:lang w:bidi="ar"/>
                    </w:rPr>
                    <w:t>物名称</w:t>
                  </w:r>
                </w:p>
              </w:tc>
              <w:tc>
                <w:tcPr>
                  <w:tcW w:w="0" w:type="auto"/>
                  <w:vAlign w:val="center"/>
                </w:tcPr>
                <w:p w14:paraId="61CE9836">
                  <w:pPr>
                    <w:widowControl/>
                    <w:jc w:val="center"/>
                    <w:textAlignment w:val="center"/>
                    <w:rPr>
                      <w:rFonts w:ascii="宋体" w:hAnsi="宋体" w:cs="宋体"/>
                      <w:b/>
                      <w:bCs/>
                      <w:kern w:val="0"/>
                      <w:sz w:val="21"/>
                      <w:szCs w:val="21"/>
                      <w:lang w:bidi="ar"/>
                    </w:rPr>
                  </w:pPr>
                  <w:r>
                    <w:rPr>
                      <w:rFonts w:hint="eastAsia" w:ascii="宋体" w:hAnsi="宋体" w:cs="宋体"/>
                      <w:b/>
                      <w:bCs/>
                      <w:kern w:val="0"/>
                      <w:sz w:val="21"/>
                      <w:szCs w:val="21"/>
                      <w:lang w:bidi="ar"/>
                    </w:rPr>
                    <w:t>固体废</w:t>
                  </w:r>
                </w:p>
                <w:p w14:paraId="71F8DE76">
                  <w:pPr>
                    <w:widowControl/>
                    <w:jc w:val="center"/>
                    <w:textAlignment w:val="center"/>
                    <w:rPr>
                      <w:rFonts w:hint="default" w:ascii="Times New Roman" w:hAnsi="Times New Roman" w:eastAsia="宋体" w:cs="Times New Roman"/>
                      <w:b/>
                      <w:bCs/>
                      <w:kern w:val="2"/>
                      <w:sz w:val="21"/>
                      <w:szCs w:val="21"/>
                      <w:lang w:val="en-US" w:eastAsia="zh-CN" w:bidi="ar-SA"/>
                    </w:rPr>
                  </w:pPr>
                  <w:r>
                    <w:rPr>
                      <w:rFonts w:hint="eastAsia" w:ascii="宋体" w:hAnsi="宋体" w:cs="宋体"/>
                      <w:b/>
                      <w:bCs/>
                      <w:kern w:val="0"/>
                      <w:sz w:val="21"/>
                      <w:szCs w:val="21"/>
                      <w:lang w:bidi="ar"/>
                    </w:rPr>
                    <w:t>物属性</w:t>
                  </w:r>
                </w:p>
              </w:tc>
              <w:tc>
                <w:tcPr>
                  <w:tcW w:w="0" w:type="auto"/>
                  <w:vAlign w:val="center"/>
                </w:tcPr>
                <w:p w14:paraId="04B8AB4B">
                  <w:pPr>
                    <w:widowControl/>
                    <w:jc w:val="center"/>
                    <w:textAlignment w:val="center"/>
                    <w:rPr>
                      <w:rFonts w:hint="default" w:ascii="Times New Roman" w:hAnsi="Times New Roman" w:eastAsia="宋体" w:cs="Times New Roman"/>
                      <w:b/>
                      <w:bCs/>
                      <w:kern w:val="2"/>
                      <w:sz w:val="21"/>
                      <w:szCs w:val="21"/>
                      <w:lang w:val="en-US" w:eastAsia="zh-CN" w:bidi="ar-SA"/>
                    </w:rPr>
                  </w:pPr>
                  <w:r>
                    <w:rPr>
                      <w:rFonts w:hint="eastAsia" w:ascii="宋体" w:hAnsi="宋体" w:cs="宋体"/>
                      <w:b/>
                      <w:bCs/>
                      <w:kern w:val="0"/>
                      <w:sz w:val="21"/>
                      <w:szCs w:val="21"/>
                      <w:lang w:bidi="ar"/>
                    </w:rPr>
                    <w:t>固废代码</w:t>
                  </w:r>
                </w:p>
              </w:tc>
              <w:tc>
                <w:tcPr>
                  <w:tcW w:w="0" w:type="auto"/>
                  <w:vAlign w:val="center"/>
                </w:tcPr>
                <w:p w14:paraId="638CE0D5">
                  <w:pPr>
                    <w:widowControl/>
                    <w:jc w:val="center"/>
                    <w:textAlignment w:val="center"/>
                    <w:rPr>
                      <w:rFonts w:hint="default" w:ascii="Times New Roman" w:hAnsi="Times New Roman" w:eastAsia="宋体" w:cs="Times New Roman"/>
                      <w:b/>
                      <w:bCs/>
                      <w:kern w:val="2"/>
                      <w:sz w:val="21"/>
                      <w:szCs w:val="21"/>
                      <w:lang w:val="en-US" w:eastAsia="zh-CN" w:bidi="ar-SA"/>
                    </w:rPr>
                  </w:pPr>
                  <w:r>
                    <w:rPr>
                      <w:rFonts w:hint="eastAsia" w:ascii="宋体" w:hAnsi="宋体" w:cs="宋体"/>
                      <w:b/>
                      <w:bCs/>
                      <w:kern w:val="0"/>
                      <w:sz w:val="21"/>
                      <w:szCs w:val="21"/>
                      <w:lang w:bidi="ar"/>
                    </w:rPr>
                    <w:t>主要有毒有害物质</w:t>
                  </w:r>
                </w:p>
              </w:tc>
              <w:tc>
                <w:tcPr>
                  <w:tcW w:w="0" w:type="auto"/>
                  <w:vAlign w:val="center"/>
                </w:tcPr>
                <w:p w14:paraId="4303E68A">
                  <w:pPr>
                    <w:widowControl/>
                    <w:jc w:val="center"/>
                    <w:textAlignment w:val="center"/>
                    <w:rPr>
                      <w:rFonts w:ascii="宋体" w:hAnsi="宋体" w:cs="宋体"/>
                      <w:b/>
                      <w:bCs/>
                      <w:kern w:val="0"/>
                      <w:sz w:val="21"/>
                      <w:szCs w:val="21"/>
                      <w:lang w:bidi="ar"/>
                    </w:rPr>
                  </w:pPr>
                  <w:r>
                    <w:rPr>
                      <w:rFonts w:hint="eastAsia" w:ascii="宋体" w:hAnsi="宋体" w:cs="宋体"/>
                      <w:b/>
                      <w:bCs/>
                      <w:kern w:val="0"/>
                      <w:sz w:val="21"/>
                      <w:szCs w:val="21"/>
                      <w:lang w:bidi="ar"/>
                    </w:rPr>
                    <w:t>物理</w:t>
                  </w:r>
                </w:p>
                <w:p w14:paraId="7B2EFACE">
                  <w:pPr>
                    <w:widowControl/>
                    <w:jc w:val="center"/>
                    <w:textAlignment w:val="center"/>
                    <w:rPr>
                      <w:rFonts w:hint="default" w:ascii="Times New Roman" w:hAnsi="Times New Roman" w:eastAsia="宋体" w:cs="Times New Roman"/>
                      <w:b/>
                      <w:bCs/>
                      <w:kern w:val="2"/>
                      <w:sz w:val="21"/>
                      <w:szCs w:val="21"/>
                      <w:lang w:val="en-US" w:eastAsia="zh-CN" w:bidi="ar-SA"/>
                    </w:rPr>
                  </w:pPr>
                  <w:r>
                    <w:rPr>
                      <w:rFonts w:hint="eastAsia" w:ascii="宋体" w:hAnsi="宋体" w:cs="宋体"/>
                      <w:b/>
                      <w:bCs/>
                      <w:kern w:val="0"/>
                      <w:sz w:val="21"/>
                      <w:szCs w:val="21"/>
                      <w:lang w:bidi="ar"/>
                    </w:rPr>
                    <w:t>性状</w:t>
                  </w:r>
                </w:p>
              </w:tc>
              <w:tc>
                <w:tcPr>
                  <w:tcW w:w="0" w:type="auto"/>
                  <w:vAlign w:val="center"/>
                </w:tcPr>
                <w:p w14:paraId="4DD06D63">
                  <w:pPr>
                    <w:widowControl/>
                    <w:jc w:val="center"/>
                    <w:textAlignment w:val="center"/>
                    <w:rPr>
                      <w:rFonts w:ascii="宋体" w:hAnsi="宋体" w:cs="宋体"/>
                      <w:b/>
                      <w:bCs/>
                      <w:kern w:val="0"/>
                      <w:sz w:val="21"/>
                      <w:szCs w:val="21"/>
                      <w:lang w:bidi="ar"/>
                    </w:rPr>
                  </w:pPr>
                  <w:r>
                    <w:rPr>
                      <w:rFonts w:hint="eastAsia" w:ascii="宋体" w:hAnsi="宋体" w:cs="宋体"/>
                      <w:b/>
                      <w:bCs/>
                      <w:kern w:val="0"/>
                      <w:sz w:val="21"/>
                      <w:szCs w:val="21"/>
                      <w:lang w:bidi="ar"/>
                    </w:rPr>
                    <w:t>环境</w:t>
                  </w:r>
                </w:p>
                <w:p w14:paraId="331CFCB1">
                  <w:pPr>
                    <w:widowControl/>
                    <w:jc w:val="center"/>
                    <w:textAlignment w:val="center"/>
                    <w:rPr>
                      <w:rFonts w:hint="default" w:ascii="Times New Roman" w:hAnsi="Times New Roman" w:eastAsia="宋体" w:cs="Times New Roman"/>
                      <w:b/>
                      <w:bCs/>
                      <w:kern w:val="2"/>
                      <w:sz w:val="21"/>
                      <w:szCs w:val="21"/>
                      <w:lang w:val="en-US" w:eastAsia="zh-CN" w:bidi="ar-SA"/>
                    </w:rPr>
                  </w:pPr>
                  <w:r>
                    <w:rPr>
                      <w:rFonts w:hint="eastAsia" w:ascii="宋体" w:hAnsi="宋体" w:cs="宋体"/>
                      <w:b/>
                      <w:bCs/>
                      <w:kern w:val="0"/>
                      <w:sz w:val="21"/>
                      <w:szCs w:val="21"/>
                      <w:lang w:bidi="ar"/>
                    </w:rPr>
                    <w:t>危险性</w:t>
                  </w:r>
                </w:p>
              </w:tc>
              <w:tc>
                <w:tcPr>
                  <w:tcW w:w="0" w:type="auto"/>
                  <w:vAlign w:val="center"/>
                </w:tcPr>
                <w:p w14:paraId="6F1DC20B">
                  <w:pPr>
                    <w:widowControl/>
                    <w:jc w:val="center"/>
                    <w:textAlignment w:val="center"/>
                    <w:rPr>
                      <w:rFonts w:hint="default" w:ascii="Times New Roman" w:hAnsi="Times New Roman" w:eastAsia="宋体" w:cs="Times New Roman"/>
                      <w:b/>
                      <w:bCs/>
                      <w:kern w:val="2"/>
                      <w:sz w:val="21"/>
                      <w:szCs w:val="21"/>
                      <w:lang w:val="en-US" w:eastAsia="zh-CN" w:bidi="ar-SA"/>
                    </w:rPr>
                  </w:pPr>
                  <w:r>
                    <w:rPr>
                      <w:rFonts w:hint="eastAsia" w:ascii="宋体" w:hAnsi="宋体" w:cs="宋体"/>
                      <w:b/>
                      <w:bCs/>
                      <w:kern w:val="0"/>
                      <w:sz w:val="21"/>
                      <w:szCs w:val="21"/>
                      <w:lang w:bidi="ar"/>
                    </w:rPr>
                    <w:t>产生量（</w:t>
                  </w:r>
                  <w:r>
                    <w:rPr>
                      <w:b/>
                      <w:bCs/>
                      <w:kern w:val="0"/>
                      <w:sz w:val="21"/>
                      <w:szCs w:val="21"/>
                      <w:lang w:bidi="ar"/>
                    </w:rPr>
                    <w:t>t/a</w:t>
                  </w:r>
                  <w:r>
                    <w:rPr>
                      <w:rFonts w:hint="eastAsia" w:ascii="宋体" w:hAnsi="宋体" w:cs="宋体"/>
                      <w:b/>
                      <w:bCs/>
                      <w:kern w:val="0"/>
                      <w:sz w:val="21"/>
                      <w:szCs w:val="21"/>
                      <w:lang w:bidi="ar"/>
                    </w:rPr>
                    <w:t>）</w:t>
                  </w:r>
                </w:p>
              </w:tc>
              <w:tc>
                <w:tcPr>
                  <w:tcW w:w="0" w:type="auto"/>
                  <w:vAlign w:val="center"/>
                </w:tcPr>
                <w:p w14:paraId="797093B2">
                  <w:pPr>
                    <w:widowControl/>
                    <w:jc w:val="center"/>
                    <w:textAlignment w:val="center"/>
                    <w:rPr>
                      <w:rFonts w:ascii="宋体" w:hAnsi="宋体" w:cs="宋体"/>
                      <w:b/>
                      <w:bCs/>
                      <w:kern w:val="0"/>
                      <w:sz w:val="21"/>
                      <w:szCs w:val="21"/>
                      <w:lang w:bidi="ar"/>
                    </w:rPr>
                  </w:pPr>
                  <w:r>
                    <w:rPr>
                      <w:rFonts w:hint="eastAsia" w:ascii="宋体" w:hAnsi="宋体" w:cs="宋体"/>
                      <w:b/>
                      <w:bCs/>
                      <w:kern w:val="0"/>
                      <w:sz w:val="21"/>
                      <w:szCs w:val="21"/>
                      <w:lang w:bidi="ar"/>
                    </w:rPr>
                    <w:t>贮存</w:t>
                  </w:r>
                </w:p>
                <w:p w14:paraId="464BD56C">
                  <w:pPr>
                    <w:widowControl/>
                    <w:jc w:val="center"/>
                    <w:textAlignment w:val="center"/>
                    <w:rPr>
                      <w:rFonts w:hint="default" w:ascii="Times New Roman" w:hAnsi="Times New Roman" w:eastAsia="宋体" w:cs="Times New Roman"/>
                      <w:b/>
                      <w:bCs/>
                      <w:kern w:val="2"/>
                      <w:sz w:val="21"/>
                      <w:szCs w:val="21"/>
                      <w:lang w:val="en-US" w:eastAsia="zh-CN" w:bidi="ar-SA"/>
                    </w:rPr>
                  </w:pPr>
                  <w:r>
                    <w:rPr>
                      <w:rFonts w:hint="eastAsia" w:ascii="宋体" w:hAnsi="宋体" w:cs="宋体"/>
                      <w:b/>
                      <w:bCs/>
                      <w:kern w:val="0"/>
                      <w:sz w:val="21"/>
                      <w:szCs w:val="21"/>
                      <w:lang w:bidi="ar"/>
                    </w:rPr>
                    <w:t>方式</w:t>
                  </w:r>
                </w:p>
              </w:tc>
              <w:tc>
                <w:tcPr>
                  <w:tcW w:w="0" w:type="auto"/>
                  <w:vAlign w:val="center"/>
                </w:tcPr>
                <w:p w14:paraId="35364B53">
                  <w:pPr>
                    <w:widowControl/>
                    <w:jc w:val="center"/>
                    <w:textAlignment w:val="center"/>
                    <w:rPr>
                      <w:rFonts w:ascii="宋体" w:hAnsi="宋体" w:cs="宋体"/>
                      <w:b/>
                      <w:bCs/>
                      <w:kern w:val="0"/>
                      <w:sz w:val="21"/>
                      <w:szCs w:val="21"/>
                      <w:lang w:bidi="ar"/>
                    </w:rPr>
                  </w:pPr>
                  <w:r>
                    <w:rPr>
                      <w:rFonts w:hint="eastAsia" w:ascii="宋体" w:hAnsi="宋体" w:cs="宋体"/>
                      <w:b/>
                      <w:bCs/>
                      <w:kern w:val="0"/>
                      <w:sz w:val="21"/>
                      <w:szCs w:val="21"/>
                      <w:lang w:bidi="ar"/>
                    </w:rPr>
                    <w:t>处置</w:t>
                  </w:r>
                  <w:r>
                    <w:rPr>
                      <w:b/>
                      <w:bCs/>
                      <w:kern w:val="0"/>
                      <w:sz w:val="21"/>
                      <w:szCs w:val="21"/>
                      <w:lang w:bidi="ar"/>
                    </w:rPr>
                    <w:t>/</w:t>
                  </w:r>
                  <w:r>
                    <w:rPr>
                      <w:rFonts w:hint="eastAsia" w:ascii="宋体" w:hAnsi="宋体" w:cs="宋体"/>
                      <w:b/>
                      <w:bCs/>
                      <w:kern w:val="0"/>
                      <w:sz w:val="21"/>
                      <w:szCs w:val="21"/>
                      <w:lang w:bidi="ar"/>
                    </w:rPr>
                    <w:t>利用</w:t>
                  </w:r>
                </w:p>
                <w:p w14:paraId="0F428FE9">
                  <w:pPr>
                    <w:widowControl/>
                    <w:jc w:val="center"/>
                    <w:textAlignment w:val="center"/>
                    <w:rPr>
                      <w:rFonts w:hint="default" w:ascii="Times New Roman" w:hAnsi="Times New Roman" w:eastAsia="宋体" w:cs="Times New Roman"/>
                      <w:b/>
                      <w:bCs/>
                      <w:kern w:val="2"/>
                      <w:sz w:val="21"/>
                      <w:szCs w:val="21"/>
                      <w:lang w:val="en-US" w:eastAsia="zh-CN" w:bidi="ar-SA"/>
                    </w:rPr>
                  </w:pPr>
                  <w:r>
                    <w:rPr>
                      <w:rFonts w:hint="eastAsia" w:ascii="宋体" w:hAnsi="宋体" w:cs="宋体"/>
                      <w:b/>
                      <w:bCs/>
                      <w:kern w:val="0"/>
                      <w:sz w:val="21"/>
                      <w:szCs w:val="21"/>
                      <w:lang w:bidi="ar"/>
                    </w:rPr>
                    <w:t>方式</w:t>
                  </w:r>
                </w:p>
              </w:tc>
              <w:tc>
                <w:tcPr>
                  <w:tcW w:w="0" w:type="auto"/>
                  <w:vAlign w:val="center"/>
                </w:tcPr>
                <w:p w14:paraId="6A89E162">
                  <w:pPr>
                    <w:widowControl/>
                    <w:jc w:val="center"/>
                    <w:textAlignment w:val="center"/>
                    <w:rPr>
                      <w:rFonts w:hint="default" w:ascii="Times New Roman" w:hAnsi="Times New Roman" w:eastAsia="宋体" w:cs="Times New Roman"/>
                      <w:b/>
                      <w:bCs/>
                      <w:kern w:val="2"/>
                      <w:sz w:val="21"/>
                      <w:szCs w:val="21"/>
                      <w:lang w:val="en-US" w:eastAsia="zh-CN" w:bidi="ar-SA"/>
                    </w:rPr>
                  </w:pPr>
                  <w:r>
                    <w:rPr>
                      <w:rFonts w:hint="eastAsia" w:ascii="宋体" w:hAnsi="宋体" w:cs="宋体"/>
                      <w:b/>
                      <w:bCs/>
                      <w:kern w:val="0"/>
                      <w:sz w:val="21"/>
                      <w:szCs w:val="21"/>
                      <w:lang w:bidi="ar"/>
                    </w:rPr>
                    <w:t>处置量（</w:t>
                  </w:r>
                  <w:r>
                    <w:rPr>
                      <w:b/>
                      <w:bCs/>
                      <w:kern w:val="0"/>
                      <w:sz w:val="21"/>
                      <w:szCs w:val="21"/>
                      <w:lang w:bidi="ar"/>
                    </w:rPr>
                    <w:t>t/a</w:t>
                  </w:r>
                  <w:r>
                    <w:rPr>
                      <w:rFonts w:hint="eastAsia" w:ascii="宋体" w:hAnsi="宋体" w:cs="宋体"/>
                      <w:b/>
                      <w:bCs/>
                      <w:kern w:val="0"/>
                      <w:sz w:val="21"/>
                      <w:szCs w:val="21"/>
                      <w:lang w:bidi="ar"/>
                    </w:rPr>
                    <w:t>）</w:t>
                  </w:r>
                </w:p>
              </w:tc>
            </w:tr>
            <w:tr w14:paraId="0A42D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13B4F3C8">
                  <w:pPr>
                    <w:widowControl/>
                    <w:jc w:val="center"/>
                    <w:textAlignment w:val="center"/>
                    <w:rPr>
                      <w:rFonts w:hint="default" w:ascii="Times New Roman" w:hAnsi="Times New Roman" w:eastAsia="宋体" w:cs="Times New Roman"/>
                      <w:kern w:val="2"/>
                      <w:sz w:val="21"/>
                      <w:szCs w:val="21"/>
                      <w:lang w:val="en-US" w:eastAsia="zh-CN" w:bidi="ar-SA"/>
                    </w:rPr>
                  </w:pPr>
                  <w:r>
                    <w:rPr>
                      <w:kern w:val="0"/>
                      <w:sz w:val="21"/>
                      <w:szCs w:val="21"/>
                      <w:lang w:bidi="ar"/>
                    </w:rPr>
                    <w:t>1</w:t>
                  </w:r>
                </w:p>
              </w:tc>
              <w:tc>
                <w:tcPr>
                  <w:tcW w:w="1011" w:type="dxa"/>
                  <w:vAlign w:val="center"/>
                </w:tcPr>
                <w:p w14:paraId="5A6BBF40">
                  <w:pPr>
                    <w:widowControl/>
                    <w:adjustRightInd w:val="0"/>
                    <w:snapToGrid w:val="0"/>
                    <w:jc w:val="center"/>
                    <w:textAlignment w:val="center"/>
                    <w:rPr>
                      <w:rFonts w:hint="default" w:ascii="Times New Roman" w:hAnsi="Times New Roman" w:eastAsia="宋体" w:cs="Times New Roman"/>
                      <w:kern w:val="2"/>
                      <w:sz w:val="21"/>
                      <w:szCs w:val="21"/>
                      <w:highlight w:val="yellow"/>
                      <w:lang w:val="en-US" w:eastAsia="zh-CN" w:bidi="ar-SA"/>
                    </w:rPr>
                  </w:pPr>
                  <w:r>
                    <w:rPr>
                      <w:rFonts w:hint="eastAsia"/>
                      <w:sz w:val="21"/>
                      <w:szCs w:val="21"/>
                    </w:rPr>
                    <w:t>机械维修、保养</w:t>
                  </w:r>
                </w:p>
              </w:tc>
              <w:tc>
                <w:tcPr>
                  <w:tcW w:w="1412" w:type="dxa"/>
                  <w:vAlign w:val="center"/>
                </w:tcPr>
                <w:p w14:paraId="32A2143C">
                  <w:pPr>
                    <w:widowControl/>
                    <w:jc w:val="center"/>
                    <w:textAlignment w:val="center"/>
                    <w:rPr>
                      <w:rFonts w:hint="default" w:ascii="Times New Roman" w:hAnsi="Times New Roman" w:eastAsia="宋体" w:cs="Times New Roman"/>
                      <w:kern w:val="2"/>
                      <w:sz w:val="21"/>
                      <w:szCs w:val="21"/>
                      <w:highlight w:val="yellow"/>
                      <w:lang w:val="en-US" w:eastAsia="zh-CN" w:bidi="ar-SA"/>
                    </w:rPr>
                  </w:pPr>
                  <w:r>
                    <w:rPr>
                      <w:rFonts w:hint="eastAsia"/>
                      <w:sz w:val="21"/>
                      <w:szCs w:val="21"/>
                    </w:rPr>
                    <w:t>废润滑油</w:t>
                  </w:r>
                </w:p>
              </w:tc>
              <w:tc>
                <w:tcPr>
                  <w:tcW w:w="0" w:type="auto"/>
                  <w:vAlign w:val="center"/>
                </w:tcPr>
                <w:p w14:paraId="0A82595D">
                  <w:pPr>
                    <w:widowControl/>
                    <w:jc w:val="center"/>
                    <w:textAlignment w:val="center"/>
                    <w:rPr>
                      <w:rFonts w:hint="default" w:ascii="Times New Roman" w:hAnsi="Times New Roman" w:eastAsia="宋体" w:cs="Times New Roman"/>
                      <w:kern w:val="2"/>
                      <w:sz w:val="21"/>
                      <w:szCs w:val="21"/>
                      <w:highlight w:val="yellow"/>
                      <w:lang w:val="en-US" w:eastAsia="zh-CN" w:bidi="ar-SA"/>
                    </w:rPr>
                  </w:pPr>
                  <w:r>
                    <w:rPr>
                      <w:rFonts w:hint="eastAsia" w:ascii="宋体" w:hAnsi="宋体" w:cs="宋体"/>
                      <w:kern w:val="0"/>
                      <w:sz w:val="21"/>
                      <w:szCs w:val="21"/>
                      <w:lang w:bidi="ar"/>
                    </w:rPr>
                    <w:t>危险废物</w:t>
                  </w:r>
                </w:p>
              </w:tc>
              <w:tc>
                <w:tcPr>
                  <w:tcW w:w="0" w:type="auto"/>
                  <w:vAlign w:val="center"/>
                </w:tcPr>
                <w:p w14:paraId="1FB2E87E">
                  <w:pPr>
                    <w:widowControl/>
                    <w:jc w:val="center"/>
                    <w:rPr>
                      <w:kern w:val="0"/>
                      <w:sz w:val="21"/>
                      <w:szCs w:val="21"/>
                    </w:rPr>
                  </w:pPr>
                  <w:r>
                    <w:rPr>
                      <w:rFonts w:hint="eastAsia"/>
                      <w:kern w:val="0"/>
                      <w:sz w:val="21"/>
                      <w:szCs w:val="21"/>
                    </w:rPr>
                    <w:t>HW08</w:t>
                  </w:r>
                </w:p>
                <w:p w14:paraId="34C10B8A">
                  <w:pPr>
                    <w:widowControl/>
                    <w:jc w:val="center"/>
                    <w:rPr>
                      <w:rFonts w:hint="default" w:ascii="Times New Roman" w:hAnsi="Times New Roman" w:eastAsia="宋体" w:cs="Times New Roman"/>
                      <w:kern w:val="2"/>
                      <w:sz w:val="21"/>
                      <w:szCs w:val="21"/>
                      <w:highlight w:val="yellow"/>
                      <w:lang w:val="en-US" w:eastAsia="zh-CN" w:bidi="ar-SA"/>
                    </w:rPr>
                  </w:pPr>
                  <w:r>
                    <w:rPr>
                      <w:rFonts w:hint="eastAsia"/>
                      <w:sz w:val="21"/>
                      <w:szCs w:val="21"/>
                    </w:rPr>
                    <w:t>900-214-08</w:t>
                  </w:r>
                </w:p>
              </w:tc>
              <w:tc>
                <w:tcPr>
                  <w:tcW w:w="0" w:type="auto"/>
                  <w:vAlign w:val="center"/>
                </w:tcPr>
                <w:p w14:paraId="04E591AA">
                  <w:pPr>
                    <w:widowControl/>
                    <w:jc w:val="center"/>
                    <w:textAlignment w:val="center"/>
                    <w:rPr>
                      <w:rFonts w:hint="default" w:ascii="Times New Roman" w:hAnsi="Times New Roman" w:eastAsia="宋体" w:cs="Times New Roman"/>
                      <w:kern w:val="2"/>
                      <w:sz w:val="21"/>
                      <w:szCs w:val="21"/>
                      <w:highlight w:val="yellow"/>
                      <w:lang w:val="en-US" w:eastAsia="zh-CN" w:bidi="ar-SA"/>
                    </w:rPr>
                  </w:pPr>
                  <w:r>
                    <w:rPr>
                      <w:rFonts w:hint="eastAsia" w:ascii="宋体" w:hAnsi="宋体" w:cs="宋体"/>
                      <w:kern w:val="0"/>
                      <w:sz w:val="21"/>
                      <w:szCs w:val="21"/>
                      <w:lang w:bidi="ar"/>
                    </w:rPr>
                    <w:t>有机物</w:t>
                  </w:r>
                </w:p>
              </w:tc>
              <w:tc>
                <w:tcPr>
                  <w:tcW w:w="0" w:type="auto"/>
                  <w:vAlign w:val="center"/>
                </w:tcPr>
                <w:p w14:paraId="506A0215">
                  <w:pPr>
                    <w:widowControl/>
                    <w:jc w:val="center"/>
                    <w:textAlignment w:val="center"/>
                    <w:rPr>
                      <w:rFonts w:hint="default" w:ascii="Times New Roman" w:hAnsi="Times New Roman" w:eastAsia="宋体" w:cs="Times New Roman"/>
                      <w:kern w:val="2"/>
                      <w:sz w:val="21"/>
                      <w:szCs w:val="21"/>
                      <w:highlight w:val="yellow"/>
                      <w:lang w:val="en-US" w:eastAsia="zh-CN" w:bidi="ar-SA"/>
                    </w:rPr>
                  </w:pPr>
                  <w:r>
                    <w:rPr>
                      <w:rFonts w:hint="eastAsia" w:ascii="宋体" w:hAnsi="宋体" w:cs="宋体"/>
                      <w:kern w:val="0"/>
                      <w:sz w:val="21"/>
                      <w:szCs w:val="21"/>
                      <w:lang w:bidi="ar"/>
                    </w:rPr>
                    <w:t>液态</w:t>
                  </w:r>
                </w:p>
              </w:tc>
              <w:tc>
                <w:tcPr>
                  <w:tcW w:w="0" w:type="auto"/>
                  <w:vAlign w:val="center"/>
                </w:tcPr>
                <w:p w14:paraId="39AE380F">
                  <w:pPr>
                    <w:widowControl/>
                    <w:jc w:val="center"/>
                    <w:textAlignment w:val="center"/>
                    <w:rPr>
                      <w:rFonts w:hint="default" w:ascii="Times New Roman" w:hAnsi="Times New Roman" w:eastAsia="宋体" w:cs="Times New Roman"/>
                      <w:kern w:val="2"/>
                      <w:sz w:val="21"/>
                      <w:szCs w:val="21"/>
                      <w:highlight w:val="yellow"/>
                      <w:lang w:val="en-US" w:eastAsia="zh-CN" w:bidi="ar-SA"/>
                    </w:rPr>
                  </w:pPr>
                  <w:r>
                    <w:rPr>
                      <w:kern w:val="0"/>
                      <w:sz w:val="21"/>
                      <w:szCs w:val="21"/>
                      <w:lang w:bidi="ar"/>
                    </w:rPr>
                    <w:t>T</w:t>
                  </w:r>
                  <w:r>
                    <w:rPr>
                      <w:rFonts w:hint="eastAsia"/>
                      <w:kern w:val="0"/>
                      <w:sz w:val="21"/>
                      <w:szCs w:val="21"/>
                      <w:lang w:bidi="ar"/>
                    </w:rPr>
                    <w:t>，</w:t>
                  </w:r>
                  <w:r>
                    <w:rPr>
                      <w:kern w:val="0"/>
                      <w:sz w:val="21"/>
                      <w:szCs w:val="21"/>
                      <w:lang w:bidi="ar"/>
                    </w:rPr>
                    <w:t>I</w:t>
                  </w:r>
                </w:p>
              </w:tc>
              <w:tc>
                <w:tcPr>
                  <w:tcW w:w="0" w:type="auto"/>
                  <w:vAlign w:val="center"/>
                </w:tcPr>
                <w:p w14:paraId="259159DD">
                  <w:pPr>
                    <w:widowControl/>
                    <w:jc w:val="center"/>
                    <w:textAlignment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2</w:t>
                  </w:r>
                </w:p>
              </w:tc>
              <w:tc>
                <w:tcPr>
                  <w:tcW w:w="0" w:type="auto"/>
                  <w:vMerge w:val="restart"/>
                  <w:vAlign w:val="center"/>
                </w:tcPr>
                <w:p w14:paraId="10B7FAA5">
                  <w:pPr>
                    <w:widowControl/>
                    <w:jc w:val="center"/>
                    <w:textAlignment w:val="center"/>
                    <w:rPr>
                      <w:rFonts w:hint="default" w:ascii="Times New Roman" w:hAnsi="Times New Roman" w:eastAsia="宋体" w:cs="Times New Roman"/>
                      <w:kern w:val="2"/>
                      <w:sz w:val="21"/>
                      <w:szCs w:val="21"/>
                      <w:lang w:val="en-US" w:eastAsia="zh-CN" w:bidi="ar-SA"/>
                    </w:rPr>
                  </w:pPr>
                  <w:r>
                    <w:rPr>
                      <w:rFonts w:hint="eastAsia" w:ascii="宋体" w:hAnsi="宋体" w:cs="宋体"/>
                      <w:kern w:val="0"/>
                      <w:sz w:val="21"/>
                      <w:szCs w:val="21"/>
                      <w:lang w:bidi="ar"/>
                    </w:rPr>
                    <w:t>贮存在</w:t>
                  </w:r>
                  <w:r>
                    <w:rPr>
                      <w:rFonts w:hint="eastAsia" w:ascii="宋体" w:hAnsi="宋体" w:cs="宋体"/>
                      <w:kern w:val="0"/>
                      <w:sz w:val="21"/>
                      <w:szCs w:val="21"/>
                      <w:lang w:eastAsia="zh-CN" w:bidi="ar"/>
                    </w:rPr>
                    <w:t>危废间</w:t>
                  </w:r>
                </w:p>
              </w:tc>
              <w:tc>
                <w:tcPr>
                  <w:tcW w:w="1896" w:type="dxa"/>
                  <w:vMerge w:val="restart"/>
                  <w:vAlign w:val="center"/>
                </w:tcPr>
                <w:p w14:paraId="0264D911">
                  <w:pPr>
                    <w:widowControl/>
                    <w:jc w:val="center"/>
                    <w:textAlignment w:val="center"/>
                    <w:rPr>
                      <w:rFonts w:hint="eastAsia" w:ascii="Times New Roman" w:hAnsi="Times New Roman" w:eastAsia="宋体" w:cs="Times New Roman"/>
                      <w:kern w:val="2"/>
                      <w:sz w:val="21"/>
                      <w:szCs w:val="21"/>
                      <w:lang w:val="en-US" w:eastAsia="zh-CN" w:bidi="ar-SA"/>
                    </w:rPr>
                  </w:pPr>
                  <w:r>
                    <w:rPr>
                      <w:rFonts w:hint="eastAsia" w:ascii="宋体" w:hAnsi="宋体" w:cs="宋体"/>
                      <w:kern w:val="0"/>
                      <w:sz w:val="21"/>
                      <w:szCs w:val="21"/>
                      <w:lang w:bidi="ar"/>
                    </w:rPr>
                    <w:t>委托资质单位处置</w:t>
                  </w:r>
                </w:p>
              </w:tc>
              <w:tc>
                <w:tcPr>
                  <w:tcW w:w="1202" w:type="dxa"/>
                  <w:vAlign w:val="center"/>
                </w:tcPr>
                <w:p w14:paraId="134C8A68">
                  <w:pPr>
                    <w:widowControl/>
                    <w:jc w:val="center"/>
                    <w:textAlignment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2</w:t>
                  </w:r>
                </w:p>
              </w:tc>
            </w:tr>
            <w:tr w14:paraId="11E4F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Align w:val="center"/>
                </w:tcPr>
                <w:p w14:paraId="5EB6CE1E">
                  <w:pPr>
                    <w:widowControl/>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bidi="ar"/>
                    </w:rPr>
                    <w:t>2</w:t>
                  </w:r>
                </w:p>
              </w:tc>
              <w:tc>
                <w:tcPr>
                  <w:tcW w:w="1011" w:type="dxa"/>
                  <w:vMerge w:val="restart"/>
                  <w:vAlign w:val="center"/>
                </w:tcPr>
                <w:p w14:paraId="7003F2B8">
                  <w:pPr>
                    <w:widowControl/>
                    <w:adjustRightInd w:val="0"/>
                    <w:snapToGrid w:val="0"/>
                    <w:jc w:val="center"/>
                    <w:textAlignment w:val="center"/>
                    <w:rPr>
                      <w:rFonts w:hint="eastAsia" w:ascii="Times New Roman" w:hAnsi="Times New Roman" w:eastAsia="宋体" w:cs="Times New Roman"/>
                      <w:kern w:val="2"/>
                      <w:sz w:val="21"/>
                      <w:szCs w:val="21"/>
                      <w:lang w:val="en-US" w:eastAsia="zh-CN" w:bidi="ar-SA"/>
                    </w:rPr>
                  </w:pPr>
                  <w:r>
                    <w:rPr>
                      <w:rFonts w:hint="eastAsia"/>
                      <w:sz w:val="21"/>
                      <w:szCs w:val="21"/>
                      <w:lang w:eastAsia="zh-CN"/>
                    </w:rPr>
                    <w:t>喷漆</w:t>
                  </w:r>
                </w:p>
              </w:tc>
              <w:tc>
                <w:tcPr>
                  <w:tcW w:w="1412" w:type="dxa"/>
                  <w:vAlign w:val="center"/>
                </w:tcPr>
                <w:p w14:paraId="7BEBCEE7">
                  <w:pPr>
                    <w:widowControl/>
                    <w:jc w:val="center"/>
                    <w:textAlignment w:val="center"/>
                    <w:rPr>
                      <w:rFonts w:hint="eastAsia" w:ascii="Times New Roman" w:hAnsi="Times New Roman" w:eastAsia="宋体" w:cs="Times New Roman"/>
                      <w:kern w:val="2"/>
                      <w:sz w:val="21"/>
                      <w:szCs w:val="21"/>
                      <w:lang w:val="en-US" w:eastAsia="zh-CN" w:bidi="ar-SA"/>
                    </w:rPr>
                  </w:pPr>
                  <w:r>
                    <w:rPr>
                      <w:rFonts w:hint="eastAsia"/>
                      <w:sz w:val="21"/>
                      <w:szCs w:val="21"/>
                    </w:rPr>
                    <w:t>废</w:t>
                  </w:r>
                  <w:r>
                    <w:rPr>
                      <w:rFonts w:hint="eastAsia"/>
                      <w:sz w:val="21"/>
                      <w:szCs w:val="21"/>
                      <w:lang w:eastAsia="zh-CN"/>
                    </w:rPr>
                    <w:t>漆桶</w:t>
                  </w:r>
                </w:p>
              </w:tc>
              <w:tc>
                <w:tcPr>
                  <w:tcW w:w="0" w:type="auto"/>
                  <w:vAlign w:val="center"/>
                </w:tcPr>
                <w:p w14:paraId="0DA83E98">
                  <w:pPr>
                    <w:widowControl/>
                    <w:jc w:val="center"/>
                    <w:textAlignment w:val="center"/>
                    <w:rPr>
                      <w:rFonts w:hint="default" w:ascii="宋体" w:hAnsi="宋体" w:eastAsia="宋体" w:cs="宋体"/>
                      <w:kern w:val="0"/>
                      <w:sz w:val="21"/>
                      <w:szCs w:val="21"/>
                      <w:lang w:val="en-US" w:eastAsia="zh-CN" w:bidi="ar"/>
                    </w:rPr>
                  </w:pPr>
                  <w:r>
                    <w:rPr>
                      <w:rFonts w:hint="eastAsia" w:ascii="宋体" w:hAnsi="宋体" w:cs="宋体"/>
                      <w:kern w:val="0"/>
                      <w:sz w:val="21"/>
                      <w:szCs w:val="21"/>
                      <w:lang w:bidi="ar"/>
                    </w:rPr>
                    <w:t>危险废物</w:t>
                  </w:r>
                </w:p>
              </w:tc>
              <w:tc>
                <w:tcPr>
                  <w:tcW w:w="0" w:type="auto"/>
                  <w:vAlign w:val="center"/>
                </w:tcPr>
                <w:p w14:paraId="34857AEA">
                  <w:pPr>
                    <w:jc w:val="center"/>
                    <w:rPr>
                      <w:sz w:val="21"/>
                      <w:szCs w:val="21"/>
                    </w:rPr>
                  </w:pPr>
                  <w:r>
                    <w:rPr>
                      <w:rFonts w:hint="eastAsia"/>
                      <w:sz w:val="21"/>
                      <w:szCs w:val="21"/>
                    </w:rPr>
                    <w:t>HW</w:t>
                  </w:r>
                  <w:r>
                    <w:rPr>
                      <w:rFonts w:hint="eastAsia"/>
                      <w:sz w:val="21"/>
                      <w:szCs w:val="21"/>
                      <w:lang w:val="en-US" w:eastAsia="zh-CN"/>
                    </w:rPr>
                    <w:t>4</w:t>
                  </w:r>
                  <w:r>
                    <w:rPr>
                      <w:rFonts w:hint="eastAsia"/>
                      <w:sz w:val="21"/>
                      <w:szCs w:val="21"/>
                    </w:rPr>
                    <w:t>9</w:t>
                  </w:r>
                </w:p>
                <w:p w14:paraId="37A2DEA3">
                  <w:pPr>
                    <w:widowControl/>
                    <w:jc w:val="center"/>
                    <w:rPr>
                      <w:rFonts w:hint="default" w:ascii="Times New Roman" w:hAnsi="Times New Roman" w:eastAsia="宋体" w:cs="Times New Roman"/>
                      <w:kern w:val="0"/>
                      <w:sz w:val="21"/>
                      <w:szCs w:val="21"/>
                      <w:lang w:val="en-US" w:eastAsia="zh-CN" w:bidi="ar-SA"/>
                    </w:rPr>
                  </w:pPr>
                  <w:r>
                    <w:rPr>
                      <w:rFonts w:hint="eastAsia"/>
                      <w:kern w:val="0"/>
                      <w:szCs w:val="21"/>
                      <w:lang w:bidi="ar"/>
                    </w:rPr>
                    <w:t>900-047-49</w:t>
                  </w:r>
                </w:p>
              </w:tc>
              <w:tc>
                <w:tcPr>
                  <w:tcW w:w="0" w:type="auto"/>
                  <w:vAlign w:val="center"/>
                </w:tcPr>
                <w:p w14:paraId="5CD4EA60">
                  <w:pPr>
                    <w:widowControl/>
                    <w:jc w:val="center"/>
                    <w:textAlignment w:val="center"/>
                    <w:rPr>
                      <w:rFonts w:hint="default" w:ascii="宋体" w:hAnsi="宋体" w:eastAsia="宋体" w:cs="宋体"/>
                      <w:kern w:val="0"/>
                      <w:sz w:val="21"/>
                      <w:szCs w:val="21"/>
                      <w:lang w:val="en-US" w:eastAsia="zh-CN" w:bidi="ar"/>
                    </w:rPr>
                  </w:pPr>
                  <w:r>
                    <w:rPr>
                      <w:rFonts w:hint="eastAsia" w:ascii="宋体" w:hAnsi="宋体" w:cs="宋体"/>
                      <w:kern w:val="0"/>
                      <w:sz w:val="21"/>
                      <w:szCs w:val="21"/>
                      <w:lang w:bidi="ar"/>
                    </w:rPr>
                    <w:t>有机物</w:t>
                  </w:r>
                </w:p>
              </w:tc>
              <w:tc>
                <w:tcPr>
                  <w:tcW w:w="0" w:type="auto"/>
                  <w:vAlign w:val="center"/>
                </w:tcPr>
                <w:p w14:paraId="4A3BD317">
                  <w:pPr>
                    <w:widowControl/>
                    <w:jc w:val="center"/>
                    <w:textAlignment w:val="center"/>
                    <w:rPr>
                      <w:rFonts w:hint="default" w:ascii="宋体" w:hAnsi="宋体" w:eastAsia="宋体" w:cs="宋体"/>
                      <w:kern w:val="0"/>
                      <w:sz w:val="21"/>
                      <w:szCs w:val="21"/>
                      <w:lang w:val="en-US" w:eastAsia="zh-CN" w:bidi="ar"/>
                    </w:rPr>
                  </w:pPr>
                  <w:r>
                    <w:rPr>
                      <w:rFonts w:hint="eastAsia" w:ascii="宋体" w:hAnsi="宋体" w:cs="宋体"/>
                      <w:kern w:val="0"/>
                      <w:sz w:val="21"/>
                      <w:szCs w:val="21"/>
                      <w:lang w:bidi="ar"/>
                    </w:rPr>
                    <w:t>固态</w:t>
                  </w:r>
                </w:p>
              </w:tc>
              <w:tc>
                <w:tcPr>
                  <w:tcW w:w="0" w:type="auto"/>
                  <w:vAlign w:val="center"/>
                </w:tcPr>
                <w:p w14:paraId="570036B5">
                  <w:pPr>
                    <w:widowControl/>
                    <w:jc w:val="center"/>
                    <w:textAlignment w:val="center"/>
                    <w:rPr>
                      <w:rFonts w:hint="default" w:ascii="Times New Roman" w:hAnsi="Times New Roman" w:eastAsia="宋体" w:cs="Times New Roman"/>
                      <w:kern w:val="0"/>
                      <w:sz w:val="21"/>
                      <w:szCs w:val="21"/>
                      <w:lang w:val="en-US" w:eastAsia="zh-CN" w:bidi="ar"/>
                    </w:rPr>
                  </w:pPr>
                  <w:r>
                    <w:rPr>
                      <w:rFonts w:hint="eastAsia"/>
                      <w:kern w:val="0"/>
                      <w:szCs w:val="21"/>
                      <w:lang w:bidi="ar"/>
                    </w:rPr>
                    <w:t>T/C/I/R</w:t>
                  </w:r>
                </w:p>
              </w:tc>
              <w:tc>
                <w:tcPr>
                  <w:tcW w:w="0" w:type="auto"/>
                  <w:vAlign w:val="center"/>
                </w:tcPr>
                <w:p w14:paraId="6F30609B">
                  <w:pPr>
                    <w:widowControl/>
                    <w:jc w:val="center"/>
                    <w:textAlignment w:val="center"/>
                    <w:rPr>
                      <w:rFonts w:hint="default" w:ascii="Times New Roman" w:hAnsi="Times New Roman" w:eastAsia="宋体" w:cs="Times New Roman"/>
                      <w:kern w:val="0"/>
                      <w:sz w:val="21"/>
                      <w:szCs w:val="21"/>
                      <w:lang w:val="en-US" w:eastAsia="zh-CN" w:bidi="ar"/>
                    </w:rPr>
                  </w:pPr>
                  <w:r>
                    <w:rPr>
                      <w:rFonts w:hint="eastAsia" w:cs="Times New Roman"/>
                      <w:kern w:val="0"/>
                      <w:sz w:val="21"/>
                      <w:szCs w:val="21"/>
                      <w:lang w:val="en-US" w:eastAsia="zh-CN" w:bidi="ar"/>
                    </w:rPr>
                    <w:t>0.1</w:t>
                  </w:r>
                </w:p>
              </w:tc>
              <w:tc>
                <w:tcPr>
                  <w:tcW w:w="0" w:type="auto"/>
                  <w:vMerge w:val="continue"/>
                  <w:vAlign w:val="center"/>
                </w:tcPr>
                <w:p w14:paraId="538F8EEA">
                  <w:pPr>
                    <w:bidi w:val="0"/>
                    <w:jc w:val="center"/>
                    <w:rPr>
                      <w:rFonts w:hint="default" w:ascii="Times New Roman" w:hAnsi="Times New Roman" w:cs="Times New Roman"/>
                      <w:sz w:val="21"/>
                      <w:szCs w:val="21"/>
                    </w:rPr>
                  </w:pPr>
                </w:p>
              </w:tc>
              <w:tc>
                <w:tcPr>
                  <w:tcW w:w="1896" w:type="dxa"/>
                  <w:vMerge w:val="continue"/>
                  <w:vAlign w:val="center"/>
                </w:tcPr>
                <w:p w14:paraId="7EC30945">
                  <w:pPr>
                    <w:widowControl/>
                    <w:jc w:val="center"/>
                    <w:textAlignment w:val="center"/>
                    <w:rPr>
                      <w:rFonts w:hint="default" w:ascii="宋体" w:hAnsi="宋体" w:eastAsia="宋体" w:cs="宋体"/>
                      <w:kern w:val="0"/>
                      <w:sz w:val="21"/>
                      <w:szCs w:val="21"/>
                      <w:lang w:val="en-US" w:eastAsia="zh-CN" w:bidi="ar"/>
                    </w:rPr>
                  </w:pPr>
                </w:p>
              </w:tc>
              <w:tc>
                <w:tcPr>
                  <w:tcW w:w="1202" w:type="dxa"/>
                  <w:vAlign w:val="center"/>
                </w:tcPr>
                <w:p w14:paraId="7929C6EB">
                  <w:pPr>
                    <w:widowControl/>
                    <w:jc w:val="center"/>
                    <w:textAlignment w:val="center"/>
                    <w:rPr>
                      <w:rFonts w:hint="default" w:ascii="Times New Roman" w:hAnsi="Times New Roman" w:eastAsia="宋体" w:cs="Times New Roman"/>
                      <w:kern w:val="0"/>
                      <w:sz w:val="21"/>
                      <w:szCs w:val="21"/>
                      <w:lang w:val="en-US" w:eastAsia="zh-CN" w:bidi="ar"/>
                    </w:rPr>
                  </w:pPr>
                  <w:r>
                    <w:rPr>
                      <w:rFonts w:hint="eastAsia" w:cs="Times New Roman"/>
                      <w:kern w:val="0"/>
                      <w:sz w:val="21"/>
                      <w:szCs w:val="21"/>
                      <w:lang w:val="en-US" w:eastAsia="zh-CN" w:bidi="ar"/>
                    </w:rPr>
                    <w:t>0.1</w:t>
                  </w:r>
                </w:p>
              </w:tc>
            </w:tr>
            <w:tr w14:paraId="393A6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shd w:val="clear" w:color="auto" w:fill="auto"/>
                  <w:vAlign w:val="center"/>
                </w:tcPr>
                <w:p w14:paraId="129C31BF">
                  <w:pPr>
                    <w:widowControl/>
                    <w:jc w:val="center"/>
                    <w:textAlignment w:val="center"/>
                    <w:rPr>
                      <w:rFonts w:hint="eastAsia" w:ascii="Times New Roman" w:hAnsi="Times New Roman" w:eastAsia="宋体" w:cs="Times New Roman"/>
                      <w:kern w:val="2"/>
                      <w:sz w:val="21"/>
                      <w:szCs w:val="21"/>
                      <w:lang w:val="en-US" w:eastAsia="zh-CN" w:bidi="ar-SA"/>
                    </w:rPr>
                  </w:pPr>
                  <w:r>
                    <w:rPr>
                      <w:rFonts w:hint="eastAsia"/>
                      <w:kern w:val="0"/>
                      <w:sz w:val="21"/>
                      <w:szCs w:val="21"/>
                      <w:lang w:bidi="ar"/>
                    </w:rPr>
                    <w:t>3</w:t>
                  </w:r>
                </w:p>
              </w:tc>
              <w:tc>
                <w:tcPr>
                  <w:tcW w:w="1011" w:type="dxa"/>
                  <w:vMerge w:val="continue"/>
                  <w:shd w:val="clear" w:color="auto" w:fill="auto"/>
                  <w:vAlign w:val="center"/>
                </w:tcPr>
                <w:p w14:paraId="70346B4E">
                  <w:pPr>
                    <w:widowControl/>
                    <w:jc w:val="center"/>
                    <w:textAlignment w:val="center"/>
                    <w:rPr>
                      <w:rFonts w:hint="eastAsia" w:ascii="Times New Roman" w:hAnsi="Times New Roman" w:eastAsia="宋体" w:cs="Times New Roman"/>
                      <w:kern w:val="2"/>
                      <w:sz w:val="21"/>
                      <w:szCs w:val="21"/>
                      <w:lang w:val="en-US" w:eastAsia="zh-CN" w:bidi="ar-SA"/>
                    </w:rPr>
                  </w:pPr>
                </w:p>
              </w:tc>
              <w:tc>
                <w:tcPr>
                  <w:tcW w:w="1412" w:type="dxa"/>
                  <w:shd w:val="clear" w:color="auto" w:fill="auto"/>
                  <w:vAlign w:val="center"/>
                </w:tcPr>
                <w:p w14:paraId="5F8F9275">
                  <w:pPr>
                    <w:widowControl/>
                    <w:jc w:val="center"/>
                    <w:textAlignment w:val="center"/>
                    <w:rPr>
                      <w:rFonts w:hint="eastAsia" w:ascii="Times New Roman" w:hAnsi="Times New Roman" w:eastAsia="宋体" w:cs="Times New Roman"/>
                      <w:kern w:val="2"/>
                      <w:sz w:val="21"/>
                      <w:szCs w:val="21"/>
                      <w:lang w:val="en-US" w:eastAsia="zh-CN" w:bidi="ar-SA"/>
                    </w:rPr>
                  </w:pPr>
                  <w:r>
                    <w:rPr>
                      <w:rFonts w:hint="eastAsia"/>
                      <w:sz w:val="21"/>
                      <w:szCs w:val="21"/>
                      <w:lang w:eastAsia="zh-CN"/>
                    </w:rPr>
                    <w:t>漆渣</w:t>
                  </w:r>
                </w:p>
              </w:tc>
              <w:tc>
                <w:tcPr>
                  <w:tcW w:w="0" w:type="auto"/>
                  <w:shd w:val="clear" w:color="auto" w:fill="auto"/>
                  <w:vAlign w:val="center"/>
                </w:tcPr>
                <w:p w14:paraId="077E14E5">
                  <w:pPr>
                    <w:widowControl/>
                    <w:jc w:val="center"/>
                    <w:textAlignment w:val="center"/>
                    <w:rPr>
                      <w:rFonts w:hint="eastAsia" w:ascii="Times New Roman" w:hAnsi="Times New Roman" w:eastAsia="宋体" w:cs="Times New Roman"/>
                      <w:kern w:val="2"/>
                      <w:sz w:val="21"/>
                      <w:szCs w:val="21"/>
                      <w:lang w:val="en-US" w:eastAsia="zh-CN" w:bidi="ar-SA"/>
                    </w:rPr>
                  </w:pPr>
                  <w:r>
                    <w:rPr>
                      <w:rFonts w:hint="eastAsia" w:ascii="宋体" w:hAnsi="宋体" w:cs="宋体"/>
                      <w:kern w:val="0"/>
                      <w:sz w:val="21"/>
                      <w:szCs w:val="21"/>
                      <w:lang w:bidi="ar"/>
                    </w:rPr>
                    <w:t>危险废物</w:t>
                  </w:r>
                </w:p>
              </w:tc>
              <w:tc>
                <w:tcPr>
                  <w:tcW w:w="0" w:type="auto"/>
                  <w:shd w:val="clear" w:color="auto" w:fill="auto"/>
                  <w:vAlign w:val="center"/>
                </w:tcPr>
                <w:p w14:paraId="2AD68DAA">
                  <w:pPr>
                    <w:jc w:val="center"/>
                    <w:rPr>
                      <w:sz w:val="21"/>
                      <w:szCs w:val="21"/>
                    </w:rPr>
                  </w:pPr>
                  <w:r>
                    <w:rPr>
                      <w:rFonts w:hint="eastAsia"/>
                      <w:sz w:val="21"/>
                      <w:szCs w:val="21"/>
                    </w:rPr>
                    <w:t>HW</w:t>
                  </w:r>
                  <w:r>
                    <w:rPr>
                      <w:rFonts w:hint="eastAsia"/>
                      <w:sz w:val="21"/>
                      <w:szCs w:val="21"/>
                      <w:lang w:val="en-US" w:eastAsia="zh-CN"/>
                    </w:rPr>
                    <w:t>4</w:t>
                  </w:r>
                  <w:r>
                    <w:rPr>
                      <w:rFonts w:hint="eastAsia"/>
                      <w:sz w:val="21"/>
                      <w:szCs w:val="21"/>
                    </w:rPr>
                    <w:t>9</w:t>
                  </w:r>
                </w:p>
                <w:p w14:paraId="7DC96D23">
                  <w:pPr>
                    <w:jc w:val="center"/>
                    <w:rPr>
                      <w:rFonts w:hint="eastAsia" w:ascii="Times New Roman" w:hAnsi="Times New Roman" w:eastAsia="宋体" w:cs="Times New Roman"/>
                      <w:kern w:val="2"/>
                      <w:sz w:val="21"/>
                      <w:szCs w:val="21"/>
                      <w:lang w:val="en-US" w:eastAsia="zh-CN" w:bidi="ar-SA"/>
                    </w:rPr>
                  </w:pPr>
                  <w:r>
                    <w:rPr>
                      <w:rFonts w:hint="eastAsia"/>
                      <w:kern w:val="0"/>
                      <w:szCs w:val="21"/>
                      <w:lang w:bidi="ar"/>
                    </w:rPr>
                    <w:t>900-047-49</w:t>
                  </w:r>
                </w:p>
              </w:tc>
              <w:tc>
                <w:tcPr>
                  <w:tcW w:w="0" w:type="auto"/>
                  <w:shd w:val="clear" w:color="auto" w:fill="auto"/>
                  <w:vAlign w:val="center"/>
                </w:tcPr>
                <w:p w14:paraId="36FC5D3C">
                  <w:pPr>
                    <w:widowControl/>
                    <w:jc w:val="center"/>
                    <w:textAlignment w:val="center"/>
                    <w:rPr>
                      <w:rFonts w:hint="eastAsia" w:ascii="Times New Roman" w:hAnsi="Times New Roman" w:eastAsia="宋体" w:cs="Times New Roman"/>
                      <w:kern w:val="2"/>
                      <w:sz w:val="21"/>
                      <w:szCs w:val="21"/>
                      <w:lang w:val="en-US" w:eastAsia="zh-CN" w:bidi="ar-SA"/>
                    </w:rPr>
                  </w:pPr>
                  <w:r>
                    <w:rPr>
                      <w:rFonts w:hint="eastAsia" w:ascii="宋体" w:hAnsi="宋体" w:cs="宋体"/>
                      <w:kern w:val="0"/>
                      <w:sz w:val="21"/>
                      <w:szCs w:val="21"/>
                      <w:lang w:bidi="ar"/>
                    </w:rPr>
                    <w:t>有机物</w:t>
                  </w:r>
                </w:p>
              </w:tc>
              <w:tc>
                <w:tcPr>
                  <w:tcW w:w="0" w:type="auto"/>
                  <w:shd w:val="clear" w:color="auto" w:fill="auto"/>
                  <w:vAlign w:val="center"/>
                </w:tcPr>
                <w:p w14:paraId="31E53891">
                  <w:pPr>
                    <w:widowControl/>
                    <w:jc w:val="center"/>
                    <w:textAlignment w:val="center"/>
                    <w:rPr>
                      <w:rFonts w:hint="eastAsia" w:ascii="Times New Roman" w:hAnsi="Times New Roman" w:eastAsia="宋体" w:cs="Times New Roman"/>
                      <w:kern w:val="2"/>
                      <w:sz w:val="21"/>
                      <w:szCs w:val="21"/>
                      <w:lang w:val="en-US" w:eastAsia="zh-CN" w:bidi="ar-SA"/>
                    </w:rPr>
                  </w:pPr>
                  <w:r>
                    <w:rPr>
                      <w:rFonts w:hint="eastAsia" w:ascii="宋体" w:hAnsi="宋体" w:cs="宋体"/>
                      <w:kern w:val="0"/>
                      <w:sz w:val="21"/>
                      <w:szCs w:val="21"/>
                      <w:lang w:eastAsia="zh-CN" w:bidi="ar"/>
                    </w:rPr>
                    <w:t>固</w:t>
                  </w:r>
                  <w:r>
                    <w:rPr>
                      <w:rFonts w:hint="eastAsia" w:ascii="宋体" w:hAnsi="宋体" w:cs="宋体"/>
                      <w:kern w:val="0"/>
                      <w:sz w:val="21"/>
                      <w:szCs w:val="21"/>
                      <w:lang w:bidi="ar"/>
                    </w:rPr>
                    <w:t>态</w:t>
                  </w:r>
                </w:p>
              </w:tc>
              <w:tc>
                <w:tcPr>
                  <w:tcW w:w="0" w:type="auto"/>
                  <w:shd w:val="clear" w:color="auto" w:fill="auto"/>
                  <w:vAlign w:val="center"/>
                </w:tcPr>
                <w:p w14:paraId="10D55A68">
                  <w:pPr>
                    <w:widowControl/>
                    <w:jc w:val="center"/>
                    <w:textAlignment w:val="center"/>
                    <w:rPr>
                      <w:rFonts w:hint="default" w:ascii="Times New Roman" w:hAnsi="Times New Roman" w:eastAsia="宋体" w:cs="Times New Roman"/>
                      <w:kern w:val="2"/>
                      <w:sz w:val="21"/>
                      <w:szCs w:val="21"/>
                      <w:lang w:val="en-US" w:eastAsia="zh-CN" w:bidi="ar-SA"/>
                    </w:rPr>
                  </w:pPr>
                  <w:r>
                    <w:rPr>
                      <w:rFonts w:hint="eastAsia"/>
                      <w:kern w:val="0"/>
                      <w:szCs w:val="21"/>
                      <w:lang w:bidi="ar"/>
                    </w:rPr>
                    <w:t>T/C/I/R</w:t>
                  </w:r>
                </w:p>
              </w:tc>
              <w:tc>
                <w:tcPr>
                  <w:tcW w:w="0" w:type="auto"/>
                  <w:shd w:val="clear" w:color="auto" w:fill="auto"/>
                  <w:vAlign w:val="center"/>
                </w:tcPr>
                <w:p w14:paraId="346F3F40">
                  <w:pPr>
                    <w:widowControl/>
                    <w:jc w:val="center"/>
                    <w:textAlignment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0.0032</w:t>
                  </w:r>
                </w:p>
              </w:tc>
              <w:tc>
                <w:tcPr>
                  <w:tcW w:w="0" w:type="auto"/>
                  <w:vMerge w:val="continue"/>
                  <w:shd w:val="clear" w:color="auto" w:fill="auto"/>
                  <w:vAlign w:val="center"/>
                </w:tcPr>
                <w:p w14:paraId="1E97266F">
                  <w:pPr>
                    <w:jc w:val="center"/>
                    <w:rPr>
                      <w:rFonts w:hint="default" w:ascii="Times New Roman" w:hAnsi="Times New Roman" w:eastAsia="宋体" w:cs="Times New Roman"/>
                      <w:kern w:val="2"/>
                      <w:sz w:val="21"/>
                      <w:szCs w:val="21"/>
                      <w:lang w:val="en-US" w:eastAsia="zh-CN" w:bidi="ar-SA"/>
                    </w:rPr>
                  </w:pPr>
                </w:p>
              </w:tc>
              <w:tc>
                <w:tcPr>
                  <w:tcW w:w="1896" w:type="dxa"/>
                  <w:vMerge w:val="continue"/>
                  <w:shd w:val="clear" w:color="auto" w:fill="auto"/>
                  <w:vAlign w:val="center"/>
                </w:tcPr>
                <w:p w14:paraId="26178DDF">
                  <w:pPr>
                    <w:widowControl/>
                    <w:jc w:val="center"/>
                    <w:textAlignment w:val="center"/>
                    <w:rPr>
                      <w:rFonts w:hint="eastAsia" w:ascii="Times New Roman" w:hAnsi="Times New Roman" w:eastAsia="宋体" w:cs="Times New Roman"/>
                      <w:kern w:val="2"/>
                      <w:sz w:val="21"/>
                      <w:szCs w:val="21"/>
                      <w:lang w:val="en-US" w:eastAsia="zh-CN" w:bidi="ar-SA"/>
                    </w:rPr>
                  </w:pPr>
                </w:p>
              </w:tc>
              <w:tc>
                <w:tcPr>
                  <w:tcW w:w="1202" w:type="dxa"/>
                  <w:shd w:val="clear" w:color="auto" w:fill="auto"/>
                  <w:vAlign w:val="center"/>
                </w:tcPr>
                <w:p w14:paraId="5A1D3AB1">
                  <w:pPr>
                    <w:widowControl/>
                    <w:jc w:val="center"/>
                    <w:textAlignment w:val="center"/>
                    <w:rPr>
                      <w:rFonts w:hint="eastAsia"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0.0032</w:t>
                  </w:r>
                </w:p>
              </w:tc>
            </w:tr>
            <w:tr w14:paraId="78F42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shd w:val="clear" w:color="auto" w:fill="auto"/>
                  <w:vAlign w:val="center"/>
                </w:tcPr>
                <w:p w14:paraId="7DC13056">
                  <w:pPr>
                    <w:widowControl/>
                    <w:jc w:val="center"/>
                    <w:textAlignment w:val="center"/>
                    <w:rPr>
                      <w:rFonts w:hint="eastAsia"/>
                      <w:kern w:val="0"/>
                      <w:sz w:val="21"/>
                      <w:szCs w:val="21"/>
                      <w:lang w:bidi="ar"/>
                    </w:rPr>
                  </w:pPr>
                  <w:r>
                    <w:rPr>
                      <w:rFonts w:hint="eastAsia"/>
                      <w:kern w:val="0"/>
                      <w:sz w:val="21"/>
                      <w:szCs w:val="21"/>
                      <w:lang w:bidi="ar"/>
                    </w:rPr>
                    <w:t>4</w:t>
                  </w:r>
                </w:p>
              </w:tc>
              <w:tc>
                <w:tcPr>
                  <w:tcW w:w="1011" w:type="dxa"/>
                  <w:vMerge w:val="restart"/>
                  <w:shd w:val="clear" w:color="auto" w:fill="auto"/>
                  <w:vAlign w:val="center"/>
                </w:tcPr>
                <w:p w14:paraId="6B7D67D8">
                  <w:pPr>
                    <w:widowControl/>
                    <w:jc w:val="center"/>
                    <w:textAlignment w:val="center"/>
                    <w:rPr>
                      <w:rFonts w:hint="eastAsia"/>
                      <w:sz w:val="21"/>
                      <w:szCs w:val="21"/>
                      <w:lang w:eastAsia="zh-CN"/>
                    </w:rPr>
                  </w:pPr>
                  <w:r>
                    <w:rPr>
                      <w:rFonts w:hint="eastAsia"/>
                      <w:sz w:val="21"/>
                      <w:szCs w:val="21"/>
                      <w:lang w:eastAsia="zh-CN"/>
                    </w:rPr>
                    <w:t>废气处理</w:t>
                  </w:r>
                </w:p>
              </w:tc>
              <w:tc>
                <w:tcPr>
                  <w:tcW w:w="1412" w:type="dxa"/>
                  <w:shd w:val="clear" w:color="auto" w:fill="auto"/>
                  <w:vAlign w:val="center"/>
                </w:tcPr>
                <w:p w14:paraId="42238806">
                  <w:pPr>
                    <w:widowControl/>
                    <w:jc w:val="center"/>
                    <w:textAlignment w:val="center"/>
                    <w:rPr>
                      <w:rFonts w:hint="eastAsia"/>
                      <w:sz w:val="21"/>
                      <w:szCs w:val="21"/>
                      <w:lang w:eastAsia="zh-CN"/>
                    </w:rPr>
                  </w:pPr>
                  <w:r>
                    <w:rPr>
                      <w:rFonts w:hint="eastAsia"/>
                      <w:sz w:val="21"/>
                      <w:szCs w:val="21"/>
                      <w:lang w:eastAsia="zh-CN"/>
                    </w:rPr>
                    <w:t>废活性炭</w:t>
                  </w:r>
                </w:p>
              </w:tc>
              <w:tc>
                <w:tcPr>
                  <w:tcW w:w="1056" w:type="dxa"/>
                  <w:shd w:val="clear" w:color="auto" w:fill="auto"/>
                  <w:vAlign w:val="center"/>
                </w:tcPr>
                <w:p w14:paraId="6221A5FE">
                  <w:pPr>
                    <w:widowControl/>
                    <w:jc w:val="center"/>
                    <w:textAlignment w:val="center"/>
                    <w:rPr>
                      <w:rFonts w:hint="eastAsia" w:ascii="宋体" w:hAnsi="宋体" w:cs="宋体"/>
                      <w:kern w:val="0"/>
                      <w:sz w:val="21"/>
                      <w:szCs w:val="21"/>
                      <w:lang w:bidi="ar"/>
                    </w:rPr>
                  </w:pPr>
                  <w:r>
                    <w:rPr>
                      <w:rFonts w:hint="eastAsia" w:ascii="宋体" w:hAnsi="宋体" w:cs="宋体"/>
                      <w:kern w:val="0"/>
                      <w:sz w:val="21"/>
                      <w:szCs w:val="21"/>
                      <w:lang w:bidi="ar"/>
                    </w:rPr>
                    <w:t>危险废物</w:t>
                  </w:r>
                </w:p>
              </w:tc>
              <w:tc>
                <w:tcPr>
                  <w:tcW w:w="0" w:type="auto"/>
                  <w:shd w:val="clear" w:color="auto" w:fill="auto"/>
                  <w:vAlign w:val="center"/>
                </w:tcPr>
                <w:p w14:paraId="368F469C">
                  <w:pPr>
                    <w:jc w:val="center"/>
                    <w:rPr>
                      <w:sz w:val="21"/>
                      <w:szCs w:val="21"/>
                    </w:rPr>
                  </w:pPr>
                  <w:r>
                    <w:rPr>
                      <w:rFonts w:hint="eastAsia"/>
                      <w:sz w:val="21"/>
                      <w:szCs w:val="21"/>
                    </w:rPr>
                    <w:t>HW</w:t>
                  </w:r>
                  <w:r>
                    <w:rPr>
                      <w:rFonts w:hint="eastAsia"/>
                      <w:sz w:val="21"/>
                      <w:szCs w:val="21"/>
                      <w:lang w:val="en-US" w:eastAsia="zh-CN"/>
                    </w:rPr>
                    <w:t>4</w:t>
                  </w:r>
                  <w:r>
                    <w:rPr>
                      <w:rFonts w:hint="eastAsia"/>
                      <w:sz w:val="21"/>
                      <w:szCs w:val="21"/>
                    </w:rPr>
                    <w:t>9</w:t>
                  </w:r>
                </w:p>
                <w:p w14:paraId="48FFBEDC">
                  <w:pPr>
                    <w:jc w:val="center"/>
                    <w:rPr>
                      <w:rFonts w:hint="eastAsia"/>
                      <w:sz w:val="21"/>
                      <w:szCs w:val="21"/>
                    </w:rPr>
                  </w:pPr>
                  <w:r>
                    <w:rPr>
                      <w:kern w:val="0"/>
                      <w:szCs w:val="21"/>
                      <w:lang w:bidi="ar"/>
                    </w:rPr>
                    <w:t>900-</w:t>
                  </w:r>
                  <w:r>
                    <w:rPr>
                      <w:rFonts w:hint="eastAsia"/>
                      <w:kern w:val="0"/>
                      <w:szCs w:val="21"/>
                      <w:lang w:val="en-US" w:eastAsia="zh-CN" w:bidi="ar"/>
                    </w:rPr>
                    <w:t>039</w:t>
                  </w:r>
                  <w:r>
                    <w:rPr>
                      <w:kern w:val="0"/>
                      <w:szCs w:val="21"/>
                      <w:lang w:bidi="ar"/>
                    </w:rPr>
                    <w:t>-</w:t>
                  </w:r>
                  <w:r>
                    <w:rPr>
                      <w:rFonts w:hint="eastAsia"/>
                      <w:kern w:val="0"/>
                      <w:szCs w:val="21"/>
                      <w:lang w:val="en-US" w:eastAsia="zh-CN" w:bidi="ar"/>
                    </w:rPr>
                    <w:t>49</w:t>
                  </w:r>
                </w:p>
              </w:tc>
              <w:tc>
                <w:tcPr>
                  <w:tcW w:w="0" w:type="auto"/>
                  <w:shd w:val="clear" w:color="auto" w:fill="auto"/>
                  <w:vAlign w:val="center"/>
                </w:tcPr>
                <w:p w14:paraId="79A98795">
                  <w:pPr>
                    <w:widowControl/>
                    <w:jc w:val="center"/>
                    <w:textAlignment w:val="center"/>
                    <w:rPr>
                      <w:rFonts w:hint="eastAsia" w:ascii="宋体" w:hAnsi="宋体" w:cs="宋体"/>
                      <w:kern w:val="0"/>
                      <w:sz w:val="21"/>
                      <w:szCs w:val="21"/>
                      <w:lang w:bidi="ar"/>
                    </w:rPr>
                  </w:pPr>
                  <w:r>
                    <w:rPr>
                      <w:rFonts w:hint="eastAsia" w:ascii="宋体" w:hAnsi="宋体" w:cs="宋体"/>
                      <w:kern w:val="0"/>
                      <w:sz w:val="21"/>
                      <w:szCs w:val="21"/>
                      <w:lang w:bidi="ar"/>
                    </w:rPr>
                    <w:t>有机物</w:t>
                  </w:r>
                </w:p>
              </w:tc>
              <w:tc>
                <w:tcPr>
                  <w:tcW w:w="636" w:type="dxa"/>
                  <w:shd w:val="clear" w:color="auto" w:fill="auto"/>
                  <w:vAlign w:val="center"/>
                </w:tcPr>
                <w:p w14:paraId="024C322A">
                  <w:pPr>
                    <w:widowControl/>
                    <w:jc w:val="center"/>
                    <w:textAlignment w:val="center"/>
                    <w:rPr>
                      <w:rFonts w:hint="eastAsia" w:ascii="宋体" w:hAnsi="宋体" w:cs="宋体"/>
                      <w:kern w:val="0"/>
                      <w:sz w:val="21"/>
                      <w:szCs w:val="21"/>
                      <w:lang w:bidi="ar"/>
                    </w:rPr>
                  </w:pPr>
                  <w:r>
                    <w:rPr>
                      <w:rFonts w:hint="eastAsia" w:ascii="宋体" w:hAnsi="宋体" w:cs="宋体"/>
                      <w:kern w:val="0"/>
                      <w:sz w:val="21"/>
                      <w:szCs w:val="21"/>
                      <w:lang w:eastAsia="zh-CN" w:bidi="ar"/>
                    </w:rPr>
                    <w:t>固</w:t>
                  </w:r>
                  <w:r>
                    <w:rPr>
                      <w:rFonts w:hint="eastAsia" w:ascii="宋体" w:hAnsi="宋体" w:cs="宋体"/>
                      <w:kern w:val="0"/>
                      <w:sz w:val="21"/>
                      <w:szCs w:val="21"/>
                      <w:lang w:bidi="ar"/>
                    </w:rPr>
                    <w:t>态</w:t>
                  </w:r>
                </w:p>
              </w:tc>
              <w:tc>
                <w:tcPr>
                  <w:tcW w:w="870" w:type="dxa"/>
                  <w:shd w:val="clear" w:color="auto" w:fill="auto"/>
                  <w:vAlign w:val="center"/>
                </w:tcPr>
                <w:p w14:paraId="5F24840F">
                  <w:pPr>
                    <w:widowControl/>
                    <w:jc w:val="center"/>
                    <w:textAlignment w:val="center"/>
                    <w:rPr>
                      <w:kern w:val="0"/>
                      <w:sz w:val="21"/>
                      <w:szCs w:val="21"/>
                      <w:lang w:bidi="ar"/>
                    </w:rPr>
                  </w:pPr>
                  <w:r>
                    <w:rPr>
                      <w:rFonts w:hint="eastAsia"/>
                      <w:kern w:val="0"/>
                      <w:szCs w:val="21"/>
                      <w:lang w:bidi="ar"/>
                    </w:rPr>
                    <w:t>T/C/I/R</w:t>
                  </w:r>
                </w:p>
              </w:tc>
              <w:tc>
                <w:tcPr>
                  <w:tcW w:w="0" w:type="auto"/>
                  <w:shd w:val="clear" w:color="auto" w:fill="auto"/>
                  <w:vAlign w:val="center"/>
                </w:tcPr>
                <w:p w14:paraId="4A1F4288">
                  <w:pPr>
                    <w:widowControl/>
                    <w:jc w:val="center"/>
                    <w:textAlignment w:val="center"/>
                    <w:rPr>
                      <w:rFonts w:hint="default" w:eastAsia="宋体"/>
                      <w:sz w:val="21"/>
                      <w:szCs w:val="21"/>
                      <w:lang w:val="en-US" w:eastAsia="zh-CN"/>
                    </w:rPr>
                  </w:pPr>
                  <w:r>
                    <w:rPr>
                      <w:rFonts w:hint="eastAsia"/>
                      <w:sz w:val="21"/>
                      <w:szCs w:val="21"/>
                      <w:lang w:val="en-US" w:eastAsia="zh-CN"/>
                    </w:rPr>
                    <w:t>0.972</w:t>
                  </w:r>
                </w:p>
              </w:tc>
              <w:tc>
                <w:tcPr>
                  <w:tcW w:w="0" w:type="auto"/>
                  <w:vMerge w:val="continue"/>
                  <w:shd w:val="clear" w:color="auto" w:fill="auto"/>
                  <w:vAlign w:val="center"/>
                </w:tcPr>
                <w:p w14:paraId="1C214B67">
                  <w:pPr>
                    <w:jc w:val="center"/>
                    <w:rPr>
                      <w:rFonts w:hint="default" w:ascii="Times New Roman" w:hAnsi="Times New Roman" w:eastAsia="宋体" w:cs="Times New Roman"/>
                      <w:kern w:val="2"/>
                      <w:sz w:val="21"/>
                      <w:szCs w:val="21"/>
                      <w:lang w:val="en-US" w:eastAsia="zh-CN" w:bidi="ar-SA"/>
                    </w:rPr>
                  </w:pPr>
                </w:p>
              </w:tc>
              <w:tc>
                <w:tcPr>
                  <w:tcW w:w="1896" w:type="dxa"/>
                  <w:vMerge w:val="continue"/>
                  <w:shd w:val="clear" w:color="auto" w:fill="auto"/>
                  <w:vAlign w:val="center"/>
                </w:tcPr>
                <w:p w14:paraId="3F56E9EB">
                  <w:pPr>
                    <w:widowControl/>
                    <w:jc w:val="center"/>
                    <w:textAlignment w:val="center"/>
                    <w:rPr>
                      <w:rFonts w:hint="eastAsia" w:ascii="宋体" w:hAnsi="宋体" w:cs="宋体"/>
                      <w:kern w:val="0"/>
                      <w:sz w:val="21"/>
                      <w:szCs w:val="21"/>
                      <w:lang w:bidi="ar"/>
                    </w:rPr>
                  </w:pPr>
                </w:p>
              </w:tc>
              <w:tc>
                <w:tcPr>
                  <w:tcW w:w="1202" w:type="dxa"/>
                  <w:shd w:val="clear" w:color="auto" w:fill="auto"/>
                  <w:vAlign w:val="center"/>
                </w:tcPr>
                <w:p w14:paraId="291229AF">
                  <w:pPr>
                    <w:widowControl/>
                    <w:jc w:val="center"/>
                    <w:textAlignment w:val="center"/>
                    <w:rPr>
                      <w:rFonts w:hint="default"/>
                      <w:sz w:val="21"/>
                      <w:szCs w:val="21"/>
                      <w:lang w:val="en-US"/>
                    </w:rPr>
                  </w:pPr>
                  <w:r>
                    <w:rPr>
                      <w:rFonts w:hint="eastAsia"/>
                      <w:sz w:val="21"/>
                      <w:szCs w:val="21"/>
                      <w:lang w:val="en-US" w:eastAsia="zh-CN"/>
                    </w:rPr>
                    <w:t>0.972</w:t>
                  </w:r>
                </w:p>
              </w:tc>
            </w:tr>
            <w:tr w14:paraId="0F8AA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Align w:val="center"/>
                </w:tcPr>
                <w:p w14:paraId="4BFFCC44">
                  <w:pPr>
                    <w:widowControl/>
                    <w:jc w:val="center"/>
                    <w:textAlignment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5</w:t>
                  </w:r>
                </w:p>
              </w:tc>
              <w:tc>
                <w:tcPr>
                  <w:tcW w:w="1011" w:type="dxa"/>
                  <w:vMerge w:val="continue"/>
                  <w:vAlign w:val="center"/>
                </w:tcPr>
                <w:p w14:paraId="0E8EE741">
                  <w:pPr>
                    <w:widowControl/>
                    <w:jc w:val="center"/>
                    <w:textAlignment w:val="center"/>
                    <w:rPr>
                      <w:rFonts w:hint="eastAsia" w:ascii="Times New Roman" w:hAnsi="Times New Roman" w:eastAsia="宋体" w:cs="Times New Roman"/>
                      <w:kern w:val="2"/>
                      <w:sz w:val="21"/>
                      <w:szCs w:val="21"/>
                      <w:lang w:val="en-US" w:eastAsia="zh-CN" w:bidi="ar-SA"/>
                    </w:rPr>
                  </w:pPr>
                </w:p>
              </w:tc>
              <w:tc>
                <w:tcPr>
                  <w:tcW w:w="1412" w:type="dxa"/>
                  <w:vAlign w:val="center"/>
                </w:tcPr>
                <w:p w14:paraId="3A0D6EB1">
                  <w:pPr>
                    <w:widowControl/>
                    <w:jc w:val="center"/>
                    <w:textAlignment w:val="center"/>
                    <w:rPr>
                      <w:rFonts w:hint="eastAsia"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废过滤棉</w:t>
                  </w:r>
                </w:p>
              </w:tc>
              <w:tc>
                <w:tcPr>
                  <w:tcW w:w="1056" w:type="dxa"/>
                  <w:vAlign w:val="center"/>
                </w:tcPr>
                <w:p w14:paraId="7AC434A5">
                  <w:pPr>
                    <w:widowControl/>
                    <w:jc w:val="center"/>
                    <w:textAlignment w:val="center"/>
                    <w:rPr>
                      <w:rFonts w:hint="default" w:ascii="Times New Roman" w:hAnsi="Times New Roman" w:eastAsia="宋体" w:cs="Times New Roman"/>
                      <w:kern w:val="2"/>
                      <w:sz w:val="21"/>
                      <w:szCs w:val="21"/>
                      <w:lang w:val="en-US" w:eastAsia="zh-CN" w:bidi="ar-SA"/>
                    </w:rPr>
                  </w:pPr>
                  <w:r>
                    <w:rPr>
                      <w:rFonts w:hint="eastAsia" w:ascii="宋体" w:hAnsi="宋体" w:cs="宋体"/>
                      <w:kern w:val="0"/>
                      <w:sz w:val="21"/>
                      <w:szCs w:val="21"/>
                      <w:lang w:bidi="ar"/>
                    </w:rPr>
                    <w:t>危险废物</w:t>
                  </w:r>
                </w:p>
              </w:tc>
              <w:tc>
                <w:tcPr>
                  <w:tcW w:w="0" w:type="auto"/>
                  <w:vAlign w:val="center"/>
                </w:tcPr>
                <w:p w14:paraId="2127F53B">
                  <w:pPr>
                    <w:jc w:val="center"/>
                    <w:rPr>
                      <w:sz w:val="21"/>
                      <w:szCs w:val="21"/>
                    </w:rPr>
                  </w:pPr>
                  <w:r>
                    <w:rPr>
                      <w:rFonts w:hint="eastAsia"/>
                      <w:sz w:val="21"/>
                      <w:szCs w:val="21"/>
                    </w:rPr>
                    <w:t>HW</w:t>
                  </w:r>
                  <w:r>
                    <w:rPr>
                      <w:rFonts w:hint="eastAsia"/>
                      <w:sz w:val="21"/>
                      <w:szCs w:val="21"/>
                      <w:lang w:val="en-US" w:eastAsia="zh-CN"/>
                    </w:rPr>
                    <w:t>4</w:t>
                  </w:r>
                  <w:r>
                    <w:rPr>
                      <w:rFonts w:hint="eastAsia"/>
                      <w:sz w:val="21"/>
                      <w:szCs w:val="21"/>
                    </w:rPr>
                    <w:t>9</w:t>
                  </w:r>
                </w:p>
                <w:p w14:paraId="564C555B">
                  <w:pPr>
                    <w:jc w:val="center"/>
                    <w:rPr>
                      <w:rFonts w:hint="default" w:ascii="Times New Roman" w:hAnsi="Times New Roman" w:eastAsia="宋体" w:cs="Times New Roman"/>
                      <w:kern w:val="2"/>
                      <w:sz w:val="21"/>
                      <w:szCs w:val="21"/>
                      <w:lang w:val="en-US" w:eastAsia="zh-CN" w:bidi="ar-SA"/>
                    </w:rPr>
                  </w:pPr>
                  <w:r>
                    <w:rPr>
                      <w:rFonts w:hint="eastAsia"/>
                      <w:kern w:val="0"/>
                      <w:szCs w:val="21"/>
                      <w:lang w:bidi="ar"/>
                    </w:rPr>
                    <w:t>900-047-49</w:t>
                  </w:r>
                </w:p>
              </w:tc>
              <w:tc>
                <w:tcPr>
                  <w:tcW w:w="0" w:type="auto"/>
                  <w:vAlign w:val="center"/>
                </w:tcPr>
                <w:p w14:paraId="41E3491A">
                  <w:pPr>
                    <w:widowControl/>
                    <w:jc w:val="center"/>
                    <w:textAlignment w:val="center"/>
                    <w:rPr>
                      <w:rFonts w:hint="default" w:ascii="Times New Roman" w:hAnsi="Times New Roman" w:eastAsia="宋体" w:cs="Times New Roman"/>
                      <w:kern w:val="2"/>
                      <w:sz w:val="21"/>
                      <w:szCs w:val="21"/>
                      <w:lang w:val="en-US" w:eastAsia="zh-CN" w:bidi="ar-SA"/>
                    </w:rPr>
                  </w:pPr>
                  <w:r>
                    <w:rPr>
                      <w:rFonts w:hint="eastAsia" w:ascii="宋体" w:hAnsi="宋体" w:cs="宋体"/>
                      <w:kern w:val="0"/>
                      <w:sz w:val="21"/>
                      <w:szCs w:val="21"/>
                      <w:lang w:bidi="ar"/>
                    </w:rPr>
                    <w:t>有机物</w:t>
                  </w:r>
                </w:p>
              </w:tc>
              <w:tc>
                <w:tcPr>
                  <w:tcW w:w="636" w:type="dxa"/>
                  <w:vAlign w:val="center"/>
                </w:tcPr>
                <w:p w14:paraId="0A146516">
                  <w:pPr>
                    <w:widowControl/>
                    <w:jc w:val="center"/>
                    <w:textAlignment w:val="center"/>
                    <w:rPr>
                      <w:rFonts w:hint="default" w:ascii="Times New Roman" w:hAnsi="Times New Roman" w:eastAsia="宋体" w:cs="Times New Roman"/>
                      <w:kern w:val="2"/>
                      <w:sz w:val="21"/>
                      <w:szCs w:val="21"/>
                      <w:lang w:val="en-US" w:eastAsia="zh-CN" w:bidi="ar-SA"/>
                    </w:rPr>
                  </w:pPr>
                  <w:r>
                    <w:rPr>
                      <w:rFonts w:hint="eastAsia" w:ascii="宋体" w:hAnsi="宋体" w:cs="宋体"/>
                      <w:kern w:val="0"/>
                      <w:sz w:val="21"/>
                      <w:szCs w:val="21"/>
                      <w:lang w:eastAsia="zh-CN" w:bidi="ar"/>
                    </w:rPr>
                    <w:t>固</w:t>
                  </w:r>
                  <w:r>
                    <w:rPr>
                      <w:rFonts w:hint="eastAsia" w:ascii="宋体" w:hAnsi="宋体" w:cs="宋体"/>
                      <w:kern w:val="0"/>
                      <w:sz w:val="21"/>
                      <w:szCs w:val="21"/>
                      <w:lang w:bidi="ar"/>
                    </w:rPr>
                    <w:t>态</w:t>
                  </w:r>
                </w:p>
              </w:tc>
              <w:tc>
                <w:tcPr>
                  <w:tcW w:w="870" w:type="dxa"/>
                  <w:vAlign w:val="center"/>
                </w:tcPr>
                <w:p w14:paraId="1B38D218">
                  <w:pPr>
                    <w:widowControl/>
                    <w:jc w:val="center"/>
                    <w:textAlignment w:val="center"/>
                    <w:rPr>
                      <w:rFonts w:hint="default" w:ascii="Times New Roman" w:hAnsi="Times New Roman" w:eastAsia="宋体" w:cs="Times New Roman"/>
                      <w:kern w:val="2"/>
                      <w:sz w:val="21"/>
                      <w:szCs w:val="21"/>
                      <w:lang w:val="en-US" w:eastAsia="zh-CN" w:bidi="ar-SA"/>
                    </w:rPr>
                  </w:pPr>
                  <w:r>
                    <w:rPr>
                      <w:rFonts w:hint="eastAsia"/>
                      <w:kern w:val="0"/>
                      <w:szCs w:val="21"/>
                      <w:lang w:bidi="ar"/>
                    </w:rPr>
                    <w:t>T/C/I/R</w:t>
                  </w:r>
                </w:p>
              </w:tc>
              <w:tc>
                <w:tcPr>
                  <w:tcW w:w="0" w:type="auto"/>
                  <w:vAlign w:val="center"/>
                </w:tcPr>
                <w:p w14:paraId="0C334029">
                  <w:pPr>
                    <w:widowControl/>
                    <w:jc w:val="center"/>
                    <w:textAlignment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0.07</w:t>
                  </w:r>
                </w:p>
              </w:tc>
              <w:tc>
                <w:tcPr>
                  <w:tcW w:w="0" w:type="auto"/>
                  <w:vMerge w:val="continue"/>
                  <w:vAlign w:val="center"/>
                </w:tcPr>
                <w:p w14:paraId="63FA266D">
                  <w:pPr>
                    <w:jc w:val="center"/>
                    <w:rPr>
                      <w:rFonts w:hint="default" w:ascii="Times New Roman" w:hAnsi="Times New Roman" w:eastAsia="宋体" w:cs="Times New Roman"/>
                      <w:kern w:val="2"/>
                      <w:sz w:val="21"/>
                      <w:szCs w:val="21"/>
                      <w:lang w:val="en-US" w:eastAsia="zh-CN" w:bidi="ar-SA"/>
                    </w:rPr>
                  </w:pPr>
                </w:p>
              </w:tc>
              <w:tc>
                <w:tcPr>
                  <w:tcW w:w="1896" w:type="dxa"/>
                  <w:vMerge w:val="continue"/>
                  <w:vAlign w:val="center"/>
                </w:tcPr>
                <w:p w14:paraId="3F4FA15B">
                  <w:pPr>
                    <w:widowControl/>
                    <w:jc w:val="center"/>
                    <w:textAlignment w:val="center"/>
                    <w:rPr>
                      <w:rFonts w:hint="default" w:ascii="Times New Roman" w:hAnsi="Times New Roman" w:eastAsia="宋体" w:cs="Times New Roman"/>
                      <w:kern w:val="2"/>
                      <w:sz w:val="21"/>
                      <w:szCs w:val="21"/>
                      <w:lang w:val="en-US" w:eastAsia="zh-CN" w:bidi="ar-SA"/>
                    </w:rPr>
                  </w:pPr>
                </w:p>
              </w:tc>
              <w:tc>
                <w:tcPr>
                  <w:tcW w:w="1202" w:type="dxa"/>
                  <w:vAlign w:val="center"/>
                </w:tcPr>
                <w:p w14:paraId="04C81665">
                  <w:pPr>
                    <w:widowControl/>
                    <w:jc w:val="center"/>
                    <w:textAlignment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0.07</w:t>
                  </w:r>
                </w:p>
              </w:tc>
            </w:tr>
            <w:tr w14:paraId="469A6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8"/>
                  <w:vAlign w:val="center"/>
                </w:tcPr>
                <w:p w14:paraId="6A8028AF">
                  <w:pPr>
                    <w:bidi w:val="0"/>
                    <w:jc w:val="center"/>
                    <w:rPr>
                      <w:rFonts w:hint="default" w:ascii="Times New Roman" w:hAnsi="Times New Roman" w:cs="Times New Roman"/>
                      <w:sz w:val="21"/>
                      <w:szCs w:val="21"/>
                    </w:rPr>
                  </w:pPr>
                  <w:r>
                    <w:rPr>
                      <w:rFonts w:hint="eastAsia"/>
                      <w:kern w:val="0"/>
                      <w:sz w:val="21"/>
                      <w:szCs w:val="21"/>
                      <w:lang w:bidi="ar"/>
                    </w:rPr>
                    <w:t>危险废物汇总量</w:t>
                  </w:r>
                </w:p>
              </w:tc>
              <w:tc>
                <w:tcPr>
                  <w:tcW w:w="0" w:type="auto"/>
                  <w:vAlign w:val="center"/>
                </w:tcPr>
                <w:p w14:paraId="253A7E2E">
                  <w:pPr>
                    <w:bidi w:val="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3.1452</w:t>
                  </w:r>
                </w:p>
              </w:tc>
              <w:tc>
                <w:tcPr>
                  <w:tcW w:w="0" w:type="auto"/>
                  <w:gridSpan w:val="2"/>
                  <w:vAlign w:val="center"/>
                </w:tcPr>
                <w:p w14:paraId="1BC03551">
                  <w:pPr>
                    <w:bidi w:val="0"/>
                    <w:jc w:val="center"/>
                    <w:rPr>
                      <w:rFonts w:hint="default" w:ascii="Times New Roman" w:hAnsi="Times New Roman" w:cs="Times New Roman"/>
                      <w:sz w:val="21"/>
                      <w:szCs w:val="21"/>
                    </w:rPr>
                  </w:pPr>
                  <w:r>
                    <w:rPr>
                      <w:rFonts w:hint="eastAsia" w:ascii="宋体" w:hAnsi="宋体" w:cs="宋体"/>
                      <w:kern w:val="0"/>
                      <w:sz w:val="21"/>
                      <w:szCs w:val="21"/>
                      <w:lang w:bidi="ar"/>
                    </w:rPr>
                    <w:t>/</w:t>
                  </w:r>
                </w:p>
              </w:tc>
              <w:tc>
                <w:tcPr>
                  <w:tcW w:w="1202" w:type="dxa"/>
                  <w:vAlign w:val="center"/>
                </w:tcPr>
                <w:p w14:paraId="0AEA3855">
                  <w:pPr>
                    <w:bidi w:val="0"/>
                    <w:jc w:val="center"/>
                    <w:rPr>
                      <w:rFonts w:hint="default" w:ascii="Times New Roman" w:hAnsi="Times New Roman" w:cs="Times New Roman"/>
                      <w:sz w:val="21"/>
                      <w:szCs w:val="21"/>
                      <w:lang w:val="en-US"/>
                    </w:rPr>
                  </w:pPr>
                  <w:r>
                    <w:rPr>
                      <w:rFonts w:hint="eastAsia" w:cs="Times New Roman"/>
                      <w:sz w:val="21"/>
                      <w:szCs w:val="21"/>
                      <w:lang w:val="en-US" w:eastAsia="zh-CN"/>
                    </w:rPr>
                    <w:t>3.1452</w:t>
                  </w:r>
                </w:p>
              </w:tc>
            </w:tr>
            <w:tr w14:paraId="5C565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71413108">
                  <w:pPr>
                    <w:widowControl/>
                    <w:jc w:val="center"/>
                    <w:textAlignment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6</w:t>
                  </w:r>
                </w:p>
              </w:tc>
              <w:tc>
                <w:tcPr>
                  <w:tcW w:w="1011" w:type="dxa"/>
                  <w:vAlign w:val="center"/>
                </w:tcPr>
                <w:p w14:paraId="53A02AD6">
                  <w:pPr>
                    <w:adjustRightInd w:val="0"/>
                    <w:snapToGrid w:val="0"/>
                    <w:jc w:val="center"/>
                    <w:rPr>
                      <w:rFonts w:hint="default" w:ascii="Times New Roman" w:hAnsi="Times New Roman" w:eastAsia="宋体" w:cs="Times New Roman"/>
                      <w:kern w:val="2"/>
                      <w:sz w:val="21"/>
                      <w:szCs w:val="21"/>
                      <w:lang w:val="en-US" w:eastAsia="zh-CN" w:bidi="ar-SA"/>
                    </w:rPr>
                  </w:pPr>
                  <w:r>
                    <w:rPr>
                      <w:rFonts w:hint="eastAsia"/>
                      <w:sz w:val="21"/>
                      <w:szCs w:val="21"/>
                    </w:rPr>
                    <w:t>机加工</w:t>
                  </w:r>
                </w:p>
              </w:tc>
              <w:tc>
                <w:tcPr>
                  <w:tcW w:w="1412" w:type="dxa"/>
                  <w:vAlign w:val="center"/>
                </w:tcPr>
                <w:p w14:paraId="3DDC816C">
                  <w:pPr>
                    <w:adjustRightInd w:val="0"/>
                    <w:snapToGrid w:val="0"/>
                    <w:jc w:val="center"/>
                    <w:rPr>
                      <w:rFonts w:hint="default" w:ascii="Times New Roman" w:hAnsi="Times New Roman" w:eastAsia="宋体" w:cs="Times New Roman"/>
                      <w:kern w:val="2"/>
                      <w:sz w:val="21"/>
                      <w:szCs w:val="21"/>
                      <w:lang w:val="en-US" w:eastAsia="zh-CN" w:bidi="ar-SA"/>
                    </w:rPr>
                  </w:pPr>
                  <w:r>
                    <w:rPr>
                      <w:rFonts w:hint="eastAsia"/>
                      <w:sz w:val="21"/>
                      <w:szCs w:val="21"/>
                    </w:rPr>
                    <w:t>不合格品</w:t>
                  </w:r>
                </w:p>
              </w:tc>
              <w:tc>
                <w:tcPr>
                  <w:tcW w:w="1056" w:type="dxa"/>
                  <w:vAlign w:val="center"/>
                </w:tcPr>
                <w:p w14:paraId="2160D60D">
                  <w:pPr>
                    <w:widowControl/>
                    <w:jc w:val="center"/>
                    <w:textAlignment w:val="center"/>
                    <w:rPr>
                      <w:rFonts w:hint="default" w:ascii="Times New Roman" w:hAnsi="Times New Roman" w:eastAsia="宋体" w:cs="Times New Roman"/>
                      <w:kern w:val="2"/>
                      <w:sz w:val="21"/>
                      <w:szCs w:val="21"/>
                      <w:lang w:val="en-US" w:eastAsia="zh-CN" w:bidi="ar-SA"/>
                    </w:rPr>
                  </w:pPr>
                  <w:r>
                    <w:rPr>
                      <w:rFonts w:hint="eastAsia" w:ascii="宋体" w:hAnsi="宋体" w:cs="宋体"/>
                      <w:kern w:val="0"/>
                      <w:sz w:val="21"/>
                      <w:szCs w:val="21"/>
                      <w:lang w:bidi="ar"/>
                    </w:rPr>
                    <w:t>一般固废</w:t>
                  </w:r>
                </w:p>
              </w:tc>
              <w:tc>
                <w:tcPr>
                  <w:tcW w:w="1196" w:type="dxa"/>
                  <w:vAlign w:val="center"/>
                </w:tcPr>
                <w:p w14:paraId="30F3515E">
                  <w:pPr>
                    <w:widowControl/>
                    <w:jc w:val="center"/>
                    <w:textAlignment w:val="center"/>
                    <w:rPr>
                      <w:rFonts w:hint="default" w:ascii="Times New Roman" w:hAnsi="Times New Roman" w:eastAsia="宋体" w:cs="Times New Roman"/>
                      <w:kern w:val="2"/>
                      <w:sz w:val="21"/>
                      <w:szCs w:val="21"/>
                      <w:lang w:val="en-US" w:eastAsia="zh-CN" w:bidi="ar-SA"/>
                    </w:rPr>
                  </w:pPr>
                  <w:r>
                    <w:rPr>
                      <w:rFonts w:hint="eastAsia"/>
                      <w:sz w:val="21"/>
                      <w:szCs w:val="21"/>
                    </w:rPr>
                    <w:t>213-001-09</w:t>
                  </w:r>
                </w:p>
              </w:tc>
              <w:tc>
                <w:tcPr>
                  <w:tcW w:w="1161" w:type="dxa"/>
                  <w:vAlign w:val="center"/>
                </w:tcPr>
                <w:p w14:paraId="4BF70DF0">
                  <w:pPr>
                    <w:widowControl/>
                    <w:jc w:val="center"/>
                    <w:textAlignment w:val="center"/>
                    <w:rPr>
                      <w:rFonts w:hint="default" w:ascii="Times New Roman" w:hAnsi="Times New Roman" w:eastAsia="宋体" w:cs="Times New Roman"/>
                      <w:kern w:val="2"/>
                      <w:sz w:val="21"/>
                      <w:szCs w:val="21"/>
                      <w:lang w:val="en-US" w:eastAsia="zh-CN" w:bidi="ar-SA"/>
                    </w:rPr>
                  </w:pPr>
                  <w:r>
                    <w:rPr>
                      <w:rFonts w:hint="eastAsia"/>
                      <w:kern w:val="0"/>
                      <w:sz w:val="21"/>
                      <w:szCs w:val="21"/>
                      <w:lang w:bidi="ar"/>
                    </w:rPr>
                    <w:t>/</w:t>
                  </w:r>
                </w:p>
              </w:tc>
              <w:tc>
                <w:tcPr>
                  <w:tcW w:w="636" w:type="dxa"/>
                  <w:vAlign w:val="center"/>
                </w:tcPr>
                <w:p w14:paraId="39957A7D">
                  <w:pPr>
                    <w:widowControl/>
                    <w:jc w:val="center"/>
                    <w:textAlignment w:val="center"/>
                    <w:rPr>
                      <w:rFonts w:hint="default" w:ascii="Times New Roman" w:hAnsi="Times New Roman" w:eastAsia="宋体" w:cs="Times New Roman"/>
                      <w:kern w:val="2"/>
                      <w:sz w:val="21"/>
                      <w:szCs w:val="21"/>
                      <w:lang w:val="en-US" w:eastAsia="zh-CN" w:bidi="ar-SA"/>
                    </w:rPr>
                  </w:pPr>
                  <w:r>
                    <w:rPr>
                      <w:rFonts w:hint="eastAsia" w:ascii="宋体" w:hAnsi="宋体" w:cs="宋体"/>
                      <w:kern w:val="0"/>
                      <w:sz w:val="21"/>
                      <w:szCs w:val="21"/>
                      <w:lang w:bidi="ar"/>
                    </w:rPr>
                    <w:t>固态</w:t>
                  </w:r>
                </w:p>
              </w:tc>
              <w:tc>
                <w:tcPr>
                  <w:tcW w:w="870" w:type="dxa"/>
                  <w:vAlign w:val="center"/>
                </w:tcPr>
                <w:p w14:paraId="643414D7">
                  <w:pPr>
                    <w:widowControl/>
                    <w:jc w:val="center"/>
                    <w:textAlignment w:val="center"/>
                    <w:rPr>
                      <w:rFonts w:hint="default" w:ascii="Times New Roman" w:hAnsi="Times New Roman" w:eastAsia="宋体" w:cs="Times New Roman"/>
                      <w:kern w:val="2"/>
                      <w:sz w:val="21"/>
                      <w:szCs w:val="21"/>
                      <w:lang w:val="en-US" w:eastAsia="zh-CN" w:bidi="ar-SA"/>
                    </w:rPr>
                  </w:pPr>
                  <w:r>
                    <w:rPr>
                      <w:rFonts w:hint="eastAsia"/>
                      <w:kern w:val="0"/>
                      <w:sz w:val="21"/>
                      <w:szCs w:val="21"/>
                      <w:lang w:bidi="ar"/>
                    </w:rPr>
                    <w:t>/</w:t>
                  </w:r>
                </w:p>
              </w:tc>
              <w:tc>
                <w:tcPr>
                  <w:tcW w:w="1201" w:type="dxa"/>
                  <w:vAlign w:val="center"/>
                </w:tcPr>
                <w:p w14:paraId="550C3EAE">
                  <w:pPr>
                    <w:adjustRightInd w:val="0"/>
                    <w:snapToGrid w:val="0"/>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1.5</w:t>
                  </w:r>
                </w:p>
              </w:tc>
              <w:tc>
                <w:tcPr>
                  <w:tcW w:w="1263" w:type="dxa"/>
                  <w:vMerge w:val="restart"/>
                  <w:vAlign w:val="center"/>
                </w:tcPr>
                <w:p w14:paraId="797E08DB">
                  <w:pPr>
                    <w:bidi w:val="0"/>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贮存在一般固废间</w:t>
                  </w:r>
                </w:p>
              </w:tc>
              <w:tc>
                <w:tcPr>
                  <w:tcW w:w="1896" w:type="dxa"/>
                  <w:vMerge w:val="restart"/>
                  <w:vAlign w:val="center"/>
                </w:tcPr>
                <w:p w14:paraId="71B89701">
                  <w:pPr>
                    <w:widowControl/>
                    <w:jc w:val="center"/>
                    <w:textAlignment w:val="center"/>
                    <w:rPr>
                      <w:rFonts w:hint="default" w:ascii="宋体" w:hAnsi="宋体" w:eastAsia="宋体" w:cs="宋体"/>
                      <w:kern w:val="0"/>
                      <w:sz w:val="21"/>
                      <w:szCs w:val="21"/>
                      <w:lang w:val="en-US" w:eastAsia="zh-CN" w:bidi="ar"/>
                    </w:rPr>
                  </w:pPr>
                  <w:r>
                    <w:rPr>
                      <w:sz w:val="21"/>
                      <w:szCs w:val="21"/>
                    </w:rPr>
                    <w:t>物资公司回收利用</w:t>
                  </w:r>
                </w:p>
              </w:tc>
              <w:tc>
                <w:tcPr>
                  <w:tcW w:w="1202" w:type="dxa"/>
                  <w:vAlign w:val="center"/>
                </w:tcPr>
                <w:p w14:paraId="061A16E9">
                  <w:pPr>
                    <w:adjustRightInd w:val="0"/>
                    <w:snapToGrid w:val="0"/>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1.5</w:t>
                  </w:r>
                </w:p>
              </w:tc>
            </w:tr>
            <w:tr w14:paraId="3BD1B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14:paraId="6FDECBA8">
                  <w:pPr>
                    <w:widowControl/>
                    <w:jc w:val="center"/>
                    <w:textAlignment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7</w:t>
                  </w:r>
                </w:p>
              </w:tc>
              <w:tc>
                <w:tcPr>
                  <w:tcW w:w="1011" w:type="dxa"/>
                  <w:vAlign w:val="center"/>
                </w:tcPr>
                <w:p w14:paraId="70AA302B">
                  <w:pPr>
                    <w:widowControl/>
                    <w:jc w:val="center"/>
                    <w:textAlignment w:val="center"/>
                    <w:rPr>
                      <w:rFonts w:hint="default" w:ascii="Times New Roman" w:hAnsi="Times New Roman" w:eastAsia="宋体" w:cs="Times New Roman"/>
                      <w:kern w:val="2"/>
                      <w:sz w:val="21"/>
                      <w:szCs w:val="21"/>
                      <w:lang w:val="en-US" w:eastAsia="zh-CN" w:bidi="ar-SA"/>
                    </w:rPr>
                  </w:pPr>
                  <w:r>
                    <w:rPr>
                      <w:rFonts w:hint="eastAsia" w:ascii="宋体" w:hAnsi="宋体" w:cs="宋体"/>
                      <w:kern w:val="0"/>
                      <w:sz w:val="21"/>
                      <w:szCs w:val="21"/>
                      <w:lang w:bidi="ar"/>
                    </w:rPr>
                    <w:t>下料、机加工</w:t>
                  </w:r>
                </w:p>
              </w:tc>
              <w:tc>
                <w:tcPr>
                  <w:tcW w:w="1412" w:type="dxa"/>
                  <w:vAlign w:val="center"/>
                </w:tcPr>
                <w:p w14:paraId="1D72F9E4">
                  <w:pPr>
                    <w:widowControl/>
                    <w:jc w:val="center"/>
                    <w:textAlignment w:val="center"/>
                    <w:rPr>
                      <w:rFonts w:hint="default" w:ascii="Times New Roman" w:hAnsi="Times New Roman" w:eastAsia="宋体" w:cs="Times New Roman"/>
                      <w:kern w:val="2"/>
                      <w:sz w:val="21"/>
                      <w:szCs w:val="21"/>
                      <w:lang w:val="en-US" w:eastAsia="zh-CN" w:bidi="ar-SA"/>
                    </w:rPr>
                  </w:pPr>
                  <w:r>
                    <w:rPr>
                      <w:rFonts w:hint="eastAsia"/>
                      <w:sz w:val="21"/>
                      <w:szCs w:val="21"/>
                    </w:rPr>
                    <w:t>边角料</w:t>
                  </w:r>
                </w:p>
              </w:tc>
              <w:tc>
                <w:tcPr>
                  <w:tcW w:w="1056" w:type="dxa"/>
                  <w:vAlign w:val="center"/>
                </w:tcPr>
                <w:p w14:paraId="56A103C3">
                  <w:pPr>
                    <w:widowControl/>
                    <w:jc w:val="center"/>
                    <w:textAlignment w:val="center"/>
                    <w:rPr>
                      <w:rFonts w:hint="default" w:ascii="宋体" w:hAnsi="宋体" w:eastAsia="宋体" w:cs="宋体"/>
                      <w:kern w:val="0"/>
                      <w:sz w:val="21"/>
                      <w:szCs w:val="21"/>
                      <w:lang w:val="en-US" w:eastAsia="zh-CN" w:bidi="ar"/>
                    </w:rPr>
                  </w:pPr>
                  <w:r>
                    <w:rPr>
                      <w:rFonts w:hint="eastAsia" w:ascii="宋体" w:hAnsi="宋体" w:cs="宋体"/>
                      <w:kern w:val="0"/>
                      <w:sz w:val="21"/>
                      <w:szCs w:val="21"/>
                      <w:lang w:bidi="ar"/>
                    </w:rPr>
                    <w:t>一般固废</w:t>
                  </w:r>
                </w:p>
              </w:tc>
              <w:tc>
                <w:tcPr>
                  <w:tcW w:w="1196" w:type="dxa"/>
                  <w:vAlign w:val="center"/>
                </w:tcPr>
                <w:p w14:paraId="15D85EF3">
                  <w:pPr>
                    <w:widowControl/>
                    <w:jc w:val="center"/>
                    <w:textAlignment w:val="center"/>
                    <w:rPr>
                      <w:rFonts w:hint="default" w:ascii="Times New Roman" w:hAnsi="Times New Roman" w:eastAsia="宋体" w:cs="Times New Roman"/>
                      <w:kern w:val="2"/>
                      <w:sz w:val="21"/>
                      <w:szCs w:val="21"/>
                      <w:lang w:val="en-US" w:eastAsia="zh-CN" w:bidi="ar-SA"/>
                    </w:rPr>
                  </w:pPr>
                  <w:r>
                    <w:rPr>
                      <w:rFonts w:hint="eastAsia"/>
                      <w:sz w:val="21"/>
                      <w:szCs w:val="21"/>
                    </w:rPr>
                    <w:t>213-001-09</w:t>
                  </w:r>
                </w:p>
              </w:tc>
              <w:tc>
                <w:tcPr>
                  <w:tcW w:w="1161" w:type="dxa"/>
                  <w:vAlign w:val="center"/>
                </w:tcPr>
                <w:p w14:paraId="3DB3FF01">
                  <w:pPr>
                    <w:widowControl/>
                    <w:jc w:val="center"/>
                    <w:textAlignment w:val="center"/>
                    <w:rPr>
                      <w:rFonts w:hint="default" w:ascii="Times New Roman" w:hAnsi="Times New Roman" w:eastAsia="宋体" w:cs="Times New Roman"/>
                      <w:kern w:val="0"/>
                      <w:sz w:val="21"/>
                      <w:szCs w:val="21"/>
                      <w:lang w:val="en-US" w:eastAsia="zh-CN" w:bidi="ar"/>
                    </w:rPr>
                  </w:pPr>
                  <w:r>
                    <w:rPr>
                      <w:kern w:val="0"/>
                      <w:sz w:val="21"/>
                      <w:szCs w:val="21"/>
                      <w:lang w:bidi="ar"/>
                    </w:rPr>
                    <w:t>/</w:t>
                  </w:r>
                </w:p>
              </w:tc>
              <w:tc>
                <w:tcPr>
                  <w:tcW w:w="636" w:type="dxa"/>
                  <w:vAlign w:val="center"/>
                </w:tcPr>
                <w:p w14:paraId="4D2487B8">
                  <w:pPr>
                    <w:widowControl/>
                    <w:jc w:val="center"/>
                    <w:textAlignment w:val="center"/>
                    <w:rPr>
                      <w:rFonts w:hint="default" w:ascii="宋体" w:hAnsi="宋体" w:eastAsia="宋体" w:cs="宋体"/>
                      <w:kern w:val="0"/>
                      <w:sz w:val="21"/>
                      <w:szCs w:val="21"/>
                      <w:lang w:val="en-US" w:eastAsia="zh-CN" w:bidi="ar"/>
                    </w:rPr>
                  </w:pPr>
                  <w:r>
                    <w:rPr>
                      <w:rFonts w:hint="eastAsia" w:ascii="宋体" w:hAnsi="宋体" w:cs="宋体"/>
                      <w:kern w:val="0"/>
                      <w:sz w:val="21"/>
                      <w:szCs w:val="21"/>
                      <w:lang w:bidi="ar"/>
                    </w:rPr>
                    <w:t>固态</w:t>
                  </w:r>
                </w:p>
              </w:tc>
              <w:tc>
                <w:tcPr>
                  <w:tcW w:w="870" w:type="dxa"/>
                  <w:vAlign w:val="center"/>
                </w:tcPr>
                <w:p w14:paraId="1F2EBB8E">
                  <w:pPr>
                    <w:widowControl/>
                    <w:jc w:val="center"/>
                    <w:textAlignment w:val="center"/>
                    <w:rPr>
                      <w:rFonts w:hint="default" w:ascii="Times New Roman" w:hAnsi="Times New Roman" w:eastAsia="宋体" w:cs="Times New Roman"/>
                      <w:kern w:val="0"/>
                      <w:sz w:val="21"/>
                      <w:szCs w:val="21"/>
                      <w:lang w:val="en-US" w:eastAsia="zh-CN" w:bidi="ar"/>
                    </w:rPr>
                  </w:pPr>
                  <w:r>
                    <w:rPr>
                      <w:kern w:val="0"/>
                      <w:sz w:val="21"/>
                      <w:szCs w:val="21"/>
                      <w:lang w:bidi="ar"/>
                    </w:rPr>
                    <w:t>/</w:t>
                  </w:r>
                </w:p>
              </w:tc>
              <w:tc>
                <w:tcPr>
                  <w:tcW w:w="1201" w:type="dxa"/>
                  <w:vAlign w:val="center"/>
                </w:tcPr>
                <w:p w14:paraId="1DFEB3AD">
                  <w:pPr>
                    <w:widowControl/>
                    <w:jc w:val="center"/>
                    <w:textAlignment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64.5</w:t>
                  </w:r>
                </w:p>
              </w:tc>
              <w:tc>
                <w:tcPr>
                  <w:tcW w:w="1263" w:type="dxa"/>
                  <w:vMerge w:val="continue"/>
                  <w:vAlign w:val="center"/>
                </w:tcPr>
                <w:p w14:paraId="02E86BF6">
                  <w:pPr>
                    <w:bidi w:val="0"/>
                    <w:jc w:val="center"/>
                    <w:rPr>
                      <w:rFonts w:hint="default" w:ascii="Times New Roman" w:hAnsi="Times New Roman" w:cs="Times New Roman"/>
                      <w:sz w:val="21"/>
                      <w:szCs w:val="21"/>
                    </w:rPr>
                  </w:pPr>
                </w:p>
              </w:tc>
              <w:tc>
                <w:tcPr>
                  <w:tcW w:w="1896" w:type="dxa"/>
                  <w:vMerge w:val="continue"/>
                  <w:vAlign w:val="center"/>
                </w:tcPr>
                <w:p w14:paraId="17C271C4">
                  <w:pPr>
                    <w:widowControl/>
                    <w:jc w:val="center"/>
                    <w:textAlignment w:val="center"/>
                    <w:rPr>
                      <w:rFonts w:hint="default" w:ascii="宋体" w:hAnsi="宋体" w:eastAsia="宋体" w:cs="宋体"/>
                      <w:kern w:val="0"/>
                      <w:sz w:val="21"/>
                      <w:szCs w:val="21"/>
                      <w:lang w:val="en-US" w:eastAsia="zh-CN" w:bidi="ar"/>
                    </w:rPr>
                  </w:pPr>
                </w:p>
              </w:tc>
              <w:tc>
                <w:tcPr>
                  <w:tcW w:w="1202" w:type="dxa"/>
                  <w:vAlign w:val="center"/>
                </w:tcPr>
                <w:p w14:paraId="30F057B2">
                  <w:pPr>
                    <w:widowControl/>
                    <w:jc w:val="center"/>
                    <w:textAlignment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64.5</w:t>
                  </w:r>
                </w:p>
              </w:tc>
            </w:tr>
            <w:tr w14:paraId="1D0F7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14:paraId="31518E2F">
                  <w:pPr>
                    <w:widowControl/>
                    <w:jc w:val="center"/>
                    <w:textAlignment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8</w:t>
                  </w:r>
                </w:p>
              </w:tc>
              <w:tc>
                <w:tcPr>
                  <w:tcW w:w="1011" w:type="dxa"/>
                  <w:vAlign w:val="center"/>
                </w:tcPr>
                <w:p w14:paraId="39E3FAF9">
                  <w:pPr>
                    <w:widowControl/>
                    <w:jc w:val="center"/>
                    <w:textAlignment w:val="center"/>
                    <w:rPr>
                      <w:rFonts w:hint="eastAsia" w:ascii="宋体" w:hAnsi="宋体" w:eastAsia="宋体" w:cs="宋体"/>
                      <w:kern w:val="0"/>
                      <w:sz w:val="21"/>
                      <w:szCs w:val="21"/>
                      <w:lang w:eastAsia="zh-CN" w:bidi="ar"/>
                    </w:rPr>
                  </w:pPr>
                  <w:r>
                    <w:rPr>
                      <w:rFonts w:hint="eastAsia" w:ascii="宋体" w:hAnsi="宋体" w:cs="宋体"/>
                      <w:kern w:val="0"/>
                      <w:sz w:val="21"/>
                      <w:szCs w:val="21"/>
                      <w:lang w:eastAsia="zh-CN" w:bidi="ar"/>
                    </w:rPr>
                    <w:t>焊接</w:t>
                  </w:r>
                </w:p>
              </w:tc>
              <w:tc>
                <w:tcPr>
                  <w:tcW w:w="1412" w:type="dxa"/>
                  <w:vAlign w:val="center"/>
                </w:tcPr>
                <w:p w14:paraId="3686920A">
                  <w:pPr>
                    <w:widowControl/>
                    <w:jc w:val="center"/>
                    <w:textAlignment w:val="center"/>
                    <w:rPr>
                      <w:rFonts w:hint="eastAsia" w:eastAsia="宋体"/>
                      <w:sz w:val="21"/>
                      <w:szCs w:val="21"/>
                      <w:lang w:eastAsia="zh-CN"/>
                    </w:rPr>
                  </w:pPr>
                  <w:r>
                    <w:rPr>
                      <w:rFonts w:hint="eastAsia"/>
                      <w:sz w:val="21"/>
                      <w:szCs w:val="21"/>
                      <w:lang w:eastAsia="zh-CN"/>
                    </w:rPr>
                    <w:t>焊渣</w:t>
                  </w:r>
                </w:p>
              </w:tc>
              <w:tc>
                <w:tcPr>
                  <w:tcW w:w="1056" w:type="dxa"/>
                  <w:shd w:val="clear" w:color="auto" w:fill="auto"/>
                  <w:vAlign w:val="center"/>
                </w:tcPr>
                <w:p w14:paraId="59C8174E">
                  <w:pPr>
                    <w:widowControl/>
                    <w:jc w:val="center"/>
                    <w:textAlignment w:val="center"/>
                    <w:rPr>
                      <w:rFonts w:hint="eastAsia" w:ascii="宋体" w:hAnsi="宋体" w:eastAsia="宋体" w:cs="宋体"/>
                      <w:kern w:val="0"/>
                      <w:sz w:val="21"/>
                      <w:szCs w:val="21"/>
                      <w:lang w:val="en-US" w:eastAsia="zh-CN" w:bidi="ar"/>
                    </w:rPr>
                  </w:pPr>
                  <w:r>
                    <w:rPr>
                      <w:rFonts w:hint="eastAsia" w:ascii="宋体" w:hAnsi="宋体" w:cs="宋体"/>
                      <w:kern w:val="0"/>
                      <w:sz w:val="21"/>
                      <w:szCs w:val="21"/>
                      <w:lang w:bidi="ar"/>
                    </w:rPr>
                    <w:t>一般固废</w:t>
                  </w:r>
                </w:p>
              </w:tc>
              <w:tc>
                <w:tcPr>
                  <w:tcW w:w="1196" w:type="dxa"/>
                  <w:shd w:val="clear" w:color="auto" w:fill="auto"/>
                  <w:vAlign w:val="center"/>
                </w:tcPr>
                <w:p w14:paraId="62CFC648">
                  <w:pPr>
                    <w:widowControl/>
                    <w:jc w:val="center"/>
                    <w:textAlignment w:val="center"/>
                    <w:rPr>
                      <w:rFonts w:hint="eastAsia" w:ascii="Times New Roman" w:hAnsi="Times New Roman" w:eastAsia="宋体" w:cs="Times New Roman"/>
                      <w:kern w:val="2"/>
                      <w:sz w:val="21"/>
                      <w:szCs w:val="21"/>
                      <w:lang w:val="en-US" w:eastAsia="zh-CN" w:bidi="ar-SA"/>
                    </w:rPr>
                  </w:pPr>
                  <w:r>
                    <w:rPr>
                      <w:rFonts w:hint="eastAsia"/>
                      <w:sz w:val="21"/>
                      <w:szCs w:val="21"/>
                    </w:rPr>
                    <w:t>213-001-09</w:t>
                  </w:r>
                </w:p>
              </w:tc>
              <w:tc>
                <w:tcPr>
                  <w:tcW w:w="1161" w:type="dxa"/>
                  <w:shd w:val="clear" w:color="auto" w:fill="auto"/>
                  <w:vAlign w:val="center"/>
                </w:tcPr>
                <w:p w14:paraId="2B72F5EC">
                  <w:pPr>
                    <w:widowControl/>
                    <w:jc w:val="center"/>
                    <w:textAlignment w:val="center"/>
                    <w:rPr>
                      <w:rFonts w:hint="default" w:ascii="Times New Roman" w:hAnsi="Times New Roman" w:eastAsia="宋体" w:cs="Times New Roman"/>
                      <w:kern w:val="0"/>
                      <w:sz w:val="21"/>
                      <w:szCs w:val="21"/>
                      <w:lang w:val="en-US" w:eastAsia="zh-CN" w:bidi="ar"/>
                    </w:rPr>
                  </w:pPr>
                  <w:r>
                    <w:rPr>
                      <w:kern w:val="0"/>
                      <w:sz w:val="21"/>
                      <w:szCs w:val="21"/>
                      <w:lang w:bidi="ar"/>
                    </w:rPr>
                    <w:t>/</w:t>
                  </w:r>
                </w:p>
              </w:tc>
              <w:tc>
                <w:tcPr>
                  <w:tcW w:w="636" w:type="dxa"/>
                  <w:shd w:val="clear" w:color="auto" w:fill="auto"/>
                  <w:vAlign w:val="center"/>
                </w:tcPr>
                <w:p w14:paraId="29E3A4CC">
                  <w:pPr>
                    <w:widowControl/>
                    <w:jc w:val="center"/>
                    <w:textAlignment w:val="center"/>
                    <w:rPr>
                      <w:rFonts w:hint="eastAsia" w:ascii="宋体" w:hAnsi="宋体" w:eastAsia="宋体" w:cs="宋体"/>
                      <w:kern w:val="0"/>
                      <w:sz w:val="21"/>
                      <w:szCs w:val="21"/>
                      <w:lang w:val="en-US" w:eastAsia="zh-CN" w:bidi="ar"/>
                    </w:rPr>
                  </w:pPr>
                  <w:r>
                    <w:rPr>
                      <w:rFonts w:hint="eastAsia" w:ascii="宋体" w:hAnsi="宋体" w:cs="宋体"/>
                      <w:kern w:val="0"/>
                      <w:sz w:val="21"/>
                      <w:szCs w:val="21"/>
                      <w:lang w:bidi="ar"/>
                    </w:rPr>
                    <w:t>固态</w:t>
                  </w:r>
                </w:p>
              </w:tc>
              <w:tc>
                <w:tcPr>
                  <w:tcW w:w="870" w:type="dxa"/>
                  <w:shd w:val="clear" w:color="auto" w:fill="auto"/>
                  <w:vAlign w:val="center"/>
                </w:tcPr>
                <w:p w14:paraId="122555F6">
                  <w:pPr>
                    <w:widowControl/>
                    <w:jc w:val="center"/>
                    <w:textAlignment w:val="center"/>
                    <w:rPr>
                      <w:rFonts w:hint="default" w:ascii="Times New Roman" w:hAnsi="Times New Roman" w:eastAsia="宋体" w:cs="Times New Roman"/>
                      <w:kern w:val="0"/>
                      <w:sz w:val="21"/>
                      <w:szCs w:val="21"/>
                      <w:lang w:val="en-US" w:eastAsia="zh-CN" w:bidi="ar"/>
                    </w:rPr>
                  </w:pPr>
                  <w:r>
                    <w:rPr>
                      <w:kern w:val="0"/>
                      <w:sz w:val="21"/>
                      <w:szCs w:val="21"/>
                      <w:lang w:bidi="ar"/>
                    </w:rPr>
                    <w:t>/</w:t>
                  </w:r>
                </w:p>
              </w:tc>
              <w:tc>
                <w:tcPr>
                  <w:tcW w:w="1201" w:type="dxa"/>
                  <w:vAlign w:val="center"/>
                </w:tcPr>
                <w:p w14:paraId="35E37E44">
                  <w:pPr>
                    <w:widowControl/>
                    <w:jc w:val="center"/>
                    <w:textAlignment w:val="center"/>
                    <w:rPr>
                      <w:rFonts w:hint="default" w:cs="Times New Roman"/>
                      <w:kern w:val="2"/>
                      <w:sz w:val="21"/>
                      <w:szCs w:val="21"/>
                      <w:lang w:val="en-US" w:eastAsia="zh-CN" w:bidi="ar-SA"/>
                    </w:rPr>
                  </w:pPr>
                  <w:r>
                    <w:rPr>
                      <w:rFonts w:hint="eastAsia" w:cs="Times New Roman"/>
                      <w:kern w:val="2"/>
                      <w:sz w:val="21"/>
                      <w:szCs w:val="21"/>
                      <w:lang w:val="en-US" w:eastAsia="zh-CN" w:bidi="ar-SA"/>
                    </w:rPr>
                    <w:t>2.3</w:t>
                  </w:r>
                </w:p>
              </w:tc>
              <w:tc>
                <w:tcPr>
                  <w:tcW w:w="1263" w:type="dxa"/>
                  <w:vMerge w:val="continue"/>
                  <w:vAlign w:val="center"/>
                </w:tcPr>
                <w:p w14:paraId="475BA490">
                  <w:pPr>
                    <w:bidi w:val="0"/>
                    <w:jc w:val="center"/>
                    <w:rPr>
                      <w:rFonts w:hint="default" w:ascii="Times New Roman" w:hAnsi="Times New Roman" w:cs="Times New Roman"/>
                      <w:sz w:val="21"/>
                      <w:szCs w:val="21"/>
                    </w:rPr>
                  </w:pPr>
                </w:p>
              </w:tc>
              <w:tc>
                <w:tcPr>
                  <w:tcW w:w="1896" w:type="dxa"/>
                  <w:vMerge w:val="continue"/>
                  <w:vAlign w:val="center"/>
                </w:tcPr>
                <w:p w14:paraId="20A0B3F7">
                  <w:pPr>
                    <w:widowControl/>
                    <w:jc w:val="center"/>
                    <w:textAlignment w:val="center"/>
                    <w:rPr>
                      <w:rFonts w:hint="default" w:ascii="宋体" w:hAnsi="宋体" w:eastAsia="宋体" w:cs="宋体"/>
                      <w:kern w:val="0"/>
                      <w:sz w:val="21"/>
                      <w:szCs w:val="21"/>
                      <w:lang w:val="en-US" w:eastAsia="zh-CN" w:bidi="ar"/>
                    </w:rPr>
                  </w:pPr>
                </w:p>
              </w:tc>
              <w:tc>
                <w:tcPr>
                  <w:tcW w:w="1202" w:type="dxa"/>
                  <w:vAlign w:val="center"/>
                </w:tcPr>
                <w:p w14:paraId="47A0EAB5">
                  <w:pPr>
                    <w:widowControl/>
                    <w:jc w:val="center"/>
                    <w:textAlignment w:val="center"/>
                    <w:rPr>
                      <w:rFonts w:hint="eastAsia" w:cs="Times New Roman"/>
                      <w:kern w:val="2"/>
                      <w:sz w:val="21"/>
                      <w:szCs w:val="21"/>
                      <w:lang w:val="en-US" w:eastAsia="zh-CN" w:bidi="ar-SA"/>
                    </w:rPr>
                  </w:pPr>
                  <w:r>
                    <w:rPr>
                      <w:rFonts w:hint="eastAsia" w:cs="Times New Roman"/>
                      <w:kern w:val="2"/>
                      <w:sz w:val="21"/>
                      <w:szCs w:val="21"/>
                      <w:lang w:val="en-US" w:eastAsia="zh-CN" w:bidi="ar-SA"/>
                    </w:rPr>
                    <w:t>2.3</w:t>
                  </w:r>
                </w:p>
              </w:tc>
            </w:tr>
            <w:tr w14:paraId="23035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14:paraId="221734BC">
                  <w:pPr>
                    <w:widowControl/>
                    <w:jc w:val="center"/>
                    <w:textAlignment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9</w:t>
                  </w:r>
                </w:p>
              </w:tc>
              <w:tc>
                <w:tcPr>
                  <w:tcW w:w="1011" w:type="dxa"/>
                  <w:vAlign w:val="center"/>
                </w:tcPr>
                <w:p w14:paraId="5B98F5F6">
                  <w:pPr>
                    <w:widowControl/>
                    <w:jc w:val="center"/>
                    <w:textAlignment w:val="center"/>
                    <w:rPr>
                      <w:rFonts w:hint="default" w:ascii="宋体" w:hAnsi="宋体" w:eastAsia="宋体" w:cs="宋体"/>
                      <w:kern w:val="0"/>
                      <w:sz w:val="21"/>
                      <w:szCs w:val="21"/>
                      <w:lang w:val="en-US" w:eastAsia="zh-CN" w:bidi="ar"/>
                    </w:rPr>
                  </w:pPr>
                  <w:r>
                    <w:rPr>
                      <w:rFonts w:hint="eastAsia" w:ascii="宋体" w:hAnsi="宋体" w:cs="宋体"/>
                      <w:kern w:val="0"/>
                      <w:sz w:val="21"/>
                      <w:szCs w:val="21"/>
                      <w:lang w:bidi="ar"/>
                    </w:rPr>
                    <w:t>生活</w:t>
                  </w:r>
                </w:p>
              </w:tc>
              <w:tc>
                <w:tcPr>
                  <w:tcW w:w="1412" w:type="dxa"/>
                  <w:vAlign w:val="center"/>
                </w:tcPr>
                <w:p w14:paraId="7D88CD97">
                  <w:pPr>
                    <w:widowControl/>
                    <w:jc w:val="center"/>
                    <w:textAlignment w:val="center"/>
                    <w:rPr>
                      <w:rFonts w:hint="default" w:ascii="Times New Roman" w:hAnsi="Times New Roman" w:eastAsia="宋体" w:cs="Times New Roman"/>
                      <w:kern w:val="2"/>
                      <w:sz w:val="21"/>
                      <w:szCs w:val="21"/>
                      <w:lang w:val="en-US" w:eastAsia="zh-CN" w:bidi="ar-SA"/>
                    </w:rPr>
                  </w:pPr>
                  <w:r>
                    <w:rPr>
                      <w:rFonts w:hint="eastAsia"/>
                      <w:sz w:val="21"/>
                      <w:szCs w:val="21"/>
                    </w:rPr>
                    <w:t>生活垃圾</w:t>
                  </w:r>
                </w:p>
              </w:tc>
              <w:tc>
                <w:tcPr>
                  <w:tcW w:w="0" w:type="auto"/>
                  <w:vAlign w:val="center"/>
                </w:tcPr>
                <w:p w14:paraId="69B0DE32">
                  <w:pPr>
                    <w:widowControl/>
                    <w:jc w:val="center"/>
                    <w:textAlignment w:val="center"/>
                    <w:rPr>
                      <w:rFonts w:hint="default" w:ascii="宋体" w:hAnsi="宋体" w:eastAsia="宋体" w:cs="宋体"/>
                      <w:kern w:val="0"/>
                      <w:sz w:val="21"/>
                      <w:szCs w:val="21"/>
                      <w:lang w:val="en-US" w:eastAsia="zh-CN" w:bidi="ar"/>
                    </w:rPr>
                  </w:pPr>
                  <w:r>
                    <w:rPr>
                      <w:rFonts w:hint="eastAsia" w:ascii="宋体" w:hAnsi="宋体" w:cs="宋体"/>
                      <w:kern w:val="0"/>
                      <w:sz w:val="21"/>
                      <w:szCs w:val="21"/>
                      <w:lang w:bidi="ar"/>
                    </w:rPr>
                    <w:t>一般固废</w:t>
                  </w:r>
                </w:p>
              </w:tc>
              <w:tc>
                <w:tcPr>
                  <w:tcW w:w="0" w:type="auto"/>
                  <w:vAlign w:val="center"/>
                </w:tcPr>
                <w:p w14:paraId="0BF08128">
                  <w:pPr>
                    <w:widowControl/>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bidi="ar"/>
                    </w:rPr>
                    <w:t>/</w:t>
                  </w:r>
                </w:p>
              </w:tc>
              <w:tc>
                <w:tcPr>
                  <w:tcW w:w="0" w:type="auto"/>
                  <w:vAlign w:val="center"/>
                </w:tcPr>
                <w:p w14:paraId="6EC61757">
                  <w:pPr>
                    <w:widowControl/>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bidi="ar"/>
                    </w:rPr>
                    <w:t>/</w:t>
                  </w:r>
                </w:p>
              </w:tc>
              <w:tc>
                <w:tcPr>
                  <w:tcW w:w="0" w:type="auto"/>
                  <w:vAlign w:val="center"/>
                </w:tcPr>
                <w:p w14:paraId="02447729">
                  <w:pPr>
                    <w:widowControl/>
                    <w:jc w:val="center"/>
                    <w:textAlignment w:val="center"/>
                    <w:rPr>
                      <w:rFonts w:hint="default" w:ascii="宋体" w:hAnsi="宋体" w:eastAsia="宋体" w:cs="宋体"/>
                      <w:kern w:val="0"/>
                      <w:sz w:val="21"/>
                      <w:szCs w:val="21"/>
                      <w:lang w:val="en-US" w:eastAsia="zh-CN" w:bidi="ar"/>
                    </w:rPr>
                  </w:pPr>
                  <w:r>
                    <w:rPr>
                      <w:rFonts w:hint="eastAsia" w:ascii="宋体" w:hAnsi="宋体" w:cs="宋体"/>
                      <w:kern w:val="0"/>
                      <w:sz w:val="21"/>
                      <w:szCs w:val="21"/>
                      <w:lang w:bidi="ar"/>
                    </w:rPr>
                    <w:t>固态</w:t>
                  </w:r>
                </w:p>
              </w:tc>
              <w:tc>
                <w:tcPr>
                  <w:tcW w:w="0" w:type="auto"/>
                  <w:vAlign w:val="center"/>
                </w:tcPr>
                <w:p w14:paraId="35E0ACAB">
                  <w:pPr>
                    <w:widowControl/>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bidi="ar"/>
                    </w:rPr>
                    <w:t>/</w:t>
                  </w:r>
                </w:p>
              </w:tc>
              <w:tc>
                <w:tcPr>
                  <w:tcW w:w="0" w:type="auto"/>
                  <w:vAlign w:val="center"/>
                </w:tcPr>
                <w:p w14:paraId="1D42198A">
                  <w:pPr>
                    <w:widowControl/>
                    <w:jc w:val="center"/>
                    <w:textAlignment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12</w:t>
                  </w:r>
                </w:p>
              </w:tc>
              <w:tc>
                <w:tcPr>
                  <w:tcW w:w="0" w:type="auto"/>
                  <w:vAlign w:val="center"/>
                </w:tcPr>
                <w:p w14:paraId="59216077">
                  <w:pPr>
                    <w:jc w:val="center"/>
                    <w:rPr>
                      <w:rFonts w:hint="default" w:ascii="Times New Roman" w:hAnsi="Times New Roman" w:eastAsia="宋体" w:cs="Times New Roman"/>
                      <w:kern w:val="2"/>
                      <w:sz w:val="21"/>
                      <w:szCs w:val="21"/>
                      <w:lang w:val="en-US" w:eastAsia="zh-CN" w:bidi="ar-SA"/>
                    </w:rPr>
                  </w:pPr>
                  <w:r>
                    <w:rPr>
                      <w:rFonts w:hint="eastAsia"/>
                      <w:sz w:val="21"/>
                      <w:szCs w:val="21"/>
                    </w:rPr>
                    <w:t>垃圾桶</w:t>
                  </w:r>
                </w:p>
              </w:tc>
              <w:tc>
                <w:tcPr>
                  <w:tcW w:w="0" w:type="auto"/>
                  <w:vAlign w:val="center"/>
                </w:tcPr>
                <w:p w14:paraId="470F3FCB">
                  <w:pPr>
                    <w:widowControl/>
                    <w:jc w:val="center"/>
                    <w:textAlignment w:val="center"/>
                    <w:rPr>
                      <w:rFonts w:hint="default" w:ascii="Times New Roman" w:hAnsi="Times New Roman" w:eastAsia="宋体" w:cs="Times New Roman"/>
                      <w:kern w:val="2"/>
                      <w:sz w:val="21"/>
                      <w:szCs w:val="21"/>
                      <w:lang w:val="en-US" w:eastAsia="zh-CN" w:bidi="ar-SA"/>
                    </w:rPr>
                  </w:pPr>
                  <w:r>
                    <w:rPr>
                      <w:sz w:val="21"/>
                      <w:szCs w:val="21"/>
                    </w:rPr>
                    <w:t>环卫部门清运处置</w:t>
                  </w:r>
                </w:p>
              </w:tc>
              <w:tc>
                <w:tcPr>
                  <w:tcW w:w="1202" w:type="dxa"/>
                  <w:vAlign w:val="center"/>
                </w:tcPr>
                <w:p w14:paraId="4FAE137A">
                  <w:pPr>
                    <w:widowControl/>
                    <w:jc w:val="center"/>
                    <w:textAlignment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12</w:t>
                  </w:r>
                </w:p>
              </w:tc>
            </w:tr>
            <w:tr w14:paraId="0E93B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14:paraId="777A9F15">
                  <w:pPr>
                    <w:widowControl/>
                    <w:jc w:val="center"/>
                    <w:textAlignment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10</w:t>
                  </w:r>
                </w:p>
              </w:tc>
              <w:tc>
                <w:tcPr>
                  <w:tcW w:w="1011" w:type="dxa"/>
                  <w:vAlign w:val="center"/>
                </w:tcPr>
                <w:p w14:paraId="7E3ADF08">
                  <w:pPr>
                    <w:widowControl/>
                    <w:jc w:val="center"/>
                    <w:textAlignment w:val="center"/>
                    <w:rPr>
                      <w:rFonts w:hint="default" w:ascii="宋体" w:hAnsi="宋体" w:eastAsia="宋体" w:cs="宋体"/>
                      <w:kern w:val="0"/>
                      <w:sz w:val="21"/>
                      <w:szCs w:val="21"/>
                      <w:lang w:val="en-US" w:eastAsia="zh-CN" w:bidi="ar"/>
                    </w:rPr>
                  </w:pPr>
                  <w:r>
                    <w:rPr>
                      <w:rFonts w:hint="eastAsia" w:ascii="宋体" w:hAnsi="宋体" w:cs="宋体"/>
                      <w:kern w:val="0"/>
                      <w:sz w:val="21"/>
                      <w:szCs w:val="21"/>
                      <w:lang w:eastAsia="zh-CN" w:bidi="ar"/>
                    </w:rPr>
                    <w:t>生活</w:t>
                  </w:r>
                </w:p>
              </w:tc>
              <w:tc>
                <w:tcPr>
                  <w:tcW w:w="1412" w:type="dxa"/>
                  <w:vAlign w:val="center"/>
                </w:tcPr>
                <w:p w14:paraId="33E01734">
                  <w:pPr>
                    <w:widowControl/>
                    <w:jc w:val="center"/>
                    <w:textAlignment w:val="center"/>
                    <w:rPr>
                      <w:rFonts w:hint="default" w:ascii="Times New Roman" w:hAnsi="Times New Roman" w:eastAsia="宋体" w:cs="Times New Roman"/>
                      <w:kern w:val="2"/>
                      <w:sz w:val="21"/>
                      <w:szCs w:val="21"/>
                      <w:lang w:val="en-US" w:eastAsia="zh-CN" w:bidi="ar-SA"/>
                    </w:rPr>
                  </w:pPr>
                  <w:r>
                    <w:rPr>
                      <w:rFonts w:hint="eastAsia"/>
                      <w:sz w:val="21"/>
                      <w:szCs w:val="21"/>
                      <w:lang w:eastAsia="zh-CN"/>
                    </w:rPr>
                    <w:t>餐饮垃圾</w:t>
                  </w:r>
                </w:p>
              </w:tc>
              <w:tc>
                <w:tcPr>
                  <w:tcW w:w="0" w:type="auto"/>
                  <w:vAlign w:val="center"/>
                </w:tcPr>
                <w:p w14:paraId="56DD92FC">
                  <w:pPr>
                    <w:widowControl/>
                    <w:jc w:val="center"/>
                    <w:textAlignment w:val="center"/>
                    <w:rPr>
                      <w:rFonts w:hint="default" w:ascii="宋体" w:hAnsi="宋体" w:eastAsia="宋体" w:cs="宋体"/>
                      <w:kern w:val="0"/>
                      <w:sz w:val="21"/>
                      <w:szCs w:val="21"/>
                      <w:lang w:val="en-US" w:eastAsia="zh-CN" w:bidi="ar"/>
                    </w:rPr>
                  </w:pPr>
                  <w:r>
                    <w:rPr>
                      <w:rFonts w:hint="eastAsia" w:ascii="宋体" w:hAnsi="宋体" w:cs="宋体"/>
                      <w:kern w:val="0"/>
                      <w:sz w:val="21"/>
                      <w:szCs w:val="21"/>
                      <w:lang w:bidi="ar"/>
                    </w:rPr>
                    <w:t>一般固废</w:t>
                  </w:r>
                </w:p>
              </w:tc>
              <w:tc>
                <w:tcPr>
                  <w:tcW w:w="0" w:type="auto"/>
                  <w:vAlign w:val="center"/>
                </w:tcPr>
                <w:p w14:paraId="1A30CD95">
                  <w:pPr>
                    <w:widowControl/>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val="en-US" w:eastAsia="zh-CN" w:bidi="ar"/>
                    </w:rPr>
                    <w:t>/</w:t>
                  </w:r>
                </w:p>
              </w:tc>
              <w:tc>
                <w:tcPr>
                  <w:tcW w:w="0" w:type="auto"/>
                  <w:vAlign w:val="center"/>
                </w:tcPr>
                <w:p w14:paraId="3AAA5F30">
                  <w:pPr>
                    <w:widowControl/>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val="en-US" w:eastAsia="zh-CN" w:bidi="ar"/>
                    </w:rPr>
                    <w:t>/</w:t>
                  </w:r>
                </w:p>
              </w:tc>
              <w:tc>
                <w:tcPr>
                  <w:tcW w:w="0" w:type="auto"/>
                  <w:vAlign w:val="center"/>
                </w:tcPr>
                <w:p w14:paraId="3F720701">
                  <w:pPr>
                    <w:widowControl/>
                    <w:jc w:val="center"/>
                    <w:textAlignment w:val="center"/>
                    <w:rPr>
                      <w:rFonts w:hint="default" w:ascii="宋体" w:hAnsi="宋体" w:eastAsia="宋体" w:cs="宋体"/>
                      <w:kern w:val="0"/>
                      <w:sz w:val="21"/>
                      <w:szCs w:val="21"/>
                      <w:lang w:val="en-US" w:eastAsia="zh-CN" w:bidi="ar"/>
                    </w:rPr>
                  </w:pPr>
                  <w:r>
                    <w:rPr>
                      <w:rFonts w:hint="eastAsia" w:ascii="宋体" w:hAnsi="宋体" w:cs="宋体"/>
                      <w:kern w:val="0"/>
                      <w:sz w:val="21"/>
                      <w:szCs w:val="21"/>
                      <w:lang w:val="en-US" w:eastAsia="zh-CN" w:bidi="ar"/>
                    </w:rPr>
                    <w:t>液态</w:t>
                  </w:r>
                </w:p>
              </w:tc>
              <w:tc>
                <w:tcPr>
                  <w:tcW w:w="0" w:type="auto"/>
                  <w:vAlign w:val="center"/>
                </w:tcPr>
                <w:p w14:paraId="6D702012">
                  <w:pPr>
                    <w:widowControl/>
                    <w:jc w:val="center"/>
                    <w:textAlignment w:val="center"/>
                    <w:rPr>
                      <w:rFonts w:hint="default" w:ascii="Times New Roman" w:hAnsi="Times New Roman" w:eastAsia="宋体" w:cs="Times New Roman"/>
                      <w:kern w:val="0"/>
                      <w:sz w:val="21"/>
                      <w:szCs w:val="21"/>
                      <w:lang w:val="en-US" w:eastAsia="zh-CN" w:bidi="ar"/>
                    </w:rPr>
                  </w:pPr>
                  <w:r>
                    <w:rPr>
                      <w:rFonts w:hint="eastAsia"/>
                      <w:kern w:val="0"/>
                      <w:sz w:val="21"/>
                      <w:szCs w:val="21"/>
                      <w:lang w:val="en-US" w:eastAsia="zh-CN" w:bidi="ar"/>
                    </w:rPr>
                    <w:t>/</w:t>
                  </w:r>
                </w:p>
              </w:tc>
              <w:tc>
                <w:tcPr>
                  <w:tcW w:w="0" w:type="auto"/>
                  <w:vAlign w:val="center"/>
                </w:tcPr>
                <w:p w14:paraId="7BDCF8FD">
                  <w:pPr>
                    <w:widowControl/>
                    <w:jc w:val="center"/>
                    <w:textAlignment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2.4</w:t>
                  </w:r>
                </w:p>
              </w:tc>
              <w:tc>
                <w:tcPr>
                  <w:tcW w:w="0" w:type="auto"/>
                  <w:vAlign w:val="center"/>
                </w:tcPr>
                <w:p w14:paraId="002B040A">
                  <w:pPr>
                    <w:jc w:val="center"/>
                    <w:rPr>
                      <w:rFonts w:hint="default" w:ascii="Times New Roman" w:hAnsi="Times New Roman" w:eastAsia="宋体" w:cs="Times New Roman"/>
                      <w:kern w:val="2"/>
                      <w:sz w:val="21"/>
                      <w:szCs w:val="21"/>
                      <w:lang w:val="en-US" w:eastAsia="zh-CN" w:bidi="ar-SA"/>
                    </w:rPr>
                  </w:pPr>
                  <w:r>
                    <w:rPr>
                      <w:rFonts w:hint="eastAsia"/>
                      <w:sz w:val="21"/>
                      <w:szCs w:val="21"/>
                      <w:lang w:eastAsia="zh-CN"/>
                    </w:rPr>
                    <w:t>泔水桶</w:t>
                  </w:r>
                </w:p>
              </w:tc>
              <w:tc>
                <w:tcPr>
                  <w:tcW w:w="0" w:type="auto"/>
                  <w:vAlign w:val="center"/>
                </w:tcPr>
                <w:p w14:paraId="35421C55">
                  <w:pPr>
                    <w:widowControl/>
                    <w:jc w:val="center"/>
                    <w:textAlignment w:val="center"/>
                    <w:rPr>
                      <w:rFonts w:hint="default" w:ascii="Times New Roman" w:hAnsi="Times New Roman" w:eastAsia="宋体" w:cs="Times New Roman"/>
                      <w:kern w:val="2"/>
                      <w:sz w:val="21"/>
                      <w:szCs w:val="21"/>
                      <w:lang w:val="en-US" w:eastAsia="zh-CN" w:bidi="ar-SA"/>
                    </w:rPr>
                  </w:pPr>
                  <w:r>
                    <w:rPr>
                      <w:sz w:val="21"/>
                      <w:szCs w:val="21"/>
                    </w:rPr>
                    <w:t>物资公司回收利用</w:t>
                  </w:r>
                </w:p>
              </w:tc>
              <w:tc>
                <w:tcPr>
                  <w:tcW w:w="1202" w:type="dxa"/>
                  <w:vAlign w:val="center"/>
                </w:tcPr>
                <w:p w14:paraId="16B1F33C">
                  <w:pPr>
                    <w:widowControl/>
                    <w:jc w:val="center"/>
                    <w:textAlignment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2.4</w:t>
                  </w:r>
                </w:p>
              </w:tc>
            </w:tr>
            <w:tr w14:paraId="36DA8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8"/>
                  <w:vAlign w:val="center"/>
                </w:tcPr>
                <w:p w14:paraId="0E4C8729">
                  <w:pPr>
                    <w:widowControl/>
                    <w:jc w:val="center"/>
                    <w:textAlignment w:val="center"/>
                    <w:rPr>
                      <w:rFonts w:hint="eastAsia"/>
                      <w:kern w:val="0"/>
                      <w:sz w:val="21"/>
                      <w:szCs w:val="21"/>
                      <w:lang w:val="en-US" w:eastAsia="zh-CN" w:bidi="ar"/>
                    </w:rPr>
                  </w:pPr>
                  <w:r>
                    <w:rPr>
                      <w:rFonts w:hint="eastAsia"/>
                      <w:kern w:val="0"/>
                      <w:sz w:val="21"/>
                      <w:szCs w:val="21"/>
                      <w:lang w:bidi="ar"/>
                    </w:rPr>
                    <w:t>一般固废汇总量</w:t>
                  </w:r>
                </w:p>
              </w:tc>
              <w:tc>
                <w:tcPr>
                  <w:tcW w:w="0" w:type="auto"/>
                  <w:vAlign w:val="center"/>
                </w:tcPr>
                <w:p w14:paraId="30207C54">
                  <w:pPr>
                    <w:widowControl/>
                    <w:jc w:val="center"/>
                    <w:textAlignment w:val="center"/>
                    <w:rPr>
                      <w:rFonts w:hint="default"/>
                      <w:sz w:val="21"/>
                      <w:szCs w:val="21"/>
                      <w:lang w:val="en-US" w:eastAsia="zh-CN"/>
                    </w:rPr>
                  </w:pPr>
                  <w:r>
                    <w:rPr>
                      <w:rFonts w:hint="eastAsia"/>
                      <w:sz w:val="21"/>
                      <w:szCs w:val="21"/>
                      <w:lang w:val="en-US" w:eastAsia="zh-CN"/>
                    </w:rPr>
                    <w:t>82.7</w:t>
                  </w:r>
                </w:p>
              </w:tc>
              <w:tc>
                <w:tcPr>
                  <w:tcW w:w="0" w:type="auto"/>
                  <w:gridSpan w:val="2"/>
                  <w:vAlign w:val="center"/>
                </w:tcPr>
                <w:p w14:paraId="244264D7">
                  <w:pPr>
                    <w:widowControl/>
                    <w:jc w:val="center"/>
                    <w:textAlignment w:val="center"/>
                    <w:rPr>
                      <w:sz w:val="21"/>
                      <w:szCs w:val="21"/>
                    </w:rPr>
                  </w:pPr>
                  <w:r>
                    <w:rPr>
                      <w:rFonts w:hint="default" w:ascii="Times New Roman" w:hAnsi="Times New Roman" w:cs="Times New Roman"/>
                      <w:kern w:val="0"/>
                      <w:sz w:val="21"/>
                      <w:szCs w:val="21"/>
                      <w:lang w:bidi="ar"/>
                    </w:rPr>
                    <w:t>/</w:t>
                  </w:r>
                </w:p>
              </w:tc>
              <w:tc>
                <w:tcPr>
                  <w:tcW w:w="1202" w:type="dxa"/>
                  <w:vAlign w:val="center"/>
                </w:tcPr>
                <w:p w14:paraId="1CB72FAA">
                  <w:pPr>
                    <w:widowControl/>
                    <w:jc w:val="center"/>
                    <w:textAlignment w:val="center"/>
                    <w:rPr>
                      <w:rFonts w:hint="default"/>
                      <w:sz w:val="21"/>
                      <w:szCs w:val="21"/>
                      <w:lang w:val="en-US" w:eastAsia="zh-CN"/>
                    </w:rPr>
                  </w:pPr>
                  <w:r>
                    <w:rPr>
                      <w:rFonts w:hint="eastAsia"/>
                      <w:sz w:val="21"/>
                      <w:szCs w:val="21"/>
                      <w:lang w:val="en-US" w:eastAsia="zh-CN"/>
                    </w:rPr>
                    <w:t>82.7</w:t>
                  </w:r>
                </w:p>
              </w:tc>
            </w:tr>
          </w:tbl>
          <w:p w14:paraId="5139FFF6">
            <w:pPr>
              <w:pStyle w:val="9"/>
            </w:pPr>
          </w:p>
        </w:tc>
      </w:tr>
    </w:tbl>
    <w:p w14:paraId="38ABF326">
      <w:pPr>
        <w:pStyle w:val="23"/>
        <w:jc w:val="center"/>
        <w:outlineLvl w:val="0"/>
        <w:rPr>
          <w:rFonts w:ascii="黑体" w:hAnsi="黑体" w:eastAsia="黑体"/>
          <w:snapToGrid w:val="0"/>
          <w:sz w:val="30"/>
          <w:szCs w:val="30"/>
        </w:rPr>
        <w:sectPr>
          <w:pgSz w:w="16838" w:h="11906" w:orient="landscape"/>
          <w:pgMar w:top="1418" w:right="1418" w:bottom="1418" w:left="1418" w:header="851" w:footer="851" w:gutter="0"/>
          <w:pgBorders>
            <w:top w:val="none" w:sz="0" w:space="0"/>
            <w:left w:val="none" w:sz="0" w:space="0"/>
            <w:bottom w:val="none" w:sz="0" w:space="0"/>
            <w:right w:val="none" w:sz="0" w:space="0"/>
          </w:pgBorders>
          <w:cols w:space="720" w:num="1"/>
          <w:docGrid w:linePitch="312" w:charSpace="0"/>
        </w:sectPr>
      </w:pPr>
    </w:p>
    <w:tbl>
      <w:tblPr>
        <w:tblStyle w:val="26"/>
        <w:tblW w:w="886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66"/>
        <w:gridCol w:w="7999"/>
      </w:tblGrid>
      <w:tr w14:paraId="4A7937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66" w:type="dxa"/>
            <w:vAlign w:val="center"/>
          </w:tcPr>
          <w:p w14:paraId="1EDEE0AF">
            <w:pPr>
              <w:adjustRightInd w:val="0"/>
              <w:snapToGrid w:val="0"/>
              <w:jc w:val="center"/>
              <w:rPr>
                <w:rFonts w:ascii="宋体" w:hAnsi="宋体" w:cs="宋体"/>
                <w:b/>
                <w:bCs/>
                <w:szCs w:val="21"/>
              </w:rPr>
            </w:pPr>
            <w:r>
              <w:rPr>
                <w:rFonts w:hint="eastAsia" w:ascii="宋体" w:hAnsi="宋体" w:cs="宋体"/>
                <w:b/>
                <w:bCs/>
                <w:szCs w:val="21"/>
              </w:rPr>
              <w:t>运营</w:t>
            </w:r>
          </w:p>
          <w:p w14:paraId="12A007DB">
            <w:pPr>
              <w:adjustRightInd w:val="0"/>
              <w:snapToGrid w:val="0"/>
              <w:jc w:val="center"/>
              <w:rPr>
                <w:rFonts w:ascii="宋体" w:hAnsi="宋体" w:cs="宋体"/>
                <w:b/>
                <w:bCs/>
                <w:szCs w:val="21"/>
              </w:rPr>
            </w:pPr>
            <w:r>
              <w:rPr>
                <w:rFonts w:hint="eastAsia" w:ascii="宋体" w:hAnsi="宋体" w:cs="宋体"/>
                <w:b/>
                <w:bCs/>
                <w:szCs w:val="21"/>
              </w:rPr>
              <w:t>期环</w:t>
            </w:r>
          </w:p>
          <w:p w14:paraId="2EEEDA5B">
            <w:pPr>
              <w:adjustRightInd w:val="0"/>
              <w:snapToGrid w:val="0"/>
              <w:jc w:val="center"/>
              <w:rPr>
                <w:rFonts w:ascii="宋体" w:hAnsi="宋体" w:cs="宋体"/>
                <w:b/>
                <w:bCs/>
                <w:szCs w:val="21"/>
              </w:rPr>
            </w:pPr>
            <w:r>
              <w:rPr>
                <w:rFonts w:hint="eastAsia" w:ascii="宋体" w:hAnsi="宋体" w:cs="宋体"/>
                <w:b/>
                <w:bCs/>
                <w:szCs w:val="21"/>
              </w:rPr>
              <w:t>境影</w:t>
            </w:r>
          </w:p>
          <w:p w14:paraId="31284194">
            <w:pPr>
              <w:adjustRightInd w:val="0"/>
              <w:snapToGrid w:val="0"/>
              <w:jc w:val="center"/>
              <w:rPr>
                <w:rFonts w:ascii="宋体" w:hAnsi="宋体" w:cs="宋体"/>
                <w:b/>
                <w:bCs/>
                <w:szCs w:val="21"/>
              </w:rPr>
            </w:pPr>
            <w:r>
              <w:rPr>
                <w:rFonts w:hint="eastAsia" w:ascii="宋体" w:hAnsi="宋体" w:cs="宋体"/>
                <w:b/>
                <w:bCs/>
                <w:szCs w:val="21"/>
              </w:rPr>
              <w:t>响和</w:t>
            </w:r>
          </w:p>
          <w:p w14:paraId="7B661CF9">
            <w:pPr>
              <w:adjustRightInd w:val="0"/>
              <w:snapToGrid w:val="0"/>
              <w:jc w:val="center"/>
              <w:rPr>
                <w:rFonts w:ascii="宋体" w:hAnsi="宋体" w:cs="宋体"/>
                <w:b/>
                <w:bCs/>
                <w:szCs w:val="21"/>
              </w:rPr>
            </w:pPr>
            <w:r>
              <w:rPr>
                <w:rFonts w:hint="eastAsia" w:ascii="宋体" w:hAnsi="宋体" w:cs="宋体"/>
                <w:b/>
                <w:bCs/>
                <w:szCs w:val="21"/>
              </w:rPr>
              <w:t>保护</w:t>
            </w:r>
          </w:p>
          <w:p w14:paraId="22885D84">
            <w:pPr>
              <w:adjustRightInd w:val="0"/>
              <w:snapToGrid w:val="0"/>
              <w:jc w:val="center"/>
            </w:pPr>
            <w:r>
              <w:rPr>
                <w:rFonts w:hint="eastAsia" w:ascii="宋体" w:hAnsi="宋体" w:cs="宋体"/>
                <w:b/>
                <w:bCs/>
                <w:szCs w:val="21"/>
              </w:rPr>
              <w:t>措施</w:t>
            </w:r>
          </w:p>
        </w:tc>
        <w:tc>
          <w:tcPr>
            <w:tcW w:w="7999" w:type="dxa"/>
          </w:tcPr>
          <w:p w14:paraId="118811D0">
            <w:pPr>
              <w:widowControl/>
              <w:adjustRightInd w:val="0"/>
              <w:snapToGrid w:val="0"/>
              <w:spacing w:line="360" w:lineRule="auto"/>
              <w:ind w:firstLine="482" w:firstLineChars="200"/>
              <w:rPr>
                <w:b/>
                <w:bCs/>
                <w:sz w:val="24"/>
              </w:rPr>
            </w:pPr>
            <w:r>
              <w:rPr>
                <w:rFonts w:hint="eastAsia"/>
                <w:b/>
                <w:bCs/>
                <w:sz w:val="24"/>
              </w:rPr>
              <w:t>固体废物源强：</w:t>
            </w:r>
          </w:p>
          <w:p w14:paraId="0A260222">
            <w:pPr>
              <w:spacing w:line="360" w:lineRule="auto"/>
              <w:ind w:firstLine="480" w:firstLineChars="200"/>
              <w:rPr>
                <w:rFonts w:hint="eastAsia" w:eastAsia="宋体"/>
                <w:sz w:val="24"/>
                <w:lang w:eastAsia="zh-CN"/>
              </w:rPr>
            </w:pPr>
            <w:r>
              <w:rPr>
                <w:sz w:val="24"/>
              </w:rPr>
              <w:t>1、生活垃圾</w:t>
            </w:r>
            <w:r>
              <w:rPr>
                <w:rFonts w:hint="eastAsia"/>
                <w:sz w:val="24"/>
                <w:lang w:eastAsia="zh-CN"/>
              </w:rPr>
              <w:t>、餐饮垃圾</w:t>
            </w:r>
          </w:p>
          <w:p w14:paraId="3BE0FC4E">
            <w:pPr>
              <w:spacing w:line="360" w:lineRule="auto"/>
              <w:ind w:firstLine="480" w:firstLineChars="200"/>
              <w:rPr>
                <w:rFonts w:hint="eastAsia"/>
                <w:sz w:val="24"/>
                <w:lang w:eastAsia="zh-CN"/>
              </w:rPr>
            </w:pPr>
            <w:r>
              <w:rPr>
                <w:sz w:val="24"/>
              </w:rPr>
              <w:t>①</w:t>
            </w:r>
            <w:r>
              <w:rPr>
                <w:rFonts w:hint="eastAsia"/>
                <w:sz w:val="24"/>
                <w:lang w:eastAsia="zh-CN"/>
              </w:rPr>
              <w:t>生活垃圾</w:t>
            </w:r>
          </w:p>
          <w:p w14:paraId="22F70D1E">
            <w:pPr>
              <w:spacing w:line="360" w:lineRule="auto"/>
              <w:ind w:firstLine="480" w:firstLineChars="200"/>
              <w:rPr>
                <w:sz w:val="24"/>
              </w:rPr>
            </w:pPr>
            <w:r>
              <w:rPr>
                <w:sz w:val="24"/>
              </w:rPr>
              <w:t>本项目劳动定员为</w:t>
            </w:r>
            <w:r>
              <w:rPr>
                <w:rFonts w:hint="eastAsia"/>
                <w:sz w:val="24"/>
                <w:lang w:val="en-US" w:eastAsia="zh-CN"/>
              </w:rPr>
              <w:t>8</w:t>
            </w:r>
            <w:r>
              <w:rPr>
                <w:rFonts w:hint="eastAsia"/>
                <w:sz w:val="24"/>
              </w:rPr>
              <w:t>0</w:t>
            </w:r>
            <w:r>
              <w:rPr>
                <w:sz w:val="24"/>
              </w:rPr>
              <w:t>人，职工生活垃圾产生量按0.5kg/人·d计，年生产天数为</w:t>
            </w:r>
            <w:r>
              <w:rPr>
                <w:rFonts w:hint="eastAsia"/>
                <w:sz w:val="24"/>
              </w:rPr>
              <w:t>3</w:t>
            </w:r>
            <w:r>
              <w:rPr>
                <w:rFonts w:hint="eastAsia"/>
                <w:sz w:val="24"/>
                <w:lang w:val="en-US" w:eastAsia="zh-CN"/>
              </w:rPr>
              <w:t>00</w:t>
            </w:r>
            <w:r>
              <w:rPr>
                <w:sz w:val="24"/>
              </w:rPr>
              <w:t>天，则生活垃圾产生量为</w:t>
            </w:r>
            <w:r>
              <w:rPr>
                <w:rFonts w:hint="eastAsia"/>
                <w:sz w:val="24"/>
                <w:lang w:val="en-US" w:eastAsia="zh-CN"/>
              </w:rPr>
              <w:t>12</w:t>
            </w:r>
            <w:r>
              <w:rPr>
                <w:sz w:val="24"/>
              </w:rPr>
              <w:t>t/a。经厂区内统一收集后，交由当地环卫部门统一清运处置。</w:t>
            </w:r>
          </w:p>
          <w:p w14:paraId="029E555C">
            <w:pPr>
              <w:spacing w:line="360" w:lineRule="auto"/>
              <w:ind w:firstLine="480" w:firstLineChars="200"/>
              <w:rPr>
                <w:rFonts w:hint="eastAsia"/>
                <w:sz w:val="24"/>
                <w:lang w:eastAsia="zh-CN"/>
              </w:rPr>
            </w:pPr>
            <w:r>
              <w:rPr>
                <w:sz w:val="24"/>
              </w:rPr>
              <w:t>②</w:t>
            </w:r>
            <w:r>
              <w:rPr>
                <w:rFonts w:hint="eastAsia"/>
                <w:sz w:val="24"/>
                <w:lang w:eastAsia="zh-CN"/>
              </w:rPr>
              <w:t>餐饮垃圾</w:t>
            </w:r>
          </w:p>
          <w:p w14:paraId="50A7B86D">
            <w:pPr>
              <w:spacing w:line="360" w:lineRule="auto"/>
              <w:ind w:firstLine="480" w:firstLineChars="200"/>
              <w:rPr>
                <w:rFonts w:hint="eastAsia" w:eastAsia="宋体"/>
                <w:sz w:val="24"/>
                <w:lang w:eastAsia="zh-CN"/>
              </w:rPr>
            </w:pPr>
            <w:r>
              <w:rPr>
                <w:sz w:val="24"/>
              </w:rPr>
              <w:t>本项目劳动定员为</w:t>
            </w:r>
            <w:r>
              <w:rPr>
                <w:rFonts w:hint="eastAsia"/>
                <w:sz w:val="24"/>
                <w:lang w:val="en-US" w:eastAsia="zh-CN"/>
              </w:rPr>
              <w:t>8</w:t>
            </w:r>
            <w:r>
              <w:rPr>
                <w:rFonts w:hint="eastAsia"/>
                <w:sz w:val="24"/>
              </w:rPr>
              <w:t>0</w:t>
            </w:r>
            <w:r>
              <w:rPr>
                <w:sz w:val="24"/>
              </w:rPr>
              <w:t>人</w:t>
            </w:r>
            <w:r>
              <w:rPr>
                <w:rFonts w:hint="eastAsia"/>
                <w:sz w:val="24"/>
                <w:lang w:eastAsia="zh-CN"/>
              </w:rPr>
              <w:t>，餐饮</w:t>
            </w:r>
            <w:r>
              <w:rPr>
                <w:sz w:val="24"/>
              </w:rPr>
              <w:t>垃圾产生量按0.</w:t>
            </w:r>
            <w:r>
              <w:rPr>
                <w:rFonts w:hint="eastAsia"/>
                <w:sz w:val="24"/>
                <w:lang w:val="en-US" w:eastAsia="zh-CN"/>
              </w:rPr>
              <w:t>1</w:t>
            </w:r>
            <w:r>
              <w:rPr>
                <w:sz w:val="24"/>
              </w:rPr>
              <w:t>kg/人·d计，年生产天数为</w:t>
            </w:r>
            <w:r>
              <w:rPr>
                <w:rFonts w:hint="eastAsia"/>
                <w:sz w:val="24"/>
              </w:rPr>
              <w:t>3</w:t>
            </w:r>
            <w:r>
              <w:rPr>
                <w:rFonts w:hint="eastAsia"/>
                <w:sz w:val="24"/>
                <w:lang w:val="en-US" w:eastAsia="zh-CN"/>
              </w:rPr>
              <w:t>00</w:t>
            </w:r>
            <w:r>
              <w:rPr>
                <w:sz w:val="24"/>
              </w:rPr>
              <w:t>天，则</w:t>
            </w:r>
            <w:r>
              <w:rPr>
                <w:rFonts w:hint="eastAsia"/>
                <w:sz w:val="24"/>
                <w:lang w:eastAsia="zh-CN"/>
              </w:rPr>
              <w:t>餐饮</w:t>
            </w:r>
            <w:r>
              <w:rPr>
                <w:sz w:val="24"/>
              </w:rPr>
              <w:t>垃圾产生量为</w:t>
            </w:r>
            <w:r>
              <w:rPr>
                <w:rFonts w:hint="eastAsia"/>
                <w:sz w:val="24"/>
                <w:lang w:val="en-US" w:eastAsia="zh-CN"/>
              </w:rPr>
              <w:t>2.4</w:t>
            </w:r>
            <w:r>
              <w:rPr>
                <w:sz w:val="24"/>
              </w:rPr>
              <w:t>t/a</w:t>
            </w:r>
            <w:r>
              <w:rPr>
                <w:rFonts w:hint="eastAsia"/>
                <w:sz w:val="24"/>
                <w:lang w:eastAsia="zh-CN"/>
              </w:rPr>
              <w:t>，</w:t>
            </w:r>
            <w:r>
              <w:rPr>
                <w:sz w:val="24"/>
              </w:rPr>
              <w:t>收集后交由</w:t>
            </w:r>
            <w:r>
              <w:rPr>
                <w:rFonts w:hint="eastAsia"/>
                <w:sz w:val="24"/>
                <w:lang w:eastAsia="zh-CN"/>
              </w:rPr>
              <w:t>物资公司回收利用</w:t>
            </w:r>
            <w:r>
              <w:rPr>
                <w:sz w:val="24"/>
              </w:rPr>
              <w:t>。</w:t>
            </w:r>
          </w:p>
          <w:p w14:paraId="685B88AE">
            <w:pPr>
              <w:spacing w:line="360" w:lineRule="auto"/>
              <w:ind w:firstLine="480" w:firstLineChars="200"/>
              <w:rPr>
                <w:sz w:val="24"/>
              </w:rPr>
            </w:pPr>
            <w:r>
              <w:rPr>
                <w:sz w:val="24"/>
              </w:rPr>
              <w:t>2、一般工业固体废物</w:t>
            </w:r>
          </w:p>
          <w:p w14:paraId="5B10C674">
            <w:pPr>
              <w:widowControl/>
              <w:adjustRightInd w:val="0"/>
              <w:snapToGrid w:val="0"/>
              <w:spacing w:line="360" w:lineRule="auto"/>
              <w:ind w:firstLine="480" w:firstLineChars="200"/>
              <w:rPr>
                <w:rFonts w:ascii="宋体" w:hAnsi="宋体" w:cs="宋体"/>
                <w:sz w:val="24"/>
              </w:rPr>
            </w:pPr>
            <w:r>
              <w:rPr>
                <w:sz w:val="24"/>
              </w:rPr>
              <w:t>①</w:t>
            </w:r>
            <w:r>
              <w:rPr>
                <w:rFonts w:hint="eastAsia" w:ascii="宋体" w:hAnsi="宋体" w:cs="宋体"/>
                <w:sz w:val="24"/>
              </w:rPr>
              <w:t>不合格品</w:t>
            </w:r>
          </w:p>
          <w:p w14:paraId="227D0F52">
            <w:pPr>
              <w:widowControl/>
              <w:adjustRightInd w:val="0"/>
              <w:snapToGrid w:val="0"/>
              <w:spacing w:line="360" w:lineRule="auto"/>
              <w:ind w:firstLine="480" w:firstLineChars="200"/>
              <w:rPr>
                <w:sz w:val="24"/>
              </w:rPr>
            </w:pPr>
            <w:r>
              <w:rPr>
                <w:rFonts w:hint="eastAsia"/>
                <w:sz w:val="24"/>
              </w:rPr>
              <w:t>根据企业提供的资料可知，不合格品的产生量为</w:t>
            </w:r>
            <w:r>
              <w:rPr>
                <w:rFonts w:hint="eastAsia"/>
                <w:sz w:val="24"/>
                <w:lang w:val="en-US" w:eastAsia="zh-CN"/>
              </w:rPr>
              <w:t>1</w:t>
            </w:r>
            <w:r>
              <w:rPr>
                <w:rFonts w:hint="eastAsia"/>
                <w:sz w:val="24"/>
              </w:rPr>
              <w:t>.5t/a，本项目不合格品</w:t>
            </w:r>
            <w:r>
              <w:rPr>
                <w:sz w:val="24"/>
              </w:rPr>
              <w:t>收集后交由</w:t>
            </w:r>
            <w:r>
              <w:rPr>
                <w:rFonts w:hint="eastAsia"/>
                <w:sz w:val="24"/>
                <w:lang w:eastAsia="zh-CN"/>
              </w:rPr>
              <w:t>物资公司回收利用</w:t>
            </w:r>
            <w:r>
              <w:rPr>
                <w:rFonts w:hint="eastAsia"/>
                <w:sz w:val="24"/>
              </w:rPr>
              <w:t>。</w:t>
            </w:r>
          </w:p>
          <w:p w14:paraId="5FA28F40">
            <w:pPr>
              <w:widowControl/>
              <w:adjustRightInd w:val="0"/>
              <w:snapToGrid w:val="0"/>
              <w:spacing w:line="360" w:lineRule="auto"/>
              <w:ind w:firstLine="480" w:firstLineChars="200"/>
              <w:rPr>
                <w:rFonts w:ascii="宋体" w:hAnsi="宋体" w:cs="宋体"/>
                <w:sz w:val="24"/>
              </w:rPr>
            </w:pPr>
            <w:r>
              <w:rPr>
                <w:sz w:val="24"/>
              </w:rPr>
              <w:t>②</w:t>
            </w:r>
            <w:r>
              <w:rPr>
                <w:rFonts w:hint="eastAsia" w:ascii="宋体" w:hAnsi="宋体" w:cs="宋体"/>
                <w:sz w:val="24"/>
              </w:rPr>
              <w:t>边角料</w:t>
            </w:r>
          </w:p>
          <w:p w14:paraId="57483CC3">
            <w:pPr>
              <w:widowControl/>
              <w:adjustRightInd w:val="0"/>
              <w:snapToGrid w:val="0"/>
              <w:spacing w:line="360" w:lineRule="auto"/>
              <w:ind w:firstLine="480" w:firstLineChars="200"/>
              <w:rPr>
                <w:rFonts w:hint="eastAsia"/>
                <w:sz w:val="24"/>
              </w:rPr>
            </w:pPr>
            <w:r>
              <w:rPr>
                <w:rFonts w:hint="eastAsia"/>
                <w:sz w:val="24"/>
              </w:rPr>
              <w:t>根据企业提供的资料可知，则边角料的产生量为</w:t>
            </w:r>
            <w:r>
              <w:rPr>
                <w:rFonts w:hint="eastAsia"/>
                <w:sz w:val="24"/>
                <w:lang w:val="en-US" w:eastAsia="zh-CN"/>
              </w:rPr>
              <w:t>64.5</w:t>
            </w:r>
            <w:r>
              <w:rPr>
                <w:rFonts w:hint="eastAsia"/>
                <w:sz w:val="24"/>
              </w:rPr>
              <w:t>t/a</w:t>
            </w:r>
            <w:r>
              <w:rPr>
                <w:rFonts w:hint="eastAsia"/>
                <w:sz w:val="24"/>
                <w:lang w:eastAsia="zh-CN"/>
              </w:rPr>
              <w:t>，</w:t>
            </w:r>
            <w:r>
              <w:rPr>
                <w:rFonts w:hint="eastAsia"/>
                <w:sz w:val="24"/>
              </w:rPr>
              <w:t>本项目</w:t>
            </w:r>
            <w:r>
              <w:rPr>
                <w:rFonts w:hint="eastAsia"/>
                <w:sz w:val="24"/>
                <w:lang w:eastAsia="zh-CN"/>
              </w:rPr>
              <w:t>边角料</w:t>
            </w:r>
            <w:r>
              <w:rPr>
                <w:sz w:val="24"/>
              </w:rPr>
              <w:t>收集后交由</w:t>
            </w:r>
            <w:r>
              <w:rPr>
                <w:rFonts w:hint="eastAsia"/>
                <w:sz w:val="24"/>
                <w:lang w:eastAsia="zh-CN"/>
              </w:rPr>
              <w:t>物资公司回收利用</w:t>
            </w:r>
            <w:r>
              <w:rPr>
                <w:rFonts w:hint="eastAsia"/>
                <w:sz w:val="24"/>
              </w:rPr>
              <w:t>。</w:t>
            </w:r>
          </w:p>
          <w:p w14:paraId="4BF06189">
            <w:pPr>
              <w:widowControl/>
              <w:adjustRightInd w:val="0"/>
              <w:snapToGrid w:val="0"/>
              <w:spacing w:line="360" w:lineRule="auto"/>
              <w:ind w:firstLine="480" w:firstLineChars="200"/>
              <w:rPr>
                <w:rFonts w:hint="eastAsia" w:ascii="宋体" w:hAnsi="宋体" w:eastAsia="宋体" w:cs="宋体"/>
                <w:sz w:val="24"/>
                <w:lang w:eastAsia="zh-CN"/>
              </w:rPr>
            </w:pPr>
            <w:r>
              <w:rPr>
                <w:rFonts w:hint="eastAsia" w:ascii="宋体" w:hAnsi="宋体" w:eastAsia="宋体" w:cs="宋体"/>
                <w:sz w:val="24"/>
              </w:rPr>
              <w:t>③</w:t>
            </w:r>
            <w:r>
              <w:rPr>
                <w:rFonts w:hint="eastAsia" w:ascii="宋体" w:hAnsi="宋体" w:eastAsia="宋体" w:cs="宋体"/>
                <w:sz w:val="24"/>
                <w:lang w:eastAsia="zh-CN"/>
              </w:rPr>
              <w:t>焊渣</w:t>
            </w:r>
          </w:p>
          <w:p w14:paraId="5D63A8E8">
            <w:pPr>
              <w:widowControl/>
              <w:adjustRightInd w:val="0"/>
              <w:snapToGrid w:val="0"/>
              <w:spacing w:line="360" w:lineRule="auto"/>
              <w:ind w:firstLine="480" w:firstLineChars="200"/>
              <w:rPr>
                <w:rFonts w:hint="default" w:eastAsia="宋体"/>
                <w:sz w:val="24"/>
                <w:lang w:val="en-US" w:eastAsia="zh-CN"/>
              </w:rPr>
            </w:pPr>
            <w:r>
              <w:rPr>
                <w:rFonts w:hint="eastAsia" w:ascii="宋体" w:hAnsi="宋体" w:eastAsia="宋体" w:cs="宋体"/>
                <w:sz w:val="24"/>
                <w:lang w:eastAsia="zh-CN"/>
              </w:rPr>
              <w:t>根据企业提供的资料可知，焊渣的产生量为</w:t>
            </w:r>
            <w:r>
              <w:rPr>
                <w:rFonts w:hint="default" w:ascii="Times New Roman" w:hAnsi="Times New Roman" w:eastAsia="宋体" w:cs="Times New Roman"/>
                <w:sz w:val="24"/>
                <w:lang w:val="en-US" w:eastAsia="zh-CN"/>
              </w:rPr>
              <w:t>2.3t/a</w:t>
            </w:r>
            <w:r>
              <w:rPr>
                <w:rFonts w:hint="eastAsia" w:ascii="宋体" w:hAnsi="宋体" w:eastAsia="宋体" w:cs="宋体"/>
                <w:sz w:val="24"/>
                <w:lang w:val="en-US" w:eastAsia="zh-CN"/>
              </w:rPr>
              <w:t>，</w:t>
            </w:r>
            <w:r>
              <w:rPr>
                <w:rFonts w:hint="eastAsia"/>
                <w:sz w:val="24"/>
              </w:rPr>
              <w:t>本项目</w:t>
            </w:r>
            <w:r>
              <w:rPr>
                <w:rFonts w:hint="eastAsia"/>
                <w:sz w:val="24"/>
                <w:lang w:eastAsia="zh-CN"/>
              </w:rPr>
              <w:t>焊渣</w:t>
            </w:r>
            <w:r>
              <w:rPr>
                <w:sz w:val="24"/>
              </w:rPr>
              <w:t>收集后交由</w:t>
            </w:r>
            <w:r>
              <w:rPr>
                <w:rFonts w:hint="eastAsia"/>
                <w:sz w:val="24"/>
                <w:lang w:eastAsia="zh-CN"/>
              </w:rPr>
              <w:t>物资公司回收利用</w:t>
            </w:r>
            <w:r>
              <w:rPr>
                <w:rFonts w:hint="eastAsia"/>
                <w:sz w:val="24"/>
              </w:rPr>
              <w:t>。</w:t>
            </w:r>
          </w:p>
          <w:p w14:paraId="29B445A8">
            <w:pPr>
              <w:widowControl/>
              <w:adjustRightInd w:val="0"/>
              <w:snapToGrid w:val="0"/>
              <w:spacing w:line="360" w:lineRule="auto"/>
              <w:ind w:firstLine="480" w:firstLineChars="200"/>
              <w:rPr>
                <w:sz w:val="24"/>
              </w:rPr>
            </w:pPr>
            <w:r>
              <w:rPr>
                <w:rFonts w:hint="eastAsia"/>
                <w:sz w:val="24"/>
              </w:rPr>
              <w:t>3、危险废物</w:t>
            </w:r>
          </w:p>
          <w:p w14:paraId="1F1EEF32">
            <w:pPr>
              <w:spacing w:line="360" w:lineRule="auto"/>
              <w:ind w:firstLine="480" w:firstLineChars="200"/>
              <w:rPr>
                <w:sz w:val="24"/>
              </w:rPr>
            </w:pPr>
            <w:r>
              <w:rPr>
                <w:sz w:val="24"/>
              </w:rPr>
              <w:t>①</w:t>
            </w:r>
            <w:r>
              <w:rPr>
                <w:rFonts w:hint="eastAsia"/>
                <w:sz w:val="24"/>
              </w:rPr>
              <w:t>废</w:t>
            </w:r>
            <w:r>
              <w:rPr>
                <w:rFonts w:hint="eastAsia"/>
                <w:sz w:val="24"/>
                <w:lang w:eastAsia="zh-CN"/>
              </w:rPr>
              <w:t>漆</w:t>
            </w:r>
            <w:r>
              <w:rPr>
                <w:rFonts w:hint="eastAsia"/>
                <w:sz w:val="24"/>
              </w:rPr>
              <w:t>桶</w:t>
            </w:r>
          </w:p>
          <w:p w14:paraId="384ECA23">
            <w:pPr>
              <w:widowControl/>
              <w:adjustRightInd w:val="0"/>
              <w:snapToGrid w:val="0"/>
              <w:spacing w:line="360" w:lineRule="auto"/>
              <w:ind w:firstLine="480" w:firstLineChars="200"/>
              <w:rPr>
                <w:sz w:val="24"/>
              </w:rPr>
            </w:pPr>
            <w:r>
              <w:rPr>
                <w:sz w:val="24"/>
              </w:rPr>
              <w:t>根据建设单位提供资料，废</w:t>
            </w:r>
            <w:r>
              <w:rPr>
                <w:rFonts w:hint="eastAsia"/>
                <w:sz w:val="24"/>
              </w:rPr>
              <w:t>包装</w:t>
            </w:r>
            <w:r>
              <w:rPr>
                <w:sz w:val="24"/>
              </w:rPr>
              <w:t>桶产生量为0.</w:t>
            </w:r>
            <w:r>
              <w:rPr>
                <w:rFonts w:hint="eastAsia"/>
                <w:sz w:val="24"/>
                <w:lang w:val="en-US" w:eastAsia="zh-CN"/>
              </w:rPr>
              <w:t>1</w:t>
            </w:r>
            <w:r>
              <w:rPr>
                <w:sz w:val="24"/>
              </w:rPr>
              <w:t>t/a，对照《国家危险废物名录》（202</w:t>
            </w:r>
            <w:r>
              <w:rPr>
                <w:rFonts w:hint="eastAsia"/>
                <w:sz w:val="24"/>
                <w:lang w:val="en-US" w:eastAsia="zh-CN"/>
              </w:rPr>
              <w:t>5</w:t>
            </w:r>
            <w:r>
              <w:rPr>
                <w:sz w:val="24"/>
              </w:rPr>
              <w:t>年版）类别为</w:t>
            </w:r>
            <w:r>
              <w:rPr>
                <w:rFonts w:hint="eastAsia"/>
                <w:sz w:val="24"/>
              </w:rPr>
              <w:t>HW49</w:t>
            </w:r>
            <w:r>
              <w:rPr>
                <w:sz w:val="24"/>
              </w:rPr>
              <w:t>，其编号为</w:t>
            </w:r>
            <w:r>
              <w:rPr>
                <w:rFonts w:hint="eastAsia"/>
                <w:sz w:val="24"/>
              </w:rPr>
              <w:t>900-047-49</w:t>
            </w:r>
            <w:r>
              <w:rPr>
                <w:sz w:val="24"/>
              </w:rPr>
              <w:t>，废</w:t>
            </w:r>
            <w:r>
              <w:rPr>
                <w:rFonts w:hint="eastAsia"/>
                <w:sz w:val="24"/>
                <w:lang w:eastAsia="zh-CN"/>
              </w:rPr>
              <w:t>漆</w:t>
            </w:r>
            <w:r>
              <w:rPr>
                <w:rFonts w:hint="eastAsia"/>
                <w:sz w:val="24"/>
              </w:rPr>
              <w:t>桶</w:t>
            </w:r>
            <w:r>
              <w:rPr>
                <w:sz w:val="24"/>
              </w:rPr>
              <w:t>由企业集中收集后储存于</w:t>
            </w:r>
            <w:r>
              <w:rPr>
                <w:rFonts w:hint="eastAsia"/>
                <w:sz w:val="24"/>
              </w:rPr>
              <w:t>危废间</w:t>
            </w:r>
            <w:r>
              <w:rPr>
                <w:sz w:val="24"/>
              </w:rPr>
              <w:t>，定期委托有资质单位处理。</w:t>
            </w:r>
          </w:p>
          <w:p w14:paraId="54EE782F">
            <w:pPr>
              <w:widowControl/>
              <w:adjustRightInd w:val="0"/>
              <w:snapToGrid w:val="0"/>
              <w:spacing w:line="360" w:lineRule="auto"/>
              <w:ind w:firstLine="480" w:firstLineChars="200"/>
              <w:rPr>
                <w:rFonts w:hint="eastAsia" w:ascii="宋体" w:hAnsi="宋体" w:eastAsia="宋体" w:cs="宋体"/>
                <w:sz w:val="24"/>
                <w:lang w:eastAsia="zh-CN"/>
              </w:rPr>
            </w:pPr>
            <w:r>
              <w:rPr>
                <w:rFonts w:hint="eastAsia" w:ascii="宋体" w:hAnsi="宋体" w:cs="宋体"/>
                <w:sz w:val="24"/>
              </w:rPr>
              <w:t>②</w:t>
            </w:r>
            <w:r>
              <w:rPr>
                <w:rFonts w:hint="eastAsia" w:ascii="宋体" w:hAnsi="宋体" w:cs="宋体"/>
                <w:sz w:val="24"/>
                <w:lang w:eastAsia="zh-CN"/>
              </w:rPr>
              <w:t>漆渣</w:t>
            </w:r>
          </w:p>
          <w:p w14:paraId="338F8D9B">
            <w:pPr>
              <w:widowControl/>
              <w:adjustRightInd w:val="0"/>
              <w:snapToGrid w:val="0"/>
              <w:spacing w:line="360" w:lineRule="auto"/>
              <w:ind w:firstLine="480" w:firstLineChars="200"/>
              <w:rPr>
                <w:sz w:val="24"/>
              </w:rPr>
            </w:pPr>
            <w:r>
              <w:rPr>
                <w:sz w:val="24"/>
              </w:rPr>
              <w:t>根据建设单位提供资料，</w:t>
            </w:r>
            <w:r>
              <w:rPr>
                <w:rFonts w:hint="eastAsia" w:ascii="宋体" w:hAnsi="宋体" w:cs="宋体"/>
                <w:sz w:val="24"/>
                <w:lang w:eastAsia="zh-CN"/>
              </w:rPr>
              <w:t>漆渣</w:t>
            </w:r>
            <w:r>
              <w:rPr>
                <w:rFonts w:hint="eastAsia" w:ascii="宋体" w:hAnsi="宋体" w:cs="宋体"/>
                <w:sz w:val="24"/>
              </w:rPr>
              <w:t>产生量为</w:t>
            </w:r>
            <w:r>
              <w:rPr>
                <w:rFonts w:hint="eastAsia"/>
                <w:sz w:val="24"/>
                <w:lang w:val="en-US" w:eastAsia="zh-CN"/>
              </w:rPr>
              <w:t>0.0032</w:t>
            </w:r>
            <w:r>
              <w:rPr>
                <w:sz w:val="24"/>
              </w:rPr>
              <w:t>t/a对照《国家危险废物名录》（202</w:t>
            </w:r>
            <w:r>
              <w:rPr>
                <w:rFonts w:hint="eastAsia"/>
                <w:sz w:val="24"/>
                <w:lang w:val="en-US" w:eastAsia="zh-CN"/>
              </w:rPr>
              <w:t>5</w:t>
            </w:r>
            <w:r>
              <w:rPr>
                <w:sz w:val="24"/>
              </w:rPr>
              <w:t>年版）类别为</w:t>
            </w:r>
            <w:r>
              <w:rPr>
                <w:rFonts w:hint="eastAsia"/>
                <w:sz w:val="24"/>
              </w:rPr>
              <w:t>HW49</w:t>
            </w:r>
            <w:r>
              <w:rPr>
                <w:sz w:val="24"/>
              </w:rPr>
              <w:t>，其编号为</w:t>
            </w:r>
            <w:r>
              <w:rPr>
                <w:rFonts w:hint="eastAsia"/>
                <w:sz w:val="24"/>
              </w:rPr>
              <w:t>900-047-49</w:t>
            </w:r>
            <w:r>
              <w:rPr>
                <w:sz w:val="24"/>
              </w:rPr>
              <w:t>，</w:t>
            </w:r>
            <w:r>
              <w:rPr>
                <w:rFonts w:hint="eastAsia"/>
                <w:sz w:val="24"/>
                <w:lang w:eastAsia="zh-CN"/>
              </w:rPr>
              <w:t>漆渣</w:t>
            </w:r>
            <w:r>
              <w:rPr>
                <w:sz w:val="24"/>
              </w:rPr>
              <w:t>由企业集中收集后储存于</w:t>
            </w:r>
            <w:r>
              <w:rPr>
                <w:rFonts w:hint="eastAsia"/>
                <w:sz w:val="24"/>
              </w:rPr>
              <w:t>危废间</w:t>
            </w:r>
            <w:r>
              <w:rPr>
                <w:sz w:val="24"/>
              </w:rPr>
              <w:t>，定期委托有资质单位处理。</w:t>
            </w:r>
          </w:p>
          <w:p w14:paraId="45DF4808">
            <w:pPr>
              <w:widowControl/>
              <w:adjustRightInd w:val="0"/>
              <w:snapToGrid w:val="0"/>
              <w:spacing w:line="360" w:lineRule="auto"/>
              <w:ind w:firstLine="480" w:firstLineChars="200"/>
              <w:rPr>
                <w:rFonts w:ascii="宋体" w:hAnsi="宋体" w:cs="宋体"/>
                <w:sz w:val="24"/>
              </w:rPr>
            </w:pPr>
            <w:r>
              <w:rPr>
                <w:rFonts w:hint="eastAsia" w:ascii="宋体" w:hAnsi="宋体" w:cs="宋体"/>
                <w:sz w:val="24"/>
              </w:rPr>
              <w:t>③废润滑油</w:t>
            </w:r>
          </w:p>
          <w:p w14:paraId="511656E9">
            <w:pPr>
              <w:widowControl/>
              <w:adjustRightInd w:val="0"/>
              <w:snapToGrid w:val="0"/>
              <w:spacing w:line="360" w:lineRule="auto"/>
              <w:ind w:firstLine="480" w:firstLineChars="200"/>
              <w:rPr>
                <w:sz w:val="24"/>
              </w:rPr>
            </w:pPr>
            <w:r>
              <w:rPr>
                <w:sz w:val="24"/>
              </w:rPr>
              <w:t>根据建设单位提供资料，</w:t>
            </w:r>
            <w:r>
              <w:rPr>
                <w:rFonts w:hint="eastAsia"/>
                <w:sz w:val="24"/>
              </w:rPr>
              <w:t>废润滑油</w:t>
            </w:r>
            <w:r>
              <w:rPr>
                <w:sz w:val="24"/>
              </w:rPr>
              <w:t>产生量为</w:t>
            </w:r>
            <w:r>
              <w:rPr>
                <w:rFonts w:hint="eastAsia"/>
                <w:sz w:val="24"/>
                <w:lang w:eastAsia="zh-CN"/>
              </w:rPr>
              <w:t>2</w:t>
            </w:r>
            <w:r>
              <w:rPr>
                <w:sz w:val="24"/>
              </w:rPr>
              <w:t>t/a，对照《国家危险废物名录》（202</w:t>
            </w:r>
            <w:r>
              <w:rPr>
                <w:rFonts w:hint="eastAsia"/>
                <w:sz w:val="24"/>
                <w:lang w:val="en-US" w:eastAsia="zh-CN"/>
              </w:rPr>
              <w:t>5</w:t>
            </w:r>
            <w:r>
              <w:rPr>
                <w:sz w:val="24"/>
              </w:rPr>
              <w:t>年版）类别为</w:t>
            </w:r>
            <w:r>
              <w:rPr>
                <w:rFonts w:hint="eastAsia"/>
                <w:sz w:val="24"/>
              </w:rPr>
              <w:t>HW08</w:t>
            </w:r>
            <w:r>
              <w:rPr>
                <w:sz w:val="24"/>
              </w:rPr>
              <w:t>，其编号为</w:t>
            </w:r>
            <w:r>
              <w:rPr>
                <w:rFonts w:hint="eastAsia"/>
                <w:sz w:val="24"/>
              </w:rPr>
              <w:t>900-214-08</w:t>
            </w:r>
            <w:r>
              <w:rPr>
                <w:sz w:val="24"/>
              </w:rPr>
              <w:t>，废</w:t>
            </w:r>
            <w:r>
              <w:rPr>
                <w:rFonts w:hint="eastAsia"/>
                <w:sz w:val="24"/>
              </w:rPr>
              <w:t>润滑油</w:t>
            </w:r>
            <w:r>
              <w:rPr>
                <w:sz w:val="24"/>
              </w:rPr>
              <w:t>由企业集中收集后储存于</w:t>
            </w:r>
            <w:r>
              <w:rPr>
                <w:rFonts w:hint="eastAsia"/>
                <w:sz w:val="24"/>
              </w:rPr>
              <w:t>危废间</w:t>
            </w:r>
            <w:r>
              <w:rPr>
                <w:sz w:val="24"/>
              </w:rPr>
              <w:t>，定期委托有资质单位处理。</w:t>
            </w:r>
          </w:p>
          <w:p w14:paraId="330139EE">
            <w:pPr>
              <w:widowControl/>
              <w:adjustRightInd w:val="0"/>
              <w:snapToGrid w:val="0"/>
              <w:spacing w:line="360" w:lineRule="auto"/>
              <w:ind w:firstLine="480" w:firstLineChars="200"/>
              <w:rPr>
                <w:rFonts w:hint="eastAsia" w:ascii="宋体" w:hAnsi="宋体" w:cs="宋体"/>
                <w:sz w:val="24"/>
                <w:lang w:eastAsia="zh-CN"/>
              </w:rPr>
            </w:pPr>
            <w:r>
              <w:rPr>
                <w:rFonts w:hint="eastAsia" w:ascii="宋体" w:hAnsi="宋体" w:cs="宋体"/>
                <w:sz w:val="24"/>
              </w:rPr>
              <w:t>④</w:t>
            </w:r>
            <w:r>
              <w:rPr>
                <w:rFonts w:hint="eastAsia" w:ascii="宋体" w:hAnsi="宋体" w:cs="宋体"/>
                <w:sz w:val="24"/>
                <w:lang w:eastAsia="zh-CN"/>
              </w:rPr>
              <w:t>废活性炭</w:t>
            </w:r>
          </w:p>
          <w:p w14:paraId="23298F17">
            <w:pPr>
              <w:widowControl/>
              <w:adjustRightInd w:val="0"/>
              <w:snapToGrid w:val="0"/>
              <w:spacing w:line="360" w:lineRule="auto"/>
              <w:ind w:firstLine="480" w:firstLineChars="200"/>
              <w:rPr>
                <w:sz w:val="24"/>
              </w:rPr>
            </w:pPr>
            <w:r>
              <w:rPr>
                <w:rFonts w:hint="eastAsia"/>
                <w:sz w:val="24"/>
              </w:rPr>
              <w:t>本项目喷漆晾干产生的非甲烷总烃，漆雾需经过两级活性炭吸附设施处理后排放</w:t>
            </w:r>
            <w:r>
              <w:rPr>
                <w:rFonts w:hint="eastAsia"/>
                <w:bCs/>
                <w:sz w:val="24"/>
              </w:rPr>
              <w:t>，需要定期更换活性炭，根据废气污染源强核算，</w:t>
            </w:r>
            <w:r>
              <w:rPr>
                <w:rFonts w:hint="eastAsia"/>
                <w:bCs/>
                <w:sz w:val="24"/>
                <w:lang w:val="en-US" w:eastAsia="zh-CN"/>
              </w:rPr>
              <w:t>有机废气的产生量为0.195t/a，</w:t>
            </w:r>
            <w:r>
              <w:rPr>
                <w:rFonts w:hint="eastAsia"/>
                <w:bCs/>
                <w:sz w:val="24"/>
              </w:rPr>
              <w:t>经活性炭吸附的有机废气量</w:t>
            </w:r>
            <w:r>
              <w:rPr>
                <w:rFonts w:hint="eastAsia"/>
                <w:bCs/>
                <w:sz w:val="24"/>
                <w:lang w:val="en-US" w:eastAsia="zh-CN"/>
              </w:rPr>
              <w:t>0.1719</w:t>
            </w:r>
            <w:r>
              <w:rPr>
                <w:rFonts w:hint="eastAsia"/>
                <w:bCs/>
                <w:sz w:val="24"/>
              </w:rPr>
              <w:t>t/a，按照1t活性炭可以吸附0.33t有机废气计算，项目废活性炭</w:t>
            </w:r>
            <w:r>
              <w:rPr>
                <w:rFonts w:hint="eastAsia"/>
                <w:bCs/>
                <w:sz w:val="24"/>
                <w:lang w:eastAsia="zh-CN"/>
              </w:rPr>
              <w:t>的理论</w:t>
            </w:r>
            <w:r>
              <w:rPr>
                <w:rFonts w:hint="eastAsia"/>
                <w:bCs/>
                <w:sz w:val="24"/>
              </w:rPr>
              <w:t>产生量为</w:t>
            </w:r>
            <w:r>
              <w:rPr>
                <w:rFonts w:hint="eastAsia"/>
                <w:bCs/>
                <w:sz w:val="24"/>
                <w:lang w:val="en-US" w:eastAsia="zh-CN"/>
              </w:rPr>
              <w:t>0.693</w:t>
            </w:r>
            <w:r>
              <w:rPr>
                <w:rFonts w:hint="eastAsia"/>
                <w:bCs/>
                <w:sz w:val="24"/>
              </w:rPr>
              <w:t>t/a。本项目“二级活性炭”装置活性炭一次填装量为</w:t>
            </w:r>
            <w:r>
              <w:rPr>
                <w:rFonts w:hint="eastAsia"/>
                <w:bCs/>
                <w:sz w:val="24"/>
                <w:lang w:val="en-US" w:eastAsia="zh-CN"/>
              </w:rPr>
              <w:t>0.4</w:t>
            </w:r>
            <w:r>
              <w:rPr>
                <w:rFonts w:hint="eastAsia"/>
                <w:bCs/>
                <w:sz w:val="24"/>
              </w:rPr>
              <w:t>m</w:t>
            </w:r>
            <w:r>
              <w:rPr>
                <w:rFonts w:hint="eastAsia"/>
                <w:bCs/>
                <w:sz w:val="24"/>
                <w:vertAlign w:val="superscript"/>
              </w:rPr>
              <w:t>3</w:t>
            </w:r>
            <w:r>
              <w:rPr>
                <w:rFonts w:hint="eastAsia"/>
                <w:bCs/>
                <w:sz w:val="24"/>
              </w:rPr>
              <w:t>，活性炭密度按照0.5g/cm</w:t>
            </w:r>
            <w:r>
              <w:rPr>
                <w:rFonts w:hint="eastAsia"/>
                <w:bCs/>
                <w:sz w:val="24"/>
                <w:vertAlign w:val="superscript"/>
              </w:rPr>
              <w:t>3</w:t>
            </w:r>
            <w:r>
              <w:rPr>
                <w:rFonts w:hint="eastAsia"/>
                <w:bCs/>
                <w:sz w:val="24"/>
              </w:rPr>
              <w:t>计算，更换周期为</w:t>
            </w:r>
            <w:r>
              <w:rPr>
                <w:rFonts w:hint="eastAsia"/>
                <w:bCs/>
                <w:sz w:val="24"/>
                <w:lang w:val="en-US" w:eastAsia="zh-CN"/>
              </w:rPr>
              <w:t>1</w:t>
            </w:r>
            <w:r>
              <w:rPr>
                <w:rFonts w:hint="eastAsia"/>
                <w:bCs/>
                <w:sz w:val="24"/>
              </w:rPr>
              <w:t>次/3个月，一次更换废活性炭量约为</w:t>
            </w:r>
            <w:r>
              <w:rPr>
                <w:rFonts w:hint="eastAsia"/>
                <w:bCs/>
                <w:sz w:val="24"/>
                <w:lang w:val="en-US" w:eastAsia="zh-CN"/>
              </w:rPr>
              <w:t>0.243</w:t>
            </w:r>
            <w:r>
              <w:rPr>
                <w:rFonts w:hint="eastAsia"/>
                <w:bCs/>
                <w:sz w:val="24"/>
              </w:rPr>
              <w:t>t，则废活性炭年产生量为</w:t>
            </w:r>
            <w:r>
              <w:rPr>
                <w:rFonts w:hint="eastAsia"/>
                <w:bCs/>
                <w:sz w:val="24"/>
                <w:lang w:val="en-US" w:eastAsia="zh-CN"/>
              </w:rPr>
              <w:t>0.972</w:t>
            </w:r>
            <w:r>
              <w:rPr>
                <w:rFonts w:hint="eastAsia"/>
                <w:bCs/>
                <w:sz w:val="24"/>
              </w:rPr>
              <w:t>t</w:t>
            </w:r>
            <w:r>
              <w:rPr>
                <w:rFonts w:hint="eastAsia"/>
                <w:bCs/>
                <w:sz w:val="24"/>
                <w:lang w:eastAsia="zh-CN"/>
              </w:rPr>
              <w:t>。</w:t>
            </w:r>
            <w:r>
              <w:rPr>
                <w:rFonts w:hint="eastAsia"/>
                <w:bCs/>
                <w:sz w:val="24"/>
              </w:rPr>
              <w:t>废活性炭属于《国家危险废物名录》（2025版）中HW49其他废物（代码为900-039-49），分类收集后暂存于危废仓库，定期委托有资质单位处置</w:t>
            </w:r>
            <w:r>
              <w:rPr>
                <w:sz w:val="24"/>
              </w:rPr>
              <w:t>。</w:t>
            </w:r>
          </w:p>
          <w:p w14:paraId="37D81A04">
            <w:pPr>
              <w:pStyle w:val="22"/>
              <w:widowControl/>
              <w:spacing w:line="360" w:lineRule="auto"/>
              <w:ind w:firstLine="480" w:firstLineChars="200"/>
              <w:rPr>
                <w:rFonts w:ascii="Times New Roman" w:hAnsi="Times New Roman" w:cs="Times New Roman"/>
                <w:bCs/>
                <w:sz w:val="24"/>
              </w:rPr>
            </w:pPr>
            <w:r>
              <w:rPr>
                <w:rFonts w:hint="eastAsia" w:ascii="宋体" w:hAnsi="宋体" w:eastAsia="宋体" w:cs="宋体"/>
                <w:sz w:val="24"/>
              </w:rPr>
              <w:t>⑤</w:t>
            </w:r>
            <w:r>
              <w:rPr>
                <w:rFonts w:hint="eastAsia" w:ascii="宋体" w:hAnsi="宋体" w:eastAsia="宋体" w:cs="宋体"/>
                <w:sz w:val="24"/>
                <w:lang w:eastAsia="zh-CN"/>
              </w:rPr>
              <w:t>废过滤棉</w:t>
            </w:r>
          </w:p>
          <w:p w14:paraId="4B5A18E4">
            <w:pPr>
              <w:pStyle w:val="22"/>
              <w:widowControl/>
              <w:spacing w:line="360" w:lineRule="auto"/>
              <w:ind w:firstLine="480" w:firstLineChars="200"/>
              <w:rPr>
                <w:rFonts w:hint="eastAsia" w:ascii="宋体" w:hAnsi="宋体" w:eastAsia="宋体" w:cs="宋体"/>
                <w:sz w:val="24"/>
                <w:lang w:eastAsia="zh-CN"/>
              </w:rPr>
            </w:pPr>
            <w:r>
              <w:rPr>
                <w:rFonts w:hint="eastAsia" w:ascii="Times New Roman" w:hAnsi="Times New Roman" w:cs="Times New Roman"/>
                <w:bCs/>
                <w:sz w:val="24"/>
              </w:rPr>
              <w:t>本项目废气处理过程中产生废过滤棉，产生量约为0.07t/a，属于《国家危险废物名录》（2025版）中HW49其他废物（代码为</w:t>
            </w:r>
            <w:r>
              <w:rPr>
                <w:rFonts w:ascii="Times New Roman" w:hAnsi="Times New Roman" w:cs="Times New Roman"/>
                <w:bCs/>
                <w:sz w:val="24"/>
              </w:rPr>
              <w:t>900-047-49</w:t>
            </w:r>
            <w:r>
              <w:rPr>
                <w:rFonts w:hint="eastAsia" w:ascii="Times New Roman" w:hAnsi="Times New Roman" w:cs="Times New Roman"/>
                <w:bCs/>
                <w:sz w:val="24"/>
              </w:rPr>
              <w:t>），分类收集后暂存于危废仓库，定期委托有资质单位处置。</w:t>
            </w:r>
          </w:p>
          <w:p w14:paraId="52FF8A76">
            <w:pPr>
              <w:widowControl/>
              <w:adjustRightInd w:val="0"/>
              <w:snapToGrid w:val="0"/>
              <w:spacing w:line="360" w:lineRule="auto"/>
              <w:ind w:firstLine="482" w:firstLineChars="200"/>
              <w:rPr>
                <w:b/>
                <w:bCs/>
                <w:sz w:val="24"/>
              </w:rPr>
            </w:pPr>
            <w:r>
              <w:rPr>
                <w:rFonts w:hint="eastAsia"/>
                <w:b/>
                <w:bCs/>
                <w:sz w:val="24"/>
              </w:rPr>
              <w:t>固体废物环境管理要求：</w:t>
            </w:r>
          </w:p>
          <w:p w14:paraId="625FB35E">
            <w:pPr>
              <w:widowControl/>
              <w:adjustRightInd w:val="0"/>
              <w:snapToGrid w:val="0"/>
              <w:spacing w:line="360" w:lineRule="auto"/>
              <w:ind w:firstLine="480" w:firstLineChars="200"/>
              <w:rPr>
                <w:sz w:val="24"/>
              </w:rPr>
            </w:pPr>
            <w:r>
              <w:rPr>
                <w:rFonts w:hint="eastAsia"/>
                <w:sz w:val="24"/>
              </w:rPr>
              <w:t>本项目在厂区1#厂房西北侧新建一座</w:t>
            </w:r>
            <w:r>
              <w:rPr>
                <w:rFonts w:hint="eastAsia"/>
                <w:sz w:val="24"/>
                <w:lang w:val="en-US" w:eastAsia="zh-CN"/>
              </w:rPr>
              <w:t>25</w:t>
            </w:r>
            <w:r>
              <w:rPr>
                <w:sz w:val="24"/>
              </w:rPr>
              <w:t>m</w:t>
            </w:r>
            <w:r>
              <w:rPr>
                <w:sz w:val="24"/>
                <w:vertAlign w:val="superscript"/>
              </w:rPr>
              <w:t>2</w:t>
            </w:r>
            <w:r>
              <w:rPr>
                <w:rFonts w:hint="eastAsia"/>
                <w:sz w:val="24"/>
              </w:rPr>
              <w:t>的危废间和一座</w:t>
            </w:r>
            <w:r>
              <w:rPr>
                <w:rFonts w:hint="eastAsia"/>
                <w:sz w:val="24"/>
                <w:lang w:val="en-US" w:eastAsia="zh-CN"/>
              </w:rPr>
              <w:t>8</w:t>
            </w:r>
            <w:r>
              <w:rPr>
                <w:rFonts w:hint="eastAsia"/>
                <w:sz w:val="24"/>
              </w:rPr>
              <w:t>0m</w:t>
            </w:r>
            <w:r>
              <w:rPr>
                <w:rFonts w:hint="eastAsia"/>
                <w:sz w:val="24"/>
                <w:vertAlign w:val="superscript"/>
              </w:rPr>
              <w:t>2</w:t>
            </w:r>
            <w:r>
              <w:rPr>
                <w:rFonts w:hint="eastAsia"/>
                <w:sz w:val="24"/>
              </w:rPr>
              <w:t>的一般固废间，本项目产生的</w:t>
            </w:r>
            <w:r>
              <w:rPr>
                <w:rFonts w:hint="eastAsia"/>
                <w:bCs/>
                <w:sz w:val="24"/>
              </w:rPr>
              <w:t>废润滑油、废</w:t>
            </w:r>
            <w:r>
              <w:rPr>
                <w:rFonts w:hint="eastAsia"/>
                <w:bCs/>
                <w:sz w:val="24"/>
                <w:lang w:eastAsia="zh-CN"/>
              </w:rPr>
              <w:t>漆桶</w:t>
            </w:r>
            <w:r>
              <w:rPr>
                <w:rFonts w:hint="eastAsia"/>
                <w:bCs/>
                <w:sz w:val="24"/>
              </w:rPr>
              <w:t>、</w:t>
            </w:r>
            <w:r>
              <w:rPr>
                <w:rFonts w:hint="eastAsia"/>
                <w:bCs/>
                <w:sz w:val="24"/>
                <w:lang w:eastAsia="zh-CN"/>
              </w:rPr>
              <w:t>漆渣、废活性炭、废过滤棉</w:t>
            </w:r>
            <w:r>
              <w:rPr>
                <w:rFonts w:hint="eastAsia"/>
                <w:bCs/>
                <w:sz w:val="24"/>
              </w:rPr>
              <w:t>等</w:t>
            </w:r>
            <w:r>
              <w:rPr>
                <w:sz w:val="24"/>
              </w:rPr>
              <w:t>危险废物收集在危废</w:t>
            </w:r>
            <w:r>
              <w:rPr>
                <w:rFonts w:hint="eastAsia"/>
                <w:sz w:val="24"/>
              </w:rPr>
              <w:t>间</w:t>
            </w:r>
            <w:r>
              <w:rPr>
                <w:sz w:val="24"/>
              </w:rPr>
              <w:t>暂存后定期委托有资质单位处置</w:t>
            </w:r>
            <w:r>
              <w:rPr>
                <w:bCs/>
                <w:sz w:val="24"/>
              </w:rPr>
              <w:t>。</w:t>
            </w:r>
            <w:r>
              <w:rPr>
                <w:rFonts w:hint="eastAsia"/>
                <w:bCs/>
                <w:sz w:val="24"/>
              </w:rPr>
              <w:t>不合格品、边角料等</w:t>
            </w:r>
            <w:r>
              <w:rPr>
                <w:bCs/>
                <w:sz w:val="24"/>
              </w:rPr>
              <w:t>一般工业固废</w:t>
            </w:r>
            <w:r>
              <w:rPr>
                <w:rFonts w:hint="eastAsia"/>
                <w:bCs/>
                <w:sz w:val="24"/>
              </w:rPr>
              <w:t>，由物资部门回收利用</w:t>
            </w:r>
            <w:r>
              <w:rPr>
                <w:rFonts w:hint="eastAsia"/>
                <w:sz w:val="24"/>
              </w:rPr>
              <w:t>。</w:t>
            </w:r>
          </w:p>
          <w:p w14:paraId="0F313703">
            <w:pPr>
              <w:widowControl/>
              <w:adjustRightInd w:val="0"/>
              <w:snapToGrid w:val="0"/>
              <w:spacing w:line="360" w:lineRule="auto"/>
              <w:ind w:firstLine="480" w:firstLineChars="200"/>
              <w:rPr>
                <w:sz w:val="24"/>
              </w:rPr>
            </w:pPr>
            <w:r>
              <w:rPr>
                <w:rFonts w:hint="eastAsia"/>
                <w:sz w:val="24"/>
              </w:rPr>
              <w:t>（1）一般固废暂存间</w:t>
            </w:r>
            <w:r>
              <w:rPr>
                <w:sz w:val="24"/>
              </w:rPr>
              <w:t>的设置</w:t>
            </w:r>
            <w:r>
              <w:rPr>
                <w:rFonts w:hint="eastAsia"/>
                <w:sz w:val="24"/>
              </w:rPr>
              <w:t>要求</w:t>
            </w:r>
            <w:r>
              <w:rPr>
                <w:sz w:val="24"/>
              </w:rPr>
              <w:t>：</w:t>
            </w:r>
          </w:p>
          <w:p w14:paraId="7AEA86F3">
            <w:pPr>
              <w:widowControl/>
              <w:adjustRightInd w:val="0"/>
              <w:snapToGrid w:val="0"/>
              <w:spacing w:line="360" w:lineRule="auto"/>
              <w:ind w:firstLine="480" w:firstLineChars="200"/>
              <w:rPr>
                <w:sz w:val="24"/>
              </w:rPr>
            </w:pPr>
            <w:r>
              <w:rPr>
                <w:sz w:val="24"/>
              </w:rPr>
              <w:t>a、设分区暂存，确保各类一般固废得到合理处置；</w:t>
            </w:r>
          </w:p>
          <w:p w14:paraId="7F50C30C">
            <w:pPr>
              <w:widowControl/>
              <w:adjustRightInd w:val="0"/>
              <w:snapToGrid w:val="0"/>
              <w:spacing w:line="360" w:lineRule="auto"/>
              <w:ind w:firstLine="480" w:firstLineChars="200"/>
              <w:rPr>
                <w:sz w:val="24"/>
              </w:rPr>
            </w:pPr>
            <w:r>
              <w:rPr>
                <w:sz w:val="24"/>
              </w:rPr>
              <w:t>b、一般固废在运输过程中要防止散落地面，以免产生二次污染；</w:t>
            </w:r>
          </w:p>
          <w:p w14:paraId="567C57F7">
            <w:pPr>
              <w:widowControl/>
              <w:adjustRightInd w:val="0"/>
              <w:snapToGrid w:val="0"/>
              <w:spacing w:line="360" w:lineRule="auto"/>
              <w:ind w:firstLine="480" w:firstLineChars="200"/>
              <w:rPr>
                <w:sz w:val="24"/>
              </w:rPr>
            </w:pPr>
            <w:r>
              <w:rPr>
                <w:sz w:val="24"/>
              </w:rPr>
              <w:t>c、一般固废均按其资源化、无害化的方式进行处置；</w:t>
            </w:r>
          </w:p>
          <w:p w14:paraId="3AB3CFD0">
            <w:pPr>
              <w:widowControl/>
              <w:adjustRightInd w:val="0"/>
              <w:snapToGrid w:val="0"/>
              <w:spacing w:line="360" w:lineRule="auto"/>
              <w:ind w:firstLine="480" w:firstLineChars="200"/>
              <w:rPr>
                <w:sz w:val="24"/>
              </w:rPr>
            </w:pPr>
            <w:r>
              <w:rPr>
                <w:sz w:val="24"/>
              </w:rPr>
              <w:t>d、场所地面与裙角要用竖固、防渗的建筑材料建造，基础必须防渗，应设计建造径流疏导系统，保证能防止暴雨不会流到临时堆放的场所；</w:t>
            </w:r>
          </w:p>
          <w:p w14:paraId="629180EC">
            <w:pPr>
              <w:widowControl/>
              <w:adjustRightInd w:val="0"/>
              <w:snapToGrid w:val="0"/>
              <w:spacing w:line="360" w:lineRule="auto"/>
              <w:ind w:firstLine="480" w:firstLineChars="200"/>
              <w:rPr>
                <w:sz w:val="24"/>
              </w:rPr>
            </w:pPr>
            <w:r>
              <w:rPr>
                <w:rFonts w:hint="eastAsia"/>
                <w:sz w:val="24"/>
              </w:rPr>
              <w:t>（2）危险废物收集、暂存、运输污染防治措施分析</w:t>
            </w:r>
          </w:p>
          <w:p w14:paraId="3E6F4EED">
            <w:pPr>
              <w:widowControl/>
              <w:adjustRightInd w:val="0"/>
              <w:snapToGrid w:val="0"/>
              <w:spacing w:line="360" w:lineRule="auto"/>
              <w:ind w:firstLine="480" w:firstLineChars="200"/>
              <w:rPr>
                <w:sz w:val="24"/>
              </w:rPr>
            </w:pPr>
            <w:r>
              <w:rPr>
                <w:rFonts w:hint="eastAsia"/>
                <w:sz w:val="24"/>
              </w:rPr>
              <w:t>本项目在厂区1#厂房西北侧新建一座</w:t>
            </w:r>
            <w:r>
              <w:rPr>
                <w:rFonts w:hint="eastAsia"/>
                <w:sz w:val="24"/>
                <w:lang w:val="en-US" w:eastAsia="zh-CN"/>
              </w:rPr>
              <w:t>25</w:t>
            </w:r>
            <w:r>
              <w:rPr>
                <w:sz w:val="24"/>
              </w:rPr>
              <w:t>m</w:t>
            </w:r>
            <w:r>
              <w:rPr>
                <w:sz w:val="24"/>
                <w:vertAlign w:val="superscript"/>
              </w:rPr>
              <w:t>2</w:t>
            </w:r>
            <w:r>
              <w:rPr>
                <w:rFonts w:hint="eastAsia"/>
                <w:sz w:val="24"/>
              </w:rPr>
              <w:t>的危废间，贮存能力约</w:t>
            </w:r>
            <w:r>
              <w:rPr>
                <w:rFonts w:hint="eastAsia"/>
                <w:sz w:val="24"/>
                <w:lang w:val="en-US" w:eastAsia="zh-CN"/>
              </w:rPr>
              <w:t>25</w:t>
            </w:r>
            <w:r>
              <w:rPr>
                <w:rFonts w:hint="eastAsia"/>
                <w:sz w:val="24"/>
              </w:rPr>
              <w:t>t，</w:t>
            </w:r>
            <w:r>
              <w:rPr>
                <w:sz w:val="24"/>
              </w:rPr>
              <w:t>本项目危险废物产生量为</w:t>
            </w:r>
            <w:r>
              <w:rPr>
                <w:rFonts w:hint="eastAsia"/>
                <w:sz w:val="24"/>
                <w:lang w:val="en-US" w:eastAsia="zh-CN"/>
              </w:rPr>
              <w:t>2.88</w:t>
            </w:r>
            <w:r>
              <w:rPr>
                <w:sz w:val="24"/>
              </w:rPr>
              <w:t>t/a，</w:t>
            </w:r>
            <w:r>
              <w:rPr>
                <w:rFonts w:hint="eastAsia"/>
                <w:sz w:val="24"/>
              </w:rPr>
              <w:t>转运</w:t>
            </w:r>
            <w:r>
              <w:rPr>
                <w:sz w:val="24"/>
              </w:rPr>
              <w:t>周期为</w:t>
            </w:r>
            <w:r>
              <w:rPr>
                <w:rFonts w:hint="eastAsia"/>
                <w:sz w:val="24"/>
              </w:rPr>
              <w:t>三个月/</w:t>
            </w:r>
            <w:r>
              <w:rPr>
                <w:sz w:val="24"/>
              </w:rPr>
              <w:t>次。</w:t>
            </w:r>
          </w:p>
          <w:p w14:paraId="0BB52DB0">
            <w:pPr>
              <w:widowControl/>
              <w:adjustRightInd w:val="0"/>
              <w:snapToGrid w:val="0"/>
              <w:spacing w:line="360" w:lineRule="auto"/>
              <w:ind w:firstLine="480" w:firstLineChars="200"/>
              <w:rPr>
                <w:sz w:val="24"/>
              </w:rPr>
            </w:pPr>
            <w:r>
              <w:rPr>
                <w:rFonts w:hint="eastAsia"/>
                <w:sz w:val="24"/>
              </w:rPr>
              <w:t>危废间</w:t>
            </w:r>
            <w:r>
              <w:rPr>
                <w:sz w:val="24"/>
              </w:rPr>
              <w:t>的建设和临时贮存满足《危险废物贮存污染控制标准》（GB18597-20</w:t>
            </w:r>
            <w:r>
              <w:rPr>
                <w:rFonts w:hint="eastAsia"/>
                <w:sz w:val="24"/>
              </w:rPr>
              <w:t>23</w:t>
            </w:r>
            <w:r>
              <w:rPr>
                <w:sz w:val="24"/>
              </w:rPr>
              <w:t>）</w:t>
            </w:r>
            <w:r>
              <w:rPr>
                <w:rFonts w:hint="eastAsia"/>
                <w:sz w:val="24"/>
              </w:rPr>
              <w:t>中</w:t>
            </w:r>
            <w:r>
              <w:rPr>
                <w:sz w:val="24"/>
              </w:rPr>
              <w:t>要求，并做到以下防范措施：①贮存场所地面与裙脚要用坚固、防渗（渗透系数≤10</w:t>
            </w:r>
            <w:r>
              <w:rPr>
                <w:sz w:val="24"/>
                <w:vertAlign w:val="superscript"/>
              </w:rPr>
              <w:t>-7</w:t>
            </w:r>
            <w:r>
              <w:rPr>
                <w:sz w:val="24"/>
              </w:rPr>
              <w:t>cm/s）的材料建造，建筑材料必须与危险废物相容，周围应设置围墙或其他防护栅栏；②不相容的危险废物不能堆放在一起，必须将危险废物装入容器内，且容器必须完好无损，禁止将不相容（相互反应）的危险废物在同一容器内混装；③必须有泄露液体收集装置、气体导出口；④设施内要有安全照明设施和观察窗口；⑤用以存放装载液体、半固体危险废物容器的地方，必须有耐腐蚀的硬化地面，且表面无缝隙。</w:t>
            </w:r>
          </w:p>
          <w:p w14:paraId="393BFEE2">
            <w:pPr>
              <w:widowControl/>
              <w:adjustRightInd w:val="0"/>
              <w:snapToGrid w:val="0"/>
              <w:spacing w:line="360" w:lineRule="auto"/>
              <w:ind w:firstLine="480" w:firstLineChars="200"/>
              <w:rPr>
                <w:sz w:val="24"/>
              </w:rPr>
            </w:pPr>
            <w:r>
              <w:rPr>
                <w:sz w:val="24"/>
              </w:rPr>
              <w:t>根据中华人民共和国国务院令第344号《危险化学品安全管理条例》的有关规定，在危险废弃物外运至处置单位时必须严格遵守以下要求：</w:t>
            </w:r>
          </w:p>
          <w:p w14:paraId="2D3945EF">
            <w:pPr>
              <w:widowControl/>
              <w:adjustRightInd w:val="0"/>
              <w:snapToGrid w:val="0"/>
              <w:spacing w:line="360" w:lineRule="auto"/>
              <w:ind w:firstLine="480" w:firstLineChars="200"/>
              <w:rPr>
                <w:sz w:val="24"/>
              </w:rPr>
            </w:pPr>
            <w:r>
              <w:rPr>
                <w:sz w:val="24"/>
              </w:rPr>
              <w:t>①做好每次外运处置废弃物的运输登记，按照危险废物转移规定开展网上申报。</w:t>
            </w:r>
          </w:p>
          <w:p w14:paraId="5A2314A9">
            <w:pPr>
              <w:widowControl/>
              <w:adjustRightInd w:val="0"/>
              <w:snapToGrid w:val="0"/>
              <w:spacing w:line="360" w:lineRule="auto"/>
              <w:ind w:firstLine="480" w:firstLineChars="200"/>
              <w:rPr>
                <w:sz w:val="24"/>
              </w:rPr>
            </w:pPr>
            <w:r>
              <w:rPr>
                <w:sz w:val="24"/>
              </w:rPr>
              <w:t>②废弃物处置单位的运输人员必须掌握危险化学品运输的安全知识，了解所运载的危险化学品的性质、危害特性、包装容器的使用特性和发生意外时的应急措施。运输车辆必须具有车辆危险货物运输许可证。驾驶人员必须由取得驾驶执照的熟练人员担任。</w:t>
            </w:r>
          </w:p>
          <w:p w14:paraId="5317E675">
            <w:pPr>
              <w:widowControl/>
              <w:adjustRightInd w:val="0"/>
              <w:snapToGrid w:val="0"/>
              <w:spacing w:line="360" w:lineRule="auto"/>
              <w:ind w:firstLine="480" w:firstLineChars="200"/>
              <w:rPr>
                <w:sz w:val="24"/>
              </w:rPr>
            </w:pPr>
            <w:r>
              <w:rPr>
                <w:sz w:val="24"/>
              </w:rPr>
              <w:t>③处置单位在运输危险废弃物时必须配备押运人员，并随时处于押运人员的监管之下，不得超装、超载，严格按照所在城市规定的行车时间和行车路线行驶，不得进入危险化学品运输车辆禁止通行的区域。</w:t>
            </w:r>
          </w:p>
          <w:p w14:paraId="4BDD5938">
            <w:pPr>
              <w:widowControl/>
              <w:adjustRightInd w:val="0"/>
              <w:snapToGrid w:val="0"/>
              <w:spacing w:line="360" w:lineRule="auto"/>
              <w:ind w:firstLine="480" w:firstLineChars="200"/>
              <w:rPr>
                <w:sz w:val="24"/>
              </w:rPr>
            </w:pPr>
            <w:r>
              <w:rPr>
                <w:sz w:val="24"/>
              </w:rPr>
              <w:t>④危险废弃物在运输途中若发生被盗、丢失、流散、泄漏等情况时，公司及押运人员必须立即向当地公安部门报告，并采取一切可能的警示措施。</w:t>
            </w:r>
          </w:p>
          <w:p w14:paraId="43C31935">
            <w:pPr>
              <w:spacing w:line="360" w:lineRule="auto"/>
              <w:ind w:firstLine="480" w:firstLineChars="200"/>
              <w:rPr>
                <w:sz w:val="24"/>
              </w:rPr>
            </w:pPr>
            <w:r>
              <w:rPr>
                <w:sz w:val="24"/>
              </w:rPr>
              <w:t>⑤一旦发生废弃物泄漏事故，公司和废弃物处置单位都应积极协助有关部门采取必要的安全措施，减少事故损失，防止事故蔓延、扩大；针对事故对人体、动植物、土壤、水源、空气造成的现实危害和可能产生的危害，应迅速采取封闭、隔离、洗消等措施，并对事故造成的危害进行监测、处置，直至符合国家环境保护标准。</w:t>
            </w:r>
          </w:p>
          <w:p w14:paraId="59E7D553">
            <w:pPr>
              <w:spacing w:line="360" w:lineRule="auto"/>
              <w:ind w:firstLine="480" w:firstLineChars="200"/>
            </w:pPr>
            <w:r>
              <w:rPr>
                <w:sz w:val="24"/>
              </w:rPr>
              <w:t>本项目产生的危险废物委托有资质单位进行处置，项目周边区域危废处置单位有</w:t>
            </w:r>
            <w:r>
              <w:rPr>
                <w:rFonts w:hint="eastAsia"/>
                <w:sz w:val="24"/>
              </w:rPr>
              <w:t>威立雅固废处置中心</w:t>
            </w:r>
            <w:r>
              <w:rPr>
                <w:sz w:val="24"/>
              </w:rPr>
              <w:t>等，本项目危废产生类别以及处理量均在其处置范围内，因此项目区附近资质单位有能力接纳本项目产生的危废，项目危险废物处置去向合理。</w:t>
            </w:r>
          </w:p>
          <w:p w14:paraId="712CF9E4">
            <w:pPr>
              <w:spacing w:line="360" w:lineRule="auto"/>
              <w:ind w:firstLine="482" w:firstLineChars="200"/>
              <w:rPr>
                <w:b/>
                <w:bCs/>
                <w:sz w:val="24"/>
              </w:rPr>
            </w:pPr>
            <w:r>
              <w:rPr>
                <w:rFonts w:hint="eastAsia"/>
                <w:b/>
                <w:bCs/>
                <w:sz w:val="24"/>
              </w:rPr>
              <w:t>（五）地下水、土壤</w:t>
            </w:r>
          </w:p>
          <w:p w14:paraId="6485BDD8">
            <w:pPr>
              <w:pStyle w:val="35"/>
              <w:ind w:firstLine="480" w:firstLineChars="200"/>
              <w:rPr>
                <w:rFonts w:eastAsia="宋体"/>
                <w:b w:val="0"/>
                <w:bCs w:val="0"/>
                <w:szCs w:val="24"/>
              </w:rPr>
            </w:pPr>
            <w:r>
              <w:rPr>
                <w:rFonts w:hint="eastAsia" w:eastAsia="宋体"/>
                <w:b w:val="0"/>
                <w:bCs w:val="0"/>
                <w:szCs w:val="24"/>
              </w:rPr>
              <w:t>为防止污染地下水，本项目</w:t>
            </w:r>
            <w:r>
              <w:rPr>
                <w:rFonts w:hint="eastAsia" w:ascii="Times New Roman" w:hAnsi="Times New Roman" w:eastAsia="宋体" w:cs="Times New Roman"/>
                <w:b w:val="0"/>
                <w:bCs w:val="0"/>
                <w:szCs w:val="24"/>
                <w:lang w:eastAsia="zh-CN"/>
              </w:rPr>
              <w:t>辅料暂存间</w:t>
            </w:r>
            <w:r>
              <w:rPr>
                <w:rFonts w:hint="eastAsia" w:ascii="Times New Roman" w:hAnsi="Times New Roman" w:eastAsia="宋体" w:cs="Times New Roman"/>
                <w:b w:val="0"/>
                <w:bCs w:val="0"/>
                <w:szCs w:val="24"/>
              </w:rPr>
              <w:t>、</w:t>
            </w:r>
            <w:r>
              <w:rPr>
                <w:rFonts w:ascii="Times New Roman" w:hAnsi="Times New Roman" w:eastAsia="宋体" w:cs="Times New Roman"/>
                <w:b w:val="0"/>
                <w:bCs w:val="0"/>
                <w:szCs w:val="24"/>
              </w:rPr>
              <w:t>危废间采取重点防渗措施（等效黏土防渗层Mb≥6.0m，渗透系数K≤10</w:t>
            </w:r>
            <w:r>
              <w:rPr>
                <w:rFonts w:ascii="Times New Roman" w:hAnsi="Times New Roman" w:eastAsia="宋体" w:cs="Times New Roman"/>
                <w:b w:val="0"/>
                <w:bCs w:val="0"/>
                <w:szCs w:val="24"/>
                <w:vertAlign w:val="superscript"/>
              </w:rPr>
              <w:t>-7</w:t>
            </w:r>
            <w:r>
              <w:rPr>
                <w:rFonts w:ascii="Times New Roman" w:hAnsi="Times New Roman" w:eastAsia="宋体" w:cs="Times New Roman"/>
                <w:b w:val="0"/>
                <w:bCs w:val="0"/>
                <w:szCs w:val="24"/>
              </w:rPr>
              <w:t>cm/s</w:t>
            </w:r>
            <w:r>
              <w:rPr>
                <w:rStyle w:val="33"/>
                <w:rFonts w:ascii="Times New Roman" w:hAnsi="Times New Roman" w:eastAsia="宋体" w:cs="Times New Roman"/>
                <w:b w:val="0"/>
                <w:bCs w:val="0"/>
                <w:sz w:val="24"/>
                <w:szCs w:val="24"/>
              </w:rPr>
              <w:t>）；</w:t>
            </w:r>
            <w:r>
              <w:rPr>
                <w:rFonts w:ascii="Times New Roman" w:hAnsi="Times New Roman" w:eastAsia="宋体" w:cs="Times New Roman"/>
                <w:b w:val="0"/>
                <w:bCs w:val="0"/>
                <w:szCs w:val="24"/>
              </w:rPr>
              <w:t>固废间、生产车间地面采取一般防渗措施（等效黏土防渗层Mb≥1.5m，渗透系数K≤10</w:t>
            </w:r>
            <w:r>
              <w:rPr>
                <w:rFonts w:ascii="Times New Roman" w:hAnsi="Times New Roman" w:eastAsia="宋体" w:cs="Times New Roman"/>
                <w:b w:val="0"/>
                <w:bCs w:val="0"/>
                <w:szCs w:val="24"/>
                <w:vertAlign w:val="superscript"/>
              </w:rPr>
              <w:t>-7</w:t>
            </w:r>
            <w:r>
              <w:rPr>
                <w:rFonts w:ascii="Times New Roman" w:hAnsi="Times New Roman" w:eastAsia="宋体" w:cs="Times New Roman"/>
                <w:b w:val="0"/>
                <w:bCs w:val="0"/>
                <w:szCs w:val="24"/>
              </w:rPr>
              <w:t>cm/s</w:t>
            </w:r>
            <w:r>
              <w:rPr>
                <w:rStyle w:val="33"/>
                <w:rFonts w:ascii="Times New Roman" w:hAnsi="Times New Roman" w:eastAsia="宋体" w:cs="Times New Roman"/>
                <w:b w:val="0"/>
                <w:bCs w:val="0"/>
                <w:sz w:val="24"/>
                <w:szCs w:val="24"/>
              </w:rPr>
              <w:t>）</w:t>
            </w:r>
            <w:r>
              <w:rPr>
                <w:rFonts w:hint="eastAsia" w:eastAsia="宋体"/>
                <w:b w:val="0"/>
                <w:bCs w:val="0"/>
                <w:szCs w:val="24"/>
              </w:rPr>
              <w:t>。</w:t>
            </w:r>
          </w:p>
          <w:p w14:paraId="3FCF0EBE">
            <w:pPr>
              <w:widowControl/>
              <w:numPr>
                <w:ilvl w:val="0"/>
                <w:numId w:val="2"/>
              </w:numPr>
              <w:jc w:val="center"/>
              <w:rPr>
                <w:b/>
                <w:bCs/>
              </w:rPr>
            </w:pPr>
            <w:r>
              <w:rPr>
                <w:b/>
                <w:bCs/>
              </w:rPr>
              <w:t>本项目分区防渗一览表</w:t>
            </w:r>
          </w:p>
          <w:tbl>
            <w:tblPr>
              <w:tblStyle w:val="26"/>
              <w:tblW w:w="7612"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221"/>
              <w:gridCol w:w="1200"/>
              <w:gridCol w:w="5191"/>
            </w:tblGrid>
            <w:tr w14:paraId="4AC8277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92" w:hRule="atLeast"/>
                <w:jc w:val="center"/>
              </w:trPr>
              <w:tc>
                <w:tcPr>
                  <w:tcW w:w="1221" w:type="dxa"/>
                  <w:noWrap w:val="0"/>
                  <w:vAlign w:val="center"/>
                </w:tcPr>
                <w:p w14:paraId="7B764654">
                  <w:pPr>
                    <w:widowControl/>
                    <w:autoSpaceDN w:val="0"/>
                    <w:adjustRightInd w:val="0"/>
                    <w:snapToGrid w:val="0"/>
                    <w:jc w:val="center"/>
                  </w:pPr>
                  <w:r>
                    <w:t>装置、单元</w:t>
                  </w:r>
                </w:p>
                <w:p w14:paraId="607CB2DC">
                  <w:pPr>
                    <w:widowControl/>
                    <w:autoSpaceDN w:val="0"/>
                    <w:adjustRightInd w:val="0"/>
                    <w:snapToGrid w:val="0"/>
                    <w:jc w:val="center"/>
                  </w:pPr>
                  <w:r>
                    <w:t>名称</w:t>
                  </w:r>
                </w:p>
              </w:tc>
              <w:tc>
                <w:tcPr>
                  <w:tcW w:w="1200" w:type="dxa"/>
                  <w:noWrap w:val="0"/>
                  <w:vAlign w:val="center"/>
                </w:tcPr>
                <w:p w14:paraId="7511E7CD">
                  <w:pPr>
                    <w:widowControl/>
                    <w:autoSpaceDN w:val="0"/>
                    <w:adjustRightInd w:val="0"/>
                    <w:snapToGrid w:val="0"/>
                    <w:jc w:val="center"/>
                  </w:pPr>
                  <w:r>
                    <w:t>污染防治区类别</w:t>
                  </w:r>
                </w:p>
              </w:tc>
              <w:tc>
                <w:tcPr>
                  <w:tcW w:w="5191" w:type="dxa"/>
                  <w:noWrap w:val="0"/>
                  <w:vAlign w:val="center"/>
                </w:tcPr>
                <w:p w14:paraId="13A6142F">
                  <w:pPr>
                    <w:widowControl/>
                    <w:autoSpaceDN w:val="0"/>
                    <w:adjustRightInd w:val="0"/>
                    <w:snapToGrid w:val="0"/>
                    <w:jc w:val="center"/>
                  </w:pPr>
                  <w:r>
                    <w:t>防渗设计要求</w:t>
                  </w:r>
                </w:p>
              </w:tc>
            </w:tr>
            <w:tr w14:paraId="3F80DE3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2" w:hRule="atLeast"/>
                <w:jc w:val="center"/>
              </w:trPr>
              <w:tc>
                <w:tcPr>
                  <w:tcW w:w="1221" w:type="dxa"/>
                  <w:noWrap w:val="0"/>
                  <w:vAlign w:val="center"/>
                </w:tcPr>
                <w:p w14:paraId="518B2403">
                  <w:pPr>
                    <w:widowControl/>
                    <w:autoSpaceDN w:val="0"/>
                    <w:adjustRightInd w:val="0"/>
                    <w:snapToGrid w:val="0"/>
                    <w:jc w:val="center"/>
                    <w:rPr>
                      <w:rFonts w:hint="eastAsia" w:eastAsia="宋体"/>
                      <w:lang w:eastAsia="zh-CN"/>
                    </w:rPr>
                  </w:pPr>
                  <w:r>
                    <w:t>危废暂存</w:t>
                  </w:r>
                  <w:r>
                    <w:rPr>
                      <w:rFonts w:hint="eastAsia"/>
                      <w:lang w:eastAsia="zh-CN"/>
                    </w:rPr>
                    <w:t>间</w:t>
                  </w:r>
                </w:p>
              </w:tc>
              <w:tc>
                <w:tcPr>
                  <w:tcW w:w="1200" w:type="dxa"/>
                  <w:vMerge w:val="restart"/>
                  <w:noWrap w:val="0"/>
                  <w:vAlign w:val="center"/>
                </w:tcPr>
                <w:p w14:paraId="1A0CACD2">
                  <w:pPr>
                    <w:widowControl/>
                    <w:autoSpaceDN w:val="0"/>
                    <w:adjustRightInd w:val="0"/>
                    <w:snapToGrid w:val="0"/>
                    <w:jc w:val="center"/>
                  </w:pPr>
                  <w:r>
                    <w:t>重点防渗区</w:t>
                  </w:r>
                </w:p>
              </w:tc>
              <w:tc>
                <w:tcPr>
                  <w:tcW w:w="5191" w:type="dxa"/>
                  <w:noWrap w:val="0"/>
                  <w:vAlign w:val="center"/>
                </w:tcPr>
                <w:p w14:paraId="347CEE61">
                  <w:pPr>
                    <w:widowControl/>
                    <w:adjustRightInd w:val="0"/>
                    <w:snapToGrid w:val="0"/>
                    <w:jc w:val="center"/>
                    <w:rPr>
                      <w:rFonts w:hint="eastAsia"/>
                    </w:rPr>
                  </w:pPr>
                  <w:r>
                    <w:t>严格按照《危险废物贮存污染物控制标准》（GB 18597—2023）的相关要求建设。基础防渗层为至少1米厚粘土层（渗透系数≤10</w:t>
                  </w:r>
                  <w:r>
                    <w:rPr>
                      <w:vertAlign w:val="superscript"/>
                    </w:rPr>
                    <w:t>-</w:t>
                  </w:r>
                  <w:r>
                    <w:rPr>
                      <w:rFonts w:hint="eastAsia"/>
                      <w:vertAlign w:val="superscript"/>
                    </w:rPr>
                    <w:t>10</w:t>
                  </w:r>
                  <w:r>
                    <w:t>cm/s），或2mm厚高密度聚乙烯，或至少2 mm厚的其它人工材料（渗透系数≤10</w:t>
                  </w:r>
                  <w:r>
                    <w:rPr>
                      <w:vertAlign w:val="superscript"/>
                    </w:rPr>
                    <w:t>-1</w:t>
                  </w:r>
                  <w:r>
                    <w:rPr>
                      <w:rFonts w:hint="eastAsia"/>
                      <w:vertAlign w:val="superscript"/>
                      <w:lang w:val="en-US" w:eastAsia="zh-CN"/>
                    </w:rPr>
                    <w:t>0</w:t>
                  </w:r>
                  <w:r>
                    <w:t>cm/s）</w:t>
                  </w:r>
                </w:p>
              </w:tc>
            </w:tr>
            <w:tr w14:paraId="6883472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2" w:hRule="atLeast"/>
                <w:jc w:val="center"/>
              </w:trPr>
              <w:tc>
                <w:tcPr>
                  <w:tcW w:w="1221" w:type="dxa"/>
                  <w:noWrap w:val="0"/>
                  <w:vAlign w:val="center"/>
                </w:tcPr>
                <w:p w14:paraId="199296F9">
                  <w:pPr>
                    <w:widowControl/>
                    <w:adjustRightInd w:val="0"/>
                    <w:snapToGrid w:val="0"/>
                    <w:jc w:val="center"/>
                    <w:rPr>
                      <w:rFonts w:hint="default" w:eastAsia="宋体"/>
                      <w:lang w:val="en-US" w:eastAsia="zh-CN"/>
                    </w:rPr>
                  </w:pPr>
                  <w:r>
                    <w:rPr>
                      <w:rFonts w:hint="eastAsia"/>
                    </w:rPr>
                    <w:t>喷漆房</w:t>
                  </w:r>
                  <w:r>
                    <w:rPr>
                      <w:rFonts w:hint="eastAsia"/>
                      <w:lang w:eastAsia="zh-CN"/>
                    </w:rPr>
                    <w:t>、</w:t>
                  </w:r>
                  <w:r>
                    <w:rPr>
                      <w:rFonts w:hint="eastAsia"/>
                      <w:lang w:val="en-US" w:eastAsia="zh-CN"/>
                    </w:rPr>
                    <w:t>辅料暂存区</w:t>
                  </w:r>
                </w:p>
              </w:tc>
              <w:tc>
                <w:tcPr>
                  <w:tcW w:w="1200" w:type="dxa"/>
                  <w:vMerge w:val="continue"/>
                  <w:noWrap w:val="0"/>
                  <w:vAlign w:val="center"/>
                </w:tcPr>
                <w:p w14:paraId="443A4221">
                  <w:pPr>
                    <w:widowControl/>
                    <w:adjustRightInd w:val="0"/>
                    <w:snapToGrid w:val="0"/>
                    <w:jc w:val="center"/>
                  </w:pPr>
                </w:p>
              </w:tc>
              <w:tc>
                <w:tcPr>
                  <w:tcW w:w="5191" w:type="dxa"/>
                  <w:noWrap w:val="0"/>
                  <w:vAlign w:val="center"/>
                </w:tcPr>
                <w:p w14:paraId="47235DC7">
                  <w:pPr>
                    <w:widowControl/>
                    <w:adjustRightInd w:val="0"/>
                    <w:snapToGrid w:val="0"/>
                    <w:jc w:val="center"/>
                  </w:pPr>
                  <w:r>
                    <w:rPr>
                      <w:rFonts w:hint="eastAsia"/>
                      <w:color w:val="auto"/>
                      <w:kern w:val="0"/>
                      <w:szCs w:val="21"/>
                    </w:rPr>
                    <w:t>等效黏土防渗层Mb≥6.0m，渗透系数</w:t>
                  </w:r>
                  <w:r>
                    <w:rPr>
                      <w:rFonts w:hint="eastAsia"/>
                      <w:color w:val="auto"/>
                    </w:rPr>
                    <w:t>≤10</w:t>
                  </w:r>
                  <w:r>
                    <w:rPr>
                      <w:rFonts w:hint="eastAsia"/>
                      <w:color w:val="auto"/>
                      <w:vertAlign w:val="superscript"/>
                    </w:rPr>
                    <w:t>-</w:t>
                  </w:r>
                  <w:r>
                    <w:rPr>
                      <w:rFonts w:hint="eastAsia"/>
                      <w:color w:val="auto"/>
                      <w:vertAlign w:val="superscript"/>
                      <w:lang w:val="en-US" w:eastAsia="zh-CN"/>
                    </w:rPr>
                    <w:t>7</w:t>
                  </w:r>
                  <w:r>
                    <w:rPr>
                      <w:rFonts w:hint="eastAsia"/>
                      <w:color w:val="auto"/>
                    </w:rPr>
                    <w:t>cm/s；或参照GB18598执行</w:t>
                  </w:r>
                </w:p>
              </w:tc>
            </w:tr>
            <w:tr w14:paraId="2753F3E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047" w:hRule="atLeast"/>
                <w:jc w:val="center"/>
              </w:trPr>
              <w:tc>
                <w:tcPr>
                  <w:tcW w:w="1221" w:type="dxa"/>
                  <w:noWrap w:val="0"/>
                  <w:vAlign w:val="center"/>
                </w:tcPr>
                <w:p w14:paraId="11416760">
                  <w:pPr>
                    <w:widowControl/>
                    <w:autoSpaceDN w:val="0"/>
                    <w:adjustRightInd w:val="0"/>
                    <w:snapToGrid w:val="0"/>
                    <w:jc w:val="center"/>
                    <w:rPr>
                      <w:lang w:val="zh-CN"/>
                    </w:rPr>
                  </w:pPr>
                  <w:r>
                    <w:rPr>
                      <w:lang w:val="zh-CN"/>
                    </w:rPr>
                    <w:t>车间厂房、一般固废暂存库</w:t>
                  </w:r>
                </w:p>
              </w:tc>
              <w:tc>
                <w:tcPr>
                  <w:tcW w:w="1200" w:type="dxa"/>
                  <w:noWrap w:val="0"/>
                  <w:vAlign w:val="center"/>
                </w:tcPr>
                <w:p w14:paraId="35A33237">
                  <w:pPr>
                    <w:widowControl/>
                    <w:autoSpaceDN w:val="0"/>
                    <w:adjustRightInd w:val="0"/>
                    <w:snapToGrid w:val="0"/>
                    <w:jc w:val="center"/>
                  </w:pPr>
                  <w:r>
                    <w:t>一般防渗区</w:t>
                  </w:r>
                </w:p>
              </w:tc>
              <w:tc>
                <w:tcPr>
                  <w:tcW w:w="5191" w:type="dxa"/>
                  <w:noWrap w:val="0"/>
                  <w:vAlign w:val="center"/>
                </w:tcPr>
                <w:p w14:paraId="056F7A68">
                  <w:pPr>
                    <w:widowControl/>
                    <w:autoSpaceDN w:val="0"/>
                    <w:adjustRightInd w:val="0"/>
                    <w:snapToGrid w:val="0"/>
                    <w:jc w:val="center"/>
                  </w:pPr>
                  <w:r>
                    <w:t>防渗层的防渗性能不应低于1.5m厚渗透系数为1.0</w:t>
                  </w:r>
                  <w:r>
                    <w:rPr>
                      <w:rFonts w:hint="eastAsia"/>
                    </w:rPr>
                    <w:t>*</w:t>
                  </w:r>
                  <w:r>
                    <w:t>10</w:t>
                  </w:r>
                  <w:r>
                    <w:rPr>
                      <w:vertAlign w:val="superscript"/>
                    </w:rPr>
                    <w:t>-7</w:t>
                  </w:r>
                  <w:r>
                    <w:t>cm/s的黏土层的防渗性能。</w:t>
                  </w:r>
                </w:p>
              </w:tc>
            </w:tr>
          </w:tbl>
          <w:p w14:paraId="31DC15FD">
            <w:pPr>
              <w:spacing w:line="360" w:lineRule="auto"/>
              <w:ind w:firstLine="480" w:firstLineChars="200"/>
              <w:rPr>
                <w:rFonts w:hint="eastAsia" w:eastAsia="宋体"/>
                <w:b w:val="0"/>
                <w:bCs w:val="0"/>
                <w:sz w:val="24"/>
                <w:lang w:eastAsia="zh-CN"/>
              </w:rPr>
            </w:pPr>
            <w:r>
              <w:rPr>
                <w:rFonts w:hint="eastAsia"/>
                <w:b w:val="0"/>
                <w:bCs w:val="0"/>
                <w:sz w:val="24"/>
              </w:rPr>
              <w:t>通过分区防渗措施，</w:t>
            </w:r>
            <w:r>
              <w:rPr>
                <w:rFonts w:hint="eastAsia"/>
                <w:b w:val="0"/>
                <w:bCs w:val="0"/>
                <w:sz w:val="24"/>
                <w:lang w:eastAsia="zh-CN"/>
              </w:rPr>
              <w:t>本项目</w:t>
            </w:r>
            <w:r>
              <w:rPr>
                <w:rFonts w:hint="eastAsia"/>
                <w:b w:val="0"/>
                <w:bCs w:val="0"/>
                <w:sz w:val="24"/>
              </w:rPr>
              <w:t>不存在土壤和地下水污染途径</w:t>
            </w:r>
            <w:r>
              <w:rPr>
                <w:rFonts w:hint="eastAsia"/>
                <w:b w:val="0"/>
                <w:bCs w:val="0"/>
                <w:sz w:val="24"/>
                <w:lang w:eastAsia="zh-CN"/>
              </w:rPr>
              <w:t>。</w:t>
            </w:r>
          </w:p>
          <w:p w14:paraId="542BE415">
            <w:pPr>
              <w:spacing w:line="360" w:lineRule="auto"/>
              <w:ind w:firstLine="482" w:firstLineChars="200"/>
              <w:rPr>
                <w:b/>
                <w:bCs/>
                <w:sz w:val="24"/>
              </w:rPr>
            </w:pPr>
            <w:r>
              <w:rPr>
                <w:rFonts w:hint="eastAsia"/>
                <w:b/>
                <w:bCs/>
                <w:sz w:val="24"/>
              </w:rPr>
              <w:t>（六）环境风险</w:t>
            </w:r>
          </w:p>
          <w:p w14:paraId="77AF81C0">
            <w:pPr>
              <w:spacing w:line="360" w:lineRule="auto"/>
              <w:ind w:firstLine="480" w:firstLineChars="200"/>
              <w:rPr>
                <w:bCs/>
                <w:sz w:val="24"/>
              </w:rPr>
            </w:pPr>
            <w:r>
              <w:rPr>
                <w:bCs/>
                <w:sz w:val="24"/>
              </w:rPr>
              <w:t>按照《建设项目环境风险评价技术导则》（HJ169-2018）中附录B对项目所用原辅材料进行识别，本项目涉及的危险物质主要为</w:t>
            </w:r>
            <w:r>
              <w:rPr>
                <w:rFonts w:hint="eastAsia"/>
                <w:bCs/>
                <w:sz w:val="24"/>
              </w:rPr>
              <w:t>润滑油</w:t>
            </w:r>
            <w:r>
              <w:rPr>
                <w:rFonts w:hint="eastAsia"/>
                <w:bCs/>
                <w:sz w:val="24"/>
                <w:lang w:eastAsia="zh-CN"/>
              </w:rPr>
              <w:t>、油漆</w:t>
            </w:r>
            <w:r>
              <w:rPr>
                <w:rFonts w:hint="eastAsia"/>
                <w:bCs/>
                <w:sz w:val="24"/>
              </w:rPr>
              <w:t>、废润滑油等</w:t>
            </w:r>
            <w:r>
              <w:rPr>
                <w:bCs/>
                <w:sz w:val="24"/>
              </w:rPr>
              <w:t>。</w:t>
            </w:r>
          </w:p>
          <w:p w14:paraId="007203D7">
            <w:pPr>
              <w:spacing w:line="360" w:lineRule="auto"/>
              <w:ind w:firstLine="480" w:firstLineChars="200"/>
              <w:rPr>
                <w:bCs/>
                <w:sz w:val="24"/>
              </w:rPr>
            </w:pPr>
            <w:r>
              <w:rPr>
                <w:bCs/>
                <w:sz w:val="24"/>
              </w:rPr>
              <w:t>根据辨识结果，计算项目涉及的危险物质在厂界内的最大存储量与其对应的临界量的比值Q。本项目按下列公示计算物质总量与其临界量比值：</w:t>
            </w:r>
          </w:p>
          <w:p w14:paraId="149E2410">
            <w:pPr>
              <w:ind w:firstLine="27" w:firstLineChars="13"/>
              <w:jc w:val="center"/>
              <w:rPr>
                <w:bCs/>
                <w:sz w:val="24"/>
              </w:rPr>
            </w:pPr>
            <w:r>
              <w:drawing>
                <wp:inline distT="0" distB="0" distL="114300" distR="114300">
                  <wp:extent cx="1438275" cy="514350"/>
                  <wp:effectExtent l="0" t="0" r="9525" b="0"/>
                  <wp:docPr id="1" name="图片 12" descr="企业微信截图_156679238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2" descr="企业微信截图_156679238122"/>
                          <pic:cNvPicPr>
                            <a:picLocks noChangeAspect="1"/>
                          </pic:cNvPicPr>
                        </pic:nvPicPr>
                        <pic:blipFill>
                          <a:blip r:embed="rId56"/>
                          <a:stretch>
                            <a:fillRect/>
                          </a:stretch>
                        </pic:blipFill>
                        <pic:spPr>
                          <a:xfrm>
                            <a:off x="0" y="0"/>
                            <a:ext cx="1438275" cy="514350"/>
                          </a:xfrm>
                          <a:prstGeom prst="rect">
                            <a:avLst/>
                          </a:prstGeom>
                          <a:noFill/>
                          <a:ln>
                            <a:noFill/>
                          </a:ln>
                        </pic:spPr>
                      </pic:pic>
                    </a:graphicData>
                  </a:graphic>
                </wp:inline>
              </w:drawing>
            </w:r>
          </w:p>
          <w:p w14:paraId="283A165D">
            <w:pPr>
              <w:spacing w:line="360" w:lineRule="auto"/>
              <w:ind w:firstLine="480" w:firstLineChars="200"/>
              <w:rPr>
                <w:bCs/>
                <w:sz w:val="24"/>
              </w:rPr>
            </w:pPr>
            <w:r>
              <w:rPr>
                <w:bCs/>
                <w:sz w:val="24"/>
              </w:rPr>
              <w:t>式中：</w:t>
            </w:r>
          </w:p>
          <w:p w14:paraId="65F1DBB0">
            <w:pPr>
              <w:spacing w:line="360" w:lineRule="auto"/>
              <w:ind w:firstLine="480" w:firstLineChars="200"/>
              <w:rPr>
                <w:bCs/>
                <w:sz w:val="24"/>
              </w:rPr>
            </w:pPr>
            <w:r>
              <w:rPr>
                <w:bCs/>
                <w:sz w:val="24"/>
              </w:rPr>
              <w:t>q</w:t>
            </w:r>
            <w:r>
              <w:rPr>
                <w:bCs/>
                <w:sz w:val="24"/>
                <w:vertAlign w:val="subscript"/>
              </w:rPr>
              <w:t>1</w:t>
            </w:r>
            <w:r>
              <w:rPr>
                <w:bCs/>
                <w:sz w:val="24"/>
              </w:rPr>
              <w:t>，q</w:t>
            </w:r>
            <w:r>
              <w:rPr>
                <w:bCs/>
                <w:sz w:val="24"/>
                <w:vertAlign w:val="subscript"/>
              </w:rPr>
              <w:t>2</w:t>
            </w:r>
            <w:r>
              <w:rPr>
                <w:bCs/>
                <w:sz w:val="24"/>
              </w:rPr>
              <w:t>……q</w:t>
            </w:r>
            <w:r>
              <w:rPr>
                <w:bCs/>
                <w:sz w:val="24"/>
                <w:vertAlign w:val="subscript"/>
              </w:rPr>
              <w:t>n</w:t>
            </w:r>
            <w:r>
              <w:rPr>
                <w:bCs/>
                <w:sz w:val="24"/>
              </w:rPr>
              <w:t>每种危险物质的最大存在总量t</w:t>
            </w:r>
          </w:p>
          <w:p w14:paraId="7EACE64B">
            <w:pPr>
              <w:spacing w:line="360" w:lineRule="auto"/>
              <w:ind w:firstLine="480" w:firstLineChars="200"/>
              <w:rPr>
                <w:bCs/>
                <w:sz w:val="24"/>
              </w:rPr>
            </w:pPr>
            <w:r>
              <w:rPr>
                <w:bCs/>
                <w:sz w:val="24"/>
              </w:rPr>
              <w:t>Q</w:t>
            </w:r>
            <w:r>
              <w:rPr>
                <w:bCs/>
                <w:sz w:val="24"/>
                <w:vertAlign w:val="subscript"/>
              </w:rPr>
              <w:t>1</w:t>
            </w:r>
            <w:r>
              <w:rPr>
                <w:bCs/>
                <w:sz w:val="24"/>
              </w:rPr>
              <w:t>，Q</w:t>
            </w:r>
            <w:r>
              <w:rPr>
                <w:bCs/>
                <w:sz w:val="24"/>
                <w:vertAlign w:val="subscript"/>
              </w:rPr>
              <w:t>2</w:t>
            </w:r>
            <w:r>
              <w:rPr>
                <w:bCs/>
                <w:sz w:val="24"/>
              </w:rPr>
              <w:t>……Q</w:t>
            </w:r>
            <w:r>
              <w:rPr>
                <w:bCs/>
                <w:sz w:val="24"/>
                <w:vertAlign w:val="subscript"/>
              </w:rPr>
              <w:t>n</w:t>
            </w:r>
            <w:r>
              <w:rPr>
                <w:bCs/>
                <w:sz w:val="24"/>
              </w:rPr>
              <w:t>每种危险物质的临界量t。</w:t>
            </w:r>
          </w:p>
          <w:p w14:paraId="50DC8E85">
            <w:pPr>
              <w:spacing w:line="360" w:lineRule="auto"/>
              <w:ind w:firstLine="480" w:firstLineChars="200"/>
              <w:rPr>
                <w:bCs/>
                <w:sz w:val="24"/>
              </w:rPr>
            </w:pPr>
            <w:r>
              <w:rPr>
                <w:bCs/>
                <w:sz w:val="24"/>
              </w:rPr>
              <w:t>当Q＜1时，该项目环境风险潜势为I。</w:t>
            </w:r>
          </w:p>
          <w:p w14:paraId="1B43527D">
            <w:pPr>
              <w:spacing w:line="360" w:lineRule="auto"/>
              <w:ind w:firstLine="480" w:firstLineChars="200"/>
              <w:rPr>
                <w:bCs/>
                <w:sz w:val="24"/>
              </w:rPr>
            </w:pPr>
            <w:r>
              <w:rPr>
                <w:bCs/>
                <w:sz w:val="24"/>
              </w:rPr>
              <w:t>通过查询《建设项目环境风险评价技术导则》（HJ169-2018）中附录B的表B1和表B2计算危险物质的Q值。计算结果如下表所示：</w:t>
            </w:r>
          </w:p>
          <w:p w14:paraId="6EE7ABB1">
            <w:pPr>
              <w:widowControl/>
              <w:numPr>
                <w:ilvl w:val="0"/>
                <w:numId w:val="2"/>
              </w:numPr>
              <w:jc w:val="center"/>
            </w:pPr>
            <w:r>
              <w:rPr>
                <w:b/>
                <w:bCs/>
              </w:rPr>
              <w:t>本项目</w:t>
            </w:r>
            <w:r>
              <w:rPr>
                <w:rFonts w:hint="eastAsia"/>
                <w:b/>
                <w:bCs/>
              </w:rPr>
              <w:t>q值确定表</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2"/>
              <w:gridCol w:w="1485"/>
              <w:gridCol w:w="1500"/>
              <w:gridCol w:w="1605"/>
              <w:gridCol w:w="1497"/>
              <w:gridCol w:w="1004"/>
            </w:tblGrid>
            <w:tr w14:paraId="76356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Borders>
                    <w:tl2br w:val="nil"/>
                    <w:tr2bl w:val="nil"/>
                  </w:tcBorders>
                  <w:vAlign w:val="center"/>
                </w:tcPr>
                <w:p w14:paraId="78D1E489">
                  <w:pPr>
                    <w:adjustRightInd w:val="0"/>
                    <w:snapToGrid w:val="0"/>
                    <w:jc w:val="center"/>
                    <w:rPr>
                      <w:b/>
                      <w:bCs/>
                      <w:kern w:val="0"/>
                      <w:szCs w:val="21"/>
                    </w:rPr>
                  </w:pPr>
                  <w:r>
                    <w:rPr>
                      <w:b/>
                      <w:bCs/>
                      <w:kern w:val="0"/>
                      <w:szCs w:val="21"/>
                    </w:rPr>
                    <w:t>序号</w:t>
                  </w:r>
                </w:p>
              </w:tc>
              <w:tc>
                <w:tcPr>
                  <w:tcW w:w="1485" w:type="dxa"/>
                  <w:tcBorders>
                    <w:tl2br w:val="nil"/>
                    <w:tr2bl w:val="nil"/>
                  </w:tcBorders>
                  <w:vAlign w:val="center"/>
                </w:tcPr>
                <w:p w14:paraId="4406E780">
                  <w:pPr>
                    <w:adjustRightInd w:val="0"/>
                    <w:snapToGrid w:val="0"/>
                    <w:jc w:val="center"/>
                    <w:rPr>
                      <w:b/>
                      <w:bCs/>
                      <w:kern w:val="0"/>
                      <w:szCs w:val="21"/>
                    </w:rPr>
                  </w:pPr>
                  <w:r>
                    <w:rPr>
                      <w:b/>
                      <w:bCs/>
                      <w:kern w:val="0"/>
                      <w:szCs w:val="21"/>
                    </w:rPr>
                    <w:t>危险物质名称</w:t>
                  </w:r>
                </w:p>
              </w:tc>
              <w:tc>
                <w:tcPr>
                  <w:tcW w:w="1500" w:type="dxa"/>
                  <w:tcBorders>
                    <w:tl2br w:val="nil"/>
                    <w:tr2bl w:val="nil"/>
                  </w:tcBorders>
                  <w:vAlign w:val="center"/>
                </w:tcPr>
                <w:p w14:paraId="534DB774">
                  <w:pPr>
                    <w:adjustRightInd w:val="0"/>
                    <w:snapToGrid w:val="0"/>
                    <w:jc w:val="center"/>
                    <w:rPr>
                      <w:b/>
                      <w:bCs/>
                      <w:kern w:val="0"/>
                      <w:szCs w:val="21"/>
                    </w:rPr>
                  </w:pPr>
                  <w:r>
                    <w:rPr>
                      <w:b/>
                      <w:bCs/>
                      <w:kern w:val="0"/>
                      <w:szCs w:val="21"/>
                    </w:rPr>
                    <w:t>CAS号</w:t>
                  </w:r>
                </w:p>
              </w:tc>
              <w:tc>
                <w:tcPr>
                  <w:tcW w:w="1605" w:type="dxa"/>
                  <w:tcBorders>
                    <w:tl2br w:val="nil"/>
                    <w:tr2bl w:val="nil"/>
                  </w:tcBorders>
                  <w:vAlign w:val="center"/>
                </w:tcPr>
                <w:p w14:paraId="101240A3">
                  <w:pPr>
                    <w:adjustRightInd w:val="0"/>
                    <w:snapToGrid w:val="0"/>
                    <w:jc w:val="center"/>
                    <w:rPr>
                      <w:b/>
                      <w:bCs/>
                      <w:kern w:val="0"/>
                      <w:szCs w:val="21"/>
                    </w:rPr>
                  </w:pPr>
                  <w:r>
                    <w:rPr>
                      <w:b/>
                      <w:bCs/>
                      <w:kern w:val="0"/>
                      <w:szCs w:val="21"/>
                    </w:rPr>
                    <w:t>最大存储量（t）</w:t>
                  </w:r>
                </w:p>
              </w:tc>
              <w:tc>
                <w:tcPr>
                  <w:tcW w:w="1497" w:type="dxa"/>
                  <w:tcBorders>
                    <w:tl2br w:val="nil"/>
                    <w:tr2bl w:val="nil"/>
                  </w:tcBorders>
                  <w:vAlign w:val="center"/>
                </w:tcPr>
                <w:p w14:paraId="678C7701">
                  <w:pPr>
                    <w:adjustRightInd w:val="0"/>
                    <w:snapToGrid w:val="0"/>
                    <w:jc w:val="center"/>
                    <w:rPr>
                      <w:b/>
                      <w:bCs/>
                      <w:kern w:val="0"/>
                      <w:szCs w:val="21"/>
                    </w:rPr>
                  </w:pPr>
                  <w:r>
                    <w:rPr>
                      <w:b/>
                      <w:bCs/>
                      <w:kern w:val="0"/>
                      <w:szCs w:val="21"/>
                    </w:rPr>
                    <w:t>临界量Q</w:t>
                  </w:r>
                  <w:r>
                    <w:rPr>
                      <w:b/>
                      <w:bCs/>
                      <w:kern w:val="0"/>
                      <w:szCs w:val="21"/>
                      <w:vertAlign w:val="subscript"/>
                    </w:rPr>
                    <w:t>n</w:t>
                  </w:r>
                  <w:r>
                    <w:rPr>
                      <w:b/>
                      <w:bCs/>
                      <w:kern w:val="0"/>
                      <w:szCs w:val="21"/>
                    </w:rPr>
                    <w:t>（t）</w:t>
                  </w:r>
                </w:p>
              </w:tc>
              <w:tc>
                <w:tcPr>
                  <w:tcW w:w="1004" w:type="dxa"/>
                  <w:tcBorders>
                    <w:tl2br w:val="nil"/>
                    <w:tr2bl w:val="nil"/>
                  </w:tcBorders>
                  <w:vAlign w:val="center"/>
                </w:tcPr>
                <w:p w14:paraId="0622FE37">
                  <w:pPr>
                    <w:adjustRightInd w:val="0"/>
                    <w:snapToGrid w:val="0"/>
                    <w:jc w:val="center"/>
                    <w:rPr>
                      <w:b/>
                      <w:bCs/>
                      <w:kern w:val="0"/>
                      <w:szCs w:val="21"/>
                    </w:rPr>
                  </w:pPr>
                  <w:r>
                    <w:rPr>
                      <w:b/>
                      <w:bCs/>
                      <w:kern w:val="0"/>
                      <w:szCs w:val="21"/>
                    </w:rPr>
                    <w:t>Q值</w:t>
                  </w:r>
                </w:p>
              </w:tc>
            </w:tr>
            <w:tr w14:paraId="19AA4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Borders>
                    <w:tl2br w:val="nil"/>
                    <w:tr2bl w:val="nil"/>
                  </w:tcBorders>
                  <w:vAlign w:val="center"/>
                </w:tcPr>
                <w:p w14:paraId="52D7FC82">
                  <w:pPr>
                    <w:adjustRightInd w:val="0"/>
                    <w:snapToGrid w:val="0"/>
                    <w:jc w:val="center"/>
                    <w:rPr>
                      <w:bCs/>
                      <w:kern w:val="0"/>
                      <w:szCs w:val="21"/>
                    </w:rPr>
                  </w:pPr>
                  <w:r>
                    <w:rPr>
                      <w:bCs/>
                      <w:kern w:val="0"/>
                      <w:szCs w:val="21"/>
                    </w:rPr>
                    <w:t>1</w:t>
                  </w:r>
                </w:p>
              </w:tc>
              <w:tc>
                <w:tcPr>
                  <w:tcW w:w="1485" w:type="dxa"/>
                  <w:tcBorders>
                    <w:tl2br w:val="nil"/>
                    <w:tr2bl w:val="nil"/>
                  </w:tcBorders>
                  <w:vAlign w:val="center"/>
                </w:tcPr>
                <w:p w14:paraId="0F688C5C">
                  <w:pPr>
                    <w:adjustRightInd w:val="0"/>
                    <w:snapToGrid w:val="0"/>
                    <w:jc w:val="center"/>
                    <w:rPr>
                      <w:bCs/>
                      <w:kern w:val="0"/>
                      <w:szCs w:val="21"/>
                    </w:rPr>
                  </w:pPr>
                  <w:r>
                    <w:rPr>
                      <w:rFonts w:hint="eastAsia"/>
                      <w:bCs/>
                      <w:szCs w:val="21"/>
                    </w:rPr>
                    <w:t>润滑油</w:t>
                  </w:r>
                </w:p>
              </w:tc>
              <w:tc>
                <w:tcPr>
                  <w:tcW w:w="1500" w:type="dxa"/>
                  <w:tcBorders>
                    <w:tl2br w:val="nil"/>
                    <w:tr2bl w:val="nil"/>
                  </w:tcBorders>
                  <w:vAlign w:val="center"/>
                </w:tcPr>
                <w:p w14:paraId="5A9B6880">
                  <w:pPr>
                    <w:jc w:val="center"/>
                    <w:rPr>
                      <w:szCs w:val="21"/>
                    </w:rPr>
                  </w:pPr>
                  <w:r>
                    <w:rPr>
                      <w:rFonts w:hint="eastAsia"/>
                      <w:szCs w:val="21"/>
                    </w:rPr>
                    <w:t>/</w:t>
                  </w:r>
                </w:p>
              </w:tc>
              <w:tc>
                <w:tcPr>
                  <w:tcW w:w="1605" w:type="dxa"/>
                  <w:tcBorders>
                    <w:tl2br w:val="nil"/>
                    <w:tr2bl w:val="nil"/>
                  </w:tcBorders>
                  <w:vAlign w:val="center"/>
                </w:tcPr>
                <w:p w14:paraId="65E20C15">
                  <w:pPr>
                    <w:adjustRightInd w:val="0"/>
                    <w:snapToGrid w:val="0"/>
                    <w:jc w:val="center"/>
                    <w:rPr>
                      <w:szCs w:val="21"/>
                    </w:rPr>
                  </w:pPr>
                  <w:r>
                    <w:rPr>
                      <w:rFonts w:hint="eastAsia"/>
                      <w:szCs w:val="21"/>
                    </w:rPr>
                    <w:t>6</w:t>
                  </w:r>
                </w:p>
              </w:tc>
              <w:tc>
                <w:tcPr>
                  <w:tcW w:w="1497" w:type="dxa"/>
                  <w:tcBorders>
                    <w:tl2br w:val="nil"/>
                    <w:tr2bl w:val="nil"/>
                  </w:tcBorders>
                  <w:vAlign w:val="center"/>
                </w:tcPr>
                <w:p w14:paraId="6D01572B">
                  <w:pPr>
                    <w:adjustRightInd w:val="0"/>
                    <w:snapToGrid w:val="0"/>
                    <w:jc w:val="center"/>
                    <w:rPr>
                      <w:szCs w:val="21"/>
                    </w:rPr>
                  </w:pPr>
                  <w:r>
                    <w:rPr>
                      <w:rFonts w:hint="eastAsia"/>
                      <w:szCs w:val="21"/>
                    </w:rPr>
                    <w:t>2500</w:t>
                  </w:r>
                </w:p>
              </w:tc>
              <w:tc>
                <w:tcPr>
                  <w:tcW w:w="1004" w:type="dxa"/>
                  <w:tcBorders>
                    <w:tl2br w:val="nil"/>
                    <w:tr2bl w:val="nil"/>
                  </w:tcBorders>
                  <w:vAlign w:val="center"/>
                </w:tcPr>
                <w:p w14:paraId="3BA244AF">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0.0024</w:t>
                  </w:r>
                </w:p>
              </w:tc>
            </w:tr>
            <w:tr w14:paraId="49D12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Borders>
                    <w:tl2br w:val="nil"/>
                    <w:tr2bl w:val="nil"/>
                  </w:tcBorders>
                  <w:vAlign w:val="center"/>
                </w:tcPr>
                <w:p w14:paraId="5D62C939">
                  <w:pPr>
                    <w:adjustRightInd w:val="0"/>
                    <w:snapToGrid w:val="0"/>
                    <w:jc w:val="center"/>
                    <w:rPr>
                      <w:bCs/>
                      <w:kern w:val="0"/>
                      <w:szCs w:val="21"/>
                    </w:rPr>
                  </w:pPr>
                  <w:r>
                    <w:rPr>
                      <w:rFonts w:hint="eastAsia"/>
                      <w:bCs/>
                      <w:kern w:val="0"/>
                      <w:szCs w:val="21"/>
                    </w:rPr>
                    <w:t>2</w:t>
                  </w:r>
                </w:p>
              </w:tc>
              <w:tc>
                <w:tcPr>
                  <w:tcW w:w="1485" w:type="dxa"/>
                  <w:tcBorders>
                    <w:tl2br w:val="nil"/>
                    <w:tr2bl w:val="nil"/>
                  </w:tcBorders>
                  <w:vAlign w:val="center"/>
                </w:tcPr>
                <w:p w14:paraId="25944BC2">
                  <w:pPr>
                    <w:adjustRightInd w:val="0"/>
                    <w:snapToGrid w:val="0"/>
                    <w:jc w:val="center"/>
                    <w:rPr>
                      <w:rFonts w:hint="eastAsia" w:eastAsia="宋体"/>
                      <w:bCs/>
                      <w:szCs w:val="21"/>
                      <w:lang w:eastAsia="zh-CN"/>
                    </w:rPr>
                  </w:pPr>
                  <w:r>
                    <w:rPr>
                      <w:rFonts w:hint="eastAsia"/>
                      <w:bCs/>
                      <w:szCs w:val="21"/>
                      <w:lang w:eastAsia="zh-CN"/>
                    </w:rPr>
                    <w:t>油漆</w:t>
                  </w:r>
                </w:p>
              </w:tc>
              <w:tc>
                <w:tcPr>
                  <w:tcW w:w="1500" w:type="dxa"/>
                  <w:tcBorders>
                    <w:tl2br w:val="nil"/>
                    <w:tr2bl w:val="nil"/>
                  </w:tcBorders>
                  <w:vAlign w:val="center"/>
                </w:tcPr>
                <w:p w14:paraId="6A527CB1">
                  <w:pPr>
                    <w:jc w:val="center"/>
                    <w:rPr>
                      <w:rFonts w:hint="eastAsia" w:eastAsia="宋体"/>
                      <w:szCs w:val="21"/>
                      <w:lang w:val="en-US" w:eastAsia="zh-CN"/>
                    </w:rPr>
                  </w:pPr>
                  <w:r>
                    <w:rPr>
                      <w:rFonts w:hint="eastAsia"/>
                      <w:szCs w:val="21"/>
                      <w:lang w:val="en-US" w:eastAsia="zh-CN"/>
                    </w:rPr>
                    <w:t>/</w:t>
                  </w:r>
                </w:p>
              </w:tc>
              <w:tc>
                <w:tcPr>
                  <w:tcW w:w="1605" w:type="dxa"/>
                  <w:tcBorders>
                    <w:tl2br w:val="nil"/>
                    <w:tr2bl w:val="nil"/>
                  </w:tcBorders>
                  <w:vAlign w:val="center"/>
                </w:tcPr>
                <w:p w14:paraId="561EED0F">
                  <w:pPr>
                    <w:adjustRightInd w:val="0"/>
                    <w:snapToGrid w:val="0"/>
                    <w:jc w:val="center"/>
                    <w:rPr>
                      <w:szCs w:val="21"/>
                    </w:rPr>
                  </w:pPr>
                  <w:r>
                    <w:rPr>
                      <w:rFonts w:hint="eastAsia"/>
                      <w:szCs w:val="21"/>
                    </w:rPr>
                    <w:t>0.1</w:t>
                  </w:r>
                </w:p>
              </w:tc>
              <w:tc>
                <w:tcPr>
                  <w:tcW w:w="1497" w:type="dxa"/>
                  <w:tcBorders>
                    <w:tl2br w:val="nil"/>
                    <w:tr2bl w:val="nil"/>
                  </w:tcBorders>
                  <w:vAlign w:val="center"/>
                </w:tcPr>
                <w:p w14:paraId="25B23054">
                  <w:pPr>
                    <w:adjustRightInd w:val="0"/>
                    <w:snapToGrid w:val="0"/>
                    <w:jc w:val="center"/>
                    <w:rPr>
                      <w:rFonts w:hint="default" w:eastAsia="宋体"/>
                      <w:szCs w:val="21"/>
                      <w:lang w:val="en-US" w:eastAsia="zh-CN"/>
                    </w:rPr>
                  </w:pPr>
                  <w:r>
                    <w:rPr>
                      <w:rFonts w:hint="eastAsia"/>
                      <w:szCs w:val="21"/>
                      <w:lang w:val="en-US" w:eastAsia="zh-CN"/>
                    </w:rPr>
                    <w:t>50</w:t>
                  </w:r>
                </w:p>
              </w:tc>
              <w:tc>
                <w:tcPr>
                  <w:tcW w:w="1004" w:type="dxa"/>
                  <w:tcBorders>
                    <w:tl2br w:val="nil"/>
                    <w:tr2bl w:val="nil"/>
                  </w:tcBorders>
                  <w:vAlign w:val="center"/>
                </w:tcPr>
                <w:p w14:paraId="42606045">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0.002</w:t>
                  </w:r>
                </w:p>
              </w:tc>
            </w:tr>
            <w:tr w14:paraId="6A373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tcBorders>
                    <w:tl2br w:val="nil"/>
                    <w:tr2bl w:val="nil"/>
                  </w:tcBorders>
                  <w:vAlign w:val="center"/>
                </w:tcPr>
                <w:p w14:paraId="476E40D2">
                  <w:pPr>
                    <w:adjustRightInd w:val="0"/>
                    <w:snapToGrid w:val="0"/>
                    <w:jc w:val="center"/>
                    <w:rPr>
                      <w:rFonts w:hint="eastAsia" w:eastAsia="宋体"/>
                      <w:bCs/>
                      <w:kern w:val="0"/>
                      <w:szCs w:val="21"/>
                      <w:lang w:eastAsia="zh-CN"/>
                    </w:rPr>
                  </w:pPr>
                  <w:r>
                    <w:rPr>
                      <w:rFonts w:hint="eastAsia"/>
                      <w:bCs/>
                      <w:kern w:val="0"/>
                      <w:szCs w:val="21"/>
                      <w:lang w:val="en-US" w:eastAsia="zh-CN"/>
                    </w:rPr>
                    <w:t>3</w:t>
                  </w:r>
                </w:p>
              </w:tc>
              <w:tc>
                <w:tcPr>
                  <w:tcW w:w="1485" w:type="dxa"/>
                  <w:tcBorders>
                    <w:tl2br w:val="nil"/>
                    <w:tr2bl w:val="nil"/>
                  </w:tcBorders>
                  <w:vAlign w:val="center"/>
                </w:tcPr>
                <w:p w14:paraId="0AC2B3BD">
                  <w:pPr>
                    <w:adjustRightInd w:val="0"/>
                    <w:snapToGrid w:val="0"/>
                    <w:jc w:val="center"/>
                    <w:rPr>
                      <w:bCs/>
                      <w:kern w:val="0"/>
                      <w:szCs w:val="21"/>
                    </w:rPr>
                  </w:pPr>
                  <w:r>
                    <w:rPr>
                      <w:rFonts w:hint="eastAsia"/>
                      <w:bCs/>
                      <w:szCs w:val="21"/>
                    </w:rPr>
                    <w:t>废润滑油</w:t>
                  </w:r>
                </w:p>
              </w:tc>
              <w:tc>
                <w:tcPr>
                  <w:tcW w:w="1500" w:type="dxa"/>
                  <w:tcBorders>
                    <w:tl2br w:val="nil"/>
                    <w:tr2bl w:val="nil"/>
                  </w:tcBorders>
                  <w:vAlign w:val="center"/>
                </w:tcPr>
                <w:p w14:paraId="7D4DD8A3">
                  <w:pPr>
                    <w:jc w:val="center"/>
                    <w:rPr>
                      <w:szCs w:val="21"/>
                    </w:rPr>
                  </w:pPr>
                  <w:r>
                    <w:rPr>
                      <w:rFonts w:hint="eastAsia"/>
                      <w:szCs w:val="21"/>
                      <w:lang w:val="en-US" w:eastAsia="zh-CN"/>
                    </w:rPr>
                    <w:t>/</w:t>
                  </w:r>
                </w:p>
              </w:tc>
              <w:tc>
                <w:tcPr>
                  <w:tcW w:w="1605" w:type="dxa"/>
                  <w:tcBorders>
                    <w:tl2br w:val="nil"/>
                    <w:tr2bl w:val="nil"/>
                  </w:tcBorders>
                  <w:vAlign w:val="center"/>
                </w:tcPr>
                <w:p w14:paraId="6D6CFE9C">
                  <w:pPr>
                    <w:adjustRightInd w:val="0"/>
                    <w:snapToGrid w:val="0"/>
                    <w:jc w:val="center"/>
                    <w:rPr>
                      <w:szCs w:val="21"/>
                    </w:rPr>
                  </w:pPr>
                  <w:r>
                    <w:rPr>
                      <w:rFonts w:hint="eastAsia"/>
                      <w:szCs w:val="21"/>
                      <w:lang w:val="en-US" w:eastAsia="zh-CN"/>
                    </w:rPr>
                    <w:t>0.5</w:t>
                  </w:r>
                </w:p>
              </w:tc>
              <w:tc>
                <w:tcPr>
                  <w:tcW w:w="1497" w:type="dxa"/>
                  <w:tcBorders>
                    <w:tl2br w:val="nil"/>
                    <w:tr2bl w:val="nil"/>
                  </w:tcBorders>
                  <w:vAlign w:val="center"/>
                </w:tcPr>
                <w:p w14:paraId="7BC72ADE">
                  <w:pPr>
                    <w:adjustRightInd w:val="0"/>
                    <w:snapToGrid w:val="0"/>
                    <w:jc w:val="center"/>
                    <w:rPr>
                      <w:rFonts w:hint="default" w:eastAsia="宋体"/>
                      <w:szCs w:val="21"/>
                      <w:lang w:val="en-US" w:eastAsia="zh-CN"/>
                    </w:rPr>
                  </w:pPr>
                  <w:r>
                    <w:rPr>
                      <w:rFonts w:hint="eastAsia"/>
                      <w:szCs w:val="21"/>
                      <w:lang w:val="en-US" w:eastAsia="zh-CN"/>
                    </w:rPr>
                    <w:t>50</w:t>
                  </w:r>
                </w:p>
              </w:tc>
              <w:tc>
                <w:tcPr>
                  <w:tcW w:w="1004" w:type="dxa"/>
                  <w:tcBorders>
                    <w:tl2br w:val="nil"/>
                    <w:tr2bl w:val="nil"/>
                  </w:tcBorders>
                  <w:vAlign w:val="center"/>
                </w:tcPr>
                <w:p w14:paraId="12751510">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0.01</w:t>
                  </w:r>
                </w:p>
              </w:tc>
            </w:tr>
            <w:tr w14:paraId="3D849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9" w:type="dxa"/>
                  <w:gridSpan w:val="5"/>
                  <w:tcBorders>
                    <w:tl2br w:val="nil"/>
                    <w:tr2bl w:val="nil"/>
                  </w:tcBorders>
                  <w:vAlign w:val="center"/>
                </w:tcPr>
                <w:p w14:paraId="604DA4FF">
                  <w:pPr>
                    <w:adjustRightInd w:val="0"/>
                    <w:snapToGrid w:val="0"/>
                    <w:jc w:val="center"/>
                    <w:rPr>
                      <w:szCs w:val="21"/>
                    </w:rPr>
                  </w:pPr>
                  <w:r>
                    <w:rPr>
                      <w:szCs w:val="21"/>
                    </w:rPr>
                    <w:t>项目Q值Σ</w:t>
                  </w:r>
                </w:p>
              </w:tc>
              <w:tc>
                <w:tcPr>
                  <w:tcW w:w="1004" w:type="dxa"/>
                  <w:tcBorders>
                    <w:tl2br w:val="nil"/>
                    <w:tr2bl w:val="nil"/>
                  </w:tcBorders>
                  <w:vAlign w:val="center"/>
                </w:tcPr>
                <w:p w14:paraId="4C93B779">
                  <w:pPr>
                    <w:keepNext w:val="0"/>
                    <w:keepLines w:val="0"/>
                    <w:widowControl/>
                    <w:suppressLineNumbers w:val="0"/>
                    <w:jc w:val="center"/>
                    <w:textAlignment w:val="center"/>
                    <w:rPr>
                      <w:rFonts w:hint="default" w:ascii="Times New Roman" w:hAnsi="Times New Roman" w:cs="Times New Roman"/>
                      <w:bCs/>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0.0144</w:t>
                  </w:r>
                </w:p>
              </w:tc>
            </w:tr>
          </w:tbl>
          <w:p w14:paraId="28ED0549">
            <w:pPr>
              <w:spacing w:line="360" w:lineRule="auto"/>
              <w:ind w:firstLine="480" w:firstLineChars="200"/>
              <w:rPr>
                <w:bCs/>
                <w:sz w:val="24"/>
              </w:rPr>
            </w:pPr>
            <w:r>
              <w:rPr>
                <w:bCs/>
                <w:sz w:val="24"/>
              </w:rPr>
              <w:t>由上表计算结果，本项目厂内最大存在总量中各危险物质实际量与临界量比值之和为</w:t>
            </w:r>
            <w:r>
              <w:rPr>
                <w:rFonts w:hint="eastAsia"/>
                <w:bCs/>
                <w:sz w:val="24"/>
              </w:rPr>
              <w:t>0.0</w:t>
            </w:r>
            <w:r>
              <w:rPr>
                <w:rFonts w:hint="eastAsia"/>
                <w:bCs/>
                <w:sz w:val="24"/>
                <w:lang w:val="en-US" w:eastAsia="zh-CN"/>
              </w:rPr>
              <w:t>144</w:t>
            </w:r>
            <w:r>
              <w:rPr>
                <w:bCs/>
                <w:sz w:val="24"/>
              </w:rPr>
              <w:t>&lt;1。</w:t>
            </w:r>
          </w:p>
          <w:p w14:paraId="5BA31FA8">
            <w:pPr>
              <w:spacing w:line="360" w:lineRule="auto"/>
              <w:ind w:firstLine="480" w:firstLineChars="200"/>
              <w:rPr>
                <w:bCs/>
                <w:sz w:val="24"/>
              </w:rPr>
            </w:pPr>
            <w:r>
              <w:rPr>
                <w:bCs/>
                <w:sz w:val="24"/>
              </w:rPr>
              <w:t>根据项目工程分析及危险物质的储存、转运情况，识别各危险单元可能发生的环境风险类型、危险物质影响环境途径如下：</w:t>
            </w:r>
          </w:p>
          <w:p w14:paraId="718B76CC">
            <w:pPr>
              <w:spacing w:line="360" w:lineRule="auto"/>
              <w:ind w:firstLine="480" w:firstLineChars="200"/>
              <w:rPr>
                <w:sz w:val="24"/>
                <w:szCs w:val="22"/>
                <w:lang w:bidi="ar"/>
              </w:rPr>
            </w:pPr>
            <w:r>
              <w:rPr>
                <w:sz w:val="24"/>
                <w:lang w:bidi="ar"/>
              </w:rPr>
              <w:fldChar w:fldCharType="begin"/>
            </w:r>
            <w:r>
              <w:rPr>
                <w:sz w:val="24"/>
                <w:lang w:bidi="ar"/>
              </w:rPr>
              <w:instrText xml:space="preserve"> = 1 \* GB3 </w:instrText>
            </w:r>
            <w:r>
              <w:rPr>
                <w:sz w:val="24"/>
                <w:lang w:bidi="ar"/>
              </w:rPr>
              <w:fldChar w:fldCharType="separate"/>
            </w:r>
            <w:r>
              <w:rPr>
                <w:sz w:val="24"/>
                <w:lang w:bidi="ar"/>
              </w:rPr>
              <w:t>①</w:t>
            </w:r>
            <w:r>
              <w:rPr>
                <w:sz w:val="24"/>
                <w:lang w:bidi="ar"/>
              </w:rPr>
              <w:fldChar w:fldCharType="end"/>
            </w:r>
            <w:r>
              <w:rPr>
                <w:rFonts w:hint="eastAsia"/>
                <w:sz w:val="24"/>
                <w:szCs w:val="22"/>
                <w:lang w:bidi="ar"/>
              </w:rPr>
              <w:t>废气处理装置故障导致粉尘大量排放，</w:t>
            </w:r>
            <w:r>
              <w:rPr>
                <w:sz w:val="24"/>
                <w:szCs w:val="22"/>
                <w:lang w:bidi="ar"/>
              </w:rPr>
              <w:t>同时可能引发火灾及其他伴生事故，对周边环境和人身健康安全存在一定的风险</w:t>
            </w:r>
            <w:r>
              <w:rPr>
                <w:rFonts w:hint="eastAsia"/>
                <w:sz w:val="24"/>
                <w:szCs w:val="22"/>
                <w:lang w:bidi="ar"/>
              </w:rPr>
              <w:t>。</w:t>
            </w:r>
          </w:p>
          <w:p w14:paraId="77D17E12">
            <w:pPr>
              <w:spacing w:line="360" w:lineRule="auto"/>
              <w:ind w:firstLine="480" w:firstLineChars="200"/>
              <w:rPr>
                <w:sz w:val="24"/>
                <w:szCs w:val="22"/>
                <w:lang w:bidi="ar"/>
              </w:rPr>
            </w:pPr>
            <w:r>
              <w:rPr>
                <w:sz w:val="24"/>
                <w:lang w:bidi="ar"/>
              </w:rPr>
              <w:t>②</w:t>
            </w:r>
            <w:r>
              <w:rPr>
                <w:rFonts w:hint="eastAsia"/>
                <w:bCs/>
                <w:sz w:val="24"/>
              </w:rPr>
              <w:t>润滑油、</w:t>
            </w:r>
            <w:r>
              <w:rPr>
                <w:rFonts w:hint="eastAsia"/>
                <w:bCs/>
                <w:sz w:val="24"/>
                <w:lang w:eastAsia="zh-CN"/>
              </w:rPr>
              <w:t>油漆</w:t>
            </w:r>
            <w:r>
              <w:rPr>
                <w:rFonts w:hint="eastAsia"/>
                <w:bCs/>
                <w:sz w:val="24"/>
              </w:rPr>
              <w:t>、废润滑油</w:t>
            </w:r>
            <w:r>
              <w:rPr>
                <w:bCs/>
                <w:sz w:val="24"/>
              </w:rPr>
              <w:t>在使用、处理过程中若发生物料</w:t>
            </w:r>
            <w:r>
              <w:rPr>
                <w:rFonts w:hint="eastAsia"/>
                <w:bCs/>
                <w:sz w:val="24"/>
              </w:rPr>
              <w:t>泄漏</w:t>
            </w:r>
            <w:r>
              <w:rPr>
                <w:bCs/>
                <w:sz w:val="24"/>
              </w:rPr>
              <w:t>，地面破损进入到土壤中，将会污染土壤和地下水环境</w:t>
            </w:r>
            <w:r>
              <w:rPr>
                <w:sz w:val="24"/>
                <w:szCs w:val="22"/>
                <w:lang w:bidi="ar"/>
              </w:rPr>
              <w:t>。</w:t>
            </w:r>
          </w:p>
          <w:p w14:paraId="207AB773">
            <w:pPr>
              <w:spacing w:line="360" w:lineRule="auto"/>
              <w:ind w:firstLine="480" w:firstLineChars="200"/>
              <w:rPr>
                <w:sz w:val="24"/>
                <w:szCs w:val="22"/>
              </w:rPr>
            </w:pPr>
            <w:r>
              <w:rPr>
                <w:rFonts w:hint="eastAsia"/>
                <w:bCs/>
                <w:sz w:val="24"/>
              </w:rPr>
              <w:t>根据本项目的风险识别及风险分析结果，提出风险防范措施如下：</w:t>
            </w:r>
          </w:p>
          <w:p w14:paraId="622F0958">
            <w:pPr>
              <w:spacing w:line="360" w:lineRule="auto"/>
              <w:ind w:firstLine="482"/>
              <w:rPr>
                <w:sz w:val="24"/>
                <w:lang w:bidi="ar"/>
              </w:rPr>
            </w:pPr>
            <w:r>
              <w:rPr>
                <w:sz w:val="24"/>
                <w:lang w:bidi="ar"/>
              </w:rPr>
              <w:fldChar w:fldCharType="begin"/>
            </w:r>
            <w:r>
              <w:rPr>
                <w:sz w:val="24"/>
                <w:lang w:bidi="ar"/>
              </w:rPr>
              <w:instrText xml:space="preserve"> = 1 \* GB3 </w:instrText>
            </w:r>
            <w:r>
              <w:rPr>
                <w:sz w:val="24"/>
                <w:lang w:bidi="ar"/>
              </w:rPr>
              <w:fldChar w:fldCharType="separate"/>
            </w:r>
            <w:r>
              <w:rPr>
                <w:sz w:val="24"/>
                <w:lang w:bidi="ar"/>
              </w:rPr>
              <w:t>①</w:t>
            </w:r>
            <w:r>
              <w:rPr>
                <w:sz w:val="24"/>
                <w:lang w:bidi="ar"/>
              </w:rPr>
              <w:fldChar w:fldCharType="end"/>
            </w:r>
            <w:r>
              <w:rPr>
                <w:sz w:val="24"/>
                <w:lang w:bidi="ar"/>
              </w:rPr>
              <w:t>合理布置总图，综合考虑了风向因素、安全防护距离、安全和消防通道等问题。厂区内防爆、防火及办公区域独立设置，各建构筑物之间的防火间距满足《建筑设计防火规范》的规定，厂区按规范要求设环形消防通道。</w:t>
            </w:r>
          </w:p>
          <w:p w14:paraId="483DB083">
            <w:pPr>
              <w:spacing w:line="360" w:lineRule="auto"/>
              <w:ind w:firstLine="482"/>
              <w:rPr>
                <w:sz w:val="24"/>
                <w:lang w:bidi="ar"/>
              </w:rPr>
            </w:pPr>
            <w:r>
              <w:rPr>
                <w:sz w:val="24"/>
                <w:lang w:bidi="ar"/>
              </w:rPr>
              <w:t>②工艺设备的布置能满足方便工艺操作、便于安装和维修、又留有安全疏散通道。</w:t>
            </w:r>
          </w:p>
          <w:p w14:paraId="6CA573EB">
            <w:pPr>
              <w:spacing w:line="360" w:lineRule="auto"/>
              <w:ind w:firstLine="482"/>
              <w:rPr>
                <w:sz w:val="24"/>
                <w:lang w:bidi="ar"/>
              </w:rPr>
            </w:pPr>
            <w:r>
              <w:rPr>
                <w:sz w:val="24"/>
                <w:lang w:bidi="ar"/>
              </w:rPr>
              <w:fldChar w:fldCharType="begin"/>
            </w:r>
            <w:r>
              <w:rPr>
                <w:sz w:val="24"/>
                <w:lang w:bidi="ar"/>
              </w:rPr>
              <w:instrText xml:space="preserve"> = 3 \* GB3 </w:instrText>
            </w:r>
            <w:r>
              <w:rPr>
                <w:sz w:val="24"/>
                <w:lang w:bidi="ar"/>
              </w:rPr>
              <w:fldChar w:fldCharType="separate"/>
            </w:r>
            <w:r>
              <w:rPr>
                <w:sz w:val="24"/>
                <w:lang w:bidi="ar"/>
              </w:rPr>
              <w:t>③</w:t>
            </w:r>
            <w:r>
              <w:rPr>
                <w:sz w:val="24"/>
                <w:lang w:bidi="ar"/>
              </w:rPr>
              <w:fldChar w:fldCharType="end"/>
            </w:r>
            <w:r>
              <w:rPr>
                <w:sz w:val="24"/>
                <w:lang w:bidi="ar"/>
              </w:rPr>
              <w:t>加强工厂安全管理，坚持“安全第一、预防为主”的方针，工厂专设生产安全机构，有专职人员负责安全。</w:t>
            </w:r>
          </w:p>
          <w:p w14:paraId="073FB0FC">
            <w:pPr>
              <w:spacing w:line="360" w:lineRule="auto"/>
              <w:ind w:firstLine="482"/>
              <w:rPr>
                <w:sz w:val="24"/>
                <w:lang w:bidi="ar"/>
              </w:rPr>
            </w:pPr>
            <w:r>
              <w:rPr>
                <w:sz w:val="24"/>
                <w:lang w:bidi="ar"/>
              </w:rPr>
              <w:t>④需要有专门的人员负责</w:t>
            </w:r>
            <w:r>
              <w:rPr>
                <w:rFonts w:hint="eastAsia"/>
                <w:sz w:val="24"/>
                <w:lang w:bidi="ar"/>
              </w:rPr>
              <w:t>储料</w:t>
            </w:r>
            <w:r>
              <w:rPr>
                <w:sz w:val="24"/>
                <w:lang w:bidi="ar"/>
              </w:rPr>
              <w:t>仓内压力及本身质量管理工作，对工作生产的全过程实施相关质量监督，对做好有效的记录工作。</w:t>
            </w:r>
          </w:p>
          <w:p w14:paraId="55E70048">
            <w:pPr>
              <w:spacing w:line="360" w:lineRule="auto"/>
              <w:ind w:firstLine="482"/>
              <w:rPr>
                <w:sz w:val="24"/>
                <w:lang w:bidi="ar"/>
              </w:rPr>
            </w:pPr>
            <w:r>
              <w:rPr>
                <w:sz w:val="24"/>
                <w:lang w:bidi="ar"/>
              </w:rPr>
              <w:t>⑤若本项目中废气处理设施设备损坏，应立即停止生产，迅速采取措施修理设备，最大程度地降低污染物对大气的影响。</w:t>
            </w:r>
          </w:p>
          <w:p w14:paraId="4D41F729">
            <w:pPr>
              <w:spacing w:line="360" w:lineRule="auto"/>
              <w:ind w:firstLine="482"/>
              <w:rPr>
                <w:sz w:val="24"/>
                <w:lang w:bidi="ar"/>
              </w:rPr>
            </w:pPr>
            <w:r>
              <w:rPr>
                <w:sz w:val="24"/>
                <w:lang w:bidi="ar"/>
              </w:rPr>
              <w:t>⑥停电时，如果生产正在进行，仍可将物料留在生产线内，待正常供电后可继续进行。因此，只要操作得当，停电不会造成大气污染物事故排放</w:t>
            </w:r>
            <w:r>
              <w:rPr>
                <w:rFonts w:hint="eastAsia"/>
                <w:sz w:val="24"/>
                <w:lang w:bidi="ar"/>
              </w:rPr>
              <w:t>。</w:t>
            </w:r>
          </w:p>
          <w:p w14:paraId="288530E6">
            <w:pPr>
              <w:spacing w:line="360" w:lineRule="auto"/>
              <w:ind w:firstLine="480" w:firstLineChars="200"/>
              <w:rPr>
                <w:bCs/>
                <w:sz w:val="24"/>
              </w:rPr>
            </w:pPr>
            <w:r>
              <w:rPr>
                <w:sz w:val="24"/>
              </w:rPr>
              <w:t>⑦</w:t>
            </w:r>
            <w:r>
              <w:rPr>
                <w:bCs/>
                <w:sz w:val="24"/>
              </w:rPr>
              <w:t>加强对废气设施的运行管理、维护保养当废气处理措施发生故障，造成废气事故性排放，项目应立即停产，排除事故故障，待确保废气治理措施正常运转后再恢复生产</w:t>
            </w:r>
            <w:r>
              <w:rPr>
                <w:rFonts w:hint="eastAsia"/>
                <w:bCs/>
                <w:sz w:val="24"/>
              </w:rPr>
              <w:t>。</w:t>
            </w:r>
          </w:p>
          <w:p w14:paraId="0345047F">
            <w:pPr>
              <w:spacing w:line="360" w:lineRule="auto"/>
              <w:ind w:firstLine="480" w:firstLineChars="200"/>
              <w:rPr>
                <w:bCs/>
                <w:sz w:val="24"/>
              </w:rPr>
            </w:pPr>
            <w:r>
              <w:rPr>
                <w:rFonts w:hint="eastAsia"/>
                <w:bCs/>
                <w:sz w:val="24"/>
              </w:rPr>
              <w:t>根据本项目的风险识别及风险分析结果，提出环境事故应急措施如下：</w:t>
            </w:r>
          </w:p>
          <w:p w14:paraId="4ADFBD67">
            <w:pPr>
              <w:spacing w:line="360" w:lineRule="auto"/>
              <w:ind w:firstLine="480" w:firstLineChars="200"/>
              <w:rPr>
                <w:bCs/>
                <w:sz w:val="24"/>
              </w:rPr>
            </w:pPr>
            <w:r>
              <w:rPr>
                <w:bCs/>
                <w:sz w:val="24"/>
              </w:rPr>
              <w:t>①</w:t>
            </w:r>
            <w:r>
              <w:rPr>
                <w:rFonts w:hint="eastAsia"/>
                <w:bCs/>
                <w:sz w:val="24"/>
                <w:lang w:eastAsia="zh-CN"/>
              </w:rPr>
              <w:t>辅料暂存间</w:t>
            </w:r>
            <w:r>
              <w:rPr>
                <w:rFonts w:hint="eastAsia"/>
                <w:bCs/>
                <w:sz w:val="24"/>
              </w:rPr>
              <w:t>、危废间</w:t>
            </w:r>
            <w:r>
              <w:rPr>
                <w:bCs/>
                <w:sz w:val="24"/>
              </w:rPr>
              <w:t>设置经防渗处理的地沟，保证</w:t>
            </w:r>
            <w:r>
              <w:rPr>
                <w:rFonts w:hint="eastAsia"/>
                <w:bCs/>
                <w:sz w:val="24"/>
              </w:rPr>
              <w:t>原辅料、危废</w:t>
            </w:r>
            <w:r>
              <w:rPr>
                <w:bCs/>
                <w:sz w:val="24"/>
              </w:rPr>
              <w:t>发生泄漏后能够得到有效收集，不进入外围水体；</w:t>
            </w:r>
          </w:p>
          <w:p w14:paraId="45119176">
            <w:pPr>
              <w:spacing w:line="360" w:lineRule="auto"/>
              <w:ind w:firstLine="480" w:firstLineChars="200"/>
              <w:rPr>
                <w:bCs/>
                <w:sz w:val="24"/>
              </w:rPr>
            </w:pPr>
            <w:r>
              <w:rPr>
                <w:bCs/>
                <w:sz w:val="24"/>
              </w:rPr>
              <w:t>②配置应急水泵、消防沙、收集桶、防护服、防护手套、防护面罩、应急照明、急救药品、灭火器等应急物资</w:t>
            </w:r>
            <w:r>
              <w:rPr>
                <w:rFonts w:hint="eastAsia"/>
                <w:bCs/>
                <w:sz w:val="24"/>
              </w:rPr>
              <w:t>；</w:t>
            </w:r>
          </w:p>
          <w:p w14:paraId="3994A371">
            <w:pPr>
              <w:spacing w:line="360" w:lineRule="auto"/>
              <w:ind w:firstLine="480" w:firstLineChars="200"/>
              <w:rPr>
                <w:bCs/>
                <w:sz w:val="24"/>
              </w:rPr>
            </w:pPr>
            <w:r>
              <w:rPr>
                <w:rFonts w:hint="eastAsia" w:ascii="宋体" w:hAnsi="宋体" w:cs="宋体"/>
                <w:bCs/>
                <w:sz w:val="24"/>
              </w:rPr>
              <w:t>③</w:t>
            </w:r>
            <w:r>
              <w:rPr>
                <w:rFonts w:hint="eastAsia"/>
                <w:bCs/>
                <w:sz w:val="24"/>
              </w:rPr>
              <w:t>编制突发环境事件应急预案。</w:t>
            </w:r>
          </w:p>
          <w:p w14:paraId="0EE82EEC">
            <w:pPr>
              <w:numPr>
                <w:ilvl w:val="0"/>
                <w:numId w:val="9"/>
              </w:numPr>
              <w:overflowPunct w:val="0"/>
              <w:autoSpaceDE w:val="0"/>
              <w:autoSpaceDN w:val="0"/>
              <w:snapToGrid w:val="0"/>
              <w:spacing w:line="360" w:lineRule="auto"/>
              <w:ind w:firstLine="482" w:firstLineChars="200"/>
              <w:textAlignment w:val="baseline"/>
              <w:rPr>
                <w:b/>
                <w:kern w:val="0"/>
                <w:sz w:val="24"/>
              </w:rPr>
            </w:pPr>
            <w:r>
              <w:rPr>
                <w:b/>
                <w:kern w:val="0"/>
                <w:sz w:val="24"/>
              </w:rPr>
              <w:t>环境管理要求</w:t>
            </w:r>
          </w:p>
          <w:p w14:paraId="6254EA15">
            <w:pPr>
              <w:snapToGrid w:val="0"/>
              <w:spacing w:line="360" w:lineRule="auto"/>
              <w:ind w:firstLine="480" w:firstLineChars="200"/>
              <w:jc w:val="left"/>
              <w:rPr>
                <w:bCs/>
                <w:color w:val="auto"/>
                <w:sz w:val="24"/>
                <w:szCs w:val="24"/>
              </w:rPr>
            </w:pPr>
            <w:r>
              <w:rPr>
                <w:rFonts w:hint="eastAsia"/>
                <w:bCs/>
                <w:color w:val="auto"/>
                <w:sz w:val="24"/>
                <w:szCs w:val="24"/>
              </w:rPr>
              <w:t>①</w:t>
            </w:r>
            <w:r>
              <w:rPr>
                <w:bCs/>
                <w:color w:val="auto"/>
                <w:sz w:val="24"/>
                <w:szCs w:val="24"/>
              </w:rPr>
              <w:t>贯彻执行《中华人民共和国环境保护法》及其有关法律、法规，按国家的环保政策、环境标准及环境监测要求，指定环境管理规章制度，并监督执行；</w:t>
            </w:r>
          </w:p>
          <w:p w14:paraId="31B8FD65">
            <w:pPr>
              <w:snapToGrid w:val="0"/>
              <w:spacing w:line="360" w:lineRule="auto"/>
              <w:ind w:firstLine="480" w:firstLineChars="200"/>
              <w:jc w:val="left"/>
              <w:rPr>
                <w:bCs/>
                <w:color w:val="auto"/>
                <w:sz w:val="24"/>
                <w:szCs w:val="24"/>
              </w:rPr>
            </w:pPr>
            <w:r>
              <w:rPr>
                <w:rFonts w:hint="eastAsia"/>
                <w:bCs/>
                <w:color w:val="auto"/>
                <w:sz w:val="24"/>
                <w:szCs w:val="24"/>
              </w:rPr>
              <w:t>②</w:t>
            </w:r>
            <w:r>
              <w:rPr>
                <w:bCs/>
                <w:color w:val="auto"/>
                <w:sz w:val="24"/>
                <w:szCs w:val="24"/>
              </w:rPr>
              <w:t>掌握本企业各污染源治理措施工艺、设备、运行及维护等资料，掌握废物综合利用情况，建立污染控制管理档案及废气、废水控制系统管理台账；</w:t>
            </w:r>
          </w:p>
          <w:p w14:paraId="4BC558F5">
            <w:pPr>
              <w:snapToGrid w:val="0"/>
              <w:spacing w:line="360" w:lineRule="auto"/>
              <w:ind w:firstLine="480" w:firstLineChars="200"/>
              <w:jc w:val="left"/>
              <w:rPr>
                <w:bCs/>
                <w:color w:val="auto"/>
                <w:sz w:val="24"/>
                <w:szCs w:val="24"/>
              </w:rPr>
            </w:pPr>
            <w:r>
              <w:rPr>
                <w:rFonts w:hint="eastAsia"/>
                <w:bCs/>
                <w:color w:val="auto"/>
                <w:sz w:val="24"/>
                <w:szCs w:val="24"/>
              </w:rPr>
              <w:t>③</w:t>
            </w:r>
            <w:r>
              <w:rPr>
                <w:bCs/>
                <w:color w:val="auto"/>
                <w:sz w:val="24"/>
                <w:szCs w:val="24"/>
              </w:rPr>
              <w:t>制定生产过程中各项污染物排放指标以及环保设施的运行参数，并定期考核统计；</w:t>
            </w:r>
          </w:p>
          <w:p w14:paraId="4A3A7867">
            <w:pPr>
              <w:snapToGrid w:val="0"/>
              <w:spacing w:line="360" w:lineRule="auto"/>
              <w:ind w:firstLine="480" w:firstLineChars="200"/>
              <w:jc w:val="left"/>
              <w:rPr>
                <w:bCs/>
                <w:color w:val="auto"/>
                <w:sz w:val="24"/>
                <w:szCs w:val="24"/>
              </w:rPr>
            </w:pPr>
            <w:r>
              <w:rPr>
                <w:rFonts w:hint="eastAsia"/>
                <w:bCs/>
                <w:color w:val="auto"/>
                <w:sz w:val="24"/>
                <w:szCs w:val="24"/>
              </w:rPr>
              <w:t>④</w:t>
            </w:r>
            <w:r>
              <w:rPr>
                <w:bCs/>
                <w:color w:val="auto"/>
                <w:sz w:val="24"/>
                <w:szCs w:val="24"/>
              </w:rPr>
              <w:t>推广应用先进的环保技术和经验，组织开展环保专业技术培训，搞好环境保护的宣传工作，提高全厂人员的环境保护意识；</w:t>
            </w:r>
          </w:p>
          <w:p w14:paraId="00B8B12A">
            <w:pPr>
              <w:snapToGrid w:val="0"/>
              <w:spacing w:line="360" w:lineRule="auto"/>
              <w:ind w:firstLine="480" w:firstLineChars="200"/>
              <w:jc w:val="left"/>
              <w:rPr>
                <w:bCs/>
                <w:color w:val="auto"/>
                <w:sz w:val="24"/>
                <w:szCs w:val="24"/>
              </w:rPr>
            </w:pPr>
            <w:r>
              <w:rPr>
                <w:rFonts w:hint="eastAsia"/>
                <w:bCs/>
                <w:color w:val="auto"/>
                <w:sz w:val="24"/>
                <w:szCs w:val="24"/>
              </w:rPr>
              <w:t>⑤</w:t>
            </w:r>
            <w:r>
              <w:rPr>
                <w:bCs/>
                <w:color w:val="auto"/>
                <w:sz w:val="24"/>
                <w:szCs w:val="24"/>
              </w:rPr>
              <w:t>监督项目环保设施的安装、调试等工作，坚持“三同时”原则，保证环保设施的设计、施工、运行与主体工程同时进行；</w:t>
            </w:r>
          </w:p>
          <w:p w14:paraId="78A99180">
            <w:pPr>
              <w:snapToGrid w:val="0"/>
              <w:spacing w:line="360" w:lineRule="auto"/>
              <w:ind w:firstLine="480" w:firstLineChars="200"/>
              <w:jc w:val="left"/>
              <w:rPr>
                <w:bCs/>
                <w:color w:val="auto"/>
                <w:sz w:val="24"/>
                <w:szCs w:val="24"/>
              </w:rPr>
            </w:pPr>
            <w:r>
              <w:rPr>
                <w:rFonts w:hint="eastAsia"/>
                <w:bCs/>
                <w:color w:val="auto"/>
                <w:sz w:val="24"/>
                <w:szCs w:val="24"/>
              </w:rPr>
              <w:t>⑥</w:t>
            </w:r>
            <w:r>
              <w:rPr>
                <w:bCs/>
                <w:color w:val="auto"/>
                <w:sz w:val="24"/>
                <w:szCs w:val="24"/>
              </w:rPr>
              <w:t>组织开展本单位环境保护专业技术培训，提高人员素质；</w:t>
            </w:r>
          </w:p>
          <w:p w14:paraId="345ADF8D">
            <w:pPr>
              <w:snapToGrid w:val="0"/>
              <w:spacing w:line="360" w:lineRule="auto"/>
              <w:ind w:firstLine="480" w:firstLineChars="200"/>
              <w:jc w:val="left"/>
              <w:rPr>
                <w:bCs/>
                <w:color w:val="auto"/>
                <w:sz w:val="24"/>
                <w:szCs w:val="24"/>
              </w:rPr>
            </w:pPr>
            <w:r>
              <w:rPr>
                <w:rFonts w:hint="eastAsia"/>
                <w:bCs/>
                <w:color w:val="auto"/>
                <w:sz w:val="24"/>
                <w:szCs w:val="24"/>
              </w:rPr>
              <w:t>⑦</w:t>
            </w:r>
            <w:r>
              <w:rPr>
                <w:bCs/>
                <w:color w:val="auto"/>
                <w:sz w:val="24"/>
                <w:szCs w:val="24"/>
              </w:rPr>
              <w:t>认真落实企业污染物排放总量控制指标，解决落实过程出现的问题。</w:t>
            </w:r>
          </w:p>
          <w:p w14:paraId="091DABD4">
            <w:pPr>
              <w:numPr>
                <w:ilvl w:val="0"/>
                <w:numId w:val="9"/>
              </w:numPr>
              <w:overflowPunct w:val="0"/>
              <w:autoSpaceDE w:val="0"/>
              <w:autoSpaceDN w:val="0"/>
              <w:snapToGrid w:val="0"/>
              <w:spacing w:line="360" w:lineRule="auto"/>
              <w:ind w:firstLine="482" w:firstLineChars="200"/>
              <w:textAlignment w:val="baseline"/>
              <w:rPr>
                <w:b/>
                <w:kern w:val="0"/>
                <w:sz w:val="24"/>
              </w:rPr>
            </w:pPr>
            <w:r>
              <w:rPr>
                <w:b/>
                <w:kern w:val="0"/>
                <w:sz w:val="24"/>
              </w:rPr>
              <w:t>环</w:t>
            </w:r>
            <w:r>
              <w:rPr>
                <w:rFonts w:hint="eastAsia"/>
                <w:b/>
                <w:kern w:val="0"/>
                <w:sz w:val="24"/>
              </w:rPr>
              <w:t>评与排污许可联动</w:t>
            </w:r>
          </w:p>
          <w:p w14:paraId="6A9C4ECE">
            <w:pPr>
              <w:spacing w:line="360" w:lineRule="auto"/>
              <w:ind w:firstLine="480" w:firstLineChars="200"/>
              <w:rPr>
                <w:sz w:val="24"/>
              </w:rPr>
            </w:pPr>
            <w:r>
              <w:rPr>
                <w:sz w:val="24"/>
              </w:rPr>
              <w:t>根据安徽省生态环境厅文件2021年1月30号《关于统筹做好固定污染源排污许可日常监管工作的通知》（皖环发(2021)7号）文件内容：二、主要任务——第（七）条积极探索排污许可与环评制度的联动试点中——属于现行《固定污染源排污许可分类管理名录》内重点管理和简化管理的行业，建设单位在组织编制建设项目环境影响报告书(表)时，可结合相应行业排污许可证申请与核发技术规范，在环评文件中一并明确“建设项目环境影响评价与排污许可联动内容”(附件1)和《建设项目排污许可申请与填报信息表》(附件2)，生态环境部门在环评文件受理和审批过程中同步审核。</w:t>
            </w:r>
            <w:r>
              <w:rPr>
                <w:rFonts w:hint="eastAsia"/>
                <w:sz w:val="24"/>
              </w:rPr>
              <w:t>建设单位在实际排污行为发生前申领排污许可证，应按照项目实际建设情况，结合环评内容，填报排污许可申请材料；在编制自主验收报告时，应专章分析排污许可管理要求的落实情况。排污单位应依法开展排污许可证申领或排污许可登记，落实主体责任。排污单位应切实增强自行申报的主动性，并对申报内容的真实性、准确性、规范性负责，牢固树立“持证排污、按证排污”的守法意识。</w:t>
            </w:r>
          </w:p>
          <w:p w14:paraId="07D78CB6">
            <w:pPr>
              <w:spacing w:line="360" w:lineRule="auto"/>
              <w:ind w:firstLine="480" w:firstLineChars="200"/>
              <w:rPr>
                <w:rFonts w:ascii="宋体" w:hAnsi="宋体" w:cs="宋体"/>
                <w:sz w:val="24"/>
              </w:rPr>
            </w:pPr>
            <w:r>
              <w:rPr>
                <w:rFonts w:hint="eastAsia"/>
                <w:sz w:val="24"/>
              </w:rPr>
              <w:t>根据</w:t>
            </w:r>
            <w:r>
              <w:rPr>
                <w:sz w:val="24"/>
              </w:rPr>
              <w:t>《固定污染源排污许可分类管理名录》，</w:t>
            </w:r>
            <w:r>
              <w:rPr>
                <w:rFonts w:hint="eastAsia"/>
                <w:sz w:val="24"/>
              </w:rPr>
              <w:t>本项目属于登记管理，不需要填报环评与</w:t>
            </w:r>
            <w:r>
              <w:rPr>
                <w:sz w:val="24"/>
              </w:rPr>
              <w:t>排污许可联动</w:t>
            </w:r>
            <w:r>
              <w:rPr>
                <w:rFonts w:hint="eastAsia"/>
                <w:sz w:val="24"/>
              </w:rPr>
              <w:t>内容。</w:t>
            </w:r>
          </w:p>
          <w:p w14:paraId="71833F11">
            <w:pPr>
              <w:pStyle w:val="35"/>
            </w:pPr>
          </w:p>
          <w:p w14:paraId="5662C069">
            <w:pPr>
              <w:spacing w:line="360" w:lineRule="auto"/>
              <w:ind w:left="420" w:leftChars="200"/>
            </w:pPr>
          </w:p>
        </w:tc>
      </w:tr>
    </w:tbl>
    <w:p w14:paraId="2AE6303A">
      <w:pPr>
        <w:pStyle w:val="23"/>
        <w:jc w:val="center"/>
        <w:rPr>
          <w:rFonts w:ascii="黑体" w:hAnsi="黑体" w:eastAsia="黑体"/>
          <w:snapToGrid w:val="0"/>
          <w:sz w:val="30"/>
          <w:szCs w:val="30"/>
        </w:rPr>
      </w:pPr>
    </w:p>
    <w:p w14:paraId="02EA24F5">
      <w:pPr>
        <w:pStyle w:val="23"/>
        <w:jc w:val="center"/>
        <w:rPr>
          <w:rFonts w:ascii="黑体" w:hAnsi="黑体" w:eastAsia="黑体"/>
          <w:snapToGrid w:val="0"/>
          <w:sz w:val="30"/>
          <w:szCs w:val="30"/>
        </w:rPr>
      </w:pPr>
    </w:p>
    <w:p w14:paraId="0961F294">
      <w:pPr>
        <w:pStyle w:val="23"/>
        <w:jc w:val="center"/>
        <w:outlineLvl w:val="0"/>
        <w:rPr>
          <w:rFonts w:ascii="黑体" w:hAnsi="黑体" w:eastAsia="黑体"/>
          <w:snapToGrid w:val="0"/>
          <w:sz w:val="30"/>
          <w:szCs w:val="30"/>
        </w:rPr>
      </w:pPr>
      <w:r>
        <w:rPr>
          <w:rFonts w:hint="eastAsia" w:ascii="黑体" w:hAnsi="黑体" w:eastAsia="黑体"/>
          <w:snapToGrid w:val="0"/>
          <w:sz w:val="30"/>
          <w:szCs w:val="30"/>
        </w:rPr>
        <w:t>五、</w:t>
      </w:r>
      <w:bookmarkStart w:id="5" w:name="_Hlk54167917"/>
      <w:r>
        <w:rPr>
          <w:rFonts w:hint="eastAsia" w:ascii="黑体" w:hAnsi="黑体" w:eastAsia="黑体"/>
          <w:snapToGrid w:val="0"/>
          <w:sz w:val="30"/>
          <w:szCs w:val="30"/>
        </w:rPr>
        <w:t>环境保护措施监督检查清单</w:t>
      </w:r>
      <w:bookmarkEnd w:id="5"/>
    </w:p>
    <w:tbl>
      <w:tblPr>
        <w:tblStyle w:val="26"/>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00"/>
        <w:gridCol w:w="1453"/>
        <w:gridCol w:w="1267"/>
        <w:gridCol w:w="3147"/>
        <w:gridCol w:w="1433"/>
      </w:tblGrid>
      <w:tr w14:paraId="4C13A3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00" w:type="dxa"/>
            <w:tcBorders>
              <w:top w:val="single" w:color="auto" w:sz="12" w:space="0"/>
              <w:left w:val="single" w:color="auto" w:sz="12" w:space="0"/>
              <w:bottom w:val="single" w:color="auto" w:sz="4" w:space="0"/>
              <w:tl2br w:val="single" w:color="auto" w:sz="4" w:space="0"/>
            </w:tcBorders>
          </w:tcPr>
          <w:p w14:paraId="346F8069">
            <w:pPr>
              <w:adjustRightInd w:val="0"/>
              <w:snapToGrid w:val="0"/>
              <w:ind w:firstLine="840"/>
              <w:rPr>
                <w:b/>
                <w:szCs w:val="21"/>
              </w:rPr>
            </w:pPr>
            <w:r>
              <w:rPr>
                <w:b/>
                <w:szCs w:val="21"/>
              </w:rPr>
              <w:t>内容</w:t>
            </w:r>
          </w:p>
          <w:p w14:paraId="7A1F0467">
            <w:pPr>
              <w:adjustRightInd w:val="0"/>
              <w:snapToGrid w:val="0"/>
              <w:rPr>
                <w:b/>
                <w:szCs w:val="21"/>
              </w:rPr>
            </w:pPr>
            <w:r>
              <w:rPr>
                <w:b/>
                <w:szCs w:val="21"/>
              </w:rPr>
              <w:t>要素</w:t>
            </w:r>
          </w:p>
        </w:tc>
        <w:tc>
          <w:tcPr>
            <w:tcW w:w="1453" w:type="dxa"/>
            <w:tcBorders>
              <w:top w:val="single" w:color="auto" w:sz="12" w:space="0"/>
              <w:bottom w:val="single" w:color="auto" w:sz="4" w:space="0"/>
            </w:tcBorders>
            <w:vAlign w:val="center"/>
          </w:tcPr>
          <w:p w14:paraId="74C8A9F2">
            <w:pPr>
              <w:adjustRightInd w:val="0"/>
              <w:snapToGrid w:val="0"/>
              <w:jc w:val="center"/>
              <w:rPr>
                <w:b/>
                <w:szCs w:val="21"/>
              </w:rPr>
            </w:pPr>
            <w:r>
              <w:rPr>
                <w:b/>
                <w:szCs w:val="21"/>
              </w:rPr>
              <w:t>排放口(编号、</w:t>
            </w:r>
          </w:p>
          <w:p w14:paraId="216F913A">
            <w:pPr>
              <w:adjustRightInd w:val="0"/>
              <w:snapToGrid w:val="0"/>
              <w:jc w:val="center"/>
              <w:rPr>
                <w:b/>
                <w:szCs w:val="21"/>
              </w:rPr>
            </w:pPr>
            <w:r>
              <w:rPr>
                <w:b/>
                <w:szCs w:val="21"/>
              </w:rPr>
              <w:t>名称)/污染源</w:t>
            </w:r>
          </w:p>
        </w:tc>
        <w:tc>
          <w:tcPr>
            <w:tcW w:w="1267" w:type="dxa"/>
            <w:tcBorders>
              <w:top w:val="single" w:color="auto" w:sz="12" w:space="0"/>
              <w:bottom w:val="single" w:color="auto" w:sz="4" w:space="0"/>
            </w:tcBorders>
            <w:vAlign w:val="center"/>
          </w:tcPr>
          <w:p w14:paraId="07337D46">
            <w:pPr>
              <w:adjustRightInd w:val="0"/>
              <w:snapToGrid w:val="0"/>
              <w:jc w:val="center"/>
              <w:rPr>
                <w:b/>
                <w:szCs w:val="21"/>
              </w:rPr>
            </w:pPr>
            <w:r>
              <w:rPr>
                <w:b/>
                <w:szCs w:val="21"/>
              </w:rPr>
              <w:t>污染物项目</w:t>
            </w:r>
          </w:p>
        </w:tc>
        <w:tc>
          <w:tcPr>
            <w:tcW w:w="3147" w:type="dxa"/>
            <w:tcBorders>
              <w:top w:val="single" w:color="auto" w:sz="12" w:space="0"/>
              <w:bottom w:val="single" w:color="auto" w:sz="4" w:space="0"/>
            </w:tcBorders>
            <w:vAlign w:val="center"/>
          </w:tcPr>
          <w:p w14:paraId="79A14325">
            <w:pPr>
              <w:adjustRightInd w:val="0"/>
              <w:snapToGrid w:val="0"/>
              <w:jc w:val="center"/>
              <w:rPr>
                <w:b/>
                <w:szCs w:val="21"/>
              </w:rPr>
            </w:pPr>
            <w:r>
              <w:rPr>
                <w:b/>
                <w:szCs w:val="21"/>
              </w:rPr>
              <w:t>环境保护措施</w:t>
            </w:r>
          </w:p>
        </w:tc>
        <w:tc>
          <w:tcPr>
            <w:tcW w:w="1433" w:type="dxa"/>
            <w:tcBorders>
              <w:top w:val="single" w:color="auto" w:sz="12" w:space="0"/>
              <w:bottom w:val="single" w:color="auto" w:sz="4" w:space="0"/>
              <w:right w:val="single" w:color="auto" w:sz="12" w:space="0"/>
            </w:tcBorders>
            <w:vAlign w:val="center"/>
          </w:tcPr>
          <w:p w14:paraId="4BD60395">
            <w:pPr>
              <w:adjustRightInd w:val="0"/>
              <w:snapToGrid w:val="0"/>
              <w:jc w:val="center"/>
              <w:rPr>
                <w:b/>
                <w:szCs w:val="21"/>
              </w:rPr>
            </w:pPr>
            <w:r>
              <w:rPr>
                <w:b/>
                <w:szCs w:val="21"/>
              </w:rPr>
              <w:t>执行标准</w:t>
            </w:r>
          </w:p>
        </w:tc>
      </w:tr>
      <w:tr w14:paraId="7DACD4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00" w:type="dxa"/>
            <w:vMerge w:val="restart"/>
            <w:tcBorders>
              <w:top w:val="single" w:color="auto" w:sz="4" w:space="0"/>
              <w:left w:val="single" w:color="auto" w:sz="12" w:space="0"/>
            </w:tcBorders>
            <w:vAlign w:val="center"/>
          </w:tcPr>
          <w:p w14:paraId="0E9E57DA">
            <w:pPr>
              <w:adjustRightInd w:val="0"/>
              <w:snapToGrid w:val="0"/>
              <w:jc w:val="center"/>
              <w:rPr>
                <w:b/>
                <w:szCs w:val="21"/>
              </w:rPr>
            </w:pPr>
            <w:r>
              <w:rPr>
                <w:b/>
                <w:szCs w:val="21"/>
              </w:rPr>
              <w:t>大气环境</w:t>
            </w:r>
          </w:p>
        </w:tc>
        <w:tc>
          <w:tcPr>
            <w:tcW w:w="1453" w:type="dxa"/>
            <w:tcBorders>
              <w:top w:val="single" w:color="auto" w:sz="4" w:space="0"/>
              <w:bottom w:val="single" w:color="auto" w:sz="4" w:space="0"/>
            </w:tcBorders>
            <w:vAlign w:val="center"/>
          </w:tcPr>
          <w:p w14:paraId="18CEAD06">
            <w:pPr>
              <w:adjustRightInd w:val="0"/>
              <w:snapToGrid w:val="0"/>
              <w:jc w:val="center"/>
              <w:rPr>
                <w:szCs w:val="21"/>
              </w:rPr>
            </w:pPr>
            <w:r>
              <w:rPr>
                <w:rFonts w:hint="eastAsia"/>
                <w:szCs w:val="21"/>
              </w:rPr>
              <w:t>DA001</w:t>
            </w:r>
          </w:p>
        </w:tc>
        <w:tc>
          <w:tcPr>
            <w:tcW w:w="1267" w:type="dxa"/>
            <w:tcBorders>
              <w:top w:val="single" w:color="auto" w:sz="4" w:space="0"/>
              <w:bottom w:val="single" w:color="auto" w:sz="4" w:space="0"/>
            </w:tcBorders>
            <w:vAlign w:val="center"/>
          </w:tcPr>
          <w:p w14:paraId="2DCA1532">
            <w:pPr>
              <w:adjustRightInd w:val="0"/>
              <w:snapToGrid w:val="0"/>
              <w:jc w:val="center"/>
              <w:rPr>
                <w:rFonts w:hint="eastAsia" w:eastAsia="宋体"/>
                <w:szCs w:val="21"/>
                <w:lang w:eastAsia="zh-CN"/>
              </w:rPr>
            </w:pPr>
            <w:r>
              <w:rPr>
                <w:rFonts w:hint="eastAsia"/>
                <w:szCs w:val="21"/>
              </w:rPr>
              <w:t>颗粒物</w:t>
            </w:r>
            <w:r>
              <w:rPr>
                <w:rFonts w:hint="eastAsia"/>
                <w:szCs w:val="21"/>
                <w:lang w:eastAsia="zh-CN"/>
              </w:rPr>
              <w:t>、非甲烷总烃、二甲苯</w:t>
            </w:r>
          </w:p>
        </w:tc>
        <w:tc>
          <w:tcPr>
            <w:tcW w:w="3147" w:type="dxa"/>
            <w:tcBorders>
              <w:top w:val="single" w:color="auto" w:sz="4" w:space="0"/>
              <w:bottom w:val="single" w:color="auto" w:sz="4" w:space="0"/>
            </w:tcBorders>
            <w:vAlign w:val="center"/>
          </w:tcPr>
          <w:p w14:paraId="696BBB20">
            <w:pPr>
              <w:adjustRightInd w:val="0"/>
              <w:snapToGrid w:val="0"/>
              <w:rPr>
                <w:szCs w:val="21"/>
              </w:rPr>
            </w:pPr>
            <w:r>
              <w:rPr>
                <w:rFonts w:hint="eastAsia"/>
                <w:szCs w:val="21"/>
                <w:lang w:eastAsia="zh-CN"/>
              </w:rPr>
              <w:t>喷漆废气经</w:t>
            </w:r>
            <w:r>
              <w:rPr>
                <w:rFonts w:hint="eastAsia"/>
                <w:szCs w:val="21"/>
              </w:rPr>
              <w:t>喷漆房密闭收集引至一套“过滤棉+两级活性炭”装置处理后经</w:t>
            </w:r>
            <w:r>
              <w:rPr>
                <w:rFonts w:hint="eastAsia"/>
                <w:szCs w:val="21"/>
                <w:lang w:eastAsia="zh-CN"/>
              </w:rPr>
              <w:t>15m高</w:t>
            </w:r>
            <w:r>
              <w:rPr>
                <w:rFonts w:hint="eastAsia"/>
                <w:szCs w:val="21"/>
              </w:rPr>
              <w:t>排气筒（</w:t>
            </w:r>
            <w:r>
              <w:rPr>
                <w:rFonts w:hint="eastAsia"/>
                <w:szCs w:val="21"/>
                <w:lang w:eastAsia="zh-CN"/>
              </w:rPr>
              <w:t>DA001</w:t>
            </w:r>
            <w:r>
              <w:rPr>
                <w:rFonts w:hint="eastAsia"/>
                <w:szCs w:val="21"/>
              </w:rPr>
              <w:t>）排放</w:t>
            </w:r>
          </w:p>
        </w:tc>
        <w:tc>
          <w:tcPr>
            <w:tcW w:w="1433" w:type="dxa"/>
            <w:vMerge w:val="restart"/>
            <w:tcBorders>
              <w:top w:val="single" w:color="auto" w:sz="4" w:space="0"/>
              <w:right w:val="single" w:color="auto" w:sz="12" w:space="0"/>
            </w:tcBorders>
            <w:vAlign w:val="center"/>
          </w:tcPr>
          <w:p w14:paraId="1EF7EFE8">
            <w:pPr>
              <w:adjustRightInd w:val="0"/>
              <w:snapToGrid w:val="0"/>
              <w:rPr>
                <w:rFonts w:hint="eastAsia"/>
                <w:szCs w:val="21"/>
              </w:rPr>
            </w:pPr>
            <w:r>
              <w:rPr>
                <w:rFonts w:hint="eastAsia"/>
                <w:szCs w:val="21"/>
              </w:rPr>
              <w:t>《固定源挥发性有机物综合排放标准 第6部分 其他行业》（DB34/4812.6-2024）</w:t>
            </w:r>
          </w:p>
          <w:p w14:paraId="304852A8">
            <w:pPr>
              <w:adjustRightInd w:val="0"/>
              <w:snapToGrid w:val="0"/>
              <w:rPr>
                <w:szCs w:val="21"/>
              </w:rPr>
            </w:pPr>
            <w:r>
              <w:rPr>
                <w:rFonts w:hint="eastAsia"/>
                <w:szCs w:val="21"/>
              </w:rPr>
              <w:t>《大气污染物综合排放标准》（GB16297-1996）</w:t>
            </w:r>
          </w:p>
        </w:tc>
      </w:tr>
      <w:tr w14:paraId="0AD639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00" w:type="dxa"/>
            <w:vMerge w:val="continue"/>
            <w:tcBorders>
              <w:left w:val="single" w:color="auto" w:sz="12" w:space="0"/>
            </w:tcBorders>
            <w:vAlign w:val="center"/>
          </w:tcPr>
          <w:p w14:paraId="135320C4">
            <w:pPr>
              <w:adjustRightInd w:val="0"/>
              <w:snapToGrid w:val="0"/>
              <w:jc w:val="center"/>
              <w:rPr>
                <w:b/>
                <w:szCs w:val="21"/>
              </w:rPr>
            </w:pPr>
          </w:p>
        </w:tc>
        <w:tc>
          <w:tcPr>
            <w:tcW w:w="1453" w:type="dxa"/>
            <w:tcBorders>
              <w:top w:val="single" w:color="auto" w:sz="4" w:space="0"/>
              <w:bottom w:val="single" w:color="auto" w:sz="4" w:space="0"/>
            </w:tcBorders>
            <w:vAlign w:val="center"/>
          </w:tcPr>
          <w:p w14:paraId="7C8F9C7B">
            <w:pPr>
              <w:adjustRightInd w:val="0"/>
              <w:snapToGrid w:val="0"/>
              <w:jc w:val="center"/>
              <w:rPr>
                <w:rFonts w:hint="eastAsia" w:eastAsia="宋体"/>
                <w:szCs w:val="21"/>
                <w:lang w:eastAsia="zh-CN"/>
              </w:rPr>
            </w:pPr>
            <w:r>
              <w:rPr>
                <w:rFonts w:hint="eastAsia"/>
                <w:szCs w:val="21"/>
                <w:lang w:eastAsia="zh-CN"/>
              </w:rPr>
              <w:t>无组织</w:t>
            </w:r>
          </w:p>
        </w:tc>
        <w:tc>
          <w:tcPr>
            <w:tcW w:w="1267" w:type="dxa"/>
            <w:tcBorders>
              <w:top w:val="single" w:color="auto" w:sz="4" w:space="0"/>
              <w:bottom w:val="single" w:color="auto" w:sz="4" w:space="0"/>
            </w:tcBorders>
            <w:vAlign w:val="center"/>
          </w:tcPr>
          <w:p w14:paraId="424CB26F">
            <w:pPr>
              <w:adjustRightInd w:val="0"/>
              <w:snapToGrid w:val="0"/>
              <w:jc w:val="center"/>
              <w:rPr>
                <w:rFonts w:hint="eastAsia" w:eastAsia="宋体"/>
                <w:szCs w:val="21"/>
                <w:lang w:eastAsia="zh-CN"/>
              </w:rPr>
            </w:pPr>
            <w:r>
              <w:rPr>
                <w:rFonts w:hint="eastAsia"/>
                <w:szCs w:val="21"/>
                <w:lang w:eastAsia="zh-CN"/>
              </w:rPr>
              <w:t>切割粉尘、焊接烟尘</w:t>
            </w:r>
          </w:p>
        </w:tc>
        <w:tc>
          <w:tcPr>
            <w:tcW w:w="3147" w:type="dxa"/>
            <w:tcBorders>
              <w:top w:val="single" w:color="auto" w:sz="4" w:space="0"/>
              <w:bottom w:val="single" w:color="auto" w:sz="4" w:space="0"/>
            </w:tcBorders>
            <w:vAlign w:val="center"/>
          </w:tcPr>
          <w:p w14:paraId="2EA1243C">
            <w:pPr>
              <w:adjustRightInd w:val="0"/>
              <w:snapToGrid w:val="0"/>
              <w:rPr>
                <w:rFonts w:hint="eastAsia"/>
                <w:szCs w:val="21"/>
                <w:lang w:eastAsia="zh-CN"/>
              </w:rPr>
            </w:pPr>
            <w:r>
              <w:rPr>
                <w:rFonts w:hint="eastAsia"/>
                <w:szCs w:val="21"/>
                <w:lang w:eastAsia="zh-CN"/>
              </w:rPr>
              <w:t>焊接烟尘：焊接工位固定，焊接烟尘经集气罩收集后通过布袋除尘器处理后车间内无组织排放。</w:t>
            </w:r>
          </w:p>
          <w:p w14:paraId="4E95633F">
            <w:pPr>
              <w:adjustRightInd w:val="0"/>
              <w:snapToGrid w:val="0"/>
              <w:rPr>
                <w:rFonts w:hint="eastAsia"/>
                <w:szCs w:val="21"/>
                <w:lang w:eastAsia="zh-CN"/>
              </w:rPr>
            </w:pPr>
            <w:r>
              <w:rPr>
                <w:rFonts w:hint="eastAsia"/>
                <w:szCs w:val="21"/>
                <w:lang w:eastAsia="zh-CN"/>
              </w:rPr>
              <w:t>切割粉尘：经切割机自带集气罩收集后经设备自带布袋除尘器处理，处理后车间内无组织排放。</w:t>
            </w:r>
          </w:p>
        </w:tc>
        <w:tc>
          <w:tcPr>
            <w:tcW w:w="1433" w:type="dxa"/>
            <w:vMerge w:val="continue"/>
            <w:tcBorders>
              <w:right w:val="single" w:color="auto" w:sz="12" w:space="0"/>
            </w:tcBorders>
            <w:vAlign w:val="center"/>
          </w:tcPr>
          <w:p w14:paraId="3D8E454A">
            <w:pPr>
              <w:adjustRightInd w:val="0"/>
              <w:snapToGrid w:val="0"/>
              <w:rPr>
                <w:rFonts w:hint="eastAsia"/>
                <w:szCs w:val="21"/>
              </w:rPr>
            </w:pPr>
          </w:p>
        </w:tc>
      </w:tr>
      <w:tr w14:paraId="080DE8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00" w:type="dxa"/>
            <w:tcBorders>
              <w:top w:val="single" w:color="auto" w:sz="4" w:space="0"/>
              <w:left w:val="single" w:color="auto" w:sz="12" w:space="0"/>
              <w:bottom w:val="single" w:color="auto" w:sz="4" w:space="0"/>
            </w:tcBorders>
            <w:vAlign w:val="center"/>
          </w:tcPr>
          <w:p w14:paraId="208990EA">
            <w:pPr>
              <w:adjustRightInd w:val="0"/>
              <w:snapToGrid w:val="0"/>
              <w:jc w:val="center"/>
              <w:rPr>
                <w:b/>
                <w:szCs w:val="21"/>
              </w:rPr>
            </w:pPr>
            <w:r>
              <w:rPr>
                <w:b/>
                <w:szCs w:val="21"/>
              </w:rPr>
              <w:t>地表水环境</w:t>
            </w:r>
          </w:p>
        </w:tc>
        <w:tc>
          <w:tcPr>
            <w:tcW w:w="1453" w:type="dxa"/>
            <w:tcBorders>
              <w:top w:val="single" w:color="auto" w:sz="4" w:space="0"/>
              <w:bottom w:val="single" w:color="auto" w:sz="4" w:space="0"/>
            </w:tcBorders>
            <w:vAlign w:val="center"/>
          </w:tcPr>
          <w:p w14:paraId="54B4C2F0">
            <w:pPr>
              <w:adjustRightInd w:val="0"/>
              <w:snapToGrid w:val="0"/>
              <w:jc w:val="center"/>
              <w:rPr>
                <w:szCs w:val="21"/>
              </w:rPr>
            </w:pPr>
            <w:r>
              <w:rPr>
                <w:rFonts w:hint="eastAsia"/>
                <w:szCs w:val="21"/>
              </w:rPr>
              <w:t>DW001</w:t>
            </w:r>
          </w:p>
        </w:tc>
        <w:tc>
          <w:tcPr>
            <w:tcW w:w="1267" w:type="dxa"/>
            <w:tcBorders>
              <w:top w:val="single" w:color="auto" w:sz="4" w:space="0"/>
              <w:bottom w:val="single" w:color="auto" w:sz="4" w:space="0"/>
            </w:tcBorders>
            <w:vAlign w:val="center"/>
          </w:tcPr>
          <w:p w14:paraId="0CDDD187">
            <w:pPr>
              <w:adjustRightInd w:val="0"/>
              <w:snapToGrid w:val="0"/>
              <w:jc w:val="center"/>
              <w:rPr>
                <w:szCs w:val="21"/>
              </w:rPr>
            </w:pPr>
            <w:r>
              <w:rPr>
                <w:szCs w:val="21"/>
              </w:rPr>
              <w:t>pH</w:t>
            </w:r>
            <w:r>
              <w:rPr>
                <w:rFonts w:hint="eastAsia"/>
                <w:szCs w:val="21"/>
              </w:rPr>
              <w:t>、</w:t>
            </w:r>
            <w:r>
              <w:rPr>
                <w:szCs w:val="21"/>
              </w:rPr>
              <w:t>COD</w:t>
            </w:r>
            <w:r>
              <w:rPr>
                <w:rFonts w:hint="eastAsia"/>
                <w:szCs w:val="21"/>
              </w:rPr>
              <w:t>、</w:t>
            </w:r>
            <w:r>
              <w:rPr>
                <w:szCs w:val="21"/>
              </w:rPr>
              <w:t>BOD</w:t>
            </w:r>
            <w:r>
              <w:rPr>
                <w:szCs w:val="21"/>
                <w:vertAlign w:val="subscript"/>
              </w:rPr>
              <w:t>5</w:t>
            </w:r>
            <w:r>
              <w:rPr>
                <w:rFonts w:hint="eastAsia"/>
                <w:szCs w:val="21"/>
              </w:rPr>
              <w:t>、</w:t>
            </w:r>
            <w:r>
              <w:rPr>
                <w:szCs w:val="21"/>
              </w:rPr>
              <w:t>SS</w:t>
            </w:r>
            <w:r>
              <w:rPr>
                <w:rFonts w:hint="eastAsia"/>
                <w:szCs w:val="21"/>
              </w:rPr>
              <w:t>、NH</w:t>
            </w:r>
            <w:r>
              <w:rPr>
                <w:rFonts w:hint="eastAsia"/>
                <w:szCs w:val="21"/>
                <w:vertAlign w:val="subscript"/>
              </w:rPr>
              <w:t>3</w:t>
            </w:r>
            <w:r>
              <w:rPr>
                <w:rFonts w:hint="eastAsia"/>
                <w:szCs w:val="21"/>
              </w:rPr>
              <w:t>-N、TP、TN、动植物</w:t>
            </w:r>
            <w:r>
              <w:rPr>
                <w:rStyle w:val="33"/>
                <w:rFonts w:hint="eastAsia"/>
                <w:kern w:val="0"/>
                <w:szCs w:val="20"/>
              </w:rPr>
              <w:t>油</w:t>
            </w:r>
          </w:p>
        </w:tc>
        <w:tc>
          <w:tcPr>
            <w:tcW w:w="3147" w:type="dxa"/>
            <w:tcBorders>
              <w:top w:val="single" w:color="auto" w:sz="4" w:space="0"/>
              <w:bottom w:val="single" w:color="auto" w:sz="4" w:space="0"/>
            </w:tcBorders>
            <w:vAlign w:val="center"/>
          </w:tcPr>
          <w:p w14:paraId="6E7E4388">
            <w:pPr>
              <w:adjustRightInd w:val="0"/>
              <w:snapToGrid w:val="0"/>
              <w:jc w:val="center"/>
              <w:rPr>
                <w:szCs w:val="21"/>
              </w:rPr>
            </w:pPr>
            <w:r>
              <w:rPr>
                <w:rFonts w:hint="eastAsia"/>
              </w:rPr>
              <w:t>循环冷却水不外排，</w:t>
            </w:r>
            <w:r>
              <w:rPr>
                <w:rFonts w:hint="eastAsia"/>
                <w:lang w:eastAsia="zh-CN"/>
              </w:rPr>
              <w:t>生活污水经化粪池预处理，食堂餐饮废水经隔油池预处理，预处理后</w:t>
            </w:r>
            <w:r>
              <w:rPr>
                <w:rFonts w:hint="eastAsia"/>
              </w:rPr>
              <w:t>一同汇入厂区总排口后经市政污水管网进入</w:t>
            </w:r>
            <w:r>
              <w:rPr>
                <w:rFonts w:hint="eastAsia"/>
                <w:bCs/>
                <w:szCs w:val="21"/>
              </w:rPr>
              <w:t>淮北市龙湖工业园污水处理厂</w:t>
            </w:r>
            <w:r>
              <w:rPr>
                <w:rFonts w:hint="eastAsia"/>
                <w:szCs w:val="21"/>
              </w:rPr>
              <w:t>，</w:t>
            </w:r>
            <w:r>
              <w:rPr>
                <w:szCs w:val="21"/>
                <w:lang w:bidi="ar"/>
              </w:rPr>
              <w:t>处理达标后排入</w:t>
            </w:r>
            <w:r>
              <w:rPr>
                <w:rFonts w:hint="eastAsia"/>
                <w:szCs w:val="21"/>
                <w:lang w:bidi="ar"/>
              </w:rPr>
              <w:t>龙河</w:t>
            </w:r>
          </w:p>
        </w:tc>
        <w:tc>
          <w:tcPr>
            <w:tcW w:w="1433" w:type="dxa"/>
            <w:tcBorders>
              <w:top w:val="single" w:color="auto" w:sz="4" w:space="0"/>
              <w:bottom w:val="single" w:color="auto" w:sz="4" w:space="0"/>
              <w:right w:val="single" w:color="auto" w:sz="12" w:space="0"/>
            </w:tcBorders>
            <w:vAlign w:val="center"/>
          </w:tcPr>
          <w:p w14:paraId="4BCC3D58">
            <w:pPr>
              <w:adjustRightInd w:val="0"/>
              <w:snapToGrid w:val="0"/>
              <w:jc w:val="center"/>
              <w:rPr>
                <w:szCs w:val="21"/>
              </w:rPr>
            </w:pPr>
            <w:r>
              <w:rPr>
                <w:rFonts w:hint="eastAsia"/>
                <w:bCs/>
                <w:szCs w:val="21"/>
              </w:rPr>
              <w:t>淮北市龙湖工业园污水处理厂</w:t>
            </w:r>
            <w:r>
              <w:rPr>
                <w:szCs w:val="21"/>
              </w:rPr>
              <w:t>接管限值及《污水综合排放标准》（GB8978-1996）</w:t>
            </w:r>
          </w:p>
        </w:tc>
      </w:tr>
      <w:tr w14:paraId="498005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00" w:type="dxa"/>
            <w:tcBorders>
              <w:top w:val="single" w:color="auto" w:sz="4" w:space="0"/>
              <w:left w:val="single" w:color="auto" w:sz="12" w:space="0"/>
              <w:bottom w:val="single" w:color="auto" w:sz="4" w:space="0"/>
            </w:tcBorders>
            <w:vAlign w:val="center"/>
          </w:tcPr>
          <w:p w14:paraId="198DE14E">
            <w:pPr>
              <w:adjustRightInd w:val="0"/>
              <w:snapToGrid w:val="0"/>
              <w:jc w:val="center"/>
              <w:rPr>
                <w:b/>
                <w:szCs w:val="21"/>
              </w:rPr>
            </w:pPr>
            <w:r>
              <w:rPr>
                <w:b/>
                <w:szCs w:val="21"/>
              </w:rPr>
              <w:t>声环境</w:t>
            </w:r>
          </w:p>
        </w:tc>
        <w:tc>
          <w:tcPr>
            <w:tcW w:w="1453" w:type="dxa"/>
            <w:tcBorders>
              <w:top w:val="single" w:color="auto" w:sz="4" w:space="0"/>
              <w:bottom w:val="single" w:color="auto" w:sz="4" w:space="0"/>
            </w:tcBorders>
            <w:vAlign w:val="center"/>
          </w:tcPr>
          <w:p w14:paraId="2E74C807">
            <w:pPr>
              <w:adjustRightInd w:val="0"/>
              <w:snapToGrid w:val="0"/>
              <w:jc w:val="center"/>
              <w:rPr>
                <w:szCs w:val="21"/>
              </w:rPr>
            </w:pPr>
            <w:r>
              <w:rPr>
                <w:szCs w:val="21"/>
              </w:rPr>
              <w:t>厂界噪声</w:t>
            </w:r>
          </w:p>
        </w:tc>
        <w:tc>
          <w:tcPr>
            <w:tcW w:w="1267" w:type="dxa"/>
            <w:tcBorders>
              <w:top w:val="single" w:color="auto" w:sz="4" w:space="0"/>
              <w:bottom w:val="single" w:color="auto" w:sz="4" w:space="0"/>
            </w:tcBorders>
            <w:vAlign w:val="center"/>
          </w:tcPr>
          <w:p w14:paraId="0F859056">
            <w:pPr>
              <w:adjustRightInd w:val="0"/>
              <w:snapToGrid w:val="0"/>
              <w:rPr>
                <w:szCs w:val="21"/>
              </w:rPr>
            </w:pPr>
            <w:r>
              <w:rPr>
                <w:szCs w:val="21"/>
              </w:rPr>
              <w:t>连续等效A声级L</w:t>
            </w:r>
            <w:r>
              <w:rPr>
                <w:szCs w:val="21"/>
                <w:vertAlign w:val="subscript"/>
              </w:rPr>
              <w:t>eq</w:t>
            </w:r>
          </w:p>
        </w:tc>
        <w:tc>
          <w:tcPr>
            <w:tcW w:w="3147" w:type="dxa"/>
            <w:tcBorders>
              <w:top w:val="single" w:color="auto" w:sz="4" w:space="0"/>
              <w:bottom w:val="single" w:color="auto" w:sz="4" w:space="0"/>
            </w:tcBorders>
            <w:vAlign w:val="center"/>
          </w:tcPr>
          <w:p w14:paraId="46B46CA5">
            <w:pPr>
              <w:adjustRightInd w:val="0"/>
              <w:snapToGrid w:val="0"/>
              <w:rPr>
                <w:szCs w:val="21"/>
              </w:rPr>
            </w:pPr>
            <w:r>
              <w:rPr>
                <w:szCs w:val="21"/>
              </w:rPr>
              <w:t>通过选用低噪设备、安装减振基座，经厂区建筑物的隔声、距离的衰减的降噪措施</w:t>
            </w:r>
          </w:p>
        </w:tc>
        <w:tc>
          <w:tcPr>
            <w:tcW w:w="1433" w:type="dxa"/>
            <w:tcBorders>
              <w:top w:val="single" w:color="auto" w:sz="4" w:space="0"/>
              <w:bottom w:val="single" w:color="auto" w:sz="4" w:space="0"/>
              <w:right w:val="single" w:color="auto" w:sz="12" w:space="0"/>
            </w:tcBorders>
            <w:vAlign w:val="center"/>
          </w:tcPr>
          <w:p w14:paraId="4B9BD621">
            <w:pPr>
              <w:adjustRightInd w:val="0"/>
              <w:snapToGrid w:val="0"/>
              <w:rPr>
                <w:szCs w:val="21"/>
              </w:rPr>
            </w:pPr>
            <w:r>
              <w:rPr>
                <w:szCs w:val="21"/>
              </w:rPr>
              <w:t>《工业企业厂界环境噪声排放标准》（GB12348-2008）中</w:t>
            </w:r>
            <w:r>
              <w:rPr>
                <w:rFonts w:hint="eastAsia"/>
                <w:szCs w:val="21"/>
              </w:rPr>
              <w:t>3</w:t>
            </w:r>
            <w:r>
              <w:rPr>
                <w:szCs w:val="21"/>
              </w:rPr>
              <w:t>类区标准</w:t>
            </w:r>
          </w:p>
        </w:tc>
      </w:tr>
      <w:tr w14:paraId="1114A4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00" w:type="dxa"/>
            <w:tcBorders>
              <w:top w:val="single" w:color="auto" w:sz="4" w:space="0"/>
              <w:left w:val="single" w:color="auto" w:sz="12" w:space="0"/>
              <w:bottom w:val="single" w:color="auto" w:sz="4" w:space="0"/>
            </w:tcBorders>
            <w:vAlign w:val="center"/>
          </w:tcPr>
          <w:p w14:paraId="70CECCBF">
            <w:pPr>
              <w:adjustRightInd w:val="0"/>
              <w:snapToGrid w:val="0"/>
              <w:jc w:val="center"/>
              <w:rPr>
                <w:b/>
                <w:szCs w:val="21"/>
              </w:rPr>
            </w:pPr>
            <w:r>
              <w:rPr>
                <w:b/>
                <w:szCs w:val="21"/>
              </w:rPr>
              <w:t>电磁辐射</w:t>
            </w:r>
          </w:p>
        </w:tc>
        <w:tc>
          <w:tcPr>
            <w:tcW w:w="7300" w:type="dxa"/>
            <w:gridSpan w:val="4"/>
            <w:tcBorders>
              <w:top w:val="single" w:color="auto" w:sz="4" w:space="0"/>
              <w:bottom w:val="single" w:color="auto" w:sz="4" w:space="0"/>
              <w:right w:val="single" w:color="auto" w:sz="12" w:space="0"/>
            </w:tcBorders>
            <w:vAlign w:val="center"/>
          </w:tcPr>
          <w:p w14:paraId="06C2033A">
            <w:pPr>
              <w:adjustRightInd w:val="0"/>
              <w:snapToGrid w:val="0"/>
              <w:jc w:val="center"/>
              <w:rPr>
                <w:szCs w:val="21"/>
              </w:rPr>
            </w:pPr>
            <w:r>
              <w:rPr>
                <w:szCs w:val="21"/>
              </w:rPr>
              <w:t>无</w:t>
            </w:r>
          </w:p>
        </w:tc>
      </w:tr>
      <w:tr w14:paraId="07FD53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6" w:hRule="atLeast"/>
          <w:jc w:val="center"/>
        </w:trPr>
        <w:tc>
          <w:tcPr>
            <w:tcW w:w="1500" w:type="dxa"/>
            <w:tcBorders>
              <w:top w:val="single" w:color="auto" w:sz="4" w:space="0"/>
              <w:left w:val="single" w:color="auto" w:sz="12" w:space="0"/>
              <w:bottom w:val="single" w:color="auto" w:sz="4" w:space="0"/>
            </w:tcBorders>
            <w:vAlign w:val="center"/>
          </w:tcPr>
          <w:p w14:paraId="2D8B2163">
            <w:pPr>
              <w:adjustRightInd w:val="0"/>
              <w:snapToGrid w:val="0"/>
              <w:jc w:val="center"/>
              <w:rPr>
                <w:b/>
                <w:szCs w:val="21"/>
              </w:rPr>
            </w:pPr>
            <w:r>
              <w:rPr>
                <w:b/>
                <w:szCs w:val="21"/>
              </w:rPr>
              <w:t>固体废物</w:t>
            </w:r>
          </w:p>
        </w:tc>
        <w:tc>
          <w:tcPr>
            <w:tcW w:w="7300" w:type="dxa"/>
            <w:gridSpan w:val="4"/>
            <w:tcBorders>
              <w:top w:val="single" w:color="auto" w:sz="4" w:space="0"/>
              <w:bottom w:val="single" w:color="auto" w:sz="4" w:space="0"/>
              <w:right w:val="single" w:color="auto" w:sz="12" w:space="0"/>
            </w:tcBorders>
            <w:vAlign w:val="center"/>
          </w:tcPr>
          <w:p w14:paraId="1AC07F82">
            <w:pPr>
              <w:adjustRightInd w:val="0"/>
              <w:snapToGrid w:val="0"/>
              <w:jc w:val="left"/>
              <w:rPr>
                <w:szCs w:val="21"/>
              </w:rPr>
            </w:pPr>
            <w:r>
              <w:rPr>
                <w:rFonts w:hint="eastAsia"/>
                <w:color w:val="auto"/>
                <w:sz w:val="21"/>
                <w:szCs w:val="21"/>
              </w:rPr>
              <w:t>本项目产生的危险废物主要为：废润滑油、废漆桶、漆渣、废活性炭、废过滤棉，危险废物收集在危废间暂存后定期委托有资质单位处置。一般工业固废主要为：不合格品、边角料等，由物资部门回收利用。生活垃圾收集后由环卫部门统一清运处置。</w:t>
            </w:r>
          </w:p>
        </w:tc>
      </w:tr>
      <w:tr w14:paraId="6CE59D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1500" w:type="dxa"/>
            <w:tcBorders>
              <w:top w:val="single" w:color="auto" w:sz="4" w:space="0"/>
              <w:left w:val="single" w:color="auto" w:sz="12" w:space="0"/>
              <w:bottom w:val="single" w:color="auto" w:sz="4" w:space="0"/>
            </w:tcBorders>
            <w:vAlign w:val="center"/>
          </w:tcPr>
          <w:p w14:paraId="417D492D">
            <w:pPr>
              <w:adjustRightInd w:val="0"/>
              <w:snapToGrid w:val="0"/>
              <w:jc w:val="center"/>
              <w:rPr>
                <w:b/>
                <w:szCs w:val="21"/>
              </w:rPr>
            </w:pPr>
            <w:r>
              <w:rPr>
                <w:b/>
                <w:szCs w:val="21"/>
              </w:rPr>
              <w:t>土壤及地下水</w:t>
            </w:r>
          </w:p>
          <w:p w14:paraId="271D61EA">
            <w:pPr>
              <w:adjustRightInd w:val="0"/>
              <w:snapToGrid w:val="0"/>
              <w:jc w:val="center"/>
              <w:rPr>
                <w:b/>
                <w:szCs w:val="21"/>
              </w:rPr>
            </w:pPr>
            <w:r>
              <w:rPr>
                <w:b/>
                <w:szCs w:val="21"/>
              </w:rPr>
              <w:t>污染防治措施</w:t>
            </w:r>
          </w:p>
        </w:tc>
        <w:tc>
          <w:tcPr>
            <w:tcW w:w="7300" w:type="dxa"/>
            <w:gridSpan w:val="4"/>
            <w:tcBorders>
              <w:top w:val="single" w:color="auto" w:sz="4" w:space="0"/>
              <w:bottom w:val="single" w:color="auto" w:sz="4" w:space="0"/>
              <w:right w:val="single" w:color="auto" w:sz="12" w:space="0"/>
            </w:tcBorders>
            <w:vAlign w:val="center"/>
          </w:tcPr>
          <w:p w14:paraId="3778A56A">
            <w:pPr>
              <w:adjustRightInd w:val="0"/>
              <w:snapToGrid w:val="0"/>
              <w:jc w:val="left"/>
              <w:rPr>
                <w:szCs w:val="21"/>
              </w:rPr>
            </w:pPr>
            <w:r>
              <w:rPr>
                <w:rFonts w:hint="eastAsia"/>
                <w:lang w:eastAsia="zh-CN"/>
              </w:rPr>
              <w:t>辅料暂存间</w:t>
            </w:r>
            <w:r>
              <w:rPr>
                <w:rFonts w:hint="eastAsia"/>
              </w:rPr>
              <w:t>、</w:t>
            </w:r>
            <w:r>
              <w:t>危废</w:t>
            </w:r>
            <w:r>
              <w:rPr>
                <w:rFonts w:hint="eastAsia"/>
              </w:rPr>
              <w:t>间</w:t>
            </w:r>
            <w:r>
              <w:t>采取重点防渗措施</w:t>
            </w:r>
            <w:r>
              <w:rPr>
                <w:rFonts w:hint="eastAsia"/>
                <w:lang w:eastAsia="zh-CN"/>
              </w:rPr>
              <w:t>，</w:t>
            </w:r>
            <w:r>
              <w:rPr>
                <w:rFonts w:hint="eastAsia"/>
                <w:bCs/>
                <w:sz w:val="21"/>
                <w:szCs w:val="21"/>
              </w:rPr>
              <w:t>危废暂存间严格按照《危险废物贮存污染物控制标准》（GB 18597—2023）的相关要求建设</w:t>
            </w:r>
            <w:r>
              <w:rPr>
                <w:rFonts w:hint="eastAsia"/>
                <w:bCs/>
                <w:sz w:val="21"/>
                <w:szCs w:val="21"/>
                <w:lang w:val="en-US" w:eastAsia="zh-CN"/>
              </w:rPr>
              <w:t>要求</w:t>
            </w:r>
            <w:r>
              <w:rPr>
                <w:rFonts w:hint="eastAsia"/>
                <w:bCs/>
                <w:sz w:val="21"/>
                <w:szCs w:val="21"/>
              </w:rPr>
              <w:t>基础防渗层为至少1 米厚粘土层（渗透系数≤10</w:t>
            </w:r>
            <w:r>
              <w:rPr>
                <w:rFonts w:hint="eastAsia"/>
                <w:bCs/>
                <w:sz w:val="21"/>
                <w:szCs w:val="21"/>
                <w:vertAlign w:val="superscript"/>
              </w:rPr>
              <w:t>-10</w:t>
            </w:r>
            <w:r>
              <w:rPr>
                <w:rFonts w:hint="eastAsia"/>
                <w:bCs/>
                <w:sz w:val="21"/>
                <w:szCs w:val="21"/>
              </w:rPr>
              <w:t>cm/s），或2mm厚高密度聚乙烯，或至少2 mm厚的其它人工材料（渗透系数≤10</w:t>
            </w:r>
            <w:r>
              <w:rPr>
                <w:rFonts w:hint="eastAsia"/>
                <w:bCs/>
                <w:sz w:val="21"/>
                <w:szCs w:val="21"/>
                <w:vertAlign w:val="superscript"/>
              </w:rPr>
              <w:t>-1</w:t>
            </w:r>
            <w:r>
              <w:rPr>
                <w:rFonts w:hint="eastAsia"/>
                <w:bCs/>
                <w:sz w:val="21"/>
                <w:szCs w:val="21"/>
                <w:vertAlign w:val="superscript"/>
                <w:lang w:val="en-US" w:eastAsia="zh-CN"/>
              </w:rPr>
              <w:t>0</w:t>
            </w:r>
            <w:r>
              <w:rPr>
                <w:rFonts w:hint="eastAsia"/>
                <w:bCs/>
                <w:sz w:val="21"/>
                <w:szCs w:val="21"/>
              </w:rPr>
              <w:t>cm/s）</w:t>
            </w:r>
            <w:r>
              <w:rPr>
                <w:rFonts w:hint="eastAsia"/>
                <w:bCs/>
                <w:sz w:val="21"/>
                <w:szCs w:val="21"/>
                <w:lang w:eastAsia="zh-CN"/>
              </w:rPr>
              <w:t>；</w:t>
            </w:r>
            <w:r>
              <w:rPr>
                <w:rFonts w:hint="eastAsia"/>
                <w:bCs/>
                <w:sz w:val="21"/>
                <w:szCs w:val="21"/>
              </w:rPr>
              <w:t>喷漆房、封闭区</w:t>
            </w:r>
            <w:r>
              <w:rPr>
                <w:rFonts w:hint="eastAsia"/>
                <w:bCs/>
                <w:sz w:val="21"/>
                <w:szCs w:val="21"/>
                <w:lang w:val="en-US" w:eastAsia="zh-CN"/>
              </w:rPr>
              <w:t>要求</w:t>
            </w:r>
            <w:r>
              <w:rPr>
                <w:rFonts w:hint="eastAsia"/>
                <w:color w:val="auto"/>
                <w:kern w:val="0"/>
                <w:szCs w:val="21"/>
              </w:rPr>
              <w:t>等效黏土防渗层Mb≥6.0m，渗透系数</w:t>
            </w:r>
            <w:r>
              <w:rPr>
                <w:rFonts w:hint="eastAsia"/>
                <w:color w:val="auto"/>
              </w:rPr>
              <w:t>≤10</w:t>
            </w:r>
            <w:r>
              <w:rPr>
                <w:rFonts w:hint="eastAsia"/>
                <w:color w:val="auto"/>
                <w:vertAlign w:val="superscript"/>
              </w:rPr>
              <w:t>-</w:t>
            </w:r>
            <w:r>
              <w:rPr>
                <w:rFonts w:hint="eastAsia"/>
                <w:color w:val="auto"/>
                <w:vertAlign w:val="superscript"/>
                <w:lang w:val="en-US" w:eastAsia="zh-CN"/>
              </w:rPr>
              <w:t>7</w:t>
            </w:r>
            <w:r>
              <w:rPr>
                <w:rFonts w:hint="eastAsia"/>
                <w:color w:val="auto"/>
              </w:rPr>
              <w:t>cm/s；或参照GB18598执行</w:t>
            </w:r>
            <w:r>
              <w:rPr>
                <w:rStyle w:val="33"/>
                <w:kern w:val="0"/>
                <w:szCs w:val="20"/>
              </w:rPr>
              <w:t>；</w:t>
            </w:r>
            <w:r>
              <w:rPr>
                <w:rFonts w:hint="eastAsia"/>
              </w:rPr>
              <w:t>固废间、生产车间</w:t>
            </w:r>
            <w:r>
              <w:t>地面采取一般防渗措施</w:t>
            </w:r>
            <w:r>
              <w:rPr>
                <w:kern w:val="0"/>
                <w:szCs w:val="21"/>
              </w:rPr>
              <w:t>（等效黏土防渗层Mb≥1.5m，渗透系数K</w:t>
            </w:r>
            <w:r>
              <w:t>≤10</w:t>
            </w:r>
            <w:r>
              <w:rPr>
                <w:vertAlign w:val="superscript"/>
              </w:rPr>
              <w:t>-7</w:t>
            </w:r>
            <w:r>
              <w:t>cm/s</w:t>
            </w:r>
            <w:r>
              <w:rPr>
                <w:rStyle w:val="33"/>
                <w:kern w:val="0"/>
                <w:szCs w:val="20"/>
              </w:rPr>
              <w:t>）</w:t>
            </w:r>
          </w:p>
        </w:tc>
      </w:tr>
      <w:tr w14:paraId="381E46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500" w:type="dxa"/>
            <w:tcBorders>
              <w:top w:val="single" w:color="auto" w:sz="4" w:space="0"/>
              <w:left w:val="single" w:color="auto" w:sz="12" w:space="0"/>
              <w:bottom w:val="single" w:color="auto" w:sz="4" w:space="0"/>
            </w:tcBorders>
            <w:vAlign w:val="center"/>
          </w:tcPr>
          <w:p w14:paraId="75940166">
            <w:pPr>
              <w:adjustRightInd w:val="0"/>
              <w:snapToGrid w:val="0"/>
              <w:jc w:val="center"/>
              <w:rPr>
                <w:b/>
                <w:szCs w:val="21"/>
              </w:rPr>
            </w:pPr>
            <w:r>
              <w:rPr>
                <w:b/>
                <w:szCs w:val="21"/>
              </w:rPr>
              <w:t>生态保护措施</w:t>
            </w:r>
          </w:p>
        </w:tc>
        <w:tc>
          <w:tcPr>
            <w:tcW w:w="7300" w:type="dxa"/>
            <w:gridSpan w:val="4"/>
            <w:tcBorders>
              <w:top w:val="single" w:color="auto" w:sz="4" w:space="0"/>
              <w:bottom w:val="single" w:color="auto" w:sz="4" w:space="0"/>
              <w:right w:val="single" w:color="auto" w:sz="12" w:space="0"/>
            </w:tcBorders>
            <w:vAlign w:val="center"/>
          </w:tcPr>
          <w:p w14:paraId="412B41EE">
            <w:pPr>
              <w:adjustRightInd w:val="0"/>
              <w:snapToGrid w:val="0"/>
              <w:jc w:val="center"/>
              <w:rPr>
                <w:szCs w:val="21"/>
              </w:rPr>
            </w:pPr>
            <w:r>
              <w:rPr>
                <w:szCs w:val="21"/>
              </w:rPr>
              <w:t>无</w:t>
            </w:r>
          </w:p>
        </w:tc>
      </w:tr>
      <w:tr w14:paraId="1C126D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500" w:type="dxa"/>
            <w:tcBorders>
              <w:top w:val="single" w:color="auto" w:sz="4" w:space="0"/>
              <w:left w:val="single" w:color="auto" w:sz="12" w:space="0"/>
              <w:bottom w:val="single" w:color="auto" w:sz="4" w:space="0"/>
            </w:tcBorders>
            <w:vAlign w:val="center"/>
          </w:tcPr>
          <w:p w14:paraId="3A4BEDD7">
            <w:pPr>
              <w:adjustRightInd w:val="0"/>
              <w:snapToGrid w:val="0"/>
              <w:jc w:val="center"/>
              <w:rPr>
                <w:b/>
                <w:spacing w:val="-8"/>
                <w:szCs w:val="21"/>
              </w:rPr>
            </w:pPr>
            <w:r>
              <w:rPr>
                <w:b/>
                <w:spacing w:val="-8"/>
                <w:szCs w:val="21"/>
              </w:rPr>
              <w:t>环境风险</w:t>
            </w:r>
          </w:p>
          <w:p w14:paraId="785FED79">
            <w:pPr>
              <w:adjustRightInd w:val="0"/>
              <w:snapToGrid w:val="0"/>
              <w:jc w:val="center"/>
              <w:rPr>
                <w:b/>
                <w:spacing w:val="-8"/>
                <w:szCs w:val="21"/>
              </w:rPr>
            </w:pPr>
            <w:r>
              <w:rPr>
                <w:b/>
                <w:spacing w:val="-8"/>
                <w:szCs w:val="21"/>
              </w:rPr>
              <w:t>防范措施</w:t>
            </w:r>
          </w:p>
        </w:tc>
        <w:tc>
          <w:tcPr>
            <w:tcW w:w="7300" w:type="dxa"/>
            <w:gridSpan w:val="4"/>
            <w:tcBorders>
              <w:top w:val="single" w:color="auto" w:sz="4" w:space="0"/>
              <w:bottom w:val="single" w:color="auto" w:sz="4" w:space="0"/>
              <w:right w:val="single" w:color="auto" w:sz="12" w:space="0"/>
            </w:tcBorders>
            <w:vAlign w:val="center"/>
          </w:tcPr>
          <w:p w14:paraId="6D9B6AFD">
            <w:r>
              <w:t>①合理布置总图，厂区按规范要求设环形消防通道。</w:t>
            </w:r>
          </w:p>
          <w:p w14:paraId="37BC8092">
            <w:r>
              <w:t>②需要有专门的人员负责质量管理工作，对工作生产的全过程实施相关质量监督，对做好有效的记录工作。</w:t>
            </w:r>
          </w:p>
          <w:p w14:paraId="5EC43CBB">
            <w:pPr>
              <w:rPr>
                <w:szCs w:val="21"/>
              </w:rPr>
            </w:pPr>
            <w:r>
              <w:t>③若本项目中废气处理设施设备损坏，应立即停止生产，迅速采取措施修理设备，最大程度地降低污染物对大气的影响</w:t>
            </w:r>
            <w:r>
              <w:rPr>
                <w:szCs w:val="21"/>
                <w:lang w:bidi="ar"/>
              </w:rPr>
              <w:t>。</w:t>
            </w:r>
          </w:p>
        </w:tc>
      </w:tr>
      <w:tr w14:paraId="695A34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500" w:type="dxa"/>
            <w:tcBorders>
              <w:top w:val="single" w:color="auto" w:sz="4" w:space="0"/>
              <w:left w:val="single" w:color="auto" w:sz="12" w:space="0"/>
              <w:bottom w:val="single" w:color="auto" w:sz="12" w:space="0"/>
            </w:tcBorders>
            <w:vAlign w:val="center"/>
          </w:tcPr>
          <w:p w14:paraId="66B54CC3">
            <w:pPr>
              <w:adjustRightInd w:val="0"/>
              <w:snapToGrid w:val="0"/>
              <w:jc w:val="center"/>
              <w:rPr>
                <w:b/>
                <w:spacing w:val="-8"/>
                <w:szCs w:val="21"/>
              </w:rPr>
            </w:pPr>
            <w:r>
              <w:rPr>
                <w:b/>
                <w:spacing w:val="-8"/>
                <w:szCs w:val="21"/>
              </w:rPr>
              <w:t>其他环境</w:t>
            </w:r>
          </w:p>
          <w:p w14:paraId="1BA27F14">
            <w:pPr>
              <w:adjustRightInd w:val="0"/>
              <w:snapToGrid w:val="0"/>
              <w:jc w:val="center"/>
              <w:rPr>
                <w:b/>
                <w:spacing w:val="-8"/>
                <w:szCs w:val="21"/>
              </w:rPr>
            </w:pPr>
            <w:r>
              <w:rPr>
                <w:b/>
                <w:spacing w:val="-8"/>
                <w:szCs w:val="21"/>
              </w:rPr>
              <w:t>管理要求</w:t>
            </w:r>
          </w:p>
        </w:tc>
        <w:tc>
          <w:tcPr>
            <w:tcW w:w="7300" w:type="dxa"/>
            <w:gridSpan w:val="4"/>
            <w:tcBorders>
              <w:top w:val="single" w:color="auto" w:sz="4" w:space="0"/>
              <w:bottom w:val="single" w:color="auto" w:sz="12" w:space="0"/>
              <w:right w:val="single" w:color="auto" w:sz="12" w:space="0"/>
            </w:tcBorders>
            <w:vAlign w:val="center"/>
          </w:tcPr>
          <w:p w14:paraId="0DAB97F9">
            <w:pPr>
              <w:adjustRightInd w:val="0"/>
              <w:snapToGrid w:val="0"/>
              <w:jc w:val="center"/>
              <w:rPr>
                <w:szCs w:val="21"/>
              </w:rPr>
            </w:pPr>
            <w:r>
              <w:rPr>
                <w:szCs w:val="21"/>
              </w:rPr>
              <w:t>无</w:t>
            </w:r>
          </w:p>
        </w:tc>
      </w:tr>
    </w:tbl>
    <w:p w14:paraId="0AE6B667">
      <w:pPr>
        <w:pStyle w:val="23"/>
        <w:jc w:val="center"/>
        <w:outlineLvl w:val="0"/>
        <w:rPr>
          <w:rFonts w:ascii="黑体" w:hAnsi="黑体" w:eastAsia="黑体"/>
          <w:snapToGrid w:val="0"/>
          <w:sz w:val="30"/>
          <w:szCs w:val="30"/>
        </w:rPr>
      </w:pPr>
      <w:r>
        <w:rPr>
          <w:snapToGrid w:val="0"/>
        </w:rPr>
        <w:br w:type="page"/>
      </w:r>
      <w:r>
        <w:rPr>
          <w:rFonts w:hint="eastAsia" w:ascii="黑体" w:hAnsi="黑体" w:eastAsia="黑体"/>
          <w:snapToGrid w:val="0"/>
          <w:sz w:val="30"/>
          <w:szCs w:val="30"/>
        </w:rPr>
        <w:t>六、结论</w:t>
      </w:r>
    </w:p>
    <w:tbl>
      <w:tblPr>
        <w:tblStyle w:val="26"/>
        <w:tblW w:w="8865" w:type="dxa"/>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8865"/>
      </w:tblGrid>
      <w:tr w14:paraId="1F0BAC11">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11991" w:hRule="atLeast"/>
          <w:jc w:val="center"/>
        </w:trPr>
        <w:tc>
          <w:tcPr>
            <w:tcW w:w="8865" w:type="dxa"/>
          </w:tcPr>
          <w:p w14:paraId="14D590DF">
            <w:pPr>
              <w:spacing w:line="360" w:lineRule="auto"/>
              <w:ind w:firstLine="480" w:firstLineChars="200"/>
              <w:rPr>
                <w:rFonts w:ascii="宋体" w:cs="宋体"/>
                <w:sz w:val="24"/>
              </w:rPr>
            </w:pPr>
            <w:r>
              <w:rPr>
                <w:rFonts w:hint="eastAsia"/>
                <w:sz w:val="24"/>
                <w:lang w:eastAsia="zh-CN"/>
              </w:rPr>
              <w:t>安徽燃迅电力科技有限公司火电厂智能燃烧稳燃设备建设项目</w:t>
            </w:r>
            <w:r>
              <w:rPr>
                <w:sz w:val="24"/>
              </w:rPr>
              <w:t>符合国家</w:t>
            </w:r>
            <w:r>
              <w:rPr>
                <w:rFonts w:hint="eastAsia"/>
                <w:sz w:val="24"/>
              </w:rPr>
              <w:t>和地方</w:t>
            </w:r>
            <w:r>
              <w:rPr>
                <w:sz w:val="24"/>
              </w:rPr>
              <w:t>产业政策，只要严格落实本环境影响报告表提出的环保措施，确保本项目产生的污染物达标排放，从环境影响角度分析，本项目的建设可行。</w:t>
            </w:r>
          </w:p>
        </w:tc>
      </w:tr>
    </w:tbl>
    <w:p w14:paraId="0602F6E7">
      <w:pPr>
        <w:rPr>
          <w:rFonts w:ascii="宋体"/>
        </w:rPr>
        <w:sectPr>
          <w:pgSz w:w="11906" w:h="16838"/>
          <w:pgMar w:top="1418" w:right="1418" w:bottom="1418" w:left="1418" w:header="851" w:footer="851" w:gutter="0"/>
          <w:pgBorders>
            <w:top w:val="none" w:sz="0" w:space="0"/>
            <w:left w:val="none" w:sz="0" w:space="0"/>
            <w:bottom w:val="none" w:sz="0" w:space="0"/>
            <w:right w:val="none" w:sz="0" w:space="0"/>
          </w:pgBorders>
          <w:cols w:space="720" w:num="1"/>
          <w:docGrid w:linePitch="312" w:charSpace="0"/>
        </w:sectPr>
      </w:pPr>
    </w:p>
    <w:p w14:paraId="71C0D597">
      <w:pPr>
        <w:pStyle w:val="23"/>
        <w:adjustRightInd w:val="0"/>
        <w:snapToGrid w:val="0"/>
        <w:spacing w:before="0" w:beforeAutospacing="0" w:after="0" w:afterAutospacing="0" w:line="648" w:lineRule="auto"/>
        <w:outlineLvl w:val="0"/>
        <w:rPr>
          <w:rFonts w:ascii="黑体" w:hAnsi="黑体" w:eastAsia="黑体"/>
          <w:snapToGrid w:val="0"/>
          <w:sz w:val="32"/>
          <w:szCs w:val="32"/>
        </w:rPr>
      </w:pPr>
      <w:r>
        <w:rPr>
          <w:rFonts w:hint="eastAsia" w:ascii="黑体" w:hAnsi="黑体" w:eastAsia="黑体"/>
          <w:snapToGrid w:val="0"/>
          <w:sz w:val="32"/>
          <w:szCs w:val="32"/>
        </w:rPr>
        <w:t>附表</w:t>
      </w:r>
    </w:p>
    <w:p w14:paraId="793C2F6D">
      <w:pPr>
        <w:pStyle w:val="23"/>
        <w:adjustRightInd w:val="0"/>
        <w:snapToGrid w:val="0"/>
        <w:spacing w:before="0" w:beforeAutospacing="0" w:after="0" w:afterAutospacing="0"/>
        <w:jc w:val="center"/>
        <w:outlineLvl w:val="0"/>
        <w:rPr>
          <w:rFonts w:ascii="Times New Roman" w:hAnsi="Times New Roman"/>
          <w:b/>
          <w:bCs/>
          <w:kern w:val="2"/>
          <w:sz w:val="32"/>
          <w:szCs w:val="32"/>
        </w:rPr>
      </w:pPr>
      <w:r>
        <w:rPr>
          <w:rFonts w:hint="eastAsia" w:ascii="Times New Roman" w:hAnsi="Times New Roman"/>
          <w:b/>
          <w:bCs/>
          <w:kern w:val="2"/>
          <w:sz w:val="32"/>
          <w:szCs w:val="32"/>
        </w:rPr>
        <w:t xml:space="preserve">             建设项目污染物排放量汇总表                单位：t/a</w:t>
      </w:r>
    </w:p>
    <w:tbl>
      <w:tblPr>
        <w:tblStyle w:val="26"/>
        <w:tblW w:w="14075"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52"/>
        <w:gridCol w:w="1815"/>
        <w:gridCol w:w="1736"/>
        <w:gridCol w:w="1303"/>
        <w:gridCol w:w="1736"/>
        <w:gridCol w:w="1592"/>
        <w:gridCol w:w="1798"/>
        <w:gridCol w:w="1640"/>
        <w:gridCol w:w="1203"/>
      </w:tblGrid>
      <w:tr w14:paraId="26223C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49" w:hRule="atLeast"/>
        </w:trPr>
        <w:tc>
          <w:tcPr>
            <w:tcW w:w="1252" w:type="dxa"/>
            <w:tcBorders>
              <w:tl2br w:val="single" w:color="auto" w:sz="8" w:space="0"/>
            </w:tcBorders>
            <w:tcMar>
              <w:left w:w="28" w:type="dxa"/>
              <w:right w:w="28" w:type="dxa"/>
            </w:tcMar>
            <w:vAlign w:val="center"/>
          </w:tcPr>
          <w:p w14:paraId="769BEF3C">
            <w:pPr>
              <w:pStyle w:val="42"/>
              <w:spacing w:beforeLines="0" w:afterLines="0" w:line="240" w:lineRule="auto"/>
              <w:jc w:val="right"/>
              <w:rPr>
                <w:rFonts w:ascii="黑体" w:hAnsi="黑体" w:eastAsia="黑体" w:cs="宋体"/>
                <w:snapToGrid w:val="0"/>
                <w:spacing w:val="-6"/>
                <w:kern w:val="21"/>
                <w:szCs w:val="21"/>
              </w:rPr>
            </w:pPr>
            <w:r>
              <w:rPr>
                <w:rFonts w:hint="eastAsia" w:ascii="黑体" w:hAnsi="黑体" w:eastAsia="黑体" w:cs="宋体"/>
                <w:snapToGrid w:val="0"/>
                <w:spacing w:val="-6"/>
                <w:kern w:val="21"/>
                <w:szCs w:val="21"/>
              </w:rPr>
              <w:t>项目</w:t>
            </w:r>
          </w:p>
          <w:p w14:paraId="4630539E">
            <w:pPr>
              <w:pStyle w:val="42"/>
              <w:spacing w:beforeLines="0" w:afterLines="0" w:line="240" w:lineRule="auto"/>
              <w:jc w:val="left"/>
              <w:rPr>
                <w:rFonts w:ascii="黑体" w:hAnsi="黑体" w:eastAsia="黑体" w:cs="宋体"/>
                <w:snapToGrid w:val="0"/>
                <w:spacing w:val="-6"/>
                <w:kern w:val="21"/>
                <w:szCs w:val="21"/>
              </w:rPr>
            </w:pPr>
            <w:r>
              <w:rPr>
                <w:rFonts w:hint="eastAsia" w:ascii="黑体" w:hAnsi="黑体" w:eastAsia="黑体" w:cs="宋体"/>
                <w:snapToGrid w:val="0"/>
                <w:spacing w:val="-6"/>
                <w:kern w:val="21"/>
                <w:szCs w:val="21"/>
              </w:rPr>
              <w:t>分类</w:t>
            </w:r>
          </w:p>
        </w:tc>
        <w:tc>
          <w:tcPr>
            <w:tcW w:w="1815" w:type="dxa"/>
            <w:tcBorders>
              <w:tl2br w:val="nil"/>
              <w:tr2bl w:val="nil"/>
            </w:tcBorders>
            <w:tcMar>
              <w:left w:w="28" w:type="dxa"/>
              <w:right w:w="28" w:type="dxa"/>
            </w:tcMar>
            <w:vAlign w:val="center"/>
          </w:tcPr>
          <w:p w14:paraId="7C1DC392">
            <w:pPr>
              <w:pStyle w:val="42"/>
              <w:spacing w:beforeLines="0" w:afterLines="0" w:line="240" w:lineRule="auto"/>
              <w:rPr>
                <w:rFonts w:ascii="黑体" w:hAnsi="黑体" w:eastAsia="黑体" w:cs="宋体"/>
                <w:snapToGrid w:val="0"/>
                <w:spacing w:val="-6"/>
                <w:kern w:val="21"/>
                <w:szCs w:val="21"/>
              </w:rPr>
            </w:pPr>
            <w:r>
              <w:rPr>
                <w:rFonts w:hint="eastAsia" w:ascii="黑体" w:hAnsi="黑体" w:eastAsia="黑体" w:cs="宋体"/>
                <w:snapToGrid w:val="0"/>
                <w:spacing w:val="-6"/>
                <w:kern w:val="21"/>
                <w:szCs w:val="21"/>
              </w:rPr>
              <w:t>污染物名称</w:t>
            </w:r>
          </w:p>
        </w:tc>
        <w:tc>
          <w:tcPr>
            <w:tcW w:w="1736" w:type="dxa"/>
            <w:tcBorders>
              <w:tl2br w:val="nil"/>
              <w:tr2bl w:val="nil"/>
            </w:tcBorders>
            <w:tcMar>
              <w:left w:w="28" w:type="dxa"/>
              <w:right w:w="28" w:type="dxa"/>
            </w:tcMar>
            <w:vAlign w:val="center"/>
          </w:tcPr>
          <w:p w14:paraId="216816DA">
            <w:pPr>
              <w:pStyle w:val="42"/>
              <w:spacing w:beforeLines="0" w:afterLines="0" w:line="240" w:lineRule="auto"/>
              <w:rPr>
                <w:rFonts w:ascii="黑体" w:hAnsi="黑体" w:eastAsia="黑体"/>
                <w:snapToGrid w:val="0"/>
                <w:spacing w:val="-6"/>
                <w:kern w:val="21"/>
                <w:szCs w:val="21"/>
              </w:rPr>
            </w:pPr>
            <w:r>
              <w:rPr>
                <w:rFonts w:ascii="黑体" w:hAnsi="黑体" w:eastAsia="黑体"/>
                <w:snapToGrid w:val="0"/>
                <w:spacing w:val="-6"/>
                <w:kern w:val="21"/>
                <w:szCs w:val="21"/>
              </w:rPr>
              <w:t>现有工程</w:t>
            </w:r>
          </w:p>
          <w:p w14:paraId="3EF9F719">
            <w:pPr>
              <w:pStyle w:val="42"/>
              <w:spacing w:beforeLines="0" w:afterLines="0" w:line="240" w:lineRule="auto"/>
              <w:rPr>
                <w:rFonts w:ascii="黑体" w:hAnsi="黑体" w:eastAsia="黑体"/>
                <w:snapToGrid w:val="0"/>
                <w:spacing w:val="-6"/>
                <w:kern w:val="21"/>
                <w:szCs w:val="21"/>
              </w:rPr>
            </w:pPr>
            <w:r>
              <w:rPr>
                <w:rFonts w:ascii="黑体" w:hAnsi="黑体" w:eastAsia="黑体"/>
                <w:snapToGrid w:val="0"/>
                <w:spacing w:val="-6"/>
                <w:kern w:val="21"/>
                <w:szCs w:val="21"/>
              </w:rPr>
              <w:t>排放量（固</w:t>
            </w:r>
            <w:r>
              <w:rPr>
                <w:rFonts w:hint="eastAsia" w:ascii="黑体" w:hAnsi="黑体" w:eastAsia="黑体"/>
                <w:snapToGrid w:val="0"/>
                <w:spacing w:val="-6"/>
                <w:kern w:val="21"/>
                <w:szCs w:val="21"/>
              </w:rPr>
              <w:t>体</w:t>
            </w:r>
            <w:r>
              <w:rPr>
                <w:rFonts w:ascii="黑体" w:hAnsi="黑体" w:eastAsia="黑体"/>
                <w:snapToGrid w:val="0"/>
                <w:spacing w:val="-6"/>
                <w:kern w:val="21"/>
                <w:szCs w:val="21"/>
              </w:rPr>
              <w:t>废</w:t>
            </w:r>
            <w:r>
              <w:rPr>
                <w:rFonts w:hint="eastAsia" w:ascii="黑体" w:hAnsi="黑体" w:eastAsia="黑体"/>
                <w:snapToGrid w:val="0"/>
                <w:spacing w:val="-6"/>
                <w:kern w:val="21"/>
                <w:szCs w:val="21"/>
              </w:rPr>
              <w:t>物</w:t>
            </w:r>
            <w:r>
              <w:rPr>
                <w:rFonts w:ascii="黑体" w:hAnsi="黑体" w:eastAsia="黑体"/>
                <w:snapToGrid w:val="0"/>
                <w:spacing w:val="-6"/>
                <w:kern w:val="21"/>
                <w:szCs w:val="21"/>
              </w:rPr>
              <w:t>产生量）</w:t>
            </w:r>
            <w:r>
              <w:rPr>
                <w:rFonts w:ascii="黑体" w:hAnsi="黑体" w:eastAsia="黑体"/>
                <w:snapToGrid w:val="0"/>
                <w:spacing w:val="-6"/>
                <w:kern w:val="21"/>
                <w:szCs w:val="21"/>
              </w:rPr>
              <w:fldChar w:fldCharType="begin"/>
            </w:r>
            <w:r>
              <w:rPr>
                <w:rFonts w:ascii="黑体" w:hAnsi="黑体" w:eastAsia="黑体"/>
                <w:snapToGrid w:val="0"/>
                <w:spacing w:val="-6"/>
                <w:kern w:val="21"/>
                <w:szCs w:val="21"/>
              </w:rPr>
              <w:instrText xml:space="preserve"> = 1 \* GB3 \* MERGEFORMAT </w:instrText>
            </w:r>
            <w:r>
              <w:rPr>
                <w:rFonts w:ascii="黑体" w:hAnsi="黑体" w:eastAsia="黑体"/>
                <w:snapToGrid w:val="0"/>
                <w:spacing w:val="-6"/>
                <w:kern w:val="21"/>
                <w:szCs w:val="21"/>
              </w:rPr>
              <w:fldChar w:fldCharType="separate"/>
            </w:r>
            <w:r>
              <w:rPr>
                <w:rFonts w:hint="eastAsia" w:ascii="黑体" w:hAnsi="黑体" w:eastAsia="黑体" w:cs="宋体"/>
                <w:kern w:val="2"/>
                <w:szCs w:val="21"/>
              </w:rPr>
              <w:t>①</w:t>
            </w:r>
            <w:r>
              <w:rPr>
                <w:rFonts w:ascii="黑体" w:hAnsi="黑体" w:eastAsia="黑体"/>
                <w:snapToGrid w:val="0"/>
                <w:spacing w:val="-6"/>
                <w:kern w:val="21"/>
                <w:szCs w:val="21"/>
              </w:rPr>
              <w:fldChar w:fldCharType="end"/>
            </w:r>
          </w:p>
        </w:tc>
        <w:tc>
          <w:tcPr>
            <w:tcW w:w="1303" w:type="dxa"/>
            <w:tcBorders>
              <w:tl2br w:val="nil"/>
              <w:tr2bl w:val="nil"/>
            </w:tcBorders>
            <w:tcMar>
              <w:left w:w="28" w:type="dxa"/>
              <w:right w:w="28" w:type="dxa"/>
            </w:tcMar>
            <w:vAlign w:val="center"/>
          </w:tcPr>
          <w:p w14:paraId="6262C560">
            <w:pPr>
              <w:pStyle w:val="42"/>
              <w:spacing w:beforeLines="0" w:afterLines="0" w:line="240" w:lineRule="auto"/>
              <w:rPr>
                <w:rFonts w:ascii="黑体" w:hAnsi="黑体" w:eastAsia="黑体"/>
                <w:snapToGrid w:val="0"/>
                <w:spacing w:val="-6"/>
                <w:kern w:val="21"/>
                <w:szCs w:val="21"/>
              </w:rPr>
            </w:pPr>
            <w:r>
              <w:rPr>
                <w:rFonts w:ascii="黑体" w:hAnsi="黑体" w:eastAsia="黑体"/>
                <w:snapToGrid w:val="0"/>
                <w:spacing w:val="-6"/>
                <w:kern w:val="21"/>
                <w:szCs w:val="21"/>
              </w:rPr>
              <w:t>现有工程</w:t>
            </w:r>
          </w:p>
          <w:p w14:paraId="3E32AFE7">
            <w:pPr>
              <w:pStyle w:val="42"/>
              <w:spacing w:beforeLines="0" w:afterLines="0" w:line="240" w:lineRule="auto"/>
              <w:rPr>
                <w:rFonts w:ascii="黑体" w:hAnsi="黑体" w:eastAsia="黑体"/>
                <w:snapToGrid w:val="0"/>
                <w:spacing w:val="-6"/>
                <w:kern w:val="21"/>
                <w:szCs w:val="21"/>
              </w:rPr>
            </w:pPr>
            <w:r>
              <w:rPr>
                <w:rFonts w:ascii="黑体" w:hAnsi="黑体" w:eastAsia="黑体"/>
                <w:snapToGrid w:val="0"/>
                <w:spacing w:val="-6"/>
                <w:kern w:val="21"/>
                <w:szCs w:val="21"/>
              </w:rPr>
              <w:t>许可排放量</w:t>
            </w:r>
          </w:p>
          <w:p w14:paraId="37298125">
            <w:pPr>
              <w:pStyle w:val="42"/>
              <w:spacing w:beforeLines="0" w:afterLines="0"/>
              <w:rPr>
                <w:rFonts w:ascii="黑体" w:hAnsi="黑体" w:eastAsia="黑体"/>
                <w:snapToGrid w:val="0"/>
                <w:spacing w:val="-6"/>
                <w:kern w:val="21"/>
                <w:szCs w:val="21"/>
              </w:rPr>
            </w:pPr>
            <w:r>
              <w:rPr>
                <w:rFonts w:ascii="黑体" w:hAnsi="黑体" w:eastAsia="黑体"/>
                <w:snapToGrid w:val="0"/>
                <w:spacing w:val="-6"/>
                <w:kern w:val="21"/>
                <w:szCs w:val="21"/>
              </w:rPr>
              <w:fldChar w:fldCharType="begin"/>
            </w:r>
            <w:r>
              <w:rPr>
                <w:rFonts w:ascii="黑体" w:hAnsi="黑体" w:eastAsia="黑体"/>
                <w:snapToGrid w:val="0"/>
                <w:spacing w:val="-6"/>
                <w:kern w:val="21"/>
                <w:szCs w:val="21"/>
              </w:rPr>
              <w:instrText xml:space="preserve"> = 2 \* GB3 \* MERGEFORMAT </w:instrText>
            </w:r>
            <w:r>
              <w:rPr>
                <w:rFonts w:ascii="黑体" w:hAnsi="黑体" w:eastAsia="黑体"/>
                <w:snapToGrid w:val="0"/>
                <w:spacing w:val="-6"/>
                <w:kern w:val="21"/>
                <w:szCs w:val="21"/>
              </w:rPr>
              <w:fldChar w:fldCharType="separate"/>
            </w:r>
            <w:r>
              <w:rPr>
                <w:rFonts w:hint="eastAsia" w:ascii="黑体" w:hAnsi="黑体" w:eastAsia="黑体" w:cs="宋体"/>
                <w:snapToGrid w:val="0"/>
                <w:spacing w:val="-6"/>
                <w:kern w:val="21"/>
                <w:szCs w:val="21"/>
              </w:rPr>
              <w:t>②</w:t>
            </w:r>
            <w:r>
              <w:rPr>
                <w:rFonts w:ascii="黑体" w:hAnsi="黑体" w:eastAsia="黑体"/>
                <w:snapToGrid w:val="0"/>
                <w:spacing w:val="-6"/>
                <w:kern w:val="21"/>
                <w:szCs w:val="21"/>
              </w:rPr>
              <w:fldChar w:fldCharType="end"/>
            </w:r>
          </w:p>
        </w:tc>
        <w:tc>
          <w:tcPr>
            <w:tcW w:w="1736" w:type="dxa"/>
            <w:tcBorders>
              <w:tl2br w:val="nil"/>
              <w:tr2bl w:val="nil"/>
            </w:tcBorders>
            <w:tcMar>
              <w:left w:w="28" w:type="dxa"/>
              <w:right w:w="28" w:type="dxa"/>
            </w:tcMar>
            <w:vAlign w:val="center"/>
          </w:tcPr>
          <w:p w14:paraId="3325889D">
            <w:pPr>
              <w:pStyle w:val="42"/>
              <w:spacing w:beforeLines="0" w:afterLines="0" w:line="240" w:lineRule="auto"/>
              <w:rPr>
                <w:rFonts w:ascii="黑体" w:hAnsi="黑体" w:eastAsia="黑体"/>
                <w:snapToGrid w:val="0"/>
                <w:spacing w:val="-6"/>
                <w:kern w:val="21"/>
                <w:szCs w:val="21"/>
              </w:rPr>
            </w:pPr>
            <w:r>
              <w:rPr>
                <w:rFonts w:ascii="黑体" w:hAnsi="黑体" w:eastAsia="黑体"/>
                <w:snapToGrid w:val="0"/>
                <w:spacing w:val="-6"/>
                <w:kern w:val="21"/>
                <w:szCs w:val="21"/>
              </w:rPr>
              <w:t>在建工程</w:t>
            </w:r>
          </w:p>
          <w:p w14:paraId="44C7B947">
            <w:pPr>
              <w:pStyle w:val="42"/>
              <w:spacing w:beforeLines="0" w:afterLines="0" w:line="240" w:lineRule="auto"/>
              <w:rPr>
                <w:rFonts w:ascii="黑体" w:hAnsi="黑体" w:eastAsia="黑体"/>
                <w:snapToGrid w:val="0"/>
                <w:spacing w:val="-6"/>
                <w:kern w:val="21"/>
                <w:szCs w:val="21"/>
              </w:rPr>
            </w:pPr>
            <w:r>
              <w:rPr>
                <w:rFonts w:ascii="黑体" w:hAnsi="黑体" w:eastAsia="黑体"/>
                <w:snapToGrid w:val="0"/>
                <w:spacing w:val="-6"/>
                <w:kern w:val="21"/>
                <w:szCs w:val="21"/>
              </w:rPr>
              <w:t>排放量（固</w:t>
            </w:r>
            <w:r>
              <w:rPr>
                <w:rFonts w:hint="eastAsia" w:ascii="黑体" w:hAnsi="黑体" w:eastAsia="黑体"/>
                <w:snapToGrid w:val="0"/>
                <w:spacing w:val="-6"/>
                <w:kern w:val="21"/>
                <w:szCs w:val="21"/>
              </w:rPr>
              <w:t>体</w:t>
            </w:r>
            <w:r>
              <w:rPr>
                <w:rFonts w:ascii="黑体" w:hAnsi="黑体" w:eastAsia="黑体"/>
                <w:snapToGrid w:val="0"/>
                <w:spacing w:val="-6"/>
                <w:kern w:val="21"/>
                <w:szCs w:val="21"/>
              </w:rPr>
              <w:t>废</w:t>
            </w:r>
            <w:r>
              <w:rPr>
                <w:rFonts w:hint="eastAsia" w:ascii="黑体" w:hAnsi="黑体" w:eastAsia="黑体"/>
                <w:snapToGrid w:val="0"/>
                <w:spacing w:val="-6"/>
                <w:kern w:val="21"/>
                <w:szCs w:val="21"/>
              </w:rPr>
              <w:t>物</w:t>
            </w:r>
            <w:r>
              <w:rPr>
                <w:rFonts w:ascii="黑体" w:hAnsi="黑体" w:eastAsia="黑体"/>
                <w:snapToGrid w:val="0"/>
                <w:spacing w:val="-6"/>
                <w:kern w:val="21"/>
                <w:szCs w:val="21"/>
              </w:rPr>
              <w:t>产生量）</w:t>
            </w:r>
            <w:r>
              <w:rPr>
                <w:rFonts w:ascii="黑体" w:hAnsi="黑体" w:eastAsia="黑体"/>
                <w:snapToGrid w:val="0"/>
                <w:spacing w:val="-6"/>
                <w:kern w:val="21"/>
                <w:szCs w:val="21"/>
              </w:rPr>
              <w:fldChar w:fldCharType="begin"/>
            </w:r>
            <w:r>
              <w:rPr>
                <w:rFonts w:ascii="黑体" w:hAnsi="黑体" w:eastAsia="黑体"/>
                <w:snapToGrid w:val="0"/>
                <w:spacing w:val="-6"/>
                <w:kern w:val="21"/>
                <w:szCs w:val="21"/>
              </w:rPr>
              <w:instrText xml:space="preserve"> = 3 \* GB3 \* MERGEFORMAT </w:instrText>
            </w:r>
            <w:r>
              <w:rPr>
                <w:rFonts w:ascii="黑体" w:hAnsi="黑体" w:eastAsia="黑体"/>
                <w:snapToGrid w:val="0"/>
                <w:spacing w:val="-6"/>
                <w:kern w:val="21"/>
                <w:szCs w:val="21"/>
              </w:rPr>
              <w:fldChar w:fldCharType="separate"/>
            </w:r>
            <w:r>
              <w:rPr>
                <w:rFonts w:hint="eastAsia" w:ascii="黑体" w:hAnsi="黑体" w:eastAsia="黑体" w:cs="宋体"/>
                <w:kern w:val="2"/>
                <w:szCs w:val="21"/>
              </w:rPr>
              <w:t>③</w:t>
            </w:r>
            <w:r>
              <w:rPr>
                <w:rFonts w:ascii="黑体" w:hAnsi="黑体" w:eastAsia="黑体"/>
                <w:snapToGrid w:val="0"/>
                <w:spacing w:val="-6"/>
                <w:kern w:val="21"/>
                <w:szCs w:val="21"/>
              </w:rPr>
              <w:fldChar w:fldCharType="end"/>
            </w:r>
          </w:p>
        </w:tc>
        <w:tc>
          <w:tcPr>
            <w:tcW w:w="1592" w:type="dxa"/>
            <w:tcBorders>
              <w:tl2br w:val="nil"/>
              <w:tr2bl w:val="nil"/>
            </w:tcBorders>
            <w:tcMar>
              <w:left w:w="28" w:type="dxa"/>
              <w:right w:w="28" w:type="dxa"/>
            </w:tcMar>
            <w:vAlign w:val="center"/>
          </w:tcPr>
          <w:p w14:paraId="6E3044A1">
            <w:pPr>
              <w:pStyle w:val="42"/>
              <w:spacing w:beforeLines="0" w:afterLines="0" w:line="240" w:lineRule="auto"/>
              <w:rPr>
                <w:rFonts w:ascii="黑体" w:hAnsi="黑体" w:eastAsia="黑体"/>
                <w:snapToGrid w:val="0"/>
                <w:spacing w:val="-6"/>
                <w:kern w:val="21"/>
                <w:szCs w:val="21"/>
              </w:rPr>
            </w:pPr>
            <w:r>
              <w:rPr>
                <w:rFonts w:ascii="黑体" w:hAnsi="黑体" w:eastAsia="黑体"/>
                <w:snapToGrid w:val="0"/>
                <w:spacing w:val="-6"/>
                <w:kern w:val="21"/>
                <w:szCs w:val="21"/>
              </w:rPr>
              <w:t>本项目</w:t>
            </w:r>
          </w:p>
          <w:p w14:paraId="69A6F1B4">
            <w:pPr>
              <w:pStyle w:val="42"/>
              <w:spacing w:beforeLines="0" w:afterLines="0" w:line="240" w:lineRule="auto"/>
              <w:rPr>
                <w:rFonts w:ascii="黑体" w:hAnsi="黑体" w:eastAsia="黑体"/>
                <w:snapToGrid w:val="0"/>
                <w:spacing w:val="-6"/>
                <w:kern w:val="21"/>
                <w:szCs w:val="21"/>
              </w:rPr>
            </w:pPr>
            <w:r>
              <w:rPr>
                <w:rFonts w:ascii="黑体" w:hAnsi="黑体" w:eastAsia="黑体"/>
                <w:snapToGrid w:val="0"/>
                <w:spacing w:val="-6"/>
                <w:kern w:val="21"/>
                <w:szCs w:val="21"/>
              </w:rPr>
              <w:t>排放量（固</w:t>
            </w:r>
            <w:r>
              <w:rPr>
                <w:rFonts w:hint="eastAsia" w:ascii="黑体" w:hAnsi="黑体" w:eastAsia="黑体"/>
                <w:snapToGrid w:val="0"/>
                <w:spacing w:val="-6"/>
                <w:kern w:val="21"/>
                <w:szCs w:val="21"/>
              </w:rPr>
              <w:t>体</w:t>
            </w:r>
            <w:r>
              <w:rPr>
                <w:rFonts w:ascii="黑体" w:hAnsi="黑体" w:eastAsia="黑体"/>
                <w:snapToGrid w:val="0"/>
                <w:spacing w:val="-6"/>
                <w:kern w:val="21"/>
                <w:szCs w:val="21"/>
              </w:rPr>
              <w:t>废</w:t>
            </w:r>
            <w:r>
              <w:rPr>
                <w:rFonts w:hint="eastAsia" w:ascii="黑体" w:hAnsi="黑体" w:eastAsia="黑体"/>
                <w:snapToGrid w:val="0"/>
                <w:spacing w:val="-6"/>
                <w:kern w:val="21"/>
                <w:szCs w:val="21"/>
              </w:rPr>
              <w:t>物</w:t>
            </w:r>
            <w:r>
              <w:rPr>
                <w:rFonts w:ascii="黑体" w:hAnsi="黑体" w:eastAsia="黑体"/>
                <w:snapToGrid w:val="0"/>
                <w:spacing w:val="-6"/>
                <w:kern w:val="21"/>
                <w:szCs w:val="21"/>
              </w:rPr>
              <w:t>产生量）</w:t>
            </w:r>
            <w:r>
              <w:rPr>
                <w:rFonts w:ascii="黑体" w:hAnsi="黑体" w:eastAsia="黑体"/>
                <w:snapToGrid w:val="0"/>
                <w:spacing w:val="-6"/>
                <w:kern w:val="21"/>
                <w:szCs w:val="21"/>
              </w:rPr>
              <w:fldChar w:fldCharType="begin"/>
            </w:r>
            <w:r>
              <w:rPr>
                <w:rFonts w:ascii="黑体" w:hAnsi="黑体" w:eastAsia="黑体"/>
                <w:snapToGrid w:val="0"/>
                <w:spacing w:val="-6"/>
                <w:kern w:val="21"/>
                <w:szCs w:val="21"/>
              </w:rPr>
              <w:instrText xml:space="preserve"> = 4 \* GB3 \* MERGEFORMAT </w:instrText>
            </w:r>
            <w:r>
              <w:rPr>
                <w:rFonts w:ascii="黑体" w:hAnsi="黑体" w:eastAsia="黑体"/>
                <w:snapToGrid w:val="0"/>
                <w:spacing w:val="-6"/>
                <w:kern w:val="21"/>
                <w:szCs w:val="21"/>
              </w:rPr>
              <w:fldChar w:fldCharType="separate"/>
            </w:r>
            <w:r>
              <w:rPr>
                <w:rFonts w:hint="eastAsia" w:ascii="黑体" w:hAnsi="黑体" w:eastAsia="黑体" w:cs="宋体"/>
                <w:kern w:val="2"/>
                <w:szCs w:val="21"/>
              </w:rPr>
              <w:t>④</w:t>
            </w:r>
            <w:r>
              <w:rPr>
                <w:rFonts w:ascii="黑体" w:hAnsi="黑体" w:eastAsia="黑体"/>
                <w:snapToGrid w:val="0"/>
                <w:spacing w:val="-6"/>
                <w:kern w:val="21"/>
                <w:szCs w:val="21"/>
              </w:rPr>
              <w:fldChar w:fldCharType="end"/>
            </w:r>
          </w:p>
        </w:tc>
        <w:tc>
          <w:tcPr>
            <w:tcW w:w="1798" w:type="dxa"/>
            <w:tcBorders>
              <w:tl2br w:val="nil"/>
              <w:tr2bl w:val="nil"/>
            </w:tcBorders>
            <w:tcMar>
              <w:left w:w="28" w:type="dxa"/>
              <w:right w:w="28" w:type="dxa"/>
            </w:tcMar>
            <w:vAlign w:val="center"/>
          </w:tcPr>
          <w:p w14:paraId="388C55AE">
            <w:pPr>
              <w:pStyle w:val="42"/>
              <w:spacing w:beforeLines="0" w:afterLines="0" w:line="240" w:lineRule="auto"/>
              <w:rPr>
                <w:rFonts w:ascii="黑体" w:hAnsi="黑体" w:eastAsia="黑体"/>
                <w:snapToGrid w:val="0"/>
                <w:spacing w:val="-16"/>
                <w:kern w:val="21"/>
                <w:szCs w:val="21"/>
              </w:rPr>
            </w:pPr>
            <w:r>
              <w:rPr>
                <w:rFonts w:ascii="黑体" w:hAnsi="黑体" w:eastAsia="黑体"/>
                <w:snapToGrid w:val="0"/>
                <w:spacing w:val="-16"/>
                <w:kern w:val="21"/>
                <w:szCs w:val="21"/>
              </w:rPr>
              <w:t>以新带老削减量</w:t>
            </w:r>
          </w:p>
          <w:p w14:paraId="0D7C26E2">
            <w:pPr>
              <w:pStyle w:val="42"/>
              <w:spacing w:beforeLines="0" w:afterLines="0" w:line="240" w:lineRule="auto"/>
              <w:rPr>
                <w:rFonts w:ascii="黑体" w:hAnsi="黑体" w:eastAsia="黑体"/>
                <w:snapToGrid w:val="0"/>
                <w:spacing w:val="-16"/>
                <w:kern w:val="21"/>
                <w:szCs w:val="21"/>
              </w:rPr>
            </w:pPr>
            <w:r>
              <w:rPr>
                <w:rFonts w:ascii="黑体" w:hAnsi="黑体" w:eastAsia="黑体"/>
                <w:snapToGrid w:val="0"/>
                <w:spacing w:val="-16"/>
                <w:kern w:val="21"/>
                <w:szCs w:val="21"/>
              </w:rPr>
              <w:t>（新建项目不填）</w:t>
            </w:r>
            <w:r>
              <w:rPr>
                <w:rFonts w:ascii="黑体" w:hAnsi="黑体" w:eastAsia="黑体"/>
                <w:snapToGrid w:val="0"/>
                <w:spacing w:val="-16"/>
                <w:kern w:val="21"/>
                <w:szCs w:val="21"/>
              </w:rPr>
              <w:fldChar w:fldCharType="begin"/>
            </w:r>
            <w:r>
              <w:rPr>
                <w:rFonts w:ascii="黑体" w:hAnsi="黑体" w:eastAsia="黑体"/>
                <w:snapToGrid w:val="0"/>
                <w:spacing w:val="-16"/>
                <w:kern w:val="21"/>
                <w:szCs w:val="21"/>
              </w:rPr>
              <w:instrText xml:space="preserve"> = 5 \* GB3 \* MERGEFORMAT </w:instrText>
            </w:r>
            <w:r>
              <w:rPr>
                <w:rFonts w:ascii="黑体" w:hAnsi="黑体" w:eastAsia="黑体"/>
                <w:snapToGrid w:val="0"/>
                <w:spacing w:val="-16"/>
                <w:kern w:val="21"/>
                <w:szCs w:val="21"/>
              </w:rPr>
              <w:fldChar w:fldCharType="separate"/>
            </w:r>
            <w:r>
              <w:rPr>
                <w:rFonts w:hint="eastAsia" w:ascii="黑体" w:hAnsi="黑体" w:eastAsia="黑体" w:cs="宋体"/>
                <w:kern w:val="2"/>
                <w:szCs w:val="21"/>
              </w:rPr>
              <w:t>⑤</w:t>
            </w:r>
            <w:r>
              <w:rPr>
                <w:rFonts w:ascii="黑体" w:hAnsi="黑体" w:eastAsia="黑体"/>
                <w:snapToGrid w:val="0"/>
                <w:spacing w:val="-16"/>
                <w:kern w:val="21"/>
                <w:szCs w:val="21"/>
              </w:rPr>
              <w:fldChar w:fldCharType="end"/>
            </w:r>
          </w:p>
        </w:tc>
        <w:tc>
          <w:tcPr>
            <w:tcW w:w="1640" w:type="dxa"/>
            <w:tcBorders>
              <w:tl2br w:val="nil"/>
              <w:tr2bl w:val="nil"/>
            </w:tcBorders>
            <w:tcMar>
              <w:left w:w="28" w:type="dxa"/>
              <w:right w:w="28" w:type="dxa"/>
            </w:tcMar>
            <w:vAlign w:val="center"/>
          </w:tcPr>
          <w:p w14:paraId="48AD95E8">
            <w:pPr>
              <w:pStyle w:val="42"/>
              <w:spacing w:beforeLines="0" w:afterLines="0" w:line="240" w:lineRule="auto"/>
              <w:rPr>
                <w:rFonts w:ascii="黑体" w:hAnsi="黑体" w:eastAsia="黑体"/>
                <w:snapToGrid w:val="0"/>
                <w:spacing w:val="-16"/>
                <w:kern w:val="21"/>
                <w:szCs w:val="21"/>
              </w:rPr>
            </w:pPr>
            <w:r>
              <w:rPr>
                <w:rFonts w:ascii="黑体" w:hAnsi="黑体" w:eastAsia="黑体"/>
                <w:snapToGrid w:val="0"/>
                <w:spacing w:val="-16"/>
                <w:kern w:val="21"/>
                <w:szCs w:val="21"/>
              </w:rPr>
              <w:t>本项目建成后</w:t>
            </w:r>
          </w:p>
          <w:p w14:paraId="1B6FCA63">
            <w:pPr>
              <w:pStyle w:val="42"/>
              <w:spacing w:beforeLines="0" w:afterLines="0" w:line="240" w:lineRule="auto"/>
              <w:rPr>
                <w:rFonts w:ascii="黑体" w:hAnsi="黑体" w:eastAsia="黑体"/>
                <w:snapToGrid w:val="0"/>
                <w:spacing w:val="-16"/>
                <w:kern w:val="21"/>
                <w:szCs w:val="21"/>
              </w:rPr>
            </w:pPr>
            <w:r>
              <w:rPr>
                <w:rFonts w:hint="eastAsia" w:ascii="黑体" w:hAnsi="黑体" w:eastAsia="黑体"/>
                <w:snapToGrid w:val="0"/>
                <w:spacing w:val="-16"/>
                <w:kern w:val="21"/>
                <w:szCs w:val="21"/>
              </w:rPr>
              <w:t>全厂</w:t>
            </w:r>
            <w:r>
              <w:rPr>
                <w:rFonts w:ascii="黑体" w:hAnsi="黑体" w:eastAsia="黑体"/>
                <w:snapToGrid w:val="0"/>
                <w:spacing w:val="-16"/>
                <w:kern w:val="21"/>
                <w:szCs w:val="21"/>
              </w:rPr>
              <w:t>排放量（固</w:t>
            </w:r>
            <w:r>
              <w:rPr>
                <w:rFonts w:hint="eastAsia" w:ascii="黑体" w:hAnsi="黑体" w:eastAsia="黑体"/>
                <w:snapToGrid w:val="0"/>
                <w:spacing w:val="-16"/>
                <w:kern w:val="21"/>
                <w:szCs w:val="21"/>
              </w:rPr>
              <w:t>体</w:t>
            </w:r>
            <w:r>
              <w:rPr>
                <w:rFonts w:ascii="黑体" w:hAnsi="黑体" w:eastAsia="黑体"/>
                <w:snapToGrid w:val="0"/>
                <w:spacing w:val="-16"/>
                <w:kern w:val="21"/>
                <w:szCs w:val="21"/>
              </w:rPr>
              <w:t>废</w:t>
            </w:r>
            <w:r>
              <w:rPr>
                <w:rFonts w:hint="eastAsia" w:ascii="黑体" w:hAnsi="黑体" w:eastAsia="黑体"/>
                <w:snapToGrid w:val="0"/>
                <w:spacing w:val="-16"/>
                <w:kern w:val="21"/>
                <w:szCs w:val="21"/>
              </w:rPr>
              <w:t>物</w:t>
            </w:r>
            <w:r>
              <w:rPr>
                <w:rFonts w:ascii="黑体" w:hAnsi="黑体" w:eastAsia="黑体"/>
                <w:snapToGrid w:val="0"/>
                <w:spacing w:val="-16"/>
                <w:kern w:val="21"/>
                <w:szCs w:val="21"/>
              </w:rPr>
              <w:t>产生量）</w:t>
            </w:r>
            <w:r>
              <w:rPr>
                <w:rFonts w:ascii="黑体" w:hAnsi="黑体" w:eastAsia="黑体"/>
                <w:snapToGrid w:val="0"/>
                <w:spacing w:val="-16"/>
                <w:kern w:val="21"/>
                <w:szCs w:val="21"/>
              </w:rPr>
              <w:fldChar w:fldCharType="begin"/>
            </w:r>
            <w:r>
              <w:rPr>
                <w:rFonts w:ascii="黑体" w:hAnsi="黑体" w:eastAsia="黑体"/>
                <w:snapToGrid w:val="0"/>
                <w:spacing w:val="-16"/>
                <w:kern w:val="21"/>
                <w:szCs w:val="21"/>
              </w:rPr>
              <w:instrText xml:space="preserve"> = 6 \* GB3 \* MERGEFORMAT </w:instrText>
            </w:r>
            <w:r>
              <w:rPr>
                <w:rFonts w:ascii="黑体" w:hAnsi="黑体" w:eastAsia="黑体"/>
                <w:snapToGrid w:val="0"/>
                <w:spacing w:val="-16"/>
                <w:kern w:val="21"/>
                <w:szCs w:val="21"/>
              </w:rPr>
              <w:fldChar w:fldCharType="separate"/>
            </w:r>
            <w:r>
              <w:rPr>
                <w:rFonts w:hint="eastAsia" w:ascii="黑体" w:hAnsi="黑体" w:eastAsia="黑体" w:cs="宋体"/>
                <w:kern w:val="2"/>
                <w:szCs w:val="21"/>
              </w:rPr>
              <w:t>⑥</w:t>
            </w:r>
            <w:r>
              <w:rPr>
                <w:rFonts w:ascii="黑体" w:hAnsi="黑体" w:eastAsia="黑体"/>
                <w:snapToGrid w:val="0"/>
                <w:spacing w:val="-16"/>
                <w:kern w:val="21"/>
                <w:szCs w:val="21"/>
              </w:rPr>
              <w:fldChar w:fldCharType="end"/>
            </w:r>
          </w:p>
        </w:tc>
        <w:tc>
          <w:tcPr>
            <w:tcW w:w="1203" w:type="dxa"/>
            <w:tcBorders>
              <w:tl2br w:val="nil"/>
              <w:tr2bl w:val="nil"/>
            </w:tcBorders>
            <w:tcMar>
              <w:left w:w="28" w:type="dxa"/>
              <w:right w:w="28" w:type="dxa"/>
            </w:tcMar>
            <w:vAlign w:val="center"/>
          </w:tcPr>
          <w:p w14:paraId="3BF97A75">
            <w:pPr>
              <w:pStyle w:val="42"/>
              <w:spacing w:beforeLines="0" w:afterLines="0" w:line="240" w:lineRule="auto"/>
              <w:rPr>
                <w:rFonts w:ascii="黑体" w:hAnsi="黑体" w:eastAsia="黑体"/>
                <w:snapToGrid w:val="0"/>
                <w:spacing w:val="-6"/>
                <w:kern w:val="21"/>
                <w:szCs w:val="21"/>
              </w:rPr>
            </w:pPr>
            <w:r>
              <w:rPr>
                <w:rFonts w:ascii="黑体" w:hAnsi="黑体" w:eastAsia="黑体"/>
                <w:snapToGrid w:val="0"/>
                <w:spacing w:val="-6"/>
                <w:kern w:val="21"/>
                <w:szCs w:val="21"/>
              </w:rPr>
              <w:t>变化量</w:t>
            </w:r>
          </w:p>
          <w:p w14:paraId="36B6B2A4">
            <w:pPr>
              <w:pStyle w:val="42"/>
              <w:spacing w:beforeLines="0" w:afterLines="0" w:line="240" w:lineRule="auto"/>
              <w:rPr>
                <w:rFonts w:ascii="黑体" w:hAnsi="黑体" w:eastAsia="黑体"/>
                <w:snapToGrid w:val="0"/>
                <w:spacing w:val="-6"/>
                <w:kern w:val="21"/>
                <w:szCs w:val="21"/>
              </w:rPr>
            </w:pPr>
            <w:r>
              <w:rPr>
                <w:rFonts w:ascii="黑体" w:hAnsi="黑体" w:eastAsia="黑体"/>
                <w:snapToGrid w:val="0"/>
                <w:spacing w:val="-6"/>
                <w:kern w:val="21"/>
                <w:szCs w:val="21"/>
              </w:rPr>
              <w:fldChar w:fldCharType="begin"/>
            </w:r>
            <w:r>
              <w:rPr>
                <w:rFonts w:ascii="黑体" w:hAnsi="黑体" w:eastAsia="黑体"/>
                <w:snapToGrid w:val="0"/>
                <w:spacing w:val="-6"/>
                <w:kern w:val="21"/>
                <w:szCs w:val="21"/>
              </w:rPr>
              <w:instrText xml:space="preserve"> = 7 \* GB3 \* MERGEFORMAT </w:instrText>
            </w:r>
            <w:r>
              <w:rPr>
                <w:rFonts w:ascii="黑体" w:hAnsi="黑体" w:eastAsia="黑体"/>
                <w:snapToGrid w:val="0"/>
                <w:spacing w:val="-6"/>
                <w:kern w:val="21"/>
                <w:szCs w:val="21"/>
              </w:rPr>
              <w:fldChar w:fldCharType="separate"/>
            </w:r>
            <w:r>
              <w:rPr>
                <w:rFonts w:hint="eastAsia" w:ascii="黑体" w:hAnsi="黑体" w:eastAsia="黑体" w:cs="宋体"/>
                <w:kern w:val="2"/>
                <w:szCs w:val="21"/>
              </w:rPr>
              <w:t>⑦</w:t>
            </w:r>
            <w:r>
              <w:rPr>
                <w:rFonts w:ascii="黑体" w:hAnsi="黑体" w:eastAsia="黑体"/>
                <w:snapToGrid w:val="0"/>
                <w:spacing w:val="-6"/>
                <w:kern w:val="21"/>
                <w:szCs w:val="21"/>
              </w:rPr>
              <w:fldChar w:fldCharType="end"/>
            </w:r>
          </w:p>
        </w:tc>
      </w:tr>
      <w:tr w14:paraId="12E8F4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252" w:type="dxa"/>
            <w:vMerge w:val="restart"/>
            <w:vAlign w:val="center"/>
          </w:tcPr>
          <w:p w14:paraId="7B44391E">
            <w:pPr>
              <w:pStyle w:val="42"/>
              <w:spacing w:beforeLines="0" w:afterLines="0" w:line="240" w:lineRule="auto"/>
              <w:rPr>
                <w:rFonts w:hAnsi="宋体" w:cs="宋体"/>
                <w:b/>
                <w:snapToGrid w:val="0"/>
                <w:kern w:val="21"/>
                <w:szCs w:val="21"/>
              </w:rPr>
            </w:pPr>
            <w:r>
              <w:rPr>
                <w:rFonts w:hint="eastAsia" w:hAnsi="宋体" w:cs="宋体"/>
                <w:b/>
                <w:snapToGrid w:val="0"/>
                <w:kern w:val="21"/>
                <w:szCs w:val="21"/>
              </w:rPr>
              <w:t>废气</w:t>
            </w:r>
          </w:p>
        </w:tc>
        <w:tc>
          <w:tcPr>
            <w:tcW w:w="1815" w:type="dxa"/>
            <w:tcBorders>
              <w:tl2br w:val="nil"/>
              <w:tr2bl w:val="nil"/>
            </w:tcBorders>
            <w:vAlign w:val="center"/>
          </w:tcPr>
          <w:p w14:paraId="7AFA1B4F">
            <w:pPr>
              <w:pStyle w:val="42"/>
              <w:spacing w:beforeLines="0" w:afterLines="0" w:line="240" w:lineRule="auto"/>
              <w:rPr>
                <w:rFonts w:hAnsi="宋体" w:cs="宋体"/>
                <w:snapToGrid w:val="0"/>
                <w:kern w:val="21"/>
                <w:szCs w:val="21"/>
              </w:rPr>
            </w:pPr>
            <w:r>
              <w:rPr>
                <w:rFonts w:hint="eastAsia" w:hAnsi="宋体" w:cs="宋体"/>
                <w:snapToGrid w:val="0"/>
                <w:kern w:val="21"/>
                <w:szCs w:val="21"/>
              </w:rPr>
              <w:t>颗粒物</w:t>
            </w:r>
          </w:p>
        </w:tc>
        <w:tc>
          <w:tcPr>
            <w:tcW w:w="1736" w:type="dxa"/>
            <w:tcBorders>
              <w:tl2br w:val="nil"/>
              <w:tr2bl w:val="nil"/>
            </w:tcBorders>
            <w:vAlign w:val="center"/>
          </w:tcPr>
          <w:p w14:paraId="0273CA6E">
            <w:pPr>
              <w:widowControl/>
              <w:jc w:val="center"/>
              <w:textAlignment w:val="center"/>
              <w:rPr>
                <w:rFonts w:hAnsi="宋体" w:cs="宋体"/>
                <w:snapToGrid w:val="0"/>
                <w:kern w:val="21"/>
                <w:szCs w:val="21"/>
              </w:rPr>
            </w:pPr>
            <w:r>
              <w:rPr>
                <w:rFonts w:hint="eastAsia" w:hAnsi="宋体" w:cs="宋体"/>
                <w:snapToGrid w:val="0"/>
                <w:kern w:val="21"/>
                <w:szCs w:val="21"/>
              </w:rPr>
              <w:t>/</w:t>
            </w:r>
          </w:p>
        </w:tc>
        <w:tc>
          <w:tcPr>
            <w:tcW w:w="1303" w:type="dxa"/>
            <w:tcBorders>
              <w:tl2br w:val="nil"/>
              <w:tr2bl w:val="nil"/>
            </w:tcBorders>
            <w:vAlign w:val="center"/>
          </w:tcPr>
          <w:p w14:paraId="566AB0EC">
            <w:pPr>
              <w:widowControl/>
              <w:jc w:val="center"/>
              <w:textAlignment w:val="center"/>
              <w:rPr>
                <w:rFonts w:hAnsi="宋体" w:cs="宋体"/>
                <w:snapToGrid w:val="0"/>
                <w:kern w:val="21"/>
                <w:szCs w:val="21"/>
              </w:rPr>
            </w:pPr>
            <w:r>
              <w:rPr>
                <w:rFonts w:hint="eastAsia" w:hAnsi="宋体" w:cs="宋体"/>
                <w:snapToGrid w:val="0"/>
                <w:kern w:val="21"/>
                <w:szCs w:val="21"/>
              </w:rPr>
              <w:t>/</w:t>
            </w:r>
          </w:p>
        </w:tc>
        <w:tc>
          <w:tcPr>
            <w:tcW w:w="1736" w:type="dxa"/>
            <w:tcBorders>
              <w:tl2br w:val="nil"/>
              <w:tr2bl w:val="nil"/>
            </w:tcBorders>
            <w:vAlign w:val="center"/>
          </w:tcPr>
          <w:p w14:paraId="000CCE21">
            <w:pPr>
              <w:widowControl/>
              <w:jc w:val="center"/>
              <w:textAlignment w:val="center"/>
              <w:rPr>
                <w:rFonts w:hAnsi="宋体" w:cs="宋体"/>
                <w:snapToGrid w:val="0"/>
                <w:kern w:val="21"/>
                <w:szCs w:val="21"/>
              </w:rPr>
            </w:pPr>
            <w:r>
              <w:rPr>
                <w:rFonts w:hint="eastAsia" w:hAnsi="宋体" w:cs="宋体"/>
                <w:snapToGrid w:val="0"/>
                <w:kern w:val="21"/>
                <w:szCs w:val="21"/>
              </w:rPr>
              <w:t>/</w:t>
            </w:r>
          </w:p>
        </w:tc>
        <w:tc>
          <w:tcPr>
            <w:tcW w:w="1592" w:type="dxa"/>
            <w:tcBorders>
              <w:tl2br w:val="nil"/>
              <w:tr2bl w:val="nil"/>
            </w:tcBorders>
            <w:vAlign w:val="center"/>
          </w:tcPr>
          <w:p w14:paraId="5D01CA99">
            <w:pPr>
              <w:keepNext w:val="0"/>
              <w:keepLines w:val="0"/>
              <w:widowControl/>
              <w:suppressLineNumbers w:val="0"/>
              <w:jc w:val="center"/>
              <w:textAlignment w:val="center"/>
              <w:rPr>
                <w:rFonts w:hint="default" w:hAnsi="宋体" w:eastAsia="宋体" w:cs="宋体"/>
                <w:snapToGrid w:val="0"/>
                <w:kern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w:t>
            </w:r>
            <w:r>
              <w:rPr>
                <w:rFonts w:hint="eastAsia" w:cs="Times New Roman"/>
                <w:i w:val="0"/>
                <w:iCs w:val="0"/>
                <w:color w:val="000000"/>
                <w:kern w:val="0"/>
                <w:sz w:val="21"/>
                <w:szCs w:val="21"/>
                <w:u w:val="none"/>
                <w:lang w:val="en-US" w:eastAsia="zh-CN" w:bidi="ar"/>
              </w:rPr>
              <w:t>284</w:t>
            </w:r>
          </w:p>
        </w:tc>
        <w:tc>
          <w:tcPr>
            <w:tcW w:w="1798" w:type="dxa"/>
            <w:tcBorders>
              <w:tl2br w:val="nil"/>
              <w:tr2bl w:val="nil"/>
            </w:tcBorders>
            <w:vAlign w:val="center"/>
          </w:tcPr>
          <w:p w14:paraId="128E5ECB">
            <w:pPr>
              <w:widowControl/>
              <w:jc w:val="center"/>
              <w:textAlignment w:val="center"/>
              <w:rPr>
                <w:rFonts w:hAnsi="宋体" w:cs="宋体"/>
                <w:snapToGrid w:val="0"/>
                <w:kern w:val="21"/>
                <w:szCs w:val="21"/>
              </w:rPr>
            </w:pPr>
            <w:r>
              <w:rPr>
                <w:rFonts w:hint="eastAsia" w:hAnsi="宋体" w:cs="宋体"/>
                <w:snapToGrid w:val="0"/>
                <w:kern w:val="21"/>
                <w:szCs w:val="21"/>
              </w:rPr>
              <w:t>/</w:t>
            </w:r>
          </w:p>
        </w:tc>
        <w:tc>
          <w:tcPr>
            <w:tcW w:w="1640" w:type="dxa"/>
            <w:tcBorders>
              <w:tl2br w:val="nil"/>
              <w:tr2bl w:val="nil"/>
            </w:tcBorders>
            <w:vAlign w:val="center"/>
          </w:tcPr>
          <w:p w14:paraId="2E362AB0">
            <w:pPr>
              <w:keepNext w:val="0"/>
              <w:keepLines w:val="0"/>
              <w:widowControl/>
              <w:suppressLineNumbers w:val="0"/>
              <w:jc w:val="center"/>
              <w:textAlignment w:val="center"/>
              <w:rPr>
                <w:rFonts w:hint="eastAsia" w:eastAsia="宋体"/>
                <w:snapToGrid w:val="0"/>
                <w:kern w:val="21"/>
                <w:szCs w:val="21"/>
                <w:lang w:eastAsia="zh-CN"/>
              </w:rPr>
            </w:pPr>
            <w:r>
              <w:rPr>
                <w:rFonts w:hint="default" w:ascii="Times New Roman" w:hAnsi="Times New Roman" w:eastAsia="宋体" w:cs="Times New Roman"/>
                <w:i w:val="0"/>
                <w:iCs w:val="0"/>
                <w:color w:val="000000"/>
                <w:kern w:val="0"/>
                <w:sz w:val="21"/>
                <w:szCs w:val="21"/>
                <w:u w:val="none"/>
                <w:lang w:val="en-US" w:eastAsia="zh-CN" w:bidi="ar"/>
              </w:rPr>
              <w:t>0.0</w:t>
            </w:r>
            <w:r>
              <w:rPr>
                <w:rFonts w:hint="eastAsia" w:cs="Times New Roman"/>
                <w:i w:val="0"/>
                <w:iCs w:val="0"/>
                <w:color w:val="000000"/>
                <w:kern w:val="0"/>
                <w:sz w:val="21"/>
                <w:szCs w:val="21"/>
                <w:u w:val="none"/>
                <w:lang w:val="en-US" w:eastAsia="zh-CN" w:bidi="ar"/>
              </w:rPr>
              <w:t>284</w:t>
            </w:r>
          </w:p>
        </w:tc>
        <w:tc>
          <w:tcPr>
            <w:tcW w:w="1203" w:type="dxa"/>
            <w:tcBorders>
              <w:tl2br w:val="nil"/>
              <w:tr2bl w:val="nil"/>
            </w:tcBorders>
            <w:vAlign w:val="center"/>
          </w:tcPr>
          <w:p w14:paraId="04E8E756">
            <w:pPr>
              <w:keepNext w:val="0"/>
              <w:keepLines w:val="0"/>
              <w:widowControl/>
              <w:suppressLineNumbers w:val="0"/>
              <w:jc w:val="center"/>
              <w:textAlignment w:val="center"/>
              <w:rPr>
                <w:rFonts w:hint="eastAsia" w:hAnsi="宋体" w:eastAsia="宋体" w:cs="宋体"/>
                <w:snapToGrid w:val="0"/>
                <w:kern w:val="21"/>
                <w:szCs w:val="21"/>
                <w:lang w:eastAsia="zh-CN"/>
              </w:rPr>
            </w:pPr>
            <w:r>
              <w:rPr>
                <w:rFonts w:hint="eastAsia"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0.0</w:t>
            </w:r>
            <w:r>
              <w:rPr>
                <w:rFonts w:hint="eastAsia" w:cs="Times New Roman"/>
                <w:i w:val="0"/>
                <w:iCs w:val="0"/>
                <w:color w:val="000000"/>
                <w:kern w:val="0"/>
                <w:sz w:val="21"/>
                <w:szCs w:val="21"/>
                <w:u w:val="none"/>
                <w:lang w:val="en-US" w:eastAsia="zh-CN" w:bidi="ar"/>
              </w:rPr>
              <w:t>284</w:t>
            </w:r>
          </w:p>
        </w:tc>
      </w:tr>
      <w:tr w14:paraId="5C7CDA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252" w:type="dxa"/>
            <w:vMerge w:val="continue"/>
            <w:vAlign w:val="center"/>
          </w:tcPr>
          <w:p w14:paraId="32C42A93">
            <w:pPr>
              <w:pStyle w:val="42"/>
              <w:spacing w:beforeLines="0" w:afterLines="0" w:line="240" w:lineRule="auto"/>
              <w:rPr>
                <w:rFonts w:hint="eastAsia" w:hAnsi="宋体" w:cs="宋体"/>
                <w:b/>
                <w:snapToGrid w:val="0"/>
                <w:kern w:val="21"/>
                <w:szCs w:val="21"/>
              </w:rPr>
            </w:pPr>
          </w:p>
        </w:tc>
        <w:tc>
          <w:tcPr>
            <w:tcW w:w="1815" w:type="dxa"/>
            <w:tcBorders>
              <w:tl2br w:val="nil"/>
              <w:tr2bl w:val="nil"/>
            </w:tcBorders>
            <w:vAlign w:val="center"/>
          </w:tcPr>
          <w:p w14:paraId="3FA73A0A">
            <w:pPr>
              <w:pStyle w:val="42"/>
              <w:spacing w:beforeLines="0" w:afterLines="0" w:line="240" w:lineRule="auto"/>
              <w:rPr>
                <w:rFonts w:hint="eastAsia" w:hAnsi="宋体" w:eastAsia="宋体" w:cs="宋体"/>
                <w:snapToGrid w:val="0"/>
                <w:kern w:val="21"/>
                <w:szCs w:val="21"/>
                <w:lang w:eastAsia="zh-CN"/>
              </w:rPr>
            </w:pPr>
            <w:r>
              <w:rPr>
                <w:rFonts w:hint="eastAsia" w:hAnsi="宋体" w:cs="宋体"/>
                <w:snapToGrid w:val="0"/>
                <w:kern w:val="21"/>
                <w:szCs w:val="21"/>
                <w:lang w:eastAsia="zh-CN"/>
              </w:rPr>
              <w:t>非甲烷总烃</w:t>
            </w:r>
          </w:p>
        </w:tc>
        <w:tc>
          <w:tcPr>
            <w:tcW w:w="1736" w:type="dxa"/>
            <w:tcBorders>
              <w:tl2br w:val="nil"/>
              <w:tr2bl w:val="nil"/>
            </w:tcBorders>
            <w:vAlign w:val="center"/>
          </w:tcPr>
          <w:p w14:paraId="39C2420F">
            <w:pPr>
              <w:widowControl/>
              <w:jc w:val="center"/>
              <w:textAlignment w:val="center"/>
              <w:rPr>
                <w:rFonts w:hint="eastAsia" w:hAnsi="宋体" w:cs="宋体"/>
                <w:snapToGrid w:val="0"/>
                <w:kern w:val="21"/>
                <w:szCs w:val="21"/>
              </w:rPr>
            </w:pPr>
            <w:r>
              <w:rPr>
                <w:rFonts w:hint="eastAsia" w:hAnsi="宋体" w:cs="宋体"/>
                <w:snapToGrid w:val="0"/>
                <w:kern w:val="21"/>
                <w:szCs w:val="21"/>
              </w:rPr>
              <w:t>/</w:t>
            </w:r>
          </w:p>
        </w:tc>
        <w:tc>
          <w:tcPr>
            <w:tcW w:w="1303" w:type="dxa"/>
            <w:tcBorders>
              <w:tl2br w:val="nil"/>
              <w:tr2bl w:val="nil"/>
            </w:tcBorders>
            <w:vAlign w:val="center"/>
          </w:tcPr>
          <w:p w14:paraId="06326335">
            <w:pPr>
              <w:widowControl/>
              <w:jc w:val="center"/>
              <w:textAlignment w:val="center"/>
              <w:rPr>
                <w:rFonts w:hint="eastAsia" w:hAnsi="宋体" w:cs="宋体"/>
                <w:snapToGrid w:val="0"/>
                <w:kern w:val="21"/>
                <w:szCs w:val="21"/>
              </w:rPr>
            </w:pPr>
            <w:r>
              <w:rPr>
                <w:rFonts w:hint="eastAsia" w:hAnsi="宋体" w:cs="宋体"/>
                <w:snapToGrid w:val="0"/>
                <w:kern w:val="21"/>
                <w:szCs w:val="21"/>
              </w:rPr>
              <w:t>/</w:t>
            </w:r>
          </w:p>
        </w:tc>
        <w:tc>
          <w:tcPr>
            <w:tcW w:w="1736" w:type="dxa"/>
            <w:tcBorders>
              <w:tl2br w:val="nil"/>
              <w:tr2bl w:val="nil"/>
            </w:tcBorders>
            <w:vAlign w:val="center"/>
          </w:tcPr>
          <w:p w14:paraId="7D1866A8">
            <w:pPr>
              <w:widowControl/>
              <w:jc w:val="center"/>
              <w:textAlignment w:val="center"/>
              <w:rPr>
                <w:rFonts w:hint="eastAsia" w:hAnsi="宋体" w:cs="宋体"/>
                <w:snapToGrid w:val="0"/>
                <w:kern w:val="21"/>
                <w:szCs w:val="21"/>
              </w:rPr>
            </w:pPr>
            <w:r>
              <w:rPr>
                <w:rFonts w:hint="eastAsia" w:hAnsi="宋体" w:cs="宋体"/>
                <w:snapToGrid w:val="0"/>
                <w:kern w:val="21"/>
                <w:szCs w:val="21"/>
              </w:rPr>
              <w:t>/</w:t>
            </w:r>
          </w:p>
        </w:tc>
        <w:tc>
          <w:tcPr>
            <w:tcW w:w="1592" w:type="dxa"/>
            <w:tcBorders>
              <w:tl2br w:val="nil"/>
              <w:tr2bl w:val="nil"/>
            </w:tcBorders>
            <w:vAlign w:val="center"/>
          </w:tcPr>
          <w:p w14:paraId="3A46B002">
            <w:pPr>
              <w:keepNext w:val="0"/>
              <w:keepLines w:val="0"/>
              <w:widowControl/>
              <w:suppressLineNumbers w:val="0"/>
              <w:jc w:val="center"/>
              <w:textAlignment w:val="center"/>
              <w:rPr>
                <w:rFonts w:hint="eastAsia"/>
                <w:kern w:val="0"/>
                <w:szCs w:val="21"/>
                <w:lang w:eastAsia="zh-CN" w:bidi="ar"/>
              </w:rPr>
            </w:pPr>
            <w:r>
              <w:rPr>
                <w:rFonts w:hint="default" w:ascii="Times New Roman" w:hAnsi="Times New Roman" w:eastAsia="宋体" w:cs="Times New Roman"/>
                <w:i w:val="0"/>
                <w:iCs w:val="0"/>
                <w:color w:val="000000"/>
                <w:kern w:val="0"/>
                <w:sz w:val="21"/>
                <w:szCs w:val="21"/>
                <w:u w:val="none"/>
                <w:lang w:val="en-US" w:eastAsia="zh-CN" w:bidi="ar"/>
              </w:rPr>
              <w:t>0.0123</w:t>
            </w:r>
          </w:p>
        </w:tc>
        <w:tc>
          <w:tcPr>
            <w:tcW w:w="1798" w:type="dxa"/>
            <w:tcBorders>
              <w:tl2br w:val="nil"/>
              <w:tr2bl w:val="nil"/>
            </w:tcBorders>
            <w:vAlign w:val="center"/>
          </w:tcPr>
          <w:p w14:paraId="279C5FDC">
            <w:pPr>
              <w:widowControl/>
              <w:jc w:val="center"/>
              <w:textAlignment w:val="center"/>
              <w:rPr>
                <w:rFonts w:hint="eastAsia" w:hAnsi="宋体" w:cs="宋体"/>
                <w:snapToGrid w:val="0"/>
                <w:kern w:val="21"/>
                <w:szCs w:val="21"/>
              </w:rPr>
            </w:pPr>
            <w:r>
              <w:rPr>
                <w:rFonts w:hint="eastAsia" w:hAnsi="宋体" w:cs="宋体"/>
                <w:snapToGrid w:val="0"/>
                <w:kern w:val="21"/>
                <w:szCs w:val="21"/>
              </w:rPr>
              <w:t>/</w:t>
            </w:r>
          </w:p>
        </w:tc>
        <w:tc>
          <w:tcPr>
            <w:tcW w:w="1640" w:type="dxa"/>
            <w:tcBorders>
              <w:tl2br w:val="nil"/>
              <w:tr2bl w:val="nil"/>
            </w:tcBorders>
            <w:vAlign w:val="center"/>
          </w:tcPr>
          <w:p w14:paraId="4EB40636">
            <w:pPr>
              <w:keepNext w:val="0"/>
              <w:keepLines w:val="0"/>
              <w:widowControl/>
              <w:suppressLineNumbers w:val="0"/>
              <w:jc w:val="center"/>
              <w:textAlignment w:val="center"/>
              <w:rPr>
                <w:rFonts w:hint="eastAsia"/>
                <w:kern w:val="0"/>
                <w:szCs w:val="21"/>
                <w:lang w:eastAsia="zh-CN" w:bidi="ar"/>
              </w:rPr>
            </w:pPr>
            <w:r>
              <w:rPr>
                <w:rFonts w:hint="default" w:ascii="Times New Roman" w:hAnsi="Times New Roman" w:eastAsia="宋体" w:cs="Times New Roman"/>
                <w:i w:val="0"/>
                <w:iCs w:val="0"/>
                <w:color w:val="000000"/>
                <w:kern w:val="0"/>
                <w:sz w:val="21"/>
                <w:szCs w:val="21"/>
                <w:u w:val="none"/>
                <w:lang w:val="en-US" w:eastAsia="zh-CN" w:bidi="ar"/>
              </w:rPr>
              <w:t>0.0123</w:t>
            </w:r>
          </w:p>
        </w:tc>
        <w:tc>
          <w:tcPr>
            <w:tcW w:w="1203" w:type="dxa"/>
            <w:tcBorders>
              <w:tl2br w:val="nil"/>
              <w:tr2bl w:val="nil"/>
            </w:tcBorders>
            <w:vAlign w:val="center"/>
          </w:tcPr>
          <w:p w14:paraId="205E9EF9">
            <w:pPr>
              <w:keepNext w:val="0"/>
              <w:keepLines w:val="0"/>
              <w:widowControl/>
              <w:suppressLineNumbers w:val="0"/>
              <w:jc w:val="center"/>
              <w:textAlignment w:val="center"/>
              <w:rPr>
                <w:rFonts w:hint="eastAsia"/>
                <w:kern w:val="0"/>
                <w:szCs w:val="21"/>
                <w:lang w:bidi="ar"/>
              </w:rPr>
            </w:pPr>
            <w:r>
              <w:rPr>
                <w:rFonts w:hint="eastAsia"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0.0123</w:t>
            </w:r>
          </w:p>
        </w:tc>
      </w:tr>
      <w:tr w14:paraId="1D5CE4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252" w:type="dxa"/>
            <w:vMerge w:val="continue"/>
            <w:vAlign w:val="center"/>
          </w:tcPr>
          <w:p w14:paraId="37FC582D">
            <w:pPr>
              <w:pStyle w:val="42"/>
              <w:spacing w:beforeLines="0" w:afterLines="0" w:line="240" w:lineRule="auto"/>
              <w:rPr>
                <w:rFonts w:hint="eastAsia" w:hAnsi="宋体" w:cs="宋体"/>
                <w:b/>
                <w:snapToGrid w:val="0"/>
                <w:kern w:val="21"/>
                <w:szCs w:val="21"/>
              </w:rPr>
            </w:pPr>
          </w:p>
        </w:tc>
        <w:tc>
          <w:tcPr>
            <w:tcW w:w="1815" w:type="dxa"/>
            <w:tcBorders>
              <w:tl2br w:val="nil"/>
              <w:tr2bl w:val="nil"/>
            </w:tcBorders>
            <w:vAlign w:val="center"/>
          </w:tcPr>
          <w:p w14:paraId="5F1D5A3B">
            <w:pPr>
              <w:pStyle w:val="42"/>
              <w:spacing w:beforeLines="0" w:afterLines="0" w:line="240" w:lineRule="auto"/>
              <w:rPr>
                <w:rFonts w:hint="eastAsia" w:hAnsi="宋体" w:eastAsia="宋体" w:cs="宋体"/>
                <w:snapToGrid w:val="0"/>
                <w:kern w:val="21"/>
                <w:szCs w:val="21"/>
                <w:lang w:eastAsia="zh-CN"/>
              </w:rPr>
            </w:pPr>
            <w:r>
              <w:rPr>
                <w:rFonts w:hint="eastAsia" w:hAnsi="宋体" w:cs="宋体"/>
                <w:snapToGrid w:val="0"/>
                <w:kern w:val="21"/>
                <w:szCs w:val="21"/>
                <w:lang w:eastAsia="zh-CN"/>
              </w:rPr>
              <w:t>二甲苯</w:t>
            </w:r>
          </w:p>
        </w:tc>
        <w:tc>
          <w:tcPr>
            <w:tcW w:w="1736" w:type="dxa"/>
            <w:tcBorders>
              <w:tl2br w:val="nil"/>
              <w:tr2bl w:val="nil"/>
            </w:tcBorders>
            <w:vAlign w:val="center"/>
          </w:tcPr>
          <w:p w14:paraId="71DF67D3">
            <w:pPr>
              <w:widowControl/>
              <w:jc w:val="center"/>
              <w:textAlignment w:val="center"/>
              <w:rPr>
                <w:rFonts w:hint="eastAsia" w:hAnsi="宋体" w:cs="宋体"/>
                <w:snapToGrid w:val="0"/>
                <w:kern w:val="21"/>
                <w:szCs w:val="21"/>
              </w:rPr>
            </w:pPr>
            <w:r>
              <w:rPr>
                <w:rFonts w:hint="eastAsia" w:hAnsi="宋体" w:cs="宋体"/>
                <w:snapToGrid w:val="0"/>
                <w:kern w:val="21"/>
                <w:szCs w:val="21"/>
              </w:rPr>
              <w:t>/</w:t>
            </w:r>
          </w:p>
        </w:tc>
        <w:tc>
          <w:tcPr>
            <w:tcW w:w="1303" w:type="dxa"/>
            <w:tcBorders>
              <w:tl2br w:val="nil"/>
              <w:tr2bl w:val="nil"/>
            </w:tcBorders>
            <w:vAlign w:val="center"/>
          </w:tcPr>
          <w:p w14:paraId="2CAC0F7E">
            <w:pPr>
              <w:widowControl/>
              <w:jc w:val="center"/>
              <w:textAlignment w:val="center"/>
              <w:rPr>
                <w:rFonts w:hint="eastAsia" w:hAnsi="宋体" w:cs="宋体"/>
                <w:snapToGrid w:val="0"/>
                <w:kern w:val="21"/>
                <w:szCs w:val="21"/>
              </w:rPr>
            </w:pPr>
            <w:r>
              <w:rPr>
                <w:rFonts w:hint="eastAsia" w:hAnsi="宋体" w:cs="宋体"/>
                <w:snapToGrid w:val="0"/>
                <w:kern w:val="21"/>
                <w:szCs w:val="21"/>
              </w:rPr>
              <w:t>/</w:t>
            </w:r>
          </w:p>
        </w:tc>
        <w:tc>
          <w:tcPr>
            <w:tcW w:w="1736" w:type="dxa"/>
            <w:tcBorders>
              <w:tl2br w:val="nil"/>
              <w:tr2bl w:val="nil"/>
            </w:tcBorders>
            <w:vAlign w:val="center"/>
          </w:tcPr>
          <w:p w14:paraId="21579947">
            <w:pPr>
              <w:widowControl/>
              <w:jc w:val="center"/>
              <w:textAlignment w:val="center"/>
              <w:rPr>
                <w:rFonts w:hint="eastAsia" w:hAnsi="宋体" w:cs="宋体"/>
                <w:snapToGrid w:val="0"/>
                <w:kern w:val="21"/>
                <w:szCs w:val="21"/>
              </w:rPr>
            </w:pPr>
            <w:r>
              <w:rPr>
                <w:rFonts w:hint="eastAsia" w:hAnsi="宋体" w:cs="宋体"/>
                <w:snapToGrid w:val="0"/>
                <w:kern w:val="21"/>
                <w:szCs w:val="21"/>
              </w:rPr>
              <w:t>/</w:t>
            </w:r>
          </w:p>
        </w:tc>
        <w:tc>
          <w:tcPr>
            <w:tcW w:w="1592" w:type="dxa"/>
            <w:tcBorders>
              <w:tl2br w:val="nil"/>
              <w:tr2bl w:val="nil"/>
            </w:tcBorders>
            <w:vAlign w:val="center"/>
          </w:tcPr>
          <w:p w14:paraId="40A3C327">
            <w:pPr>
              <w:keepNext w:val="0"/>
              <w:keepLines w:val="0"/>
              <w:widowControl/>
              <w:suppressLineNumbers w:val="0"/>
              <w:jc w:val="center"/>
              <w:textAlignment w:val="center"/>
              <w:rPr>
                <w:rFonts w:hint="eastAsia"/>
                <w:kern w:val="0"/>
                <w:szCs w:val="21"/>
                <w:lang w:eastAsia="zh-CN" w:bidi="ar"/>
              </w:rPr>
            </w:pPr>
            <w:r>
              <w:rPr>
                <w:rFonts w:hint="default" w:ascii="Times New Roman" w:hAnsi="Times New Roman" w:eastAsia="宋体" w:cs="Times New Roman"/>
                <w:i w:val="0"/>
                <w:iCs w:val="0"/>
                <w:color w:val="000000"/>
                <w:kern w:val="0"/>
                <w:sz w:val="21"/>
                <w:szCs w:val="21"/>
                <w:u w:val="none"/>
                <w:lang w:val="en-US" w:eastAsia="zh-CN" w:bidi="ar"/>
              </w:rPr>
              <w:t>0.0069</w:t>
            </w:r>
          </w:p>
        </w:tc>
        <w:tc>
          <w:tcPr>
            <w:tcW w:w="1798" w:type="dxa"/>
            <w:tcBorders>
              <w:tl2br w:val="nil"/>
              <w:tr2bl w:val="nil"/>
            </w:tcBorders>
            <w:vAlign w:val="center"/>
          </w:tcPr>
          <w:p w14:paraId="46607642">
            <w:pPr>
              <w:widowControl/>
              <w:jc w:val="center"/>
              <w:textAlignment w:val="center"/>
              <w:rPr>
                <w:rFonts w:hint="eastAsia" w:hAnsi="宋体" w:cs="宋体"/>
                <w:snapToGrid w:val="0"/>
                <w:kern w:val="21"/>
                <w:szCs w:val="21"/>
              </w:rPr>
            </w:pPr>
            <w:r>
              <w:rPr>
                <w:rFonts w:hint="eastAsia" w:hAnsi="宋体" w:cs="宋体"/>
                <w:snapToGrid w:val="0"/>
                <w:kern w:val="21"/>
                <w:szCs w:val="21"/>
              </w:rPr>
              <w:t>/</w:t>
            </w:r>
          </w:p>
        </w:tc>
        <w:tc>
          <w:tcPr>
            <w:tcW w:w="1640" w:type="dxa"/>
            <w:tcBorders>
              <w:tl2br w:val="nil"/>
              <w:tr2bl w:val="nil"/>
            </w:tcBorders>
            <w:vAlign w:val="center"/>
          </w:tcPr>
          <w:p w14:paraId="55DB9654">
            <w:pPr>
              <w:keepNext w:val="0"/>
              <w:keepLines w:val="0"/>
              <w:widowControl/>
              <w:suppressLineNumbers w:val="0"/>
              <w:jc w:val="center"/>
              <w:textAlignment w:val="center"/>
              <w:rPr>
                <w:rFonts w:hint="eastAsia"/>
                <w:kern w:val="0"/>
                <w:szCs w:val="21"/>
                <w:lang w:eastAsia="zh-CN" w:bidi="ar"/>
              </w:rPr>
            </w:pPr>
            <w:r>
              <w:rPr>
                <w:rFonts w:hint="default" w:ascii="Times New Roman" w:hAnsi="Times New Roman" w:eastAsia="宋体" w:cs="Times New Roman"/>
                <w:i w:val="0"/>
                <w:iCs w:val="0"/>
                <w:color w:val="000000"/>
                <w:kern w:val="0"/>
                <w:sz w:val="21"/>
                <w:szCs w:val="21"/>
                <w:u w:val="none"/>
                <w:lang w:val="en-US" w:eastAsia="zh-CN" w:bidi="ar"/>
              </w:rPr>
              <w:t>0.0069</w:t>
            </w:r>
          </w:p>
        </w:tc>
        <w:tc>
          <w:tcPr>
            <w:tcW w:w="1203" w:type="dxa"/>
            <w:tcBorders>
              <w:tl2br w:val="nil"/>
              <w:tr2bl w:val="nil"/>
            </w:tcBorders>
            <w:vAlign w:val="center"/>
          </w:tcPr>
          <w:p w14:paraId="46848D52">
            <w:pPr>
              <w:keepNext w:val="0"/>
              <w:keepLines w:val="0"/>
              <w:widowControl/>
              <w:suppressLineNumbers w:val="0"/>
              <w:jc w:val="center"/>
              <w:textAlignment w:val="center"/>
              <w:rPr>
                <w:rFonts w:hint="eastAsia"/>
                <w:kern w:val="0"/>
                <w:szCs w:val="21"/>
                <w:lang w:bidi="ar"/>
              </w:rPr>
            </w:pPr>
            <w:r>
              <w:rPr>
                <w:rFonts w:hint="eastAsia"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0.0069</w:t>
            </w:r>
          </w:p>
        </w:tc>
      </w:tr>
      <w:tr w14:paraId="510084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252" w:type="dxa"/>
            <w:vMerge w:val="restart"/>
            <w:tcBorders>
              <w:tl2br w:val="nil"/>
              <w:tr2bl w:val="nil"/>
            </w:tcBorders>
            <w:vAlign w:val="center"/>
          </w:tcPr>
          <w:p w14:paraId="711D54F1">
            <w:pPr>
              <w:pStyle w:val="42"/>
              <w:spacing w:beforeLines="0" w:afterLines="0" w:line="240" w:lineRule="auto"/>
              <w:rPr>
                <w:rFonts w:hAnsi="宋体" w:cs="宋体"/>
                <w:b/>
                <w:snapToGrid w:val="0"/>
                <w:kern w:val="21"/>
                <w:szCs w:val="21"/>
              </w:rPr>
            </w:pPr>
            <w:r>
              <w:rPr>
                <w:rFonts w:hint="eastAsia" w:hAnsi="宋体" w:cs="宋体"/>
                <w:b/>
                <w:snapToGrid w:val="0"/>
                <w:kern w:val="21"/>
                <w:szCs w:val="21"/>
              </w:rPr>
              <w:t>废水</w:t>
            </w:r>
          </w:p>
        </w:tc>
        <w:tc>
          <w:tcPr>
            <w:tcW w:w="1815" w:type="dxa"/>
            <w:tcBorders>
              <w:tl2br w:val="nil"/>
              <w:tr2bl w:val="nil"/>
            </w:tcBorders>
            <w:vAlign w:val="center"/>
          </w:tcPr>
          <w:p w14:paraId="2F41C26A">
            <w:pPr>
              <w:jc w:val="center"/>
              <w:rPr>
                <w:rFonts w:ascii="黑体" w:hAnsi="黑体" w:eastAsia="黑体" w:cs="宋体"/>
                <w:snapToGrid w:val="0"/>
                <w:spacing w:val="-6"/>
                <w:kern w:val="21"/>
                <w:szCs w:val="21"/>
              </w:rPr>
            </w:pPr>
            <w:r>
              <w:t>废水量</w:t>
            </w:r>
          </w:p>
        </w:tc>
        <w:tc>
          <w:tcPr>
            <w:tcW w:w="1736" w:type="dxa"/>
            <w:tcBorders>
              <w:tl2br w:val="nil"/>
              <w:tr2bl w:val="nil"/>
            </w:tcBorders>
            <w:vAlign w:val="center"/>
          </w:tcPr>
          <w:p w14:paraId="35CECE2B">
            <w:pPr>
              <w:widowControl/>
              <w:jc w:val="center"/>
              <w:textAlignment w:val="center"/>
              <w:rPr>
                <w:rFonts w:hAnsi="宋体" w:cs="宋体"/>
                <w:snapToGrid w:val="0"/>
                <w:kern w:val="21"/>
                <w:szCs w:val="21"/>
              </w:rPr>
            </w:pPr>
            <w:r>
              <w:rPr>
                <w:rFonts w:hint="eastAsia" w:hAnsi="宋体" w:cs="宋体"/>
                <w:snapToGrid w:val="0"/>
                <w:kern w:val="21"/>
                <w:szCs w:val="21"/>
              </w:rPr>
              <w:t>/</w:t>
            </w:r>
          </w:p>
        </w:tc>
        <w:tc>
          <w:tcPr>
            <w:tcW w:w="1303" w:type="dxa"/>
            <w:tcBorders>
              <w:tl2br w:val="nil"/>
              <w:tr2bl w:val="nil"/>
            </w:tcBorders>
            <w:vAlign w:val="center"/>
          </w:tcPr>
          <w:p w14:paraId="0588CFD6">
            <w:pPr>
              <w:widowControl/>
              <w:jc w:val="center"/>
              <w:textAlignment w:val="center"/>
              <w:rPr>
                <w:rFonts w:hAnsi="宋体" w:cs="宋体"/>
                <w:snapToGrid w:val="0"/>
                <w:kern w:val="21"/>
                <w:szCs w:val="21"/>
              </w:rPr>
            </w:pPr>
            <w:r>
              <w:rPr>
                <w:rFonts w:hint="eastAsia" w:hAnsi="宋体" w:cs="宋体"/>
                <w:snapToGrid w:val="0"/>
                <w:kern w:val="21"/>
                <w:szCs w:val="21"/>
              </w:rPr>
              <w:t>/</w:t>
            </w:r>
          </w:p>
        </w:tc>
        <w:tc>
          <w:tcPr>
            <w:tcW w:w="1736" w:type="dxa"/>
            <w:tcBorders>
              <w:tl2br w:val="nil"/>
              <w:tr2bl w:val="nil"/>
            </w:tcBorders>
            <w:vAlign w:val="center"/>
          </w:tcPr>
          <w:p w14:paraId="0383C055">
            <w:pPr>
              <w:widowControl/>
              <w:jc w:val="center"/>
              <w:textAlignment w:val="center"/>
              <w:rPr>
                <w:rFonts w:hAnsi="宋体" w:cs="宋体"/>
                <w:snapToGrid w:val="0"/>
                <w:kern w:val="21"/>
                <w:szCs w:val="21"/>
              </w:rPr>
            </w:pPr>
            <w:r>
              <w:rPr>
                <w:rFonts w:hint="eastAsia" w:hAnsi="宋体" w:cs="宋体"/>
                <w:snapToGrid w:val="0"/>
                <w:kern w:val="21"/>
                <w:szCs w:val="21"/>
              </w:rPr>
              <w:t>/</w:t>
            </w:r>
          </w:p>
        </w:tc>
        <w:tc>
          <w:tcPr>
            <w:tcW w:w="1592" w:type="dxa"/>
            <w:tcBorders>
              <w:tl2br w:val="nil"/>
              <w:tr2bl w:val="nil"/>
            </w:tcBorders>
            <w:vAlign w:val="center"/>
          </w:tcPr>
          <w:p w14:paraId="5F0C2CD3">
            <w:pPr>
              <w:pStyle w:val="42"/>
              <w:spacing w:beforeLines="0" w:afterLines="0" w:line="240" w:lineRule="auto"/>
              <w:rPr>
                <w:rFonts w:hint="default" w:ascii="Times New Roman" w:eastAsia="黑体"/>
                <w:snapToGrid w:val="0"/>
                <w:spacing w:val="-6"/>
                <w:kern w:val="21"/>
                <w:szCs w:val="21"/>
                <w:lang w:val="en-US" w:eastAsia="zh-CN"/>
              </w:rPr>
            </w:pPr>
            <w:r>
              <w:rPr>
                <w:rFonts w:hint="eastAsia" w:ascii="Times New Roman" w:eastAsia="黑体"/>
                <w:snapToGrid w:val="0"/>
                <w:spacing w:val="-6"/>
                <w:kern w:val="21"/>
                <w:szCs w:val="21"/>
                <w:lang w:val="en-US" w:eastAsia="zh-CN"/>
              </w:rPr>
              <w:t>2755.5</w:t>
            </w:r>
          </w:p>
        </w:tc>
        <w:tc>
          <w:tcPr>
            <w:tcW w:w="1798" w:type="dxa"/>
            <w:tcBorders>
              <w:tl2br w:val="nil"/>
              <w:tr2bl w:val="nil"/>
            </w:tcBorders>
            <w:vAlign w:val="center"/>
          </w:tcPr>
          <w:p w14:paraId="6A3FD616">
            <w:pPr>
              <w:widowControl/>
              <w:jc w:val="center"/>
              <w:textAlignment w:val="center"/>
              <w:rPr>
                <w:rFonts w:hAnsi="宋体" w:cs="宋体"/>
                <w:snapToGrid w:val="0"/>
                <w:kern w:val="21"/>
                <w:szCs w:val="21"/>
              </w:rPr>
            </w:pPr>
            <w:r>
              <w:rPr>
                <w:rFonts w:hint="eastAsia" w:hAnsi="宋体" w:cs="宋体"/>
                <w:snapToGrid w:val="0"/>
                <w:kern w:val="21"/>
                <w:szCs w:val="21"/>
              </w:rPr>
              <w:t>/</w:t>
            </w:r>
          </w:p>
        </w:tc>
        <w:tc>
          <w:tcPr>
            <w:tcW w:w="1640" w:type="dxa"/>
            <w:tcBorders>
              <w:tl2br w:val="nil"/>
              <w:tr2bl w:val="nil"/>
            </w:tcBorders>
            <w:vAlign w:val="center"/>
          </w:tcPr>
          <w:p w14:paraId="7C038F92">
            <w:pPr>
              <w:pStyle w:val="42"/>
              <w:spacing w:beforeLines="0" w:afterLines="0" w:line="240" w:lineRule="auto"/>
              <w:rPr>
                <w:rFonts w:ascii="Times New Roman" w:eastAsia="黑体"/>
                <w:snapToGrid w:val="0"/>
                <w:spacing w:val="-6"/>
                <w:kern w:val="21"/>
                <w:szCs w:val="21"/>
              </w:rPr>
            </w:pPr>
            <w:r>
              <w:rPr>
                <w:rFonts w:hint="eastAsia" w:ascii="Times New Roman" w:eastAsia="黑体"/>
                <w:snapToGrid w:val="0"/>
                <w:spacing w:val="-6"/>
                <w:kern w:val="21"/>
                <w:szCs w:val="21"/>
                <w:lang w:val="en-US" w:eastAsia="zh-CN"/>
              </w:rPr>
              <w:t>2755.5</w:t>
            </w:r>
          </w:p>
        </w:tc>
        <w:tc>
          <w:tcPr>
            <w:tcW w:w="1203" w:type="dxa"/>
            <w:tcBorders>
              <w:tl2br w:val="nil"/>
              <w:tr2bl w:val="nil"/>
            </w:tcBorders>
            <w:vAlign w:val="center"/>
          </w:tcPr>
          <w:p w14:paraId="27CC4DC4">
            <w:pPr>
              <w:pStyle w:val="42"/>
              <w:spacing w:beforeLines="0" w:afterLines="0" w:line="240" w:lineRule="auto"/>
              <w:rPr>
                <w:rFonts w:ascii="Times New Roman" w:eastAsia="黑体"/>
                <w:snapToGrid w:val="0"/>
                <w:spacing w:val="-6"/>
                <w:kern w:val="21"/>
                <w:szCs w:val="21"/>
              </w:rPr>
            </w:pPr>
            <w:r>
              <w:rPr>
                <w:rFonts w:hint="eastAsia" w:ascii="Times New Roman" w:eastAsia="黑体"/>
                <w:snapToGrid w:val="0"/>
                <w:spacing w:val="-6"/>
                <w:kern w:val="21"/>
                <w:szCs w:val="21"/>
              </w:rPr>
              <w:t>+</w:t>
            </w:r>
            <w:r>
              <w:rPr>
                <w:rFonts w:hint="eastAsia" w:ascii="Times New Roman" w:eastAsia="黑体"/>
                <w:snapToGrid w:val="0"/>
                <w:spacing w:val="-6"/>
                <w:kern w:val="21"/>
                <w:szCs w:val="21"/>
                <w:lang w:val="en-US" w:eastAsia="zh-CN"/>
              </w:rPr>
              <w:t>2755.5</w:t>
            </w:r>
          </w:p>
        </w:tc>
      </w:tr>
      <w:tr w14:paraId="7BC086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252" w:type="dxa"/>
            <w:vMerge w:val="continue"/>
            <w:tcBorders>
              <w:tl2br w:val="nil"/>
              <w:tr2bl w:val="nil"/>
            </w:tcBorders>
            <w:vAlign w:val="center"/>
          </w:tcPr>
          <w:p w14:paraId="2866B357">
            <w:pPr>
              <w:pStyle w:val="42"/>
              <w:spacing w:beforeLines="0" w:afterLines="0" w:line="240" w:lineRule="auto"/>
              <w:rPr>
                <w:rFonts w:hAnsi="宋体" w:cs="宋体"/>
                <w:b/>
                <w:snapToGrid w:val="0"/>
                <w:kern w:val="21"/>
                <w:szCs w:val="21"/>
              </w:rPr>
            </w:pPr>
          </w:p>
        </w:tc>
        <w:tc>
          <w:tcPr>
            <w:tcW w:w="1815" w:type="dxa"/>
            <w:tcBorders>
              <w:tl2br w:val="nil"/>
              <w:tr2bl w:val="nil"/>
            </w:tcBorders>
            <w:vAlign w:val="center"/>
          </w:tcPr>
          <w:p w14:paraId="43DF742E">
            <w:pPr>
              <w:adjustRightInd w:val="0"/>
              <w:jc w:val="center"/>
              <w:rPr>
                <w:bCs/>
                <w:kern w:val="0"/>
                <w:szCs w:val="21"/>
              </w:rPr>
            </w:pPr>
            <w:r>
              <w:rPr>
                <w:bCs/>
                <w:kern w:val="0"/>
                <w:szCs w:val="21"/>
              </w:rPr>
              <w:t>COD</w:t>
            </w:r>
          </w:p>
        </w:tc>
        <w:tc>
          <w:tcPr>
            <w:tcW w:w="1736" w:type="dxa"/>
            <w:tcBorders>
              <w:tl2br w:val="nil"/>
              <w:tr2bl w:val="nil"/>
            </w:tcBorders>
            <w:vAlign w:val="center"/>
          </w:tcPr>
          <w:p w14:paraId="47A1A1DE">
            <w:pPr>
              <w:widowControl/>
              <w:jc w:val="center"/>
              <w:textAlignment w:val="center"/>
              <w:rPr>
                <w:rFonts w:hAnsi="宋体" w:cs="宋体"/>
                <w:snapToGrid w:val="0"/>
                <w:kern w:val="21"/>
                <w:szCs w:val="21"/>
              </w:rPr>
            </w:pPr>
            <w:r>
              <w:rPr>
                <w:rFonts w:hint="eastAsia" w:hAnsi="宋体" w:cs="宋体"/>
                <w:snapToGrid w:val="0"/>
                <w:kern w:val="21"/>
                <w:szCs w:val="21"/>
              </w:rPr>
              <w:t>/</w:t>
            </w:r>
          </w:p>
        </w:tc>
        <w:tc>
          <w:tcPr>
            <w:tcW w:w="1303" w:type="dxa"/>
            <w:tcBorders>
              <w:tl2br w:val="nil"/>
              <w:tr2bl w:val="nil"/>
            </w:tcBorders>
            <w:vAlign w:val="center"/>
          </w:tcPr>
          <w:p w14:paraId="43DE53BC">
            <w:pPr>
              <w:widowControl/>
              <w:jc w:val="center"/>
              <w:textAlignment w:val="center"/>
              <w:rPr>
                <w:rFonts w:hAnsi="宋体" w:cs="宋体"/>
                <w:snapToGrid w:val="0"/>
                <w:kern w:val="21"/>
                <w:szCs w:val="21"/>
              </w:rPr>
            </w:pPr>
            <w:r>
              <w:rPr>
                <w:rFonts w:hint="eastAsia" w:hAnsi="宋体" w:cs="宋体"/>
                <w:snapToGrid w:val="0"/>
                <w:kern w:val="21"/>
                <w:szCs w:val="21"/>
              </w:rPr>
              <w:t>/</w:t>
            </w:r>
          </w:p>
        </w:tc>
        <w:tc>
          <w:tcPr>
            <w:tcW w:w="1736" w:type="dxa"/>
            <w:tcBorders>
              <w:tl2br w:val="nil"/>
              <w:tr2bl w:val="nil"/>
            </w:tcBorders>
            <w:vAlign w:val="center"/>
          </w:tcPr>
          <w:p w14:paraId="5395AD31">
            <w:pPr>
              <w:widowControl/>
              <w:jc w:val="center"/>
              <w:textAlignment w:val="center"/>
              <w:rPr>
                <w:rFonts w:hAnsi="宋体" w:cs="宋体"/>
                <w:snapToGrid w:val="0"/>
                <w:kern w:val="21"/>
                <w:szCs w:val="21"/>
              </w:rPr>
            </w:pPr>
            <w:r>
              <w:rPr>
                <w:rFonts w:hint="eastAsia" w:hAnsi="宋体" w:cs="宋体"/>
                <w:snapToGrid w:val="0"/>
                <w:kern w:val="21"/>
                <w:szCs w:val="21"/>
              </w:rPr>
              <w:t>/</w:t>
            </w:r>
          </w:p>
        </w:tc>
        <w:tc>
          <w:tcPr>
            <w:tcW w:w="1592" w:type="dxa"/>
            <w:tcBorders>
              <w:tl2br w:val="nil"/>
              <w:tr2bl w:val="nil"/>
            </w:tcBorders>
            <w:vAlign w:val="center"/>
          </w:tcPr>
          <w:p w14:paraId="5361B1EE">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0.827</w:t>
            </w:r>
          </w:p>
        </w:tc>
        <w:tc>
          <w:tcPr>
            <w:tcW w:w="1798" w:type="dxa"/>
            <w:tcBorders>
              <w:tl2br w:val="nil"/>
              <w:tr2bl w:val="nil"/>
            </w:tcBorders>
            <w:vAlign w:val="center"/>
          </w:tcPr>
          <w:p w14:paraId="38E7C4F4">
            <w:pPr>
              <w:widowControl/>
              <w:jc w:val="center"/>
              <w:textAlignment w:val="center"/>
              <w:rPr>
                <w:rFonts w:hAnsi="宋体" w:cs="宋体"/>
                <w:snapToGrid w:val="0"/>
                <w:kern w:val="21"/>
                <w:szCs w:val="21"/>
              </w:rPr>
            </w:pPr>
            <w:r>
              <w:rPr>
                <w:rFonts w:hint="eastAsia" w:hAnsi="宋体" w:cs="宋体"/>
                <w:snapToGrid w:val="0"/>
                <w:kern w:val="21"/>
                <w:szCs w:val="21"/>
              </w:rPr>
              <w:t>/</w:t>
            </w:r>
          </w:p>
        </w:tc>
        <w:tc>
          <w:tcPr>
            <w:tcW w:w="1640" w:type="dxa"/>
            <w:tcBorders>
              <w:tl2br w:val="nil"/>
              <w:tr2bl w:val="nil"/>
            </w:tcBorders>
            <w:vAlign w:val="center"/>
          </w:tcPr>
          <w:p w14:paraId="06A060A6">
            <w:pPr>
              <w:keepNext w:val="0"/>
              <w:keepLines w:val="0"/>
              <w:widowControl/>
              <w:suppressLineNumbers w:val="0"/>
              <w:jc w:val="center"/>
              <w:textAlignment w:val="center"/>
              <w:rPr>
                <w:rFonts w:eastAsia="黑体"/>
                <w:snapToGrid w:val="0"/>
                <w:spacing w:val="-6"/>
                <w:kern w:val="21"/>
                <w:szCs w:val="21"/>
              </w:rPr>
            </w:pPr>
            <w:r>
              <w:rPr>
                <w:rFonts w:hint="default" w:ascii="Times New Roman" w:hAnsi="Times New Roman" w:eastAsia="宋体" w:cs="Times New Roman"/>
                <w:i w:val="0"/>
                <w:iCs w:val="0"/>
                <w:color w:val="000000"/>
                <w:kern w:val="0"/>
                <w:sz w:val="21"/>
                <w:szCs w:val="21"/>
                <w:u w:val="none"/>
                <w:lang w:val="en-US" w:eastAsia="zh-CN" w:bidi="ar"/>
              </w:rPr>
              <w:t>0.827</w:t>
            </w:r>
          </w:p>
        </w:tc>
        <w:tc>
          <w:tcPr>
            <w:tcW w:w="1203" w:type="dxa"/>
            <w:tcBorders>
              <w:tl2br w:val="nil"/>
              <w:tr2bl w:val="nil"/>
            </w:tcBorders>
            <w:vAlign w:val="center"/>
          </w:tcPr>
          <w:p w14:paraId="57CE64A4">
            <w:pPr>
              <w:keepNext w:val="0"/>
              <w:keepLines w:val="0"/>
              <w:widowControl/>
              <w:suppressLineNumbers w:val="0"/>
              <w:jc w:val="center"/>
              <w:textAlignment w:val="center"/>
              <w:rPr>
                <w:rFonts w:eastAsia="黑体"/>
                <w:snapToGrid w:val="0"/>
                <w:spacing w:val="-6"/>
                <w:kern w:val="21"/>
                <w:szCs w:val="21"/>
              </w:rPr>
            </w:pP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0.827</w:t>
            </w:r>
          </w:p>
        </w:tc>
      </w:tr>
      <w:tr w14:paraId="7ACF5C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252" w:type="dxa"/>
            <w:vMerge w:val="continue"/>
            <w:tcBorders>
              <w:tl2br w:val="nil"/>
              <w:tr2bl w:val="nil"/>
            </w:tcBorders>
            <w:vAlign w:val="center"/>
          </w:tcPr>
          <w:p w14:paraId="61AC4633">
            <w:pPr>
              <w:pStyle w:val="42"/>
              <w:spacing w:beforeLines="0" w:afterLines="0" w:line="240" w:lineRule="auto"/>
              <w:rPr>
                <w:rFonts w:hAnsi="宋体" w:cs="宋体"/>
                <w:b/>
                <w:snapToGrid w:val="0"/>
                <w:kern w:val="21"/>
                <w:szCs w:val="21"/>
              </w:rPr>
            </w:pPr>
          </w:p>
        </w:tc>
        <w:tc>
          <w:tcPr>
            <w:tcW w:w="1815" w:type="dxa"/>
            <w:tcBorders>
              <w:tl2br w:val="nil"/>
              <w:tr2bl w:val="nil"/>
            </w:tcBorders>
            <w:vAlign w:val="center"/>
          </w:tcPr>
          <w:p w14:paraId="29BA785D">
            <w:pPr>
              <w:adjustRightInd w:val="0"/>
              <w:jc w:val="center"/>
              <w:rPr>
                <w:bCs/>
                <w:kern w:val="0"/>
                <w:szCs w:val="21"/>
              </w:rPr>
            </w:pPr>
            <w:r>
              <w:rPr>
                <w:bCs/>
                <w:kern w:val="0"/>
                <w:szCs w:val="21"/>
              </w:rPr>
              <w:t>BOD</w:t>
            </w:r>
            <w:r>
              <w:rPr>
                <w:bCs/>
                <w:kern w:val="0"/>
                <w:szCs w:val="21"/>
                <w:vertAlign w:val="subscript"/>
              </w:rPr>
              <w:t>5</w:t>
            </w:r>
          </w:p>
        </w:tc>
        <w:tc>
          <w:tcPr>
            <w:tcW w:w="1736" w:type="dxa"/>
            <w:tcBorders>
              <w:tl2br w:val="nil"/>
              <w:tr2bl w:val="nil"/>
            </w:tcBorders>
            <w:vAlign w:val="center"/>
          </w:tcPr>
          <w:p w14:paraId="3F6B1CE8">
            <w:pPr>
              <w:widowControl/>
              <w:jc w:val="center"/>
              <w:textAlignment w:val="center"/>
              <w:rPr>
                <w:rFonts w:hAnsi="宋体" w:cs="宋体"/>
                <w:snapToGrid w:val="0"/>
                <w:kern w:val="21"/>
                <w:szCs w:val="21"/>
              </w:rPr>
            </w:pPr>
            <w:r>
              <w:rPr>
                <w:rFonts w:hint="eastAsia" w:hAnsi="宋体" w:cs="宋体"/>
                <w:snapToGrid w:val="0"/>
                <w:kern w:val="21"/>
                <w:szCs w:val="21"/>
              </w:rPr>
              <w:t>/</w:t>
            </w:r>
          </w:p>
        </w:tc>
        <w:tc>
          <w:tcPr>
            <w:tcW w:w="1303" w:type="dxa"/>
            <w:tcBorders>
              <w:tl2br w:val="nil"/>
              <w:tr2bl w:val="nil"/>
            </w:tcBorders>
            <w:vAlign w:val="center"/>
          </w:tcPr>
          <w:p w14:paraId="7CCF7E3F">
            <w:pPr>
              <w:widowControl/>
              <w:jc w:val="center"/>
              <w:textAlignment w:val="center"/>
              <w:rPr>
                <w:rFonts w:hAnsi="宋体" w:cs="宋体"/>
                <w:snapToGrid w:val="0"/>
                <w:kern w:val="21"/>
                <w:szCs w:val="21"/>
              </w:rPr>
            </w:pPr>
            <w:r>
              <w:rPr>
                <w:rFonts w:hint="eastAsia" w:hAnsi="宋体" w:cs="宋体"/>
                <w:snapToGrid w:val="0"/>
                <w:kern w:val="21"/>
                <w:szCs w:val="21"/>
              </w:rPr>
              <w:t>/</w:t>
            </w:r>
          </w:p>
        </w:tc>
        <w:tc>
          <w:tcPr>
            <w:tcW w:w="1736" w:type="dxa"/>
            <w:tcBorders>
              <w:tl2br w:val="nil"/>
              <w:tr2bl w:val="nil"/>
            </w:tcBorders>
            <w:vAlign w:val="center"/>
          </w:tcPr>
          <w:p w14:paraId="5D45FEFF">
            <w:pPr>
              <w:widowControl/>
              <w:jc w:val="center"/>
              <w:textAlignment w:val="center"/>
              <w:rPr>
                <w:rFonts w:hAnsi="宋体" w:cs="宋体"/>
                <w:snapToGrid w:val="0"/>
                <w:kern w:val="21"/>
                <w:szCs w:val="21"/>
              </w:rPr>
            </w:pPr>
            <w:r>
              <w:rPr>
                <w:rFonts w:hint="eastAsia" w:hAnsi="宋体" w:cs="宋体"/>
                <w:snapToGrid w:val="0"/>
                <w:kern w:val="21"/>
                <w:szCs w:val="21"/>
              </w:rPr>
              <w:t>/</w:t>
            </w:r>
          </w:p>
        </w:tc>
        <w:tc>
          <w:tcPr>
            <w:tcW w:w="1592" w:type="dxa"/>
            <w:tcBorders>
              <w:tl2br w:val="nil"/>
              <w:tr2bl w:val="nil"/>
            </w:tcBorders>
            <w:vAlign w:val="center"/>
          </w:tcPr>
          <w:p w14:paraId="341A6305">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0.413</w:t>
            </w:r>
          </w:p>
        </w:tc>
        <w:tc>
          <w:tcPr>
            <w:tcW w:w="1798" w:type="dxa"/>
            <w:tcBorders>
              <w:tl2br w:val="nil"/>
              <w:tr2bl w:val="nil"/>
            </w:tcBorders>
            <w:vAlign w:val="center"/>
          </w:tcPr>
          <w:p w14:paraId="4A8008B1">
            <w:pPr>
              <w:widowControl/>
              <w:jc w:val="center"/>
              <w:textAlignment w:val="center"/>
              <w:rPr>
                <w:rFonts w:hAnsi="宋体" w:cs="宋体"/>
                <w:snapToGrid w:val="0"/>
                <w:kern w:val="21"/>
                <w:szCs w:val="21"/>
              </w:rPr>
            </w:pPr>
            <w:r>
              <w:rPr>
                <w:rFonts w:hint="eastAsia" w:hAnsi="宋体" w:cs="宋体"/>
                <w:snapToGrid w:val="0"/>
                <w:kern w:val="21"/>
                <w:szCs w:val="21"/>
              </w:rPr>
              <w:t>/</w:t>
            </w:r>
          </w:p>
        </w:tc>
        <w:tc>
          <w:tcPr>
            <w:tcW w:w="1640" w:type="dxa"/>
            <w:tcBorders>
              <w:tl2br w:val="nil"/>
              <w:tr2bl w:val="nil"/>
            </w:tcBorders>
            <w:vAlign w:val="center"/>
          </w:tcPr>
          <w:p w14:paraId="442ED52B">
            <w:pPr>
              <w:keepNext w:val="0"/>
              <w:keepLines w:val="0"/>
              <w:widowControl/>
              <w:suppressLineNumbers w:val="0"/>
              <w:jc w:val="center"/>
              <w:textAlignment w:val="center"/>
              <w:rPr>
                <w:rFonts w:eastAsia="黑体"/>
                <w:snapToGrid w:val="0"/>
                <w:spacing w:val="-6"/>
                <w:kern w:val="21"/>
                <w:szCs w:val="21"/>
              </w:rPr>
            </w:pPr>
            <w:r>
              <w:rPr>
                <w:rFonts w:hint="default" w:ascii="Times New Roman" w:hAnsi="Times New Roman" w:eastAsia="宋体" w:cs="Times New Roman"/>
                <w:i w:val="0"/>
                <w:iCs w:val="0"/>
                <w:color w:val="000000"/>
                <w:kern w:val="0"/>
                <w:sz w:val="21"/>
                <w:szCs w:val="21"/>
                <w:u w:val="none"/>
                <w:lang w:val="en-US" w:eastAsia="zh-CN" w:bidi="ar"/>
              </w:rPr>
              <w:t>0.413</w:t>
            </w:r>
          </w:p>
        </w:tc>
        <w:tc>
          <w:tcPr>
            <w:tcW w:w="1203" w:type="dxa"/>
            <w:tcBorders>
              <w:tl2br w:val="nil"/>
              <w:tr2bl w:val="nil"/>
            </w:tcBorders>
            <w:vAlign w:val="center"/>
          </w:tcPr>
          <w:p w14:paraId="48D4B023">
            <w:pPr>
              <w:keepNext w:val="0"/>
              <w:keepLines w:val="0"/>
              <w:widowControl/>
              <w:suppressLineNumbers w:val="0"/>
              <w:jc w:val="center"/>
              <w:textAlignment w:val="center"/>
              <w:rPr>
                <w:rFonts w:eastAsia="黑体"/>
                <w:snapToGrid w:val="0"/>
                <w:spacing w:val="-6"/>
                <w:kern w:val="21"/>
                <w:szCs w:val="21"/>
              </w:rPr>
            </w:pP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0.413</w:t>
            </w:r>
          </w:p>
        </w:tc>
      </w:tr>
      <w:tr w14:paraId="61FEC3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252" w:type="dxa"/>
            <w:vMerge w:val="continue"/>
            <w:tcBorders>
              <w:tl2br w:val="nil"/>
              <w:tr2bl w:val="nil"/>
            </w:tcBorders>
            <w:vAlign w:val="center"/>
          </w:tcPr>
          <w:p w14:paraId="139964BF">
            <w:pPr>
              <w:pStyle w:val="42"/>
              <w:spacing w:beforeLines="0" w:afterLines="0" w:line="240" w:lineRule="auto"/>
              <w:rPr>
                <w:rFonts w:hAnsi="宋体" w:cs="宋体"/>
                <w:b/>
                <w:snapToGrid w:val="0"/>
                <w:kern w:val="21"/>
                <w:szCs w:val="21"/>
              </w:rPr>
            </w:pPr>
          </w:p>
        </w:tc>
        <w:tc>
          <w:tcPr>
            <w:tcW w:w="1815" w:type="dxa"/>
            <w:tcBorders>
              <w:tl2br w:val="nil"/>
              <w:tr2bl w:val="nil"/>
            </w:tcBorders>
            <w:vAlign w:val="center"/>
          </w:tcPr>
          <w:p w14:paraId="447EC23A">
            <w:pPr>
              <w:adjustRightInd w:val="0"/>
              <w:jc w:val="center"/>
              <w:rPr>
                <w:bCs/>
                <w:kern w:val="0"/>
                <w:szCs w:val="21"/>
              </w:rPr>
            </w:pPr>
            <w:r>
              <w:rPr>
                <w:bCs/>
                <w:kern w:val="0"/>
                <w:szCs w:val="21"/>
              </w:rPr>
              <w:t>SS</w:t>
            </w:r>
          </w:p>
        </w:tc>
        <w:tc>
          <w:tcPr>
            <w:tcW w:w="1736" w:type="dxa"/>
            <w:tcBorders>
              <w:tl2br w:val="nil"/>
              <w:tr2bl w:val="nil"/>
            </w:tcBorders>
            <w:vAlign w:val="center"/>
          </w:tcPr>
          <w:p w14:paraId="148BE924">
            <w:pPr>
              <w:widowControl/>
              <w:jc w:val="center"/>
              <w:textAlignment w:val="center"/>
              <w:rPr>
                <w:rFonts w:hAnsi="宋体" w:cs="宋体"/>
                <w:snapToGrid w:val="0"/>
                <w:kern w:val="21"/>
                <w:szCs w:val="21"/>
              </w:rPr>
            </w:pPr>
            <w:r>
              <w:rPr>
                <w:rFonts w:hint="eastAsia" w:hAnsi="宋体" w:cs="宋体"/>
                <w:snapToGrid w:val="0"/>
                <w:kern w:val="21"/>
                <w:szCs w:val="21"/>
              </w:rPr>
              <w:t>/</w:t>
            </w:r>
          </w:p>
        </w:tc>
        <w:tc>
          <w:tcPr>
            <w:tcW w:w="1303" w:type="dxa"/>
            <w:tcBorders>
              <w:tl2br w:val="nil"/>
              <w:tr2bl w:val="nil"/>
            </w:tcBorders>
            <w:vAlign w:val="center"/>
          </w:tcPr>
          <w:p w14:paraId="2F3AEC26">
            <w:pPr>
              <w:widowControl/>
              <w:jc w:val="center"/>
              <w:textAlignment w:val="center"/>
              <w:rPr>
                <w:rFonts w:hAnsi="宋体" w:cs="宋体"/>
                <w:snapToGrid w:val="0"/>
                <w:kern w:val="21"/>
                <w:szCs w:val="21"/>
              </w:rPr>
            </w:pPr>
            <w:r>
              <w:rPr>
                <w:rFonts w:hint="eastAsia" w:hAnsi="宋体" w:cs="宋体"/>
                <w:snapToGrid w:val="0"/>
                <w:kern w:val="21"/>
                <w:szCs w:val="21"/>
              </w:rPr>
              <w:t>/</w:t>
            </w:r>
          </w:p>
        </w:tc>
        <w:tc>
          <w:tcPr>
            <w:tcW w:w="1736" w:type="dxa"/>
            <w:tcBorders>
              <w:tl2br w:val="nil"/>
              <w:tr2bl w:val="nil"/>
            </w:tcBorders>
            <w:vAlign w:val="center"/>
          </w:tcPr>
          <w:p w14:paraId="585C2217">
            <w:pPr>
              <w:widowControl/>
              <w:jc w:val="center"/>
              <w:textAlignment w:val="center"/>
              <w:rPr>
                <w:rFonts w:hAnsi="宋体" w:cs="宋体"/>
                <w:snapToGrid w:val="0"/>
                <w:kern w:val="21"/>
                <w:szCs w:val="21"/>
              </w:rPr>
            </w:pPr>
            <w:r>
              <w:rPr>
                <w:rFonts w:hint="eastAsia" w:hAnsi="宋体" w:cs="宋体"/>
                <w:snapToGrid w:val="0"/>
                <w:kern w:val="21"/>
                <w:szCs w:val="21"/>
              </w:rPr>
              <w:t>/</w:t>
            </w:r>
          </w:p>
        </w:tc>
        <w:tc>
          <w:tcPr>
            <w:tcW w:w="1592" w:type="dxa"/>
            <w:tcBorders>
              <w:tl2br w:val="nil"/>
              <w:tr2bl w:val="nil"/>
            </w:tcBorders>
            <w:vAlign w:val="center"/>
          </w:tcPr>
          <w:p w14:paraId="10CC13EF">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0.361</w:t>
            </w:r>
          </w:p>
        </w:tc>
        <w:tc>
          <w:tcPr>
            <w:tcW w:w="1798" w:type="dxa"/>
            <w:tcBorders>
              <w:tl2br w:val="nil"/>
              <w:tr2bl w:val="nil"/>
            </w:tcBorders>
            <w:vAlign w:val="center"/>
          </w:tcPr>
          <w:p w14:paraId="191A5F82">
            <w:pPr>
              <w:widowControl/>
              <w:jc w:val="center"/>
              <w:textAlignment w:val="center"/>
              <w:rPr>
                <w:rFonts w:hAnsi="宋体" w:cs="宋体"/>
                <w:snapToGrid w:val="0"/>
                <w:kern w:val="21"/>
                <w:szCs w:val="21"/>
              </w:rPr>
            </w:pPr>
            <w:r>
              <w:rPr>
                <w:rFonts w:hint="eastAsia" w:hAnsi="宋体" w:cs="宋体"/>
                <w:snapToGrid w:val="0"/>
                <w:kern w:val="21"/>
                <w:szCs w:val="21"/>
              </w:rPr>
              <w:t>/</w:t>
            </w:r>
          </w:p>
        </w:tc>
        <w:tc>
          <w:tcPr>
            <w:tcW w:w="1640" w:type="dxa"/>
            <w:tcBorders>
              <w:tl2br w:val="nil"/>
              <w:tr2bl w:val="nil"/>
            </w:tcBorders>
            <w:vAlign w:val="center"/>
          </w:tcPr>
          <w:p w14:paraId="2BF04B2A">
            <w:pPr>
              <w:keepNext w:val="0"/>
              <w:keepLines w:val="0"/>
              <w:widowControl/>
              <w:suppressLineNumbers w:val="0"/>
              <w:jc w:val="center"/>
              <w:textAlignment w:val="center"/>
              <w:rPr>
                <w:rFonts w:eastAsia="黑体"/>
                <w:snapToGrid w:val="0"/>
                <w:spacing w:val="-6"/>
                <w:kern w:val="21"/>
                <w:szCs w:val="21"/>
              </w:rPr>
            </w:pPr>
            <w:r>
              <w:rPr>
                <w:rFonts w:hint="default" w:ascii="Times New Roman" w:hAnsi="Times New Roman" w:eastAsia="宋体" w:cs="Times New Roman"/>
                <w:i w:val="0"/>
                <w:iCs w:val="0"/>
                <w:color w:val="000000"/>
                <w:kern w:val="0"/>
                <w:sz w:val="21"/>
                <w:szCs w:val="21"/>
                <w:u w:val="none"/>
                <w:lang w:val="en-US" w:eastAsia="zh-CN" w:bidi="ar"/>
              </w:rPr>
              <w:t>0.361</w:t>
            </w:r>
          </w:p>
        </w:tc>
        <w:tc>
          <w:tcPr>
            <w:tcW w:w="1203" w:type="dxa"/>
            <w:tcBorders>
              <w:tl2br w:val="nil"/>
              <w:tr2bl w:val="nil"/>
            </w:tcBorders>
            <w:vAlign w:val="center"/>
          </w:tcPr>
          <w:p w14:paraId="15086BE6">
            <w:pPr>
              <w:keepNext w:val="0"/>
              <w:keepLines w:val="0"/>
              <w:widowControl/>
              <w:suppressLineNumbers w:val="0"/>
              <w:jc w:val="center"/>
              <w:textAlignment w:val="center"/>
              <w:rPr>
                <w:rFonts w:eastAsia="黑体"/>
                <w:snapToGrid w:val="0"/>
                <w:spacing w:val="-6"/>
                <w:kern w:val="21"/>
                <w:szCs w:val="21"/>
              </w:rPr>
            </w:pP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0.361</w:t>
            </w:r>
          </w:p>
        </w:tc>
      </w:tr>
      <w:tr w14:paraId="0DBEEE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252" w:type="dxa"/>
            <w:vMerge w:val="continue"/>
            <w:tcBorders>
              <w:tl2br w:val="nil"/>
              <w:tr2bl w:val="nil"/>
            </w:tcBorders>
            <w:vAlign w:val="center"/>
          </w:tcPr>
          <w:p w14:paraId="15F4BB04">
            <w:pPr>
              <w:pStyle w:val="42"/>
              <w:spacing w:beforeLines="0" w:afterLines="0" w:line="240" w:lineRule="auto"/>
              <w:rPr>
                <w:rFonts w:hAnsi="宋体" w:cs="宋体"/>
                <w:b/>
                <w:snapToGrid w:val="0"/>
                <w:kern w:val="21"/>
                <w:szCs w:val="21"/>
              </w:rPr>
            </w:pPr>
          </w:p>
        </w:tc>
        <w:tc>
          <w:tcPr>
            <w:tcW w:w="1815" w:type="dxa"/>
            <w:tcBorders>
              <w:tl2br w:val="nil"/>
              <w:tr2bl w:val="nil"/>
            </w:tcBorders>
            <w:vAlign w:val="center"/>
          </w:tcPr>
          <w:p w14:paraId="7DF7ED1A">
            <w:pPr>
              <w:adjustRightInd w:val="0"/>
              <w:jc w:val="center"/>
              <w:rPr>
                <w:bCs/>
                <w:kern w:val="0"/>
                <w:szCs w:val="21"/>
              </w:rPr>
            </w:pPr>
            <w:r>
              <w:rPr>
                <w:bCs/>
                <w:kern w:val="0"/>
                <w:szCs w:val="21"/>
              </w:rPr>
              <w:t>NH</w:t>
            </w:r>
            <w:r>
              <w:rPr>
                <w:bCs/>
                <w:kern w:val="0"/>
                <w:szCs w:val="21"/>
                <w:vertAlign w:val="subscript"/>
              </w:rPr>
              <w:t>3</w:t>
            </w:r>
            <w:r>
              <w:rPr>
                <w:bCs/>
                <w:kern w:val="0"/>
                <w:szCs w:val="21"/>
              </w:rPr>
              <w:t>-N</w:t>
            </w:r>
          </w:p>
        </w:tc>
        <w:tc>
          <w:tcPr>
            <w:tcW w:w="1736" w:type="dxa"/>
            <w:tcBorders>
              <w:tl2br w:val="nil"/>
              <w:tr2bl w:val="nil"/>
            </w:tcBorders>
            <w:vAlign w:val="center"/>
          </w:tcPr>
          <w:p w14:paraId="31647312">
            <w:pPr>
              <w:widowControl/>
              <w:jc w:val="center"/>
              <w:textAlignment w:val="center"/>
              <w:rPr>
                <w:rFonts w:hAnsi="宋体" w:cs="宋体"/>
                <w:snapToGrid w:val="0"/>
                <w:kern w:val="21"/>
                <w:szCs w:val="21"/>
              </w:rPr>
            </w:pPr>
            <w:r>
              <w:rPr>
                <w:rFonts w:hint="eastAsia" w:hAnsi="宋体" w:cs="宋体"/>
                <w:snapToGrid w:val="0"/>
                <w:kern w:val="21"/>
                <w:szCs w:val="21"/>
              </w:rPr>
              <w:t>/</w:t>
            </w:r>
          </w:p>
        </w:tc>
        <w:tc>
          <w:tcPr>
            <w:tcW w:w="1303" w:type="dxa"/>
            <w:tcBorders>
              <w:tl2br w:val="nil"/>
              <w:tr2bl w:val="nil"/>
            </w:tcBorders>
            <w:vAlign w:val="center"/>
          </w:tcPr>
          <w:p w14:paraId="1ED8D349">
            <w:pPr>
              <w:widowControl/>
              <w:jc w:val="center"/>
              <w:textAlignment w:val="center"/>
              <w:rPr>
                <w:rFonts w:hAnsi="宋体" w:cs="宋体"/>
                <w:snapToGrid w:val="0"/>
                <w:kern w:val="21"/>
                <w:szCs w:val="21"/>
              </w:rPr>
            </w:pPr>
            <w:r>
              <w:rPr>
                <w:rFonts w:hint="eastAsia" w:hAnsi="宋体" w:cs="宋体"/>
                <w:snapToGrid w:val="0"/>
                <w:kern w:val="21"/>
                <w:szCs w:val="21"/>
              </w:rPr>
              <w:t>/</w:t>
            </w:r>
          </w:p>
        </w:tc>
        <w:tc>
          <w:tcPr>
            <w:tcW w:w="1736" w:type="dxa"/>
            <w:tcBorders>
              <w:tl2br w:val="nil"/>
              <w:tr2bl w:val="nil"/>
            </w:tcBorders>
            <w:vAlign w:val="center"/>
          </w:tcPr>
          <w:p w14:paraId="4283F4BA">
            <w:pPr>
              <w:widowControl/>
              <w:jc w:val="center"/>
              <w:textAlignment w:val="center"/>
              <w:rPr>
                <w:rFonts w:hAnsi="宋体" w:cs="宋体"/>
                <w:snapToGrid w:val="0"/>
                <w:kern w:val="21"/>
                <w:szCs w:val="21"/>
              </w:rPr>
            </w:pPr>
            <w:r>
              <w:rPr>
                <w:rFonts w:hint="eastAsia" w:hAnsi="宋体" w:cs="宋体"/>
                <w:snapToGrid w:val="0"/>
                <w:kern w:val="21"/>
                <w:szCs w:val="21"/>
              </w:rPr>
              <w:t>/</w:t>
            </w:r>
          </w:p>
        </w:tc>
        <w:tc>
          <w:tcPr>
            <w:tcW w:w="1592" w:type="dxa"/>
            <w:tcBorders>
              <w:tl2br w:val="nil"/>
              <w:tr2bl w:val="nil"/>
            </w:tcBorders>
            <w:vAlign w:val="center"/>
          </w:tcPr>
          <w:p w14:paraId="45E83654">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0.117</w:t>
            </w:r>
          </w:p>
        </w:tc>
        <w:tc>
          <w:tcPr>
            <w:tcW w:w="1798" w:type="dxa"/>
            <w:tcBorders>
              <w:tl2br w:val="nil"/>
              <w:tr2bl w:val="nil"/>
            </w:tcBorders>
            <w:vAlign w:val="center"/>
          </w:tcPr>
          <w:p w14:paraId="012313E3">
            <w:pPr>
              <w:widowControl/>
              <w:jc w:val="center"/>
              <w:textAlignment w:val="center"/>
              <w:rPr>
                <w:rFonts w:hAnsi="宋体" w:cs="宋体"/>
                <w:snapToGrid w:val="0"/>
                <w:kern w:val="21"/>
                <w:szCs w:val="21"/>
              </w:rPr>
            </w:pPr>
            <w:r>
              <w:rPr>
                <w:rFonts w:hint="eastAsia" w:hAnsi="宋体" w:cs="宋体"/>
                <w:snapToGrid w:val="0"/>
                <w:kern w:val="21"/>
                <w:szCs w:val="21"/>
              </w:rPr>
              <w:t>/</w:t>
            </w:r>
          </w:p>
        </w:tc>
        <w:tc>
          <w:tcPr>
            <w:tcW w:w="1640" w:type="dxa"/>
            <w:tcBorders>
              <w:tl2br w:val="nil"/>
              <w:tr2bl w:val="nil"/>
            </w:tcBorders>
            <w:vAlign w:val="center"/>
          </w:tcPr>
          <w:p w14:paraId="210F12F1">
            <w:pPr>
              <w:keepNext w:val="0"/>
              <w:keepLines w:val="0"/>
              <w:widowControl/>
              <w:suppressLineNumbers w:val="0"/>
              <w:jc w:val="center"/>
              <w:textAlignment w:val="center"/>
              <w:rPr>
                <w:rFonts w:eastAsia="黑体"/>
                <w:snapToGrid w:val="0"/>
                <w:spacing w:val="-6"/>
                <w:kern w:val="21"/>
                <w:szCs w:val="21"/>
              </w:rPr>
            </w:pPr>
            <w:r>
              <w:rPr>
                <w:rFonts w:hint="default" w:ascii="Times New Roman" w:hAnsi="Times New Roman" w:eastAsia="宋体" w:cs="Times New Roman"/>
                <w:i w:val="0"/>
                <w:iCs w:val="0"/>
                <w:color w:val="000000"/>
                <w:kern w:val="0"/>
                <w:sz w:val="21"/>
                <w:szCs w:val="21"/>
                <w:u w:val="none"/>
                <w:lang w:val="en-US" w:eastAsia="zh-CN" w:bidi="ar"/>
              </w:rPr>
              <w:t>0.117</w:t>
            </w:r>
          </w:p>
        </w:tc>
        <w:tc>
          <w:tcPr>
            <w:tcW w:w="1203" w:type="dxa"/>
            <w:tcBorders>
              <w:tl2br w:val="nil"/>
              <w:tr2bl w:val="nil"/>
            </w:tcBorders>
            <w:vAlign w:val="center"/>
          </w:tcPr>
          <w:p w14:paraId="5408E5A5">
            <w:pPr>
              <w:keepNext w:val="0"/>
              <w:keepLines w:val="0"/>
              <w:widowControl/>
              <w:suppressLineNumbers w:val="0"/>
              <w:jc w:val="center"/>
              <w:textAlignment w:val="center"/>
              <w:rPr>
                <w:rFonts w:eastAsia="黑体"/>
                <w:snapToGrid w:val="0"/>
                <w:spacing w:val="-6"/>
                <w:kern w:val="21"/>
                <w:szCs w:val="21"/>
              </w:rPr>
            </w:pP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0.117</w:t>
            </w:r>
          </w:p>
        </w:tc>
      </w:tr>
      <w:tr w14:paraId="16A50E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252" w:type="dxa"/>
            <w:vMerge w:val="continue"/>
            <w:tcBorders>
              <w:tl2br w:val="nil"/>
              <w:tr2bl w:val="nil"/>
            </w:tcBorders>
            <w:vAlign w:val="center"/>
          </w:tcPr>
          <w:p w14:paraId="1180353D">
            <w:pPr>
              <w:pStyle w:val="42"/>
              <w:spacing w:beforeLines="0" w:afterLines="0" w:line="240" w:lineRule="auto"/>
              <w:rPr>
                <w:rFonts w:hAnsi="宋体" w:cs="宋体"/>
                <w:b/>
                <w:snapToGrid w:val="0"/>
                <w:kern w:val="21"/>
                <w:szCs w:val="21"/>
              </w:rPr>
            </w:pPr>
          </w:p>
        </w:tc>
        <w:tc>
          <w:tcPr>
            <w:tcW w:w="1815" w:type="dxa"/>
            <w:tcBorders>
              <w:tl2br w:val="nil"/>
              <w:tr2bl w:val="nil"/>
            </w:tcBorders>
            <w:vAlign w:val="center"/>
          </w:tcPr>
          <w:p w14:paraId="23EDEAE9">
            <w:pPr>
              <w:adjustRightInd w:val="0"/>
              <w:jc w:val="center"/>
              <w:rPr>
                <w:szCs w:val="21"/>
              </w:rPr>
            </w:pPr>
            <w:r>
              <w:rPr>
                <w:szCs w:val="21"/>
              </w:rPr>
              <w:t>TP</w:t>
            </w:r>
          </w:p>
        </w:tc>
        <w:tc>
          <w:tcPr>
            <w:tcW w:w="1736" w:type="dxa"/>
            <w:tcBorders>
              <w:tl2br w:val="nil"/>
              <w:tr2bl w:val="nil"/>
            </w:tcBorders>
            <w:vAlign w:val="center"/>
          </w:tcPr>
          <w:p w14:paraId="0ADA11AA">
            <w:pPr>
              <w:widowControl/>
              <w:jc w:val="center"/>
              <w:textAlignment w:val="center"/>
              <w:rPr>
                <w:rFonts w:hAnsi="宋体" w:cs="宋体"/>
                <w:snapToGrid w:val="0"/>
                <w:kern w:val="21"/>
                <w:szCs w:val="21"/>
              </w:rPr>
            </w:pPr>
            <w:r>
              <w:rPr>
                <w:rFonts w:hint="eastAsia" w:hAnsi="宋体" w:cs="宋体"/>
                <w:snapToGrid w:val="0"/>
                <w:kern w:val="21"/>
                <w:szCs w:val="21"/>
              </w:rPr>
              <w:t>/</w:t>
            </w:r>
          </w:p>
        </w:tc>
        <w:tc>
          <w:tcPr>
            <w:tcW w:w="1303" w:type="dxa"/>
            <w:tcBorders>
              <w:tl2br w:val="nil"/>
              <w:tr2bl w:val="nil"/>
            </w:tcBorders>
            <w:vAlign w:val="center"/>
          </w:tcPr>
          <w:p w14:paraId="7B568CE3">
            <w:pPr>
              <w:widowControl/>
              <w:jc w:val="center"/>
              <w:textAlignment w:val="center"/>
              <w:rPr>
                <w:rFonts w:hAnsi="宋体" w:cs="宋体"/>
                <w:snapToGrid w:val="0"/>
                <w:kern w:val="21"/>
                <w:szCs w:val="21"/>
              </w:rPr>
            </w:pPr>
            <w:r>
              <w:rPr>
                <w:rFonts w:hint="eastAsia" w:hAnsi="宋体" w:cs="宋体"/>
                <w:snapToGrid w:val="0"/>
                <w:kern w:val="21"/>
                <w:szCs w:val="21"/>
              </w:rPr>
              <w:t>/</w:t>
            </w:r>
          </w:p>
        </w:tc>
        <w:tc>
          <w:tcPr>
            <w:tcW w:w="1736" w:type="dxa"/>
            <w:tcBorders>
              <w:tl2br w:val="nil"/>
              <w:tr2bl w:val="nil"/>
            </w:tcBorders>
            <w:vAlign w:val="center"/>
          </w:tcPr>
          <w:p w14:paraId="31CC45F7">
            <w:pPr>
              <w:widowControl/>
              <w:jc w:val="center"/>
              <w:textAlignment w:val="center"/>
              <w:rPr>
                <w:rFonts w:hAnsi="宋体" w:cs="宋体"/>
                <w:snapToGrid w:val="0"/>
                <w:kern w:val="21"/>
                <w:szCs w:val="21"/>
              </w:rPr>
            </w:pPr>
            <w:r>
              <w:rPr>
                <w:rFonts w:hint="eastAsia" w:hAnsi="宋体" w:cs="宋体"/>
                <w:snapToGrid w:val="0"/>
                <w:kern w:val="21"/>
                <w:szCs w:val="21"/>
              </w:rPr>
              <w:t>/</w:t>
            </w:r>
          </w:p>
        </w:tc>
        <w:tc>
          <w:tcPr>
            <w:tcW w:w="1592" w:type="dxa"/>
            <w:tcBorders>
              <w:tl2br w:val="nil"/>
              <w:tr2bl w:val="nil"/>
            </w:tcBorders>
            <w:vAlign w:val="center"/>
          </w:tcPr>
          <w:p w14:paraId="08B6A859">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0.004</w:t>
            </w:r>
          </w:p>
        </w:tc>
        <w:tc>
          <w:tcPr>
            <w:tcW w:w="1798" w:type="dxa"/>
            <w:tcBorders>
              <w:tl2br w:val="nil"/>
              <w:tr2bl w:val="nil"/>
            </w:tcBorders>
            <w:vAlign w:val="center"/>
          </w:tcPr>
          <w:p w14:paraId="2F0C6F2A">
            <w:pPr>
              <w:widowControl/>
              <w:jc w:val="center"/>
              <w:textAlignment w:val="center"/>
              <w:rPr>
                <w:rFonts w:hAnsi="宋体" w:cs="宋体"/>
                <w:snapToGrid w:val="0"/>
                <w:kern w:val="21"/>
                <w:szCs w:val="21"/>
              </w:rPr>
            </w:pPr>
            <w:r>
              <w:rPr>
                <w:rFonts w:hint="eastAsia" w:hAnsi="宋体" w:cs="宋体"/>
                <w:snapToGrid w:val="0"/>
                <w:kern w:val="21"/>
                <w:szCs w:val="21"/>
              </w:rPr>
              <w:t>/</w:t>
            </w:r>
          </w:p>
        </w:tc>
        <w:tc>
          <w:tcPr>
            <w:tcW w:w="1640" w:type="dxa"/>
            <w:tcBorders>
              <w:tl2br w:val="nil"/>
              <w:tr2bl w:val="nil"/>
            </w:tcBorders>
            <w:vAlign w:val="center"/>
          </w:tcPr>
          <w:p w14:paraId="43CCD056">
            <w:pPr>
              <w:keepNext w:val="0"/>
              <w:keepLines w:val="0"/>
              <w:widowControl/>
              <w:suppressLineNumbers w:val="0"/>
              <w:jc w:val="center"/>
              <w:textAlignment w:val="center"/>
              <w:rPr>
                <w:rFonts w:eastAsia="黑体"/>
                <w:snapToGrid w:val="0"/>
                <w:spacing w:val="-6"/>
                <w:kern w:val="21"/>
                <w:szCs w:val="21"/>
              </w:rPr>
            </w:pPr>
            <w:r>
              <w:rPr>
                <w:rFonts w:hint="default" w:ascii="Times New Roman" w:hAnsi="Times New Roman" w:eastAsia="宋体" w:cs="Times New Roman"/>
                <w:i w:val="0"/>
                <w:iCs w:val="0"/>
                <w:color w:val="000000"/>
                <w:kern w:val="0"/>
                <w:sz w:val="21"/>
                <w:szCs w:val="21"/>
                <w:u w:val="none"/>
                <w:lang w:val="en-US" w:eastAsia="zh-CN" w:bidi="ar"/>
              </w:rPr>
              <w:t>0.004</w:t>
            </w:r>
          </w:p>
        </w:tc>
        <w:tc>
          <w:tcPr>
            <w:tcW w:w="1203" w:type="dxa"/>
            <w:tcBorders>
              <w:tl2br w:val="nil"/>
              <w:tr2bl w:val="nil"/>
            </w:tcBorders>
            <w:vAlign w:val="center"/>
          </w:tcPr>
          <w:p w14:paraId="43104F2A">
            <w:pPr>
              <w:keepNext w:val="0"/>
              <w:keepLines w:val="0"/>
              <w:widowControl/>
              <w:suppressLineNumbers w:val="0"/>
              <w:jc w:val="center"/>
              <w:textAlignment w:val="center"/>
              <w:rPr>
                <w:rFonts w:eastAsia="黑体"/>
                <w:snapToGrid w:val="0"/>
                <w:spacing w:val="-6"/>
                <w:kern w:val="21"/>
                <w:szCs w:val="21"/>
              </w:rPr>
            </w:pP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0.004</w:t>
            </w:r>
          </w:p>
        </w:tc>
      </w:tr>
      <w:tr w14:paraId="313F4C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252" w:type="dxa"/>
            <w:vMerge w:val="continue"/>
            <w:tcBorders>
              <w:tl2br w:val="nil"/>
              <w:tr2bl w:val="nil"/>
            </w:tcBorders>
            <w:vAlign w:val="center"/>
          </w:tcPr>
          <w:p w14:paraId="6D40F66D">
            <w:pPr>
              <w:pStyle w:val="42"/>
              <w:spacing w:beforeLines="0" w:afterLines="0" w:line="240" w:lineRule="auto"/>
              <w:rPr>
                <w:rFonts w:hAnsi="宋体" w:cs="宋体"/>
                <w:b/>
                <w:snapToGrid w:val="0"/>
                <w:kern w:val="21"/>
                <w:szCs w:val="21"/>
              </w:rPr>
            </w:pPr>
          </w:p>
        </w:tc>
        <w:tc>
          <w:tcPr>
            <w:tcW w:w="1815" w:type="dxa"/>
            <w:tcBorders>
              <w:tl2br w:val="nil"/>
              <w:tr2bl w:val="nil"/>
            </w:tcBorders>
            <w:vAlign w:val="center"/>
          </w:tcPr>
          <w:p w14:paraId="7B623F19">
            <w:pPr>
              <w:adjustRightInd w:val="0"/>
              <w:jc w:val="center"/>
              <w:rPr>
                <w:szCs w:val="21"/>
              </w:rPr>
            </w:pPr>
            <w:r>
              <w:rPr>
                <w:szCs w:val="21"/>
              </w:rPr>
              <w:t>TN</w:t>
            </w:r>
          </w:p>
        </w:tc>
        <w:tc>
          <w:tcPr>
            <w:tcW w:w="1736" w:type="dxa"/>
            <w:tcBorders>
              <w:tl2br w:val="nil"/>
              <w:tr2bl w:val="nil"/>
            </w:tcBorders>
            <w:vAlign w:val="center"/>
          </w:tcPr>
          <w:p w14:paraId="207AFED3">
            <w:pPr>
              <w:widowControl/>
              <w:jc w:val="center"/>
              <w:textAlignment w:val="center"/>
              <w:rPr>
                <w:rFonts w:hAnsi="宋体" w:cs="宋体"/>
                <w:snapToGrid w:val="0"/>
                <w:kern w:val="21"/>
                <w:szCs w:val="21"/>
              </w:rPr>
            </w:pPr>
            <w:r>
              <w:rPr>
                <w:rFonts w:hint="eastAsia" w:hAnsi="宋体" w:cs="宋体"/>
                <w:snapToGrid w:val="0"/>
                <w:kern w:val="21"/>
                <w:szCs w:val="21"/>
              </w:rPr>
              <w:t>/</w:t>
            </w:r>
          </w:p>
        </w:tc>
        <w:tc>
          <w:tcPr>
            <w:tcW w:w="1303" w:type="dxa"/>
            <w:tcBorders>
              <w:tl2br w:val="nil"/>
              <w:tr2bl w:val="nil"/>
            </w:tcBorders>
            <w:vAlign w:val="center"/>
          </w:tcPr>
          <w:p w14:paraId="259C2EDC">
            <w:pPr>
              <w:widowControl/>
              <w:jc w:val="center"/>
              <w:textAlignment w:val="center"/>
              <w:rPr>
                <w:rFonts w:hAnsi="宋体" w:cs="宋体"/>
                <w:snapToGrid w:val="0"/>
                <w:kern w:val="21"/>
                <w:szCs w:val="21"/>
              </w:rPr>
            </w:pPr>
            <w:r>
              <w:rPr>
                <w:rFonts w:hint="eastAsia" w:hAnsi="宋体" w:cs="宋体"/>
                <w:snapToGrid w:val="0"/>
                <w:kern w:val="21"/>
                <w:szCs w:val="21"/>
              </w:rPr>
              <w:t>/</w:t>
            </w:r>
          </w:p>
        </w:tc>
        <w:tc>
          <w:tcPr>
            <w:tcW w:w="1736" w:type="dxa"/>
            <w:tcBorders>
              <w:tl2br w:val="nil"/>
              <w:tr2bl w:val="nil"/>
            </w:tcBorders>
            <w:vAlign w:val="center"/>
          </w:tcPr>
          <w:p w14:paraId="09D4A23F">
            <w:pPr>
              <w:widowControl/>
              <w:jc w:val="center"/>
              <w:textAlignment w:val="center"/>
              <w:rPr>
                <w:rFonts w:hAnsi="宋体" w:cs="宋体"/>
                <w:snapToGrid w:val="0"/>
                <w:kern w:val="21"/>
                <w:szCs w:val="21"/>
              </w:rPr>
            </w:pPr>
            <w:r>
              <w:rPr>
                <w:rFonts w:hint="eastAsia" w:hAnsi="宋体" w:cs="宋体"/>
                <w:snapToGrid w:val="0"/>
                <w:kern w:val="21"/>
                <w:szCs w:val="21"/>
              </w:rPr>
              <w:t>/</w:t>
            </w:r>
          </w:p>
        </w:tc>
        <w:tc>
          <w:tcPr>
            <w:tcW w:w="1592" w:type="dxa"/>
            <w:tcBorders>
              <w:tl2br w:val="nil"/>
              <w:tr2bl w:val="nil"/>
            </w:tcBorders>
            <w:vAlign w:val="center"/>
          </w:tcPr>
          <w:p w14:paraId="4FBA0ED1">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0.107</w:t>
            </w:r>
          </w:p>
        </w:tc>
        <w:tc>
          <w:tcPr>
            <w:tcW w:w="1798" w:type="dxa"/>
            <w:tcBorders>
              <w:tl2br w:val="nil"/>
              <w:tr2bl w:val="nil"/>
            </w:tcBorders>
            <w:vAlign w:val="center"/>
          </w:tcPr>
          <w:p w14:paraId="4ADB225D">
            <w:pPr>
              <w:widowControl/>
              <w:jc w:val="center"/>
              <w:textAlignment w:val="center"/>
              <w:rPr>
                <w:rFonts w:hAnsi="宋体" w:cs="宋体"/>
                <w:snapToGrid w:val="0"/>
                <w:kern w:val="21"/>
                <w:szCs w:val="21"/>
              </w:rPr>
            </w:pPr>
            <w:r>
              <w:rPr>
                <w:rFonts w:hint="eastAsia" w:hAnsi="宋体" w:cs="宋体"/>
                <w:snapToGrid w:val="0"/>
                <w:kern w:val="21"/>
                <w:szCs w:val="21"/>
              </w:rPr>
              <w:t>/</w:t>
            </w:r>
          </w:p>
        </w:tc>
        <w:tc>
          <w:tcPr>
            <w:tcW w:w="1640" w:type="dxa"/>
            <w:tcBorders>
              <w:tl2br w:val="nil"/>
              <w:tr2bl w:val="nil"/>
            </w:tcBorders>
            <w:vAlign w:val="center"/>
          </w:tcPr>
          <w:p w14:paraId="7E4540BB">
            <w:pPr>
              <w:keepNext w:val="0"/>
              <w:keepLines w:val="0"/>
              <w:widowControl/>
              <w:suppressLineNumbers w:val="0"/>
              <w:jc w:val="center"/>
              <w:textAlignment w:val="center"/>
              <w:rPr>
                <w:rFonts w:eastAsia="黑体"/>
                <w:snapToGrid w:val="0"/>
                <w:spacing w:val="-6"/>
                <w:kern w:val="21"/>
                <w:szCs w:val="21"/>
              </w:rPr>
            </w:pPr>
            <w:r>
              <w:rPr>
                <w:rFonts w:hint="default" w:ascii="Times New Roman" w:hAnsi="Times New Roman" w:eastAsia="宋体" w:cs="Times New Roman"/>
                <w:i w:val="0"/>
                <w:iCs w:val="0"/>
                <w:color w:val="000000"/>
                <w:kern w:val="0"/>
                <w:sz w:val="21"/>
                <w:szCs w:val="21"/>
                <w:u w:val="none"/>
                <w:lang w:val="en-US" w:eastAsia="zh-CN" w:bidi="ar"/>
              </w:rPr>
              <w:t>0.107</w:t>
            </w:r>
          </w:p>
        </w:tc>
        <w:tc>
          <w:tcPr>
            <w:tcW w:w="1203" w:type="dxa"/>
            <w:tcBorders>
              <w:tl2br w:val="nil"/>
              <w:tr2bl w:val="nil"/>
            </w:tcBorders>
            <w:vAlign w:val="center"/>
          </w:tcPr>
          <w:p w14:paraId="68A9F7F0">
            <w:pPr>
              <w:keepNext w:val="0"/>
              <w:keepLines w:val="0"/>
              <w:widowControl/>
              <w:suppressLineNumbers w:val="0"/>
              <w:jc w:val="center"/>
              <w:textAlignment w:val="center"/>
              <w:rPr>
                <w:rFonts w:eastAsia="黑体"/>
                <w:snapToGrid w:val="0"/>
                <w:spacing w:val="-6"/>
                <w:kern w:val="21"/>
                <w:szCs w:val="21"/>
              </w:rPr>
            </w:pP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0.107</w:t>
            </w:r>
          </w:p>
        </w:tc>
      </w:tr>
      <w:tr w14:paraId="1E90FE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252" w:type="dxa"/>
            <w:vMerge w:val="continue"/>
            <w:tcBorders>
              <w:tl2br w:val="nil"/>
              <w:tr2bl w:val="nil"/>
            </w:tcBorders>
            <w:vAlign w:val="center"/>
          </w:tcPr>
          <w:p w14:paraId="4B29466E">
            <w:pPr>
              <w:pStyle w:val="42"/>
              <w:spacing w:beforeLines="0" w:afterLines="0" w:line="240" w:lineRule="auto"/>
              <w:rPr>
                <w:rFonts w:hAnsi="宋体" w:cs="宋体"/>
                <w:b/>
                <w:snapToGrid w:val="0"/>
                <w:kern w:val="21"/>
                <w:szCs w:val="21"/>
              </w:rPr>
            </w:pPr>
          </w:p>
        </w:tc>
        <w:tc>
          <w:tcPr>
            <w:tcW w:w="1815" w:type="dxa"/>
            <w:tcBorders>
              <w:tl2br w:val="nil"/>
              <w:tr2bl w:val="nil"/>
            </w:tcBorders>
            <w:vAlign w:val="center"/>
          </w:tcPr>
          <w:p w14:paraId="6BAC04AD">
            <w:pPr>
              <w:adjustRightInd w:val="0"/>
              <w:jc w:val="center"/>
              <w:rPr>
                <w:szCs w:val="21"/>
              </w:rPr>
            </w:pPr>
            <w:r>
              <w:rPr>
                <w:szCs w:val="21"/>
              </w:rPr>
              <w:t>动植物油</w:t>
            </w:r>
          </w:p>
        </w:tc>
        <w:tc>
          <w:tcPr>
            <w:tcW w:w="1736" w:type="dxa"/>
            <w:tcBorders>
              <w:tl2br w:val="nil"/>
              <w:tr2bl w:val="nil"/>
            </w:tcBorders>
            <w:vAlign w:val="center"/>
          </w:tcPr>
          <w:p w14:paraId="344ECCD8">
            <w:pPr>
              <w:widowControl/>
              <w:jc w:val="center"/>
              <w:textAlignment w:val="center"/>
              <w:rPr>
                <w:rFonts w:hAnsi="宋体" w:cs="宋体"/>
                <w:snapToGrid w:val="0"/>
                <w:kern w:val="21"/>
                <w:szCs w:val="21"/>
              </w:rPr>
            </w:pPr>
            <w:r>
              <w:rPr>
                <w:rFonts w:hint="eastAsia" w:hAnsi="宋体" w:cs="宋体"/>
                <w:snapToGrid w:val="0"/>
                <w:kern w:val="21"/>
                <w:szCs w:val="21"/>
              </w:rPr>
              <w:t>/</w:t>
            </w:r>
          </w:p>
        </w:tc>
        <w:tc>
          <w:tcPr>
            <w:tcW w:w="1303" w:type="dxa"/>
            <w:tcBorders>
              <w:tl2br w:val="nil"/>
              <w:tr2bl w:val="nil"/>
            </w:tcBorders>
            <w:vAlign w:val="center"/>
          </w:tcPr>
          <w:p w14:paraId="40CD6F6C">
            <w:pPr>
              <w:widowControl/>
              <w:jc w:val="center"/>
              <w:textAlignment w:val="center"/>
              <w:rPr>
                <w:rFonts w:hAnsi="宋体" w:cs="宋体"/>
                <w:snapToGrid w:val="0"/>
                <w:kern w:val="21"/>
                <w:szCs w:val="21"/>
              </w:rPr>
            </w:pPr>
            <w:r>
              <w:rPr>
                <w:rFonts w:hint="eastAsia" w:hAnsi="宋体" w:cs="宋体"/>
                <w:snapToGrid w:val="0"/>
                <w:kern w:val="21"/>
                <w:szCs w:val="21"/>
              </w:rPr>
              <w:t>/</w:t>
            </w:r>
          </w:p>
        </w:tc>
        <w:tc>
          <w:tcPr>
            <w:tcW w:w="1736" w:type="dxa"/>
            <w:tcBorders>
              <w:tl2br w:val="nil"/>
              <w:tr2bl w:val="nil"/>
            </w:tcBorders>
            <w:vAlign w:val="center"/>
          </w:tcPr>
          <w:p w14:paraId="69ECD006">
            <w:pPr>
              <w:widowControl/>
              <w:jc w:val="center"/>
              <w:textAlignment w:val="center"/>
              <w:rPr>
                <w:rFonts w:hAnsi="宋体" w:cs="宋体"/>
                <w:snapToGrid w:val="0"/>
                <w:kern w:val="21"/>
                <w:szCs w:val="21"/>
              </w:rPr>
            </w:pPr>
            <w:r>
              <w:rPr>
                <w:rFonts w:hint="eastAsia" w:hAnsi="宋体" w:cs="宋体"/>
                <w:snapToGrid w:val="0"/>
                <w:kern w:val="21"/>
                <w:szCs w:val="21"/>
              </w:rPr>
              <w:t>/</w:t>
            </w:r>
          </w:p>
        </w:tc>
        <w:tc>
          <w:tcPr>
            <w:tcW w:w="1592" w:type="dxa"/>
            <w:tcBorders>
              <w:tl2br w:val="nil"/>
              <w:tr2bl w:val="nil"/>
            </w:tcBorders>
            <w:vAlign w:val="center"/>
          </w:tcPr>
          <w:p w14:paraId="1425517C">
            <w:pPr>
              <w:widowControl/>
              <w:jc w:val="center"/>
              <w:textAlignment w:val="center"/>
              <w:rPr>
                <w:szCs w:val="21"/>
              </w:rPr>
            </w:pPr>
            <w:r>
              <w:rPr>
                <w:kern w:val="0"/>
                <w:sz w:val="21"/>
                <w:szCs w:val="21"/>
                <w:lang w:bidi="ar"/>
              </w:rPr>
              <w:t>0.0</w:t>
            </w:r>
            <w:r>
              <w:rPr>
                <w:rFonts w:hint="eastAsia"/>
                <w:kern w:val="0"/>
                <w:sz w:val="21"/>
                <w:szCs w:val="21"/>
                <w:lang w:val="en-US" w:eastAsia="zh-CN" w:bidi="ar"/>
              </w:rPr>
              <w:t>23</w:t>
            </w:r>
          </w:p>
        </w:tc>
        <w:tc>
          <w:tcPr>
            <w:tcW w:w="1798" w:type="dxa"/>
            <w:tcBorders>
              <w:tl2br w:val="nil"/>
              <w:tr2bl w:val="nil"/>
            </w:tcBorders>
            <w:vAlign w:val="center"/>
          </w:tcPr>
          <w:p w14:paraId="697DE3FB">
            <w:pPr>
              <w:widowControl/>
              <w:jc w:val="center"/>
              <w:textAlignment w:val="center"/>
              <w:rPr>
                <w:rFonts w:hAnsi="宋体" w:cs="宋体"/>
                <w:snapToGrid w:val="0"/>
                <w:kern w:val="21"/>
                <w:szCs w:val="21"/>
              </w:rPr>
            </w:pPr>
            <w:r>
              <w:rPr>
                <w:rFonts w:hint="eastAsia" w:hAnsi="宋体" w:cs="宋体"/>
                <w:snapToGrid w:val="0"/>
                <w:kern w:val="21"/>
                <w:szCs w:val="21"/>
              </w:rPr>
              <w:t>/</w:t>
            </w:r>
          </w:p>
        </w:tc>
        <w:tc>
          <w:tcPr>
            <w:tcW w:w="1640" w:type="dxa"/>
            <w:tcBorders>
              <w:tl2br w:val="nil"/>
              <w:tr2bl w:val="nil"/>
            </w:tcBorders>
            <w:vAlign w:val="center"/>
          </w:tcPr>
          <w:p w14:paraId="684E2C41">
            <w:pPr>
              <w:widowControl/>
              <w:jc w:val="center"/>
              <w:textAlignment w:val="center"/>
              <w:rPr>
                <w:rFonts w:eastAsia="黑体"/>
                <w:snapToGrid w:val="0"/>
                <w:spacing w:val="-6"/>
                <w:kern w:val="21"/>
                <w:szCs w:val="21"/>
              </w:rPr>
            </w:pPr>
            <w:r>
              <w:rPr>
                <w:kern w:val="0"/>
                <w:sz w:val="21"/>
                <w:szCs w:val="21"/>
                <w:lang w:bidi="ar"/>
              </w:rPr>
              <w:t>0.0</w:t>
            </w:r>
            <w:r>
              <w:rPr>
                <w:rFonts w:hint="eastAsia"/>
                <w:kern w:val="0"/>
                <w:sz w:val="21"/>
                <w:szCs w:val="21"/>
                <w:lang w:val="en-US" w:eastAsia="zh-CN" w:bidi="ar"/>
              </w:rPr>
              <w:t>23</w:t>
            </w:r>
          </w:p>
        </w:tc>
        <w:tc>
          <w:tcPr>
            <w:tcW w:w="1203" w:type="dxa"/>
            <w:tcBorders>
              <w:tl2br w:val="nil"/>
              <w:tr2bl w:val="nil"/>
            </w:tcBorders>
            <w:vAlign w:val="center"/>
          </w:tcPr>
          <w:p w14:paraId="77E60AC0">
            <w:pPr>
              <w:widowControl/>
              <w:jc w:val="center"/>
              <w:textAlignment w:val="center"/>
              <w:rPr>
                <w:rFonts w:eastAsia="黑体"/>
                <w:snapToGrid w:val="0"/>
                <w:spacing w:val="-6"/>
                <w:kern w:val="21"/>
                <w:szCs w:val="21"/>
              </w:rPr>
            </w:pPr>
            <w:r>
              <w:rPr>
                <w:rFonts w:hint="eastAsia"/>
                <w:kern w:val="0"/>
                <w:sz w:val="21"/>
                <w:szCs w:val="21"/>
                <w:lang w:val="en-US" w:eastAsia="zh-CN" w:bidi="ar"/>
              </w:rPr>
              <w:t>+</w:t>
            </w:r>
            <w:r>
              <w:rPr>
                <w:kern w:val="0"/>
                <w:sz w:val="21"/>
                <w:szCs w:val="21"/>
                <w:lang w:bidi="ar"/>
              </w:rPr>
              <w:t>0.0</w:t>
            </w:r>
            <w:r>
              <w:rPr>
                <w:rFonts w:hint="eastAsia"/>
                <w:kern w:val="0"/>
                <w:sz w:val="21"/>
                <w:szCs w:val="21"/>
                <w:lang w:val="en-US" w:eastAsia="zh-CN" w:bidi="ar"/>
              </w:rPr>
              <w:t>23</w:t>
            </w:r>
          </w:p>
        </w:tc>
      </w:tr>
      <w:tr w14:paraId="6A9683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3067" w:type="dxa"/>
            <w:gridSpan w:val="2"/>
            <w:tcBorders>
              <w:tl2br w:val="nil"/>
              <w:tr2bl w:val="nil"/>
            </w:tcBorders>
            <w:vAlign w:val="center"/>
          </w:tcPr>
          <w:p w14:paraId="33628705">
            <w:pPr>
              <w:pStyle w:val="42"/>
              <w:spacing w:beforeLines="0" w:afterLines="0" w:line="240" w:lineRule="auto"/>
              <w:rPr>
                <w:rFonts w:hAnsi="宋体" w:cs="宋体"/>
                <w:snapToGrid w:val="0"/>
                <w:kern w:val="21"/>
                <w:szCs w:val="21"/>
              </w:rPr>
            </w:pPr>
            <w:r>
              <w:rPr>
                <w:rFonts w:hint="eastAsia" w:hAnsi="宋体" w:cs="宋体"/>
                <w:b/>
                <w:snapToGrid w:val="0"/>
                <w:kern w:val="21"/>
                <w:szCs w:val="21"/>
              </w:rPr>
              <w:t>一般工业固体废物</w:t>
            </w:r>
          </w:p>
        </w:tc>
        <w:tc>
          <w:tcPr>
            <w:tcW w:w="1736" w:type="dxa"/>
            <w:tcBorders>
              <w:tl2br w:val="nil"/>
              <w:tr2bl w:val="nil"/>
            </w:tcBorders>
            <w:vAlign w:val="center"/>
          </w:tcPr>
          <w:p w14:paraId="1A24EA8D">
            <w:pPr>
              <w:widowControl/>
              <w:jc w:val="center"/>
              <w:textAlignment w:val="center"/>
              <w:rPr>
                <w:rFonts w:hAnsi="宋体" w:cs="宋体"/>
                <w:snapToGrid w:val="0"/>
                <w:kern w:val="21"/>
                <w:szCs w:val="21"/>
              </w:rPr>
            </w:pPr>
            <w:r>
              <w:rPr>
                <w:rFonts w:hint="eastAsia" w:hAnsi="宋体" w:cs="宋体"/>
                <w:snapToGrid w:val="0"/>
                <w:kern w:val="21"/>
                <w:szCs w:val="21"/>
              </w:rPr>
              <w:t>/</w:t>
            </w:r>
          </w:p>
        </w:tc>
        <w:tc>
          <w:tcPr>
            <w:tcW w:w="1303" w:type="dxa"/>
            <w:tcBorders>
              <w:tl2br w:val="nil"/>
              <w:tr2bl w:val="nil"/>
            </w:tcBorders>
            <w:vAlign w:val="center"/>
          </w:tcPr>
          <w:p w14:paraId="4C82E014">
            <w:pPr>
              <w:widowControl/>
              <w:jc w:val="center"/>
              <w:textAlignment w:val="center"/>
              <w:rPr>
                <w:rFonts w:hAnsi="宋体" w:cs="宋体"/>
                <w:snapToGrid w:val="0"/>
                <w:kern w:val="21"/>
                <w:szCs w:val="21"/>
              </w:rPr>
            </w:pPr>
            <w:r>
              <w:rPr>
                <w:rFonts w:hint="eastAsia" w:hAnsi="宋体" w:cs="宋体"/>
                <w:snapToGrid w:val="0"/>
                <w:kern w:val="21"/>
                <w:szCs w:val="21"/>
              </w:rPr>
              <w:t>/</w:t>
            </w:r>
          </w:p>
        </w:tc>
        <w:tc>
          <w:tcPr>
            <w:tcW w:w="1736" w:type="dxa"/>
            <w:tcBorders>
              <w:tl2br w:val="nil"/>
              <w:tr2bl w:val="nil"/>
            </w:tcBorders>
            <w:vAlign w:val="center"/>
          </w:tcPr>
          <w:p w14:paraId="2E6297B0">
            <w:pPr>
              <w:widowControl/>
              <w:jc w:val="center"/>
              <w:textAlignment w:val="center"/>
              <w:rPr>
                <w:rFonts w:hAnsi="宋体" w:cs="宋体"/>
                <w:snapToGrid w:val="0"/>
                <w:kern w:val="21"/>
                <w:szCs w:val="21"/>
              </w:rPr>
            </w:pPr>
            <w:r>
              <w:rPr>
                <w:rFonts w:hint="eastAsia" w:hAnsi="宋体" w:cs="宋体"/>
                <w:snapToGrid w:val="0"/>
                <w:kern w:val="21"/>
                <w:szCs w:val="21"/>
              </w:rPr>
              <w:t>/</w:t>
            </w:r>
          </w:p>
        </w:tc>
        <w:tc>
          <w:tcPr>
            <w:tcW w:w="1592" w:type="dxa"/>
            <w:tcBorders>
              <w:tl2br w:val="nil"/>
              <w:tr2bl w:val="nil"/>
            </w:tcBorders>
            <w:vAlign w:val="center"/>
          </w:tcPr>
          <w:p w14:paraId="2E2B290C">
            <w:pPr>
              <w:widowControl/>
              <w:jc w:val="center"/>
              <w:textAlignment w:val="center"/>
              <w:rPr>
                <w:rFonts w:hint="default" w:hAnsi="宋体" w:cs="宋体"/>
                <w:snapToGrid w:val="0"/>
                <w:kern w:val="21"/>
                <w:szCs w:val="21"/>
                <w:lang w:val="en-US"/>
              </w:rPr>
            </w:pPr>
            <w:r>
              <w:rPr>
                <w:rFonts w:hint="eastAsia"/>
                <w:sz w:val="21"/>
                <w:szCs w:val="21"/>
                <w:lang w:val="en-US" w:eastAsia="zh-CN"/>
              </w:rPr>
              <w:t>82.7</w:t>
            </w:r>
          </w:p>
        </w:tc>
        <w:tc>
          <w:tcPr>
            <w:tcW w:w="1798" w:type="dxa"/>
            <w:tcBorders>
              <w:tl2br w:val="nil"/>
              <w:tr2bl w:val="nil"/>
            </w:tcBorders>
            <w:vAlign w:val="center"/>
          </w:tcPr>
          <w:p w14:paraId="6FFD61AC">
            <w:pPr>
              <w:widowControl/>
              <w:jc w:val="center"/>
              <w:textAlignment w:val="center"/>
              <w:rPr>
                <w:rFonts w:hAnsi="宋体" w:cs="宋体"/>
                <w:snapToGrid w:val="0"/>
                <w:kern w:val="21"/>
                <w:szCs w:val="21"/>
              </w:rPr>
            </w:pPr>
            <w:r>
              <w:rPr>
                <w:rFonts w:hint="eastAsia" w:hAnsi="宋体" w:cs="宋体"/>
                <w:snapToGrid w:val="0"/>
                <w:kern w:val="21"/>
                <w:szCs w:val="21"/>
              </w:rPr>
              <w:t>/</w:t>
            </w:r>
          </w:p>
        </w:tc>
        <w:tc>
          <w:tcPr>
            <w:tcW w:w="1640" w:type="dxa"/>
            <w:tcBorders>
              <w:tl2br w:val="nil"/>
              <w:tr2bl w:val="nil"/>
            </w:tcBorders>
            <w:vAlign w:val="center"/>
          </w:tcPr>
          <w:p w14:paraId="5226D1C5">
            <w:pPr>
              <w:widowControl/>
              <w:jc w:val="center"/>
              <w:textAlignment w:val="center"/>
              <w:rPr>
                <w:snapToGrid w:val="0"/>
                <w:kern w:val="21"/>
                <w:szCs w:val="21"/>
              </w:rPr>
            </w:pPr>
            <w:r>
              <w:rPr>
                <w:rFonts w:hint="eastAsia"/>
                <w:sz w:val="21"/>
                <w:szCs w:val="21"/>
                <w:lang w:val="en-US" w:eastAsia="zh-CN"/>
              </w:rPr>
              <w:t>82.7</w:t>
            </w:r>
          </w:p>
        </w:tc>
        <w:tc>
          <w:tcPr>
            <w:tcW w:w="1203" w:type="dxa"/>
            <w:tcBorders>
              <w:tl2br w:val="nil"/>
              <w:tr2bl w:val="nil"/>
            </w:tcBorders>
            <w:vAlign w:val="center"/>
          </w:tcPr>
          <w:p w14:paraId="6822EA47">
            <w:pPr>
              <w:widowControl/>
              <w:jc w:val="center"/>
              <w:textAlignment w:val="center"/>
              <w:rPr>
                <w:rFonts w:hAnsi="宋体" w:cs="宋体"/>
                <w:snapToGrid w:val="0"/>
                <w:kern w:val="21"/>
                <w:szCs w:val="21"/>
              </w:rPr>
            </w:pPr>
            <w:r>
              <w:rPr>
                <w:rFonts w:hint="eastAsia"/>
                <w:sz w:val="21"/>
                <w:szCs w:val="21"/>
                <w:lang w:val="en-US" w:eastAsia="zh-CN"/>
              </w:rPr>
              <w:t>+82.7</w:t>
            </w:r>
          </w:p>
        </w:tc>
      </w:tr>
      <w:tr w14:paraId="370E2E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3067" w:type="dxa"/>
            <w:gridSpan w:val="2"/>
            <w:tcBorders>
              <w:tl2br w:val="nil"/>
              <w:tr2bl w:val="nil"/>
            </w:tcBorders>
            <w:vAlign w:val="center"/>
          </w:tcPr>
          <w:p w14:paraId="5FDC206B">
            <w:pPr>
              <w:pStyle w:val="42"/>
              <w:spacing w:beforeLines="0" w:afterLines="0" w:line="240" w:lineRule="auto"/>
              <w:rPr>
                <w:rFonts w:hAnsi="宋体" w:cs="宋体"/>
                <w:snapToGrid w:val="0"/>
                <w:kern w:val="21"/>
                <w:szCs w:val="21"/>
              </w:rPr>
            </w:pPr>
            <w:r>
              <w:rPr>
                <w:rFonts w:hint="eastAsia" w:hAnsi="宋体" w:cs="宋体"/>
                <w:b/>
                <w:snapToGrid w:val="0"/>
                <w:kern w:val="21"/>
                <w:szCs w:val="21"/>
              </w:rPr>
              <w:t>危险废物</w:t>
            </w:r>
          </w:p>
        </w:tc>
        <w:tc>
          <w:tcPr>
            <w:tcW w:w="1736" w:type="dxa"/>
            <w:tcBorders>
              <w:tl2br w:val="nil"/>
              <w:tr2bl w:val="nil"/>
            </w:tcBorders>
            <w:vAlign w:val="center"/>
          </w:tcPr>
          <w:p w14:paraId="3662D9CC">
            <w:pPr>
              <w:widowControl/>
              <w:jc w:val="center"/>
              <w:textAlignment w:val="center"/>
              <w:rPr>
                <w:rFonts w:hAnsi="宋体" w:cs="宋体"/>
                <w:snapToGrid w:val="0"/>
                <w:kern w:val="21"/>
                <w:szCs w:val="21"/>
              </w:rPr>
            </w:pPr>
            <w:r>
              <w:rPr>
                <w:rFonts w:hint="eastAsia" w:hAnsi="宋体" w:cs="宋体"/>
                <w:snapToGrid w:val="0"/>
                <w:kern w:val="21"/>
                <w:szCs w:val="21"/>
              </w:rPr>
              <w:t>/</w:t>
            </w:r>
          </w:p>
        </w:tc>
        <w:tc>
          <w:tcPr>
            <w:tcW w:w="1303" w:type="dxa"/>
            <w:tcBorders>
              <w:tl2br w:val="nil"/>
              <w:tr2bl w:val="nil"/>
            </w:tcBorders>
            <w:vAlign w:val="center"/>
          </w:tcPr>
          <w:p w14:paraId="4ED946AB">
            <w:pPr>
              <w:widowControl/>
              <w:jc w:val="center"/>
              <w:textAlignment w:val="center"/>
              <w:rPr>
                <w:rFonts w:hAnsi="宋体" w:cs="宋体"/>
                <w:snapToGrid w:val="0"/>
                <w:kern w:val="21"/>
                <w:szCs w:val="21"/>
              </w:rPr>
            </w:pPr>
            <w:r>
              <w:rPr>
                <w:rFonts w:hint="eastAsia" w:hAnsi="宋体" w:cs="宋体"/>
                <w:snapToGrid w:val="0"/>
                <w:kern w:val="21"/>
                <w:szCs w:val="21"/>
              </w:rPr>
              <w:t>/</w:t>
            </w:r>
          </w:p>
        </w:tc>
        <w:tc>
          <w:tcPr>
            <w:tcW w:w="1736" w:type="dxa"/>
            <w:tcBorders>
              <w:tl2br w:val="nil"/>
              <w:tr2bl w:val="nil"/>
            </w:tcBorders>
            <w:vAlign w:val="center"/>
          </w:tcPr>
          <w:p w14:paraId="38186ACB">
            <w:pPr>
              <w:widowControl/>
              <w:jc w:val="center"/>
              <w:textAlignment w:val="center"/>
              <w:rPr>
                <w:rFonts w:hAnsi="宋体" w:cs="宋体"/>
                <w:snapToGrid w:val="0"/>
                <w:kern w:val="21"/>
                <w:szCs w:val="21"/>
              </w:rPr>
            </w:pPr>
            <w:r>
              <w:rPr>
                <w:rFonts w:hint="eastAsia" w:hAnsi="宋体" w:cs="宋体"/>
                <w:snapToGrid w:val="0"/>
                <w:kern w:val="21"/>
                <w:szCs w:val="21"/>
              </w:rPr>
              <w:t>/</w:t>
            </w:r>
          </w:p>
        </w:tc>
        <w:tc>
          <w:tcPr>
            <w:tcW w:w="1592" w:type="dxa"/>
            <w:tcBorders>
              <w:tl2br w:val="nil"/>
              <w:tr2bl w:val="nil"/>
            </w:tcBorders>
            <w:vAlign w:val="center"/>
          </w:tcPr>
          <w:p w14:paraId="3D547082">
            <w:pPr>
              <w:widowControl/>
              <w:jc w:val="center"/>
              <w:textAlignment w:val="center"/>
              <w:rPr>
                <w:rFonts w:hint="default" w:hAnsi="宋体" w:eastAsia="宋体" w:cs="宋体"/>
                <w:snapToGrid w:val="0"/>
                <w:kern w:val="21"/>
                <w:szCs w:val="21"/>
                <w:lang w:val="en-US" w:eastAsia="zh-CN"/>
              </w:rPr>
            </w:pPr>
            <w:r>
              <w:rPr>
                <w:rFonts w:hint="eastAsia" w:hAnsi="宋体" w:cs="宋体"/>
                <w:snapToGrid w:val="0"/>
                <w:kern w:val="21"/>
                <w:szCs w:val="21"/>
                <w:lang w:val="en-US" w:eastAsia="zh-CN"/>
              </w:rPr>
              <w:t>3.1452</w:t>
            </w:r>
          </w:p>
        </w:tc>
        <w:tc>
          <w:tcPr>
            <w:tcW w:w="1798" w:type="dxa"/>
            <w:tcBorders>
              <w:tl2br w:val="nil"/>
              <w:tr2bl w:val="nil"/>
            </w:tcBorders>
            <w:vAlign w:val="center"/>
          </w:tcPr>
          <w:p w14:paraId="74E91D64">
            <w:pPr>
              <w:widowControl/>
              <w:jc w:val="center"/>
              <w:textAlignment w:val="center"/>
              <w:rPr>
                <w:rFonts w:hAnsi="宋体" w:cs="宋体"/>
                <w:snapToGrid w:val="0"/>
                <w:kern w:val="21"/>
                <w:szCs w:val="21"/>
              </w:rPr>
            </w:pPr>
            <w:r>
              <w:rPr>
                <w:rFonts w:hint="eastAsia" w:hAnsi="宋体" w:cs="宋体"/>
                <w:snapToGrid w:val="0"/>
                <w:kern w:val="21"/>
                <w:szCs w:val="21"/>
              </w:rPr>
              <w:t>/</w:t>
            </w:r>
          </w:p>
        </w:tc>
        <w:tc>
          <w:tcPr>
            <w:tcW w:w="1640" w:type="dxa"/>
            <w:tcBorders>
              <w:tl2br w:val="nil"/>
              <w:tr2bl w:val="nil"/>
            </w:tcBorders>
            <w:vAlign w:val="center"/>
          </w:tcPr>
          <w:p w14:paraId="77D9A26D">
            <w:pPr>
              <w:widowControl/>
              <w:jc w:val="center"/>
              <w:textAlignment w:val="center"/>
              <w:rPr>
                <w:rFonts w:hint="default"/>
                <w:snapToGrid w:val="0"/>
                <w:kern w:val="21"/>
                <w:szCs w:val="21"/>
                <w:lang w:val="en-US"/>
              </w:rPr>
            </w:pPr>
            <w:r>
              <w:rPr>
                <w:rFonts w:hint="eastAsia" w:hAnsi="宋体" w:cs="宋体"/>
                <w:snapToGrid w:val="0"/>
                <w:kern w:val="21"/>
                <w:szCs w:val="21"/>
                <w:lang w:val="en-US" w:eastAsia="zh-CN"/>
              </w:rPr>
              <w:t>3.1452</w:t>
            </w:r>
          </w:p>
        </w:tc>
        <w:tc>
          <w:tcPr>
            <w:tcW w:w="1203" w:type="dxa"/>
            <w:tcBorders>
              <w:tl2br w:val="nil"/>
              <w:tr2bl w:val="nil"/>
            </w:tcBorders>
            <w:vAlign w:val="center"/>
          </w:tcPr>
          <w:p w14:paraId="05087F59">
            <w:pPr>
              <w:widowControl/>
              <w:jc w:val="center"/>
              <w:textAlignment w:val="center"/>
              <w:rPr>
                <w:rFonts w:hint="default" w:hAnsi="宋体" w:cs="宋体"/>
                <w:snapToGrid w:val="0"/>
                <w:kern w:val="21"/>
                <w:szCs w:val="21"/>
                <w:lang w:val="en-US"/>
              </w:rPr>
            </w:pPr>
            <w:r>
              <w:rPr>
                <w:rFonts w:hint="eastAsia" w:hAnsi="宋体" w:cs="宋体"/>
                <w:snapToGrid w:val="0"/>
                <w:kern w:val="21"/>
                <w:szCs w:val="21"/>
                <w:lang w:val="en-US" w:eastAsia="zh-CN"/>
              </w:rPr>
              <w:t>+3.1452</w:t>
            </w:r>
          </w:p>
        </w:tc>
      </w:tr>
    </w:tbl>
    <w:p w14:paraId="73E18CA7">
      <w:pPr>
        <w:pStyle w:val="42"/>
        <w:spacing w:before="192" w:beforeLines="80" w:after="24"/>
        <w:jc w:val="left"/>
        <w:rPr>
          <w:rFonts w:hAnsi="宋体" w:eastAsia="黑体"/>
        </w:rPr>
      </w:pPr>
      <w:r>
        <w:rPr>
          <w:rFonts w:hAnsi="宋体"/>
          <w:snapToGrid w:val="0"/>
          <w:kern w:val="21"/>
          <w:szCs w:val="21"/>
        </w:rPr>
        <w:t>注：</w:t>
      </w:r>
      <w:r>
        <w:rPr>
          <w:rFonts w:hAnsi="宋体"/>
          <w:snapToGrid w:val="0"/>
          <w:spacing w:val="-16"/>
          <w:kern w:val="21"/>
          <w:szCs w:val="21"/>
        </w:rPr>
        <w:fldChar w:fldCharType="begin"/>
      </w:r>
      <w:r>
        <w:rPr>
          <w:rFonts w:hAnsi="宋体"/>
          <w:snapToGrid w:val="0"/>
          <w:spacing w:val="-16"/>
          <w:kern w:val="21"/>
          <w:szCs w:val="21"/>
        </w:rPr>
        <w:instrText xml:space="preserve"> = 6 \* GB3 \* MERGEFORMAT </w:instrText>
      </w:r>
      <w:r>
        <w:rPr>
          <w:rFonts w:hAnsi="宋体"/>
          <w:snapToGrid w:val="0"/>
          <w:spacing w:val="-16"/>
          <w:kern w:val="21"/>
          <w:szCs w:val="21"/>
        </w:rPr>
        <w:fldChar w:fldCharType="separate"/>
      </w:r>
      <w:r>
        <w:rPr>
          <w:rFonts w:hint="eastAsia" w:hAnsi="宋体"/>
          <w:szCs w:val="21"/>
        </w:rPr>
        <w:t>⑥</w:t>
      </w:r>
      <w:r>
        <w:rPr>
          <w:rFonts w:hAnsi="宋体"/>
          <w:snapToGrid w:val="0"/>
          <w:spacing w:val="-16"/>
          <w:kern w:val="21"/>
          <w:szCs w:val="21"/>
        </w:rPr>
        <w:fldChar w:fldCharType="end"/>
      </w:r>
      <w:r>
        <w:rPr>
          <w:rFonts w:hAnsi="宋体"/>
          <w:snapToGrid w:val="0"/>
          <w:spacing w:val="-1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1 \* GB3 \* MERGEFORMAT </w:instrText>
      </w:r>
      <w:r>
        <w:rPr>
          <w:rFonts w:hAnsi="宋体"/>
          <w:snapToGrid w:val="0"/>
          <w:spacing w:val="-6"/>
          <w:kern w:val="21"/>
          <w:szCs w:val="21"/>
        </w:rPr>
        <w:fldChar w:fldCharType="separate"/>
      </w:r>
      <w:r>
        <w:rPr>
          <w:rFonts w:hint="eastAsia" w:hAnsi="宋体"/>
          <w:szCs w:val="21"/>
        </w:rPr>
        <w:t>①</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3 \* GB3 \* MERGEFORMAT </w:instrText>
      </w:r>
      <w:r>
        <w:rPr>
          <w:rFonts w:hAnsi="宋体"/>
          <w:snapToGrid w:val="0"/>
          <w:spacing w:val="-6"/>
          <w:kern w:val="21"/>
          <w:szCs w:val="21"/>
        </w:rPr>
        <w:fldChar w:fldCharType="separate"/>
      </w:r>
      <w:r>
        <w:rPr>
          <w:rFonts w:hint="eastAsia" w:hAnsi="宋体"/>
          <w:szCs w:val="21"/>
        </w:rPr>
        <w:t>③</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4 \* GB3 \* MERGEFORMAT </w:instrText>
      </w:r>
      <w:r>
        <w:rPr>
          <w:rFonts w:hAnsi="宋体"/>
          <w:snapToGrid w:val="0"/>
          <w:spacing w:val="-6"/>
          <w:kern w:val="21"/>
          <w:szCs w:val="21"/>
        </w:rPr>
        <w:fldChar w:fldCharType="separate"/>
      </w:r>
      <w:r>
        <w:rPr>
          <w:rFonts w:hint="eastAsia" w:hAnsi="宋体"/>
          <w:szCs w:val="21"/>
        </w:rPr>
        <w:t>④</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16"/>
          <w:kern w:val="21"/>
          <w:szCs w:val="21"/>
        </w:rPr>
        <w:fldChar w:fldCharType="begin"/>
      </w:r>
      <w:r>
        <w:rPr>
          <w:rFonts w:hAnsi="宋体"/>
          <w:snapToGrid w:val="0"/>
          <w:spacing w:val="-16"/>
          <w:kern w:val="21"/>
          <w:szCs w:val="21"/>
        </w:rPr>
        <w:instrText xml:space="preserve"> = 5 \* GB3 \* MERGEFORMAT </w:instrText>
      </w:r>
      <w:r>
        <w:rPr>
          <w:rFonts w:hAnsi="宋体"/>
          <w:snapToGrid w:val="0"/>
          <w:spacing w:val="-16"/>
          <w:kern w:val="21"/>
          <w:szCs w:val="21"/>
        </w:rPr>
        <w:fldChar w:fldCharType="separate"/>
      </w:r>
      <w:r>
        <w:rPr>
          <w:rFonts w:hint="eastAsia" w:hAnsi="宋体"/>
          <w:szCs w:val="21"/>
        </w:rPr>
        <w:t>⑤</w:t>
      </w:r>
      <w:r>
        <w:rPr>
          <w:rFonts w:hAnsi="宋体"/>
          <w:snapToGrid w:val="0"/>
          <w:spacing w:val="-16"/>
          <w:kern w:val="21"/>
          <w:szCs w:val="21"/>
        </w:rPr>
        <w:fldChar w:fldCharType="end"/>
      </w:r>
      <w:r>
        <w:rPr>
          <w:rFonts w:hAnsi="宋体"/>
          <w:snapToGrid w:val="0"/>
          <w:spacing w:val="-1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7 \* GB3 \* MERGEFORMAT </w:instrText>
      </w:r>
      <w:r>
        <w:rPr>
          <w:rFonts w:hAnsi="宋体"/>
          <w:snapToGrid w:val="0"/>
          <w:spacing w:val="-6"/>
          <w:kern w:val="21"/>
          <w:szCs w:val="21"/>
        </w:rPr>
        <w:fldChar w:fldCharType="separate"/>
      </w:r>
      <w:r>
        <w:rPr>
          <w:rFonts w:hint="eastAsia" w:hAnsi="宋体"/>
          <w:szCs w:val="21"/>
        </w:rPr>
        <w:t>⑦</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16"/>
          <w:kern w:val="21"/>
          <w:szCs w:val="21"/>
        </w:rPr>
        <w:fldChar w:fldCharType="begin"/>
      </w:r>
      <w:r>
        <w:rPr>
          <w:rFonts w:hAnsi="宋体"/>
          <w:snapToGrid w:val="0"/>
          <w:spacing w:val="-16"/>
          <w:kern w:val="21"/>
          <w:szCs w:val="21"/>
        </w:rPr>
        <w:instrText xml:space="preserve"> = 6 \* GB3 \* MERGEFORMAT </w:instrText>
      </w:r>
      <w:r>
        <w:rPr>
          <w:rFonts w:hAnsi="宋体"/>
          <w:snapToGrid w:val="0"/>
          <w:spacing w:val="-16"/>
          <w:kern w:val="21"/>
          <w:szCs w:val="21"/>
        </w:rPr>
        <w:fldChar w:fldCharType="separate"/>
      </w:r>
      <w:r>
        <w:rPr>
          <w:rFonts w:hint="eastAsia" w:hAnsi="宋体"/>
          <w:szCs w:val="21"/>
        </w:rPr>
        <w:t>⑥</w:t>
      </w:r>
      <w:r>
        <w:rPr>
          <w:rFonts w:hAnsi="宋体"/>
          <w:snapToGrid w:val="0"/>
          <w:spacing w:val="-16"/>
          <w:kern w:val="21"/>
          <w:szCs w:val="21"/>
        </w:rPr>
        <w:fldChar w:fldCharType="end"/>
      </w:r>
      <w:r>
        <w:rPr>
          <w:rFonts w:hAnsi="宋体"/>
          <w:snapToGrid w:val="0"/>
          <w:spacing w:val="-1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1 \* GB3 \* MERGEFORMAT </w:instrText>
      </w:r>
      <w:r>
        <w:rPr>
          <w:rFonts w:hAnsi="宋体"/>
          <w:snapToGrid w:val="0"/>
          <w:spacing w:val="-6"/>
          <w:kern w:val="21"/>
          <w:szCs w:val="21"/>
        </w:rPr>
        <w:fldChar w:fldCharType="separate"/>
      </w:r>
      <w:r>
        <w:rPr>
          <w:rFonts w:hint="eastAsia" w:hAnsi="宋体"/>
          <w:szCs w:val="21"/>
        </w:rPr>
        <w:t>①</w:t>
      </w:r>
      <w:r>
        <w:rPr>
          <w:rFonts w:hAnsi="宋体"/>
          <w:snapToGrid w:val="0"/>
          <w:spacing w:val="-6"/>
          <w:kern w:val="21"/>
          <w:szCs w:val="21"/>
        </w:rPr>
        <w:fldChar w:fldCharType="end"/>
      </w:r>
    </w:p>
    <w:sectPr>
      <w:footerReference r:id="rId8" w:type="default"/>
      <w:pgSz w:w="16838" w:h="11906" w:orient="landscape"/>
      <w:pgMar w:top="1418" w:right="1418" w:bottom="1418" w:left="1418"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仿宋_GB2312">
    <w:panose1 w:val="02010609030101010101"/>
    <w:charset w:val="86"/>
    <w:family w:val="auto"/>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方正小标宋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楷体_GB2312">
    <w:altName w:val="楷体"/>
    <w:panose1 w:val="02010609030101010101"/>
    <w:charset w:val="86"/>
    <w:family w:val="auto"/>
    <w:pitch w:val="default"/>
    <w:sig w:usb0="00000000" w:usb1="0000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 w:name="Wingdings">
    <w:panose1 w:val="05000000000000000000"/>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8518CB">
    <w:pPr>
      <w:pStyle w:val="19"/>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252B3C">
    <w:pPr>
      <w:pStyle w:val="19"/>
      <w:framePr w:wrap="around" w:vAnchor="text" w:hAnchor="margin" w:xAlign="center" w:y="1"/>
      <w:rPr>
        <w:rStyle w:val="29"/>
      </w:rPr>
    </w:pPr>
    <w:r>
      <w:fldChar w:fldCharType="begin"/>
    </w:r>
    <w:r>
      <w:rPr>
        <w:rStyle w:val="29"/>
      </w:rPr>
      <w:instrText xml:space="preserve">PAGE  </w:instrText>
    </w:r>
    <w:r>
      <w:fldChar w:fldCharType="end"/>
    </w:r>
  </w:p>
  <w:p w14:paraId="56F6AFF4">
    <w:pPr>
      <w:pStyle w:val="19"/>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0AC8F6">
    <w:pPr>
      <w:pStyle w:val="19"/>
      <w:framePr w:wrap="around" w:vAnchor="text" w:hAnchor="margin" w:xAlign="outside" w:y="1"/>
      <w:rPr>
        <w:rStyle w:val="29"/>
        <w:rFonts w:ascii="宋体" w:hAnsi="宋体"/>
        <w:sz w:val="28"/>
        <w:szCs w:val="28"/>
      </w:rPr>
    </w:pPr>
    <w:r>
      <w:rPr>
        <w:rStyle w:val="29"/>
        <w:rFonts w:hint="eastAsia" w:ascii="宋体" w:hAnsi="宋体"/>
        <w:sz w:val="28"/>
        <w:szCs w:val="28"/>
      </w:rPr>
      <w:t>—</w:t>
    </w:r>
    <w:r>
      <w:rPr>
        <w:rStyle w:val="29"/>
        <w:rFonts w:hint="eastAsia" w:ascii="宋体" w:hAnsi="宋体"/>
        <w:sz w:val="20"/>
      </w:rPr>
      <w:t xml:space="preserve">  </w:t>
    </w:r>
    <w:r>
      <w:rPr>
        <w:rFonts w:ascii="宋体" w:hAnsi="宋体"/>
        <w:sz w:val="26"/>
        <w:szCs w:val="26"/>
      </w:rPr>
      <w:fldChar w:fldCharType="begin"/>
    </w:r>
    <w:r>
      <w:rPr>
        <w:rStyle w:val="29"/>
        <w:rFonts w:ascii="宋体" w:hAnsi="宋体"/>
        <w:sz w:val="26"/>
        <w:szCs w:val="26"/>
      </w:rPr>
      <w:instrText xml:space="preserve">PAGE  </w:instrText>
    </w:r>
    <w:r>
      <w:rPr>
        <w:rFonts w:ascii="宋体" w:hAnsi="宋体"/>
        <w:sz w:val="26"/>
        <w:szCs w:val="26"/>
      </w:rPr>
      <w:fldChar w:fldCharType="separate"/>
    </w:r>
    <w:r>
      <w:rPr>
        <w:rStyle w:val="29"/>
        <w:rFonts w:ascii="宋体" w:hAnsi="宋体"/>
        <w:sz w:val="26"/>
        <w:szCs w:val="26"/>
      </w:rPr>
      <w:t>11</w:t>
    </w:r>
    <w:r>
      <w:rPr>
        <w:rFonts w:ascii="宋体" w:hAnsi="宋体"/>
        <w:sz w:val="26"/>
        <w:szCs w:val="26"/>
      </w:rPr>
      <w:fldChar w:fldCharType="end"/>
    </w:r>
    <w:r>
      <w:rPr>
        <w:rStyle w:val="29"/>
        <w:rFonts w:hint="eastAsia" w:ascii="宋体" w:hAnsi="宋体"/>
        <w:sz w:val="20"/>
      </w:rPr>
      <w:t xml:space="preserve">  </w:t>
    </w:r>
    <w:r>
      <w:rPr>
        <w:rStyle w:val="29"/>
        <w:rFonts w:hint="eastAsia" w:ascii="宋体" w:hAnsi="宋体"/>
        <w:sz w:val="28"/>
        <w:szCs w:val="28"/>
      </w:rPr>
      <w:t>—</w:t>
    </w:r>
  </w:p>
  <w:p w14:paraId="45C6D331">
    <w:pPr>
      <w:pStyle w:val="19"/>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500CAD">
    <w:pPr>
      <w:pStyle w:val="19"/>
      <w:framePr w:wrap="around" w:vAnchor="text" w:hAnchor="margin" w:xAlign="outside" w:y="1"/>
      <w:rPr>
        <w:rStyle w:val="29"/>
        <w:rFonts w:ascii="宋体" w:hAnsi="宋体"/>
        <w:sz w:val="28"/>
        <w:szCs w:val="28"/>
      </w:rPr>
    </w:pPr>
    <w:r>
      <w:rPr>
        <w:rStyle w:val="29"/>
        <w:rFonts w:hint="eastAsia" w:ascii="宋体" w:hAnsi="宋体"/>
        <w:sz w:val="28"/>
        <w:szCs w:val="28"/>
      </w:rPr>
      <w:t>—</w:t>
    </w:r>
    <w:r>
      <w:rPr>
        <w:rStyle w:val="29"/>
        <w:rFonts w:hint="eastAsia" w:ascii="宋体" w:hAnsi="宋体"/>
        <w:sz w:val="20"/>
      </w:rPr>
      <w:t xml:space="preserve">  </w:t>
    </w:r>
    <w:r>
      <w:rPr>
        <w:rFonts w:ascii="宋体" w:hAnsi="宋体"/>
        <w:sz w:val="26"/>
        <w:szCs w:val="26"/>
      </w:rPr>
      <w:fldChar w:fldCharType="begin"/>
    </w:r>
    <w:r>
      <w:rPr>
        <w:rStyle w:val="29"/>
        <w:rFonts w:ascii="宋体" w:hAnsi="宋体"/>
        <w:sz w:val="26"/>
        <w:szCs w:val="26"/>
      </w:rPr>
      <w:instrText xml:space="preserve">PAGE  </w:instrText>
    </w:r>
    <w:r>
      <w:rPr>
        <w:rFonts w:ascii="宋体" w:hAnsi="宋体"/>
        <w:sz w:val="26"/>
        <w:szCs w:val="26"/>
      </w:rPr>
      <w:fldChar w:fldCharType="separate"/>
    </w:r>
    <w:r>
      <w:rPr>
        <w:rStyle w:val="29"/>
        <w:rFonts w:ascii="宋体" w:hAnsi="宋体"/>
        <w:sz w:val="26"/>
        <w:szCs w:val="26"/>
      </w:rPr>
      <w:t>61</w:t>
    </w:r>
    <w:r>
      <w:rPr>
        <w:rFonts w:ascii="宋体" w:hAnsi="宋体"/>
        <w:sz w:val="26"/>
        <w:szCs w:val="26"/>
      </w:rPr>
      <w:fldChar w:fldCharType="end"/>
    </w:r>
    <w:r>
      <w:rPr>
        <w:rStyle w:val="29"/>
        <w:rFonts w:hint="eastAsia" w:ascii="宋体" w:hAnsi="宋体"/>
        <w:sz w:val="20"/>
      </w:rPr>
      <w:t xml:space="preserve">  </w:t>
    </w:r>
    <w:r>
      <w:rPr>
        <w:rStyle w:val="29"/>
        <w:rFonts w:hint="eastAsia" w:ascii="宋体" w:hAnsi="宋体"/>
        <w:sz w:val="28"/>
        <w:szCs w:val="28"/>
      </w:rPr>
      <w:t>—</w:t>
    </w:r>
  </w:p>
  <w:p w14:paraId="2632FBAE">
    <w:pPr>
      <w:pStyle w:val="19"/>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ACB05F">
    <w:pPr>
      <w:pStyle w:val="19"/>
      <w:framePr w:wrap="around" w:vAnchor="text" w:hAnchor="margin" w:xAlign="outside" w:y="1"/>
      <w:rPr>
        <w:rStyle w:val="29"/>
        <w:rFonts w:ascii="宋体" w:hAnsi="宋体"/>
        <w:sz w:val="28"/>
        <w:szCs w:val="28"/>
      </w:rPr>
    </w:pPr>
    <w:r>
      <w:rPr>
        <w:rStyle w:val="29"/>
        <w:rFonts w:hint="eastAsia" w:ascii="宋体" w:hAnsi="宋体"/>
        <w:sz w:val="28"/>
        <w:szCs w:val="28"/>
      </w:rPr>
      <w:t>—</w:t>
    </w:r>
    <w:r>
      <w:rPr>
        <w:rStyle w:val="29"/>
        <w:rFonts w:hint="eastAsia" w:ascii="宋体" w:hAnsi="宋体"/>
        <w:sz w:val="20"/>
      </w:rPr>
      <w:t xml:space="preserve">  </w:t>
    </w:r>
    <w:r>
      <w:rPr>
        <w:rFonts w:ascii="宋体" w:hAnsi="宋体"/>
        <w:sz w:val="26"/>
        <w:szCs w:val="26"/>
      </w:rPr>
      <w:fldChar w:fldCharType="begin"/>
    </w:r>
    <w:r>
      <w:rPr>
        <w:rStyle w:val="29"/>
        <w:rFonts w:ascii="宋体" w:hAnsi="宋体"/>
        <w:sz w:val="26"/>
        <w:szCs w:val="26"/>
      </w:rPr>
      <w:instrText xml:space="preserve">PAGE  </w:instrText>
    </w:r>
    <w:r>
      <w:rPr>
        <w:rFonts w:ascii="宋体" w:hAnsi="宋体"/>
        <w:sz w:val="26"/>
        <w:szCs w:val="26"/>
      </w:rPr>
      <w:fldChar w:fldCharType="separate"/>
    </w:r>
    <w:r>
      <w:rPr>
        <w:rStyle w:val="29"/>
        <w:rFonts w:ascii="宋体" w:hAnsi="宋体"/>
        <w:sz w:val="26"/>
        <w:szCs w:val="26"/>
      </w:rPr>
      <w:t>62</w:t>
    </w:r>
    <w:r>
      <w:rPr>
        <w:rFonts w:ascii="宋体" w:hAnsi="宋体"/>
        <w:sz w:val="26"/>
        <w:szCs w:val="26"/>
      </w:rPr>
      <w:fldChar w:fldCharType="end"/>
    </w:r>
    <w:r>
      <w:rPr>
        <w:rStyle w:val="29"/>
        <w:rFonts w:hint="eastAsia" w:ascii="宋体" w:hAnsi="宋体"/>
        <w:sz w:val="20"/>
      </w:rPr>
      <w:t xml:space="preserve">  </w:t>
    </w:r>
    <w:r>
      <w:rPr>
        <w:rStyle w:val="29"/>
        <w:rFonts w:hint="eastAsia" w:ascii="宋体" w:hAnsi="宋体"/>
        <w:sz w:val="28"/>
        <w:szCs w:val="28"/>
      </w:rPr>
      <w:t>—</w:t>
    </w:r>
  </w:p>
  <w:p w14:paraId="1D20BEFE">
    <w:pPr>
      <w:pStyle w:val="19"/>
      <w:ind w:right="360" w:firstLine="36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0E6BD0">
    <w:pPr>
      <w:pStyle w:val="2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756ECF"/>
    <w:multiLevelType w:val="singleLevel"/>
    <w:tmpl w:val="93756ECF"/>
    <w:lvl w:ilvl="0" w:tentative="0">
      <w:start w:val="1"/>
      <w:numFmt w:val="decimal"/>
      <w:suff w:val="nothing"/>
      <w:lvlText w:val="（%1）"/>
      <w:lvlJc w:val="left"/>
      <w:rPr>
        <w:rFonts w:hint="default"/>
        <w:b w:val="0"/>
        <w:bCs w:val="0"/>
      </w:rPr>
    </w:lvl>
  </w:abstractNum>
  <w:abstractNum w:abstractNumId="1">
    <w:nsid w:val="AF36AC05"/>
    <w:multiLevelType w:val="singleLevel"/>
    <w:tmpl w:val="AF36AC05"/>
    <w:lvl w:ilvl="0" w:tentative="0">
      <w:start w:val="2"/>
      <w:numFmt w:val="chineseCounting"/>
      <w:suff w:val="nothing"/>
      <w:lvlText w:val="%1、"/>
      <w:lvlJc w:val="left"/>
      <w:rPr>
        <w:rFonts w:hint="eastAsia"/>
      </w:rPr>
    </w:lvl>
  </w:abstractNum>
  <w:abstractNum w:abstractNumId="2">
    <w:nsid w:val="B5EA8EDD"/>
    <w:multiLevelType w:val="singleLevel"/>
    <w:tmpl w:val="B5EA8EDD"/>
    <w:lvl w:ilvl="0" w:tentative="0">
      <w:start w:val="1"/>
      <w:numFmt w:val="chineseCounting"/>
      <w:suff w:val="nothing"/>
      <w:lvlText w:val="%1、"/>
      <w:lvlJc w:val="left"/>
      <w:rPr>
        <w:rFonts w:hint="eastAsia"/>
      </w:rPr>
    </w:lvl>
  </w:abstractNum>
  <w:abstractNum w:abstractNumId="3">
    <w:nsid w:val="C2277B7C"/>
    <w:multiLevelType w:val="singleLevel"/>
    <w:tmpl w:val="C2277B7C"/>
    <w:lvl w:ilvl="0" w:tentative="0">
      <w:start w:val="1"/>
      <w:numFmt w:val="chineseCounting"/>
      <w:suff w:val="nothing"/>
      <w:lvlText w:val="（%1）"/>
      <w:lvlJc w:val="left"/>
      <w:rPr>
        <w:rFonts w:hint="eastAsia"/>
      </w:rPr>
    </w:lvl>
  </w:abstractNum>
  <w:abstractNum w:abstractNumId="4">
    <w:nsid w:val="DE25C296"/>
    <w:multiLevelType w:val="singleLevel"/>
    <w:tmpl w:val="DE25C296"/>
    <w:lvl w:ilvl="0" w:tentative="0">
      <w:start w:val="1"/>
      <w:numFmt w:val="bullet"/>
      <w:pStyle w:val="4"/>
      <w:lvlText w:val=""/>
      <w:lvlJc w:val="left"/>
      <w:pPr>
        <w:tabs>
          <w:tab w:val="left" w:pos="2040"/>
        </w:tabs>
        <w:ind w:left="2040" w:hanging="360"/>
      </w:pPr>
      <w:rPr>
        <w:rFonts w:hint="default" w:ascii="Wingdings" w:hAnsi="Wingdings"/>
      </w:rPr>
    </w:lvl>
  </w:abstractNum>
  <w:abstractNum w:abstractNumId="5">
    <w:nsid w:val="15CF9AAD"/>
    <w:multiLevelType w:val="singleLevel"/>
    <w:tmpl w:val="15CF9AAD"/>
    <w:lvl w:ilvl="0" w:tentative="0">
      <w:start w:val="1"/>
      <w:numFmt w:val="decimal"/>
      <w:suff w:val="nothing"/>
      <w:lvlText w:val="%1）"/>
      <w:lvlJc w:val="left"/>
    </w:lvl>
  </w:abstractNum>
  <w:abstractNum w:abstractNumId="6">
    <w:nsid w:val="46741172"/>
    <w:multiLevelType w:val="multilevel"/>
    <w:tmpl w:val="46741172"/>
    <w:lvl w:ilvl="0" w:tentative="0">
      <w:start w:val="1"/>
      <w:numFmt w:val="decimal"/>
      <w:lvlText w:val="表%1"/>
      <w:lvlJc w:val="left"/>
      <w:pPr>
        <w:ind w:left="420" w:hanging="420"/>
      </w:pPr>
      <w:rPr>
        <w:rFonts w:hint="default"/>
        <w:b/>
        <w:bCs/>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59C510C5"/>
    <w:multiLevelType w:val="singleLevel"/>
    <w:tmpl w:val="59C510C5"/>
    <w:lvl w:ilvl="0" w:tentative="0">
      <w:start w:val="7"/>
      <w:numFmt w:val="chineseCounting"/>
      <w:suff w:val="nothing"/>
      <w:lvlText w:val="（%1）"/>
      <w:lvlJc w:val="left"/>
      <w:rPr>
        <w:rFonts w:hint="eastAsia"/>
      </w:rPr>
    </w:lvl>
  </w:abstractNum>
  <w:abstractNum w:abstractNumId="8">
    <w:nsid w:val="62719152"/>
    <w:multiLevelType w:val="singleLevel"/>
    <w:tmpl w:val="62719152"/>
    <w:lvl w:ilvl="0" w:tentative="0">
      <w:start w:val="1"/>
      <w:numFmt w:val="decimal"/>
      <w:suff w:val="nothing"/>
      <w:lvlText w:val="%1、"/>
      <w:lvlJc w:val="left"/>
    </w:lvl>
  </w:abstractNum>
  <w:num w:numId="1">
    <w:abstractNumId w:val="4"/>
  </w:num>
  <w:num w:numId="2">
    <w:abstractNumId w:val="6"/>
  </w:num>
  <w:num w:numId="3">
    <w:abstractNumId w:val="1"/>
  </w:num>
  <w:num w:numId="4">
    <w:abstractNumId w:val="3"/>
  </w:num>
  <w:num w:numId="5">
    <w:abstractNumId w:val="0"/>
  </w:num>
  <w:num w:numId="6">
    <w:abstractNumId w:val="8"/>
  </w:num>
  <w:num w:numId="7">
    <w:abstractNumId w:val="2"/>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HorizontalSpacing w:val="210"/>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QzNWI2NTgwYTZmOWEwY2IyODVmNzM5MjJhZmQ2OTQifQ=="/>
  </w:docVars>
  <w:rsids>
    <w:rsidRoot w:val="00A14947"/>
    <w:rsid w:val="00000276"/>
    <w:rsid w:val="000060B3"/>
    <w:rsid w:val="00025CF4"/>
    <w:rsid w:val="000365B1"/>
    <w:rsid w:val="0004364B"/>
    <w:rsid w:val="0005477B"/>
    <w:rsid w:val="00056DE5"/>
    <w:rsid w:val="00061B1F"/>
    <w:rsid w:val="00072A19"/>
    <w:rsid w:val="000733C4"/>
    <w:rsid w:val="00074783"/>
    <w:rsid w:val="0008070B"/>
    <w:rsid w:val="000810AC"/>
    <w:rsid w:val="00081A02"/>
    <w:rsid w:val="00082231"/>
    <w:rsid w:val="00092D38"/>
    <w:rsid w:val="0009377B"/>
    <w:rsid w:val="000A168D"/>
    <w:rsid w:val="000A20C9"/>
    <w:rsid w:val="000B058F"/>
    <w:rsid w:val="000B4467"/>
    <w:rsid w:val="000B4DB9"/>
    <w:rsid w:val="000B511A"/>
    <w:rsid w:val="000C09AC"/>
    <w:rsid w:val="000C767F"/>
    <w:rsid w:val="000D5A44"/>
    <w:rsid w:val="000E04A1"/>
    <w:rsid w:val="000E3ED2"/>
    <w:rsid w:val="00127B31"/>
    <w:rsid w:val="00131F42"/>
    <w:rsid w:val="001357F1"/>
    <w:rsid w:val="00136C79"/>
    <w:rsid w:val="00140FA8"/>
    <w:rsid w:val="00142FEB"/>
    <w:rsid w:val="00143A2D"/>
    <w:rsid w:val="00145A41"/>
    <w:rsid w:val="0015018B"/>
    <w:rsid w:val="00151675"/>
    <w:rsid w:val="00157435"/>
    <w:rsid w:val="0017504D"/>
    <w:rsid w:val="0017671A"/>
    <w:rsid w:val="00177422"/>
    <w:rsid w:val="00184590"/>
    <w:rsid w:val="001870D1"/>
    <w:rsid w:val="0018781E"/>
    <w:rsid w:val="0019262D"/>
    <w:rsid w:val="001A1B35"/>
    <w:rsid w:val="001A48A2"/>
    <w:rsid w:val="001A5625"/>
    <w:rsid w:val="001A5C99"/>
    <w:rsid w:val="001A6F61"/>
    <w:rsid w:val="001B72B8"/>
    <w:rsid w:val="001B7AF3"/>
    <w:rsid w:val="001C0AB7"/>
    <w:rsid w:val="001C69B3"/>
    <w:rsid w:val="001D5595"/>
    <w:rsid w:val="001D7874"/>
    <w:rsid w:val="001D7F22"/>
    <w:rsid w:val="001E6C45"/>
    <w:rsid w:val="001F0F17"/>
    <w:rsid w:val="001F32BC"/>
    <w:rsid w:val="001F3347"/>
    <w:rsid w:val="001F69E4"/>
    <w:rsid w:val="002125B4"/>
    <w:rsid w:val="002155B8"/>
    <w:rsid w:val="00222427"/>
    <w:rsid w:val="00224839"/>
    <w:rsid w:val="002249B2"/>
    <w:rsid w:val="00226574"/>
    <w:rsid w:val="002278EC"/>
    <w:rsid w:val="0023280E"/>
    <w:rsid w:val="002377D1"/>
    <w:rsid w:val="002506BC"/>
    <w:rsid w:val="00254345"/>
    <w:rsid w:val="00264557"/>
    <w:rsid w:val="00265AED"/>
    <w:rsid w:val="00266A2E"/>
    <w:rsid w:val="002805AB"/>
    <w:rsid w:val="00281975"/>
    <w:rsid w:val="00282DF6"/>
    <w:rsid w:val="00284204"/>
    <w:rsid w:val="00291773"/>
    <w:rsid w:val="002A168C"/>
    <w:rsid w:val="002A3DC7"/>
    <w:rsid w:val="002B3838"/>
    <w:rsid w:val="002B3F7B"/>
    <w:rsid w:val="002B49E2"/>
    <w:rsid w:val="002B6117"/>
    <w:rsid w:val="002B7B00"/>
    <w:rsid w:val="002B7C44"/>
    <w:rsid w:val="002C0A90"/>
    <w:rsid w:val="002C2B17"/>
    <w:rsid w:val="002D2D71"/>
    <w:rsid w:val="002D3DD0"/>
    <w:rsid w:val="002E1F3A"/>
    <w:rsid w:val="002E298A"/>
    <w:rsid w:val="00301978"/>
    <w:rsid w:val="0030332C"/>
    <w:rsid w:val="003051C2"/>
    <w:rsid w:val="003110B5"/>
    <w:rsid w:val="00312296"/>
    <w:rsid w:val="00314F0E"/>
    <w:rsid w:val="00321D8E"/>
    <w:rsid w:val="003234F1"/>
    <w:rsid w:val="00325928"/>
    <w:rsid w:val="00330529"/>
    <w:rsid w:val="00332863"/>
    <w:rsid w:val="00333B70"/>
    <w:rsid w:val="0033684D"/>
    <w:rsid w:val="00337B42"/>
    <w:rsid w:val="00341B42"/>
    <w:rsid w:val="0034348F"/>
    <w:rsid w:val="00356653"/>
    <w:rsid w:val="0035743F"/>
    <w:rsid w:val="00357BE2"/>
    <w:rsid w:val="0036170C"/>
    <w:rsid w:val="003624DE"/>
    <w:rsid w:val="00364915"/>
    <w:rsid w:val="00366E0F"/>
    <w:rsid w:val="00376D08"/>
    <w:rsid w:val="00381A72"/>
    <w:rsid w:val="00384676"/>
    <w:rsid w:val="00384D81"/>
    <w:rsid w:val="00386226"/>
    <w:rsid w:val="00390857"/>
    <w:rsid w:val="003A0E6A"/>
    <w:rsid w:val="003A4BF3"/>
    <w:rsid w:val="003B420D"/>
    <w:rsid w:val="003C13C6"/>
    <w:rsid w:val="003C6C16"/>
    <w:rsid w:val="003D10E2"/>
    <w:rsid w:val="003D794D"/>
    <w:rsid w:val="003E3058"/>
    <w:rsid w:val="003E76A9"/>
    <w:rsid w:val="003F010D"/>
    <w:rsid w:val="003F0809"/>
    <w:rsid w:val="003F6A8C"/>
    <w:rsid w:val="003F755C"/>
    <w:rsid w:val="004047AA"/>
    <w:rsid w:val="00406F01"/>
    <w:rsid w:val="004136D4"/>
    <w:rsid w:val="00414EB2"/>
    <w:rsid w:val="00416D50"/>
    <w:rsid w:val="00416FD5"/>
    <w:rsid w:val="00417772"/>
    <w:rsid w:val="00420E6A"/>
    <w:rsid w:val="00425A9E"/>
    <w:rsid w:val="00426D6B"/>
    <w:rsid w:val="00431E6C"/>
    <w:rsid w:val="00433CE7"/>
    <w:rsid w:val="004522AB"/>
    <w:rsid w:val="00452738"/>
    <w:rsid w:val="00456091"/>
    <w:rsid w:val="0045613E"/>
    <w:rsid w:val="00466321"/>
    <w:rsid w:val="00484B9B"/>
    <w:rsid w:val="004855F6"/>
    <w:rsid w:val="0048661E"/>
    <w:rsid w:val="004913A4"/>
    <w:rsid w:val="00494670"/>
    <w:rsid w:val="004A3823"/>
    <w:rsid w:val="004A3A16"/>
    <w:rsid w:val="004D1739"/>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0F91"/>
    <w:rsid w:val="00542E07"/>
    <w:rsid w:val="00545424"/>
    <w:rsid w:val="00554A7B"/>
    <w:rsid w:val="005556D4"/>
    <w:rsid w:val="0055572C"/>
    <w:rsid w:val="00556776"/>
    <w:rsid w:val="0056106A"/>
    <w:rsid w:val="005664C7"/>
    <w:rsid w:val="005720AE"/>
    <w:rsid w:val="00592780"/>
    <w:rsid w:val="00594D77"/>
    <w:rsid w:val="005969E4"/>
    <w:rsid w:val="005A06B7"/>
    <w:rsid w:val="005A1759"/>
    <w:rsid w:val="005A68A7"/>
    <w:rsid w:val="005B7CC0"/>
    <w:rsid w:val="005C0AA9"/>
    <w:rsid w:val="005D36AB"/>
    <w:rsid w:val="006032C4"/>
    <w:rsid w:val="0060393E"/>
    <w:rsid w:val="00613211"/>
    <w:rsid w:val="0061553D"/>
    <w:rsid w:val="006162DA"/>
    <w:rsid w:val="00617CC3"/>
    <w:rsid w:val="00624FEA"/>
    <w:rsid w:val="006377A6"/>
    <w:rsid w:val="00637A3D"/>
    <w:rsid w:val="006411EF"/>
    <w:rsid w:val="00644FB4"/>
    <w:rsid w:val="00672225"/>
    <w:rsid w:val="006748B8"/>
    <w:rsid w:val="006775C3"/>
    <w:rsid w:val="0069290A"/>
    <w:rsid w:val="0069775A"/>
    <w:rsid w:val="00697813"/>
    <w:rsid w:val="006A3EE8"/>
    <w:rsid w:val="006A5CF5"/>
    <w:rsid w:val="006A72BF"/>
    <w:rsid w:val="006A7EAC"/>
    <w:rsid w:val="006B03F2"/>
    <w:rsid w:val="006B0F6F"/>
    <w:rsid w:val="006B37DC"/>
    <w:rsid w:val="006B4F68"/>
    <w:rsid w:val="006C0592"/>
    <w:rsid w:val="006C272E"/>
    <w:rsid w:val="006C524B"/>
    <w:rsid w:val="006C5479"/>
    <w:rsid w:val="006D13B5"/>
    <w:rsid w:val="006E12FF"/>
    <w:rsid w:val="006E200D"/>
    <w:rsid w:val="006E2A21"/>
    <w:rsid w:val="006E607E"/>
    <w:rsid w:val="006F3A5B"/>
    <w:rsid w:val="006F43E3"/>
    <w:rsid w:val="00706C5D"/>
    <w:rsid w:val="00720242"/>
    <w:rsid w:val="00732922"/>
    <w:rsid w:val="0075162E"/>
    <w:rsid w:val="00754034"/>
    <w:rsid w:val="007551AA"/>
    <w:rsid w:val="00756556"/>
    <w:rsid w:val="007618C4"/>
    <w:rsid w:val="00767980"/>
    <w:rsid w:val="00770B19"/>
    <w:rsid w:val="0077463F"/>
    <w:rsid w:val="007836EA"/>
    <w:rsid w:val="00784CDA"/>
    <w:rsid w:val="007906C4"/>
    <w:rsid w:val="007940EA"/>
    <w:rsid w:val="007967E8"/>
    <w:rsid w:val="007A2170"/>
    <w:rsid w:val="007A22BF"/>
    <w:rsid w:val="007A3323"/>
    <w:rsid w:val="007B69C3"/>
    <w:rsid w:val="007B72B8"/>
    <w:rsid w:val="007B7A58"/>
    <w:rsid w:val="007C0B7C"/>
    <w:rsid w:val="007C1EC5"/>
    <w:rsid w:val="007C21B5"/>
    <w:rsid w:val="007D4DD1"/>
    <w:rsid w:val="007E4BD2"/>
    <w:rsid w:val="007F5226"/>
    <w:rsid w:val="00801393"/>
    <w:rsid w:val="00802F88"/>
    <w:rsid w:val="0081293E"/>
    <w:rsid w:val="00815465"/>
    <w:rsid w:val="00817E9A"/>
    <w:rsid w:val="00825B06"/>
    <w:rsid w:val="008306BD"/>
    <w:rsid w:val="00831A80"/>
    <w:rsid w:val="00833743"/>
    <w:rsid w:val="008340A4"/>
    <w:rsid w:val="0084211F"/>
    <w:rsid w:val="0087135F"/>
    <w:rsid w:val="00872D94"/>
    <w:rsid w:val="00873950"/>
    <w:rsid w:val="00880364"/>
    <w:rsid w:val="0088619C"/>
    <w:rsid w:val="00891592"/>
    <w:rsid w:val="00891E9E"/>
    <w:rsid w:val="008A08D6"/>
    <w:rsid w:val="008A2F68"/>
    <w:rsid w:val="008B4FA6"/>
    <w:rsid w:val="008B5282"/>
    <w:rsid w:val="008B6F0F"/>
    <w:rsid w:val="008B7C17"/>
    <w:rsid w:val="008C2D01"/>
    <w:rsid w:val="008C40E6"/>
    <w:rsid w:val="008D0F7A"/>
    <w:rsid w:val="008D4105"/>
    <w:rsid w:val="008D68E4"/>
    <w:rsid w:val="008E0506"/>
    <w:rsid w:val="008E0CFF"/>
    <w:rsid w:val="008E16AC"/>
    <w:rsid w:val="008E5732"/>
    <w:rsid w:val="008E5D6B"/>
    <w:rsid w:val="008E7612"/>
    <w:rsid w:val="008E76F0"/>
    <w:rsid w:val="008F15FE"/>
    <w:rsid w:val="008F2D29"/>
    <w:rsid w:val="008F5187"/>
    <w:rsid w:val="008F60D8"/>
    <w:rsid w:val="00902727"/>
    <w:rsid w:val="0090312B"/>
    <w:rsid w:val="0091736D"/>
    <w:rsid w:val="0093037A"/>
    <w:rsid w:val="00933388"/>
    <w:rsid w:val="009375DF"/>
    <w:rsid w:val="0094154D"/>
    <w:rsid w:val="00950F0C"/>
    <w:rsid w:val="0095155F"/>
    <w:rsid w:val="00954429"/>
    <w:rsid w:val="009563CE"/>
    <w:rsid w:val="009642E2"/>
    <w:rsid w:val="00976328"/>
    <w:rsid w:val="0097680D"/>
    <w:rsid w:val="00976C28"/>
    <w:rsid w:val="00982438"/>
    <w:rsid w:val="0098404C"/>
    <w:rsid w:val="00985283"/>
    <w:rsid w:val="00995992"/>
    <w:rsid w:val="009A03E5"/>
    <w:rsid w:val="009A0F3B"/>
    <w:rsid w:val="009A1BB4"/>
    <w:rsid w:val="009A2628"/>
    <w:rsid w:val="009A3200"/>
    <w:rsid w:val="009A64ED"/>
    <w:rsid w:val="009B0897"/>
    <w:rsid w:val="009B7BD9"/>
    <w:rsid w:val="009C7DD5"/>
    <w:rsid w:val="009D3D27"/>
    <w:rsid w:val="009E0578"/>
    <w:rsid w:val="009E227D"/>
    <w:rsid w:val="009E5019"/>
    <w:rsid w:val="009E717F"/>
    <w:rsid w:val="00A04F1B"/>
    <w:rsid w:val="00A0501B"/>
    <w:rsid w:val="00A05686"/>
    <w:rsid w:val="00A14390"/>
    <w:rsid w:val="00A14947"/>
    <w:rsid w:val="00A15B0B"/>
    <w:rsid w:val="00A210C9"/>
    <w:rsid w:val="00A22D70"/>
    <w:rsid w:val="00A30370"/>
    <w:rsid w:val="00A32A83"/>
    <w:rsid w:val="00A35626"/>
    <w:rsid w:val="00A368DB"/>
    <w:rsid w:val="00A423AA"/>
    <w:rsid w:val="00A52331"/>
    <w:rsid w:val="00A53EC6"/>
    <w:rsid w:val="00A55C0F"/>
    <w:rsid w:val="00A63F27"/>
    <w:rsid w:val="00A8713F"/>
    <w:rsid w:val="00A9081A"/>
    <w:rsid w:val="00A90BA1"/>
    <w:rsid w:val="00A96F30"/>
    <w:rsid w:val="00A97A9A"/>
    <w:rsid w:val="00AA0671"/>
    <w:rsid w:val="00AA2531"/>
    <w:rsid w:val="00AB1E09"/>
    <w:rsid w:val="00AB5330"/>
    <w:rsid w:val="00AB655F"/>
    <w:rsid w:val="00AB7747"/>
    <w:rsid w:val="00AC085E"/>
    <w:rsid w:val="00AC14CE"/>
    <w:rsid w:val="00AC2A56"/>
    <w:rsid w:val="00AC52ED"/>
    <w:rsid w:val="00AD055E"/>
    <w:rsid w:val="00AD47A7"/>
    <w:rsid w:val="00AD60F2"/>
    <w:rsid w:val="00AF0CBF"/>
    <w:rsid w:val="00AF257F"/>
    <w:rsid w:val="00AF33CF"/>
    <w:rsid w:val="00AF4D50"/>
    <w:rsid w:val="00AF6179"/>
    <w:rsid w:val="00B114FF"/>
    <w:rsid w:val="00B1295A"/>
    <w:rsid w:val="00B20A45"/>
    <w:rsid w:val="00B20B5B"/>
    <w:rsid w:val="00B22C5C"/>
    <w:rsid w:val="00B24F30"/>
    <w:rsid w:val="00B31ABF"/>
    <w:rsid w:val="00B32754"/>
    <w:rsid w:val="00B33BE3"/>
    <w:rsid w:val="00B37C8E"/>
    <w:rsid w:val="00B45AB5"/>
    <w:rsid w:val="00B53B5D"/>
    <w:rsid w:val="00B6055E"/>
    <w:rsid w:val="00B6317D"/>
    <w:rsid w:val="00B64816"/>
    <w:rsid w:val="00B7062F"/>
    <w:rsid w:val="00B76E24"/>
    <w:rsid w:val="00B7723F"/>
    <w:rsid w:val="00B80534"/>
    <w:rsid w:val="00B8433C"/>
    <w:rsid w:val="00B87491"/>
    <w:rsid w:val="00B90F28"/>
    <w:rsid w:val="00BA29E9"/>
    <w:rsid w:val="00BA2AC3"/>
    <w:rsid w:val="00BA7142"/>
    <w:rsid w:val="00BA7773"/>
    <w:rsid w:val="00BB237C"/>
    <w:rsid w:val="00BB41A3"/>
    <w:rsid w:val="00BC32DC"/>
    <w:rsid w:val="00BC35B6"/>
    <w:rsid w:val="00BC7FE7"/>
    <w:rsid w:val="00BD1B51"/>
    <w:rsid w:val="00BD4596"/>
    <w:rsid w:val="00BD7D79"/>
    <w:rsid w:val="00BE1405"/>
    <w:rsid w:val="00BE312D"/>
    <w:rsid w:val="00BE706A"/>
    <w:rsid w:val="00BE77F4"/>
    <w:rsid w:val="00BF1C20"/>
    <w:rsid w:val="00C014FC"/>
    <w:rsid w:val="00C10578"/>
    <w:rsid w:val="00C135BC"/>
    <w:rsid w:val="00C15C95"/>
    <w:rsid w:val="00C2596A"/>
    <w:rsid w:val="00C27537"/>
    <w:rsid w:val="00C328FE"/>
    <w:rsid w:val="00C33507"/>
    <w:rsid w:val="00C348BF"/>
    <w:rsid w:val="00C34EB7"/>
    <w:rsid w:val="00C359A8"/>
    <w:rsid w:val="00C40A84"/>
    <w:rsid w:val="00C4409D"/>
    <w:rsid w:val="00C44E72"/>
    <w:rsid w:val="00C45A06"/>
    <w:rsid w:val="00C47E5B"/>
    <w:rsid w:val="00C50140"/>
    <w:rsid w:val="00C507C9"/>
    <w:rsid w:val="00C61E4B"/>
    <w:rsid w:val="00C64520"/>
    <w:rsid w:val="00C6453A"/>
    <w:rsid w:val="00C64BFF"/>
    <w:rsid w:val="00C704E9"/>
    <w:rsid w:val="00C763C9"/>
    <w:rsid w:val="00C80057"/>
    <w:rsid w:val="00C82232"/>
    <w:rsid w:val="00C82913"/>
    <w:rsid w:val="00C866DC"/>
    <w:rsid w:val="00C972B1"/>
    <w:rsid w:val="00CA1B83"/>
    <w:rsid w:val="00CA2CCE"/>
    <w:rsid w:val="00CA42D6"/>
    <w:rsid w:val="00CA43FD"/>
    <w:rsid w:val="00CA5B89"/>
    <w:rsid w:val="00CA7EF8"/>
    <w:rsid w:val="00CC04F9"/>
    <w:rsid w:val="00CC489B"/>
    <w:rsid w:val="00CD14A8"/>
    <w:rsid w:val="00CD22DB"/>
    <w:rsid w:val="00CD2BCD"/>
    <w:rsid w:val="00CD3A4C"/>
    <w:rsid w:val="00CE10E9"/>
    <w:rsid w:val="00CE2910"/>
    <w:rsid w:val="00CE5393"/>
    <w:rsid w:val="00CF36BE"/>
    <w:rsid w:val="00CF6000"/>
    <w:rsid w:val="00D003F3"/>
    <w:rsid w:val="00D0364F"/>
    <w:rsid w:val="00D06834"/>
    <w:rsid w:val="00D1461D"/>
    <w:rsid w:val="00D308ED"/>
    <w:rsid w:val="00D33383"/>
    <w:rsid w:val="00D36D86"/>
    <w:rsid w:val="00D428AA"/>
    <w:rsid w:val="00D436AF"/>
    <w:rsid w:val="00D50A34"/>
    <w:rsid w:val="00D50C03"/>
    <w:rsid w:val="00D53EFA"/>
    <w:rsid w:val="00D57BBE"/>
    <w:rsid w:val="00D709D9"/>
    <w:rsid w:val="00D91A25"/>
    <w:rsid w:val="00D94851"/>
    <w:rsid w:val="00D94A7C"/>
    <w:rsid w:val="00D95896"/>
    <w:rsid w:val="00DA2540"/>
    <w:rsid w:val="00DB2983"/>
    <w:rsid w:val="00DC1257"/>
    <w:rsid w:val="00DC2B9C"/>
    <w:rsid w:val="00DC3DC0"/>
    <w:rsid w:val="00DC5B2B"/>
    <w:rsid w:val="00DD114C"/>
    <w:rsid w:val="00DD318D"/>
    <w:rsid w:val="00DD5CD6"/>
    <w:rsid w:val="00DE5251"/>
    <w:rsid w:val="00DF2E12"/>
    <w:rsid w:val="00DF3063"/>
    <w:rsid w:val="00DF514A"/>
    <w:rsid w:val="00DF6690"/>
    <w:rsid w:val="00DF6804"/>
    <w:rsid w:val="00DF7B00"/>
    <w:rsid w:val="00E0358D"/>
    <w:rsid w:val="00E04323"/>
    <w:rsid w:val="00E070A2"/>
    <w:rsid w:val="00E120E5"/>
    <w:rsid w:val="00E2656A"/>
    <w:rsid w:val="00E412D0"/>
    <w:rsid w:val="00E46375"/>
    <w:rsid w:val="00E52616"/>
    <w:rsid w:val="00E56322"/>
    <w:rsid w:val="00E60982"/>
    <w:rsid w:val="00E62C62"/>
    <w:rsid w:val="00E654C1"/>
    <w:rsid w:val="00E65D97"/>
    <w:rsid w:val="00E72A5A"/>
    <w:rsid w:val="00E73354"/>
    <w:rsid w:val="00E81F29"/>
    <w:rsid w:val="00E9242D"/>
    <w:rsid w:val="00EB2386"/>
    <w:rsid w:val="00EB5255"/>
    <w:rsid w:val="00EB5C47"/>
    <w:rsid w:val="00EB6DC4"/>
    <w:rsid w:val="00EC2BF3"/>
    <w:rsid w:val="00ED0639"/>
    <w:rsid w:val="00EE2378"/>
    <w:rsid w:val="00EF4755"/>
    <w:rsid w:val="00EF7135"/>
    <w:rsid w:val="00F027DB"/>
    <w:rsid w:val="00F132F6"/>
    <w:rsid w:val="00F14A7A"/>
    <w:rsid w:val="00F21CE0"/>
    <w:rsid w:val="00F22985"/>
    <w:rsid w:val="00F3383E"/>
    <w:rsid w:val="00F465A7"/>
    <w:rsid w:val="00F50B7C"/>
    <w:rsid w:val="00F550E6"/>
    <w:rsid w:val="00F73323"/>
    <w:rsid w:val="00F74211"/>
    <w:rsid w:val="00F74345"/>
    <w:rsid w:val="00F80A0A"/>
    <w:rsid w:val="00F82B19"/>
    <w:rsid w:val="00F9212D"/>
    <w:rsid w:val="00F965DA"/>
    <w:rsid w:val="00FA406A"/>
    <w:rsid w:val="00FB2F35"/>
    <w:rsid w:val="00FB503A"/>
    <w:rsid w:val="00FB516C"/>
    <w:rsid w:val="00FD0236"/>
    <w:rsid w:val="00FD18F4"/>
    <w:rsid w:val="00FD54DB"/>
    <w:rsid w:val="00FD619F"/>
    <w:rsid w:val="00FE1F37"/>
    <w:rsid w:val="01245820"/>
    <w:rsid w:val="0124735F"/>
    <w:rsid w:val="01290F7E"/>
    <w:rsid w:val="013B6FE3"/>
    <w:rsid w:val="015D1E09"/>
    <w:rsid w:val="01A57819"/>
    <w:rsid w:val="01B64F75"/>
    <w:rsid w:val="01B97CC1"/>
    <w:rsid w:val="01BE07EC"/>
    <w:rsid w:val="01F52625"/>
    <w:rsid w:val="020620A5"/>
    <w:rsid w:val="021B2B71"/>
    <w:rsid w:val="02211298"/>
    <w:rsid w:val="02367ED4"/>
    <w:rsid w:val="023859C9"/>
    <w:rsid w:val="02472C8D"/>
    <w:rsid w:val="02697173"/>
    <w:rsid w:val="02697903"/>
    <w:rsid w:val="02C43B26"/>
    <w:rsid w:val="02CC09AA"/>
    <w:rsid w:val="02D559E8"/>
    <w:rsid w:val="02D71110"/>
    <w:rsid w:val="02F23886"/>
    <w:rsid w:val="02F96569"/>
    <w:rsid w:val="03455F4E"/>
    <w:rsid w:val="035916FD"/>
    <w:rsid w:val="037621EB"/>
    <w:rsid w:val="037E3391"/>
    <w:rsid w:val="038B423C"/>
    <w:rsid w:val="039364D3"/>
    <w:rsid w:val="039765CA"/>
    <w:rsid w:val="03976E4C"/>
    <w:rsid w:val="03A103F3"/>
    <w:rsid w:val="03A6050D"/>
    <w:rsid w:val="03B6062C"/>
    <w:rsid w:val="03C508DD"/>
    <w:rsid w:val="03DF5956"/>
    <w:rsid w:val="03EA7B21"/>
    <w:rsid w:val="03FE2673"/>
    <w:rsid w:val="040C4619"/>
    <w:rsid w:val="046256A1"/>
    <w:rsid w:val="046B5A3A"/>
    <w:rsid w:val="048A5670"/>
    <w:rsid w:val="04955554"/>
    <w:rsid w:val="049B6C18"/>
    <w:rsid w:val="051F6540"/>
    <w:rsid w:val="052B66D7"/>
    <w:rsid w:val="052D0021"/>
    <w:rsid w:val="05613A10"/>
    <w:rsid w:val="056B315A"/>
    <w:rsid w:val="05787B3E"/>
    <w:rsid w:val="059E5289"/>
    <w:rsid w:val="05A34D44"/>
    <w:rsid w:val="05A47E48"/>
    <w:rsid w:val="05AB19FE"/>
    <w:rsid w:val="05AC4A5F"/>
    <w:rsid w:val="05BB6731"/>
    <w:rsid w:val="05DD030E"/>
    <w:rsid w:val="05EA1E95"/>
    <w:rsid w:val="05F83EAE"/>
    <w:rsid w:val="05F841D4"/>
    <w:rsid w:val="05FC340C"/>
    <w:rsid w:val="06282A7B"/>
    <w:rsid w:val="063E7D85"/>
    <w:rsid w:val="068F76EB"/>
    <w:rsid w:val="06925915"/>
    <w:rsid w:val="069937A3"/>
    <w:rsid w:val="06B51F6B"/>
    <w:rsid w:val="06BA3ED7"/>
    <w:rsid w:val="06C54099"/>
    <w:rsid w:val="06D73F5B"/>
    <w:rsid w:val="06F75B63"/>
    <w:rsid w:val="06F93849"/>
    <w:rsid w:val="070F7934"/>
    <w:rsid w:val="071B4823"/>
    <w:rsid w:val="07236CC2"/>
    <w:rsid w:val="07293586"/>
    <w:rsid w:val="07295285"/>
    <w:rsid w:val="07336AF3"/>
    <w:rsid w:val="07537483"/>
    <w:rsid w:val="07587AF5"/>
    <w:rsid w:val="07636392"/>
    <w:rsid w:val="076932D4"/>
    <w:rsid w:val="07770C56"/>
    <w:rsid w:val="07DB75E3"/>
    <w:rsid w:val="07DD6BCF"/>
    <w:rsid w:val="07DF07C5"/>
    <w:rsid w:val="07E268BA"/>
    <w:rsid w:val="07E701E4"/>
    <w:rsid w:val="080F1CEF"/>
    <w:rsid w:val="08126B94"/>
    <w:rsid w:val="0863069D"/>
    <w:rsid w:val="08971ECB"/>
    <w:rsid w:val="08AC22F4"/>
    <w:rsid w:val="08D74D11"/>
    <w:rsid w:val="08EE0EA4"/>
    <w:rsid w:val="08FA79D8"/>
    <w:rsid w:val="092217DD"/>
    <w:rsid w:val="09257CAA"/>
    <w:rsid w:val="09371C68"/>
    <w:rsid w:val="093A7294"/>
    <w:rsid w:val="09587508"/>
    <w:rsid w:val="095B14F9"/>
    <w:rsid w:val="095B3CB5"/>
    <w:rsid w:val="09606AB8"/>
    <w:rsid w:val="09660E3C"/>
    <w:rsid w:val="09700BB7"/>
    <w:rsid w:val="09994998"/>
    <w:rsid w:val="09A53B17"/>
    <w:rsid w:val="09B5512D"/>
    <w:rsid w:val="09B90DE1"/>
    <w:rsid w:val="09BC042F"/>
    <w:rsid w:val="0A183D92"/>
    <w:rsid w:val="0A263993"/>
    <w:rsid w:val="0A2B5B4B"/>
    <w:rsid w:val="0A2D3AC2"/>
    <w:rsid w:val="0A5970F5"/>
    <w:rsid w:val="0A5D4F32"/>
    <w:rsid w:val="0A794063"/>
    <w:rsid w:val="0AA755DF"/>
    <w:rsid w:val="0AAB7D62"/>
    <w:rsid w:val="0AAC16D8"/>
    <w:rsid w:val="0AB155A1"/>
    <w:rsid w:val="0AF01DAA"/>
    <w:rsid w:val="0AFD7277"/>
    <w:rsid w:val="0B02784B"/>
    <w:rsid w:val="0B120D44"/>
    <w:rsid w:val="0B6A7B06"/>
    <w:rsid w:val="0BA9196C"/>
    <w:rsid w:val="0BAD5CBE"/>
    <w:rsid w:val="0BD27BF6"/>
    <w:rsid w:val="0BD3096C"/>
    <w:rsid w:val="0BDA237C"/>
    <w:rsid w:val="0BDC31C7"/>
    <w:rsid w:val="0C021726"/>
    <w:rsid w:val="0C3B3C7D"/>
    <w:rsid w:val="0C4F2CE4"/>
    <w:rsid w:val="0C50647C"/>
    <w:rsid w:val="0C6D7396"/>
    <w:rsid w:val="0C730594"/>
    <w:rsid w:val="0C9B4CD3"/>
    <w:rsid w:val="0C9B6146"/>
    <w:rsid w:val="0CAB2EAE"/>
    <w:rsid w:val="0CB04CDC"/>
    <w:rsid w:val="0CEF5689"/>
    <w:rsid w:val="0D2276D8"/>
    <w:rsid w:val="0D621C7D"/>
    <w:rsid w:val="0D760770"/>
    <w:rsid w:val="0D803996"/>
    <w:rsid w:val="0DBC5EC0"/>
    <w:rsid w:val="0DCE0060"/>
    <w:rsid w:val="0DCE1F63"/>
    <w:rsid w:val="0E0A1B1A"/>
    <w:rsid w:val="0E4624EB"/>
    <w:rsid w:val="0E4657B6"/>
    <w:rsid w:val="0E636E3A"/>
    <w:rsid w:val="0E73034D"/>
    <w:rsid w:val="0E7C4189"/>
    <w:rsid w:val="0E8A0EE9"/>
    <w:rsid w:val="0EB16245"/>
    <w:rsid w:val="0EB33938"/>
    <w:rsid w:val="0EC87E8E"/>
    <w:rsid w:val="0EEC3786"/>
    <w:rsid w:val="0EF021A6"/>
    <w:rsid w:val="0F0A3043"/>
    <w:rsid w:val="0F13775A"/>
    <w:rsid w:val="0F1E28A7"/>
    <w:rsid w:val="0F385144"/>
    <w:rsid w:val="0F5A23DC"/>
    <w:rsid w:val="0F5B4403"/>
    <w:rsid w:val="0F5F45FE"/>
    <w:rsid w:val="0F6D3ED6"/>
    <w:rsid w:val="0F725A50"/>
    <w:rsid w:val="0F9A112B"/>
    <w:rsid w:val="0FCE08C0"/>
    <w:rsid w:val="0FD71441"/>
    <w:rsid w:val="0FF578E2"/>
    <w:rsid w:val="100E2F32"/>
    <w:rsid w:val="10294501"/>
    <w:rsid w:val="10380ADD"/>
    <w:rsid w:val="10647FA4"/>
    <w:rsid w:val="106D2F64"/>
    <w:rsid w:val="10B63710"/>
    <w:rsid w:val="10C01BF6"/>
    <w:rsid w:val="10C05246"/>
    <w:rsid w:val="10CC5EE4"/>
    <w:rsid w:val="10EE4D05"/>
    <w:rsid w:val="10F10820"/>
    <w:rsid w:val="10FA4E5F"/>
    <w:rsid w:val="11113305"/>
    <w:rsid w:val="111C2F7A"/>
    <w:rsid w:val="11207F84"/>
    <w:rsid w:val="11240289"/>
    <w:rsid w:val="115B7872"/>
    <w:rsid w:val="11665CA1"/>
    <w:rsid w:val="11EF0172"/>
    <w:rsid w:val="12051B32"/>
    <w:rsid w:val="12276B02"/>
    <w:rsid w:val="12422894"/>
    <w:rsid w:val="12446724"/>
    <w:rsid w:val="1267520A"/>
    <w:rsid w:val="129B5346"/>
    <w:rsid w:val="12C809C5"/>
    <w:rsid w:val="12D35C91"/>
    <w:rsid w:val="12F3330B"/>
    <w:rsid w:val="13400E81"/>
    <w:rsid w:val="13560AD9"/>
    <w:rsid w:val="135D2F98"/>
    <w:rsid w:val="13933E9E"/>
    <w:rsid w:val="13951726"/>
    <w:rsid w:val="13BE665C"/>
    <w:rsid w:val="13D643C6"/>
    <w:rsid w:val="13F94CC8"/>
    <w:rsid w:val="141F050A"/>
    <w:rsid w:val="14302FE9"/>
    <w:rsid w:val="14396509"/>
    <w:rsid w:val="14405EDB"/>
    <w:rsid w:val="1479651B"/>
    <w:rsid w:val="14B53691"/>
    <w:rsid w:val="14C62672"/>
    <w:rsid w:val="14DD2C3C"/>
    <w:rsid w:val="15105BE3"/>
    <w:rsid w:val="157F43D7"/>
    <w:rsid w:val="15891F67"/>
    <w:rsid w:val="15A95C65"/>
    <w:rsid w:val="15C636D4"/>
    <w:rsid w:val="15C9648C"/>
    <w:rsid w:val="15CA232E"/>
    <w:rsid w:val="15E474D4"/>
    <w:rsid w:val="15F26091"/>
    <w:rsid w:val="16087E1D"/>
    <w:rsid w:val="16195CFE"/>
    <w:rsid w:val="16403D0D"/>
    <w:rsid w:val="166A3DC1"/>
    <w:rsid w:val="168C127E"/>
    <w:rsid w:val="168F208C"/>
    <w:rsid w:val="16911A71"/>
    <w:rsid w:val="169400C7"/>
    <w:rsid w:val="169F3D04"/>
    <w:rsid w:val="16B03DC9"/>
    <w:rsid w:val="16B461DB"/>
    <w:rsid w:val="16D259D1"/>
    <w:rsid w:val="16DB31BB"/>
    <w:rsid w:val="16E60B80"/>
    <w:rsid w:val="170548EF"/>
    <w:rsid w:val="171B558E"/>
    <w:rsid w:val="17201A42"/>
    <w:rsid w:val="17367EE8"/>
    <w:rsid w:val="17386342"/>
    <w:rsid w:val="174463A5"/>
    <w:rsid w:val="17701D14"/>
    <w:rsid w:val="17735226"/>
    <w:rsid w:val="1777512F"/>
    <w:rsid w:val="1782278B"/>
    <w:rsid w:val="179E10CD"/>
    <w:rsid w:val="17A01E70"/>
    <w:rsid w:val="17AB3CC3"/>
    <w:rsid w:val="185C23DD"/>
    <w:rsid w:val="18912916"/>
    <w:rsid w:val="189F624C"/>
    <w:rsid w:val="18C20BCB"/>
    <w:rsid w:val="18DF5470"/>
    <w:rsid w:val="1906204F"/>
    <w:rsid w:val="19136B47"/>
    <w:rsid w:val="19152C0C"/>
    <w:rsid w:val="193E1D1E"/>
    <w:rsid w:val="19403057"/>
    <w:rsid w:val="195347F5"/>
    <w:rsid w:val="198673A2"/>
    <w:rsid w:val="19B53DCC"/>
    <w:rsid w:val="19D21371"/>
    <w:rsid w:val="19D71EA9"/>
    <w:rsid w:val="19D7481E"/>
    <w:rsid w:val="19F367D3"/>
    <w:rsid w:val="19FA306B"/>
    <w:rsid w:val="1A177539"/>
    <w:rsid w:val="1A1C66C0"/>
    <w:rsid w:val="1A1F2283"/>
    <w:rsid w:val="1A42393B"/>
    <w:rsid w:val="1A4D5EE0"/>
    <w:rsid w:val="1A530D87"/>
    <w:rsid w:val="1A5A2F04"/>
    <w:rsid w:val="1AA34363"/>
    <w:rsid w:val="1AA77AAB"/>
    <w:rsid w:val="1AAD45DE"/>
    <w:rsid w:val="1AC15CD0"/>
    <w:rsid w:val="1AD44E00"/>
    <w:rsid w:val="1ADC5CFE"/>
    <w:rsid w:val="1AE737BB"/>
    <w:rsid w:val="1B046F80"/>
    <w:rsid w:val="1B1E1AD6"/>
    <w:rsid w:val="1B3267B5"/>
    <w:rsid w:val="1B3D1D08"/>
    <w:rsid w:val="1B40161D"/>
    <w:rsid w:val="1B441859"/>
    <w:rsid w:val="1B5D3B36"/>
    <w:rsid w:val="1B6606B1"/>
    <w:rsid w:val="1B6A300F"/>
    <w:rsid w:val="1B761665"/>
    <w:rsid w:val="1B99050E"/>
    <w:rsid w:val="1BC56DD0"/>
    <w:rsid w:val="1BD12F83"/>
    <w:rsid w:val="1BF35282"/>
    <w:rsid w:val="1C321C7C"/>
    <w:rsid w:val="1C5660DE"/>
    <w:rsid w:val="1C5E7925"/>
    <w:rsid w:val="1C626AD0"/>
    <w:rsid w:val="1C69637E"/>
    <w:rsid w:val="1C6B1DFE"/>
    <w:rsid w:val="1CA268DF"/>
    <w:rsid w:val="1CF87C5A"/>
    <w:rsid w:val="1CFD070F"/>
    <w:rsid w:val="1D065F22"/>
    <w:rsid w:val="1D3F1BB7"/>
    <w:rsid w:val="1D3F6599"/>
    <w:rsid w:val="1D5E0A3D"/>
    <w:rsid w:val="1D5F6196"/>
    <w:rsid w:val="1D611380"/>
    <w:rsid w:val="1D6132A5"/>
    <w:rsid w:val="1D623591"/>
    <w:rsid w:val="1D754380"/>
    <w:rsid w:val="1D892EE3"/>
    <w:rsid w:val="1D8A65AB"/>
    <w:rsid w:val="1D8E56D5"/>
    <w:rsid w:val="1E0F522A"/>
    <w:rsid w:val="1E2531E2"/>
    <w:rsid w:val="1E3320AE"/>
    <w:rsid w:val="1E37568C"/>
    <w:rsid w:val="1E3A7E73"/>
    <w:rsid w:val="1E427763"/>
    <w:rsid w:val="1E430958"/>
    <w:rsid w:val="1E4F41A3"/>
    <w:rsid w:val="1E571099"/>
    <w:rsid w:val="1E6C6926"/>
    <w:rsid w:val="1E782E0B"/>
    <w:rsid w:val="1E7A43DA"/>
    <w:rsid w:val="1E8F58E1"/>
    <w:rsid w:val="1E92558B"/>
    <w:rsid w:val="1EA04837"/>
    <w:rsid w:val="1EA32785"/>
    <w:rsid w:val="1F163CE6"/>
    <w:rsid w:val="1F5A4DB2"/>
    <w:rsid w:val="1F677E84"/>
    <w:rsid w:val="1F7A7662"/>
    <w:rsid w:val="1F7C27F2"/>
    <w:rsid w:val="1F8E536C"/>
    <w:rsid w:val="1F9C2DD2"/>
    <w:rsid w:val="1FA90A79"/>
    <w:rsid w:val="1FE7539E"/>
    <w:rsid w:val="20016FBD"/>
    <w:rsid w:val="201D25F8"/>
    <w:rsid w:val="20283FC1"/>
    <w:rsid w:val="20666C96"/>
    <w:rsid w:val="20671BE0"/>
    <w:rsid w:val="20701A8C"/>
    <w:rsid w:val="208E5915"/>
    <w:rsid w:val="20963CB8"/>
    <w:rsid w:val="20A81A1B"/>
    <w:rsid w:val="20B07FB6"/>
    <w:rsid w:val="20B646FB"/>
    <w:rsid w:val="20BA7648"/>
    <w:rsid w:val="20C43A61"/>
    <w:rsid w:val="20F06F99"/>
    <w:rsid w:val="21277136"/>
    <w:rsid w:val="212D2AA5"/>
    <w:rsid w:val="213B74B1"/>
    <w:rsid w:val="214C35A4"/>
    <w:rsid w:val="215A2310"/>
    <w:rsid w:val="215C0CE5"/>
    <w:rsid w:val="216C6B65"/>
    <w:rsid w:val="2174081D"/>
    <w:rsid w:val="217E7577"/>
    <w:rsid w:val="21847913"/>
    <w:rsid w:val="21973F77"/>
    <w:rsid w:val="219F0AC7"/>
    <w:rsid w:val="21BC51D5"/>
    <w:rsid w:val="21C141AA"/>
    <w:rsid w:val="21D10DB2"/>
    <w:rsid w:val="21DE318A"/>
    <w:rsid w:val="21EF5B80"/>
    <w:rsid w:val="21FF2FFB"/>
    <w:rsid w:val="2217260A"/>
    <w:rsid w:val="22484654"/>
    <w:rsid w:val="22576990"/>
    <w:rsid w:val="229662EA"/>
    <w:rsid w:val="22B73BDE"/>
    <w:rsid w:val="22CC7F31"/>
    <w:rsid w:val="22F42594"/>
    <w:rsid w:val="22F47480"/>
    <w:rsid w:val="22FA7779"/>
    <w:rsid w:val="23213086"/>
    <w:rsid w:val="238E75CA"/>
    <w:rsid w:val="239509AA"/>
    <w:rsid w:val="239F1A46"/>
    <w:rsid w:val="23AE4FF1"/>
    <w:rsid w:val="23B1073F"/>
    <w:rsid w:val="23C6010F"/>
    <w:rsid w:val="23D8630C"/>
    <w:rsid w:val="23DE1C48"/>
    <w:rsid w:val="23E4781C"/>
    <w:rsid w:val="23E9505C"/>
    <w:rsid w:val="23EB79E2"/>
    <w:rsid w:val="240210CD"/>
    <w:rsid w:val="24022F26"/>
    <w:rsid w:val="240D536E"/>
    <w:rsid w:val="243E580E"/>
    <w:rsid w:val="24473611"/>
    <w:rsid w:val="24915FCA"/>
    <w:rsid w:val="249E0846"/>
    <w:rsid w:val="24B9321D"/>
    <w:rsid w:val="24BF09F7"/>
    <w:rsid w:val="24CB7E07"/>
    <w:rsid w:val="252C6251"/>
    <w:rsid w:val="252D53FE"/>
    <w:rsid w:val="253D1CE5"/>
    <w:rsid w:val="253D42F0"/>
    <w:rsid w:val="25437696"/>
    <w:rsid w:val="254D6E4E"/>
    <w:rsid w:val="2555265E"/>
    <w:rsid w:val="256612EA"/>
    <w:rsid w:val="256C36C2"/>
    <w:rsid w:val="25721AB6"/>
    <w:rsid w:val="258914B8"/>
    <w:rsid w:val="25952C80"/>
    <w:rsid w:val="25C16591"/>
    <w:rsid w:val="25D84526"/>
    <w:rsid w:val="25D853D0"/>
    <w:rsid w:val="25E73D48"/>
    <w:rsid w:val="25EC2D81"/>
    <w:rsid w:val="25FA7C38"/>
    <w:rsid w:val="25FF3078"/>
    <w:rsid w:val="26050615"/>
    <w:rsid w:val="261001D9"/>
    <w:rsid w:val="264A5ECC"/>
    <w:rsid w:val="2653341A"/>
    <w:rsid w:val="267373B2"/>
    <w:rsid w:val="26B51241"/>
    <w:rsid w:val="26C718E1"/>
    <w:rsid w:val="26CC6B0D"/>
    <w:rsid w:val="26D04E64"/>
    <w:rsid w:val="26D96204"/>
    <w:rsid w:val="270F0928"/>
    <w:rsid w:val="27192F61"/>
    <w:rsid w:val="275E5B83"/>
    <w:rsid w:val="275E654C"/>
    <w:rsid w:val="277057A2"/>
    <w:rsid w:val="277A3234"/>
    <w:rsid w:val="279A642A"/>
    <w:rsid w:val="279E2CD7"/>
    <w:rsid w:val="27A17296"/>
    <w:rsid w:val="27DA4987"/>
    <w:rsid w:val="27DB7F09"/>
    <w:rsid w:val="28724D4D"/>
    <w:rsid w:val="28A3039B"/>
    <w:rsid w:val="28C03D59"/>
    <w:rsid w:val="28CB4F8E"/>
    <w:rsid w:val="28CF291E"/>
    <w:rsid w:val="28E160D6"/>
    <w:rsid w:val="28E2373C"/>
    <w:rsid w:val="28F04EB0"/>
    <w:rsid w:val="28FC5C60"/>
    <w:rsid w:val="290947E1"/>
    <w:rsid w:val="29206EB8"/>
    <w:rsid w:val="293D7C1E"/>
    <w:rsid w:val="29491E08"/>
    <w:rsid w:val="294B71E7"/>
    <w:rsid w:val="29595666"/>
    <w:rsid w:val="295B3521"/>
    <w:rsid w:val="295F5373"/>
    <w:rsid w:val="29874881"/>
    <w:rsid w:val="29944413"/>
    <w:rsid w:val="29A27A35"/>
    <w:rsid w:val="29AB440C"/>
    <w:rsid w:val="29E325E0"/>
    <w:rsid w:val="29E4572B"/>
    <w:rsid w:val="29EC6825"/>
    <w:rsid w:val="29F80C48"/>
    <w:rsid w:val="2A1C29F6"/>
    <w:rsid w:val="2A1E333B"/>
    <w:rsid w:val="2A2111FF"/>
    <w:rsid w:val="2A2D458A"/>
    <w:rsid w:val="2A452503"/>
    <w:rsid w:val="2A4C7637"/>
    <w:rsid w:val="2A8A745B"/>
    <w:rsid w:val="2A942FB6"/>
    <w:rsid w:val="2A9A40AE"/>
    <w:rsid w:val="2AAD24DE"/>
    <w:rsid w:val="2AB76B0C"/>
    <w:rsid w:val="2AE17FDE"/>
    <w:rsid w:val="2AFA3CA3"/>
    <w:rsid w:val="2B0E2A8A"/>
    <w:rsid w:val="2B721BDD"/>
    <w:rsid w:val="2B9920E3"/>
    <w:rsid w:val="2BA936A8"/>
    <w:rsid w:val="2BC30369"/>
    <w:rsid w:val="2BC86EE0"/>
    <w:rsid w:val="2C0B34B0"/>
    <w:rsid w:val="2C315A5A"/>
    <w:rsid w:val="2C40436C"/>
    <w:rsid w:val="2C4B1C25"/>
    <w:rsid w:val="2C6D0059"/>
    <w:rsid w:val="2C85737E"/>
    <w:rsid w:val="2C9919CB"/>
    <w:rsid w:val="2CAB4B09"/>
    <w:rsid w:val="2CD30950"/>
    <w:rsid w:val="2CD723FE"/>
    <w:rsid w:val="2D1669E8"/>
    <w:rsid w:val="2D710DF7"/>
    <w:rsid w:val="2D9E56F5"/>
    <w:rsid w:val="2DC65E2A"/>
    <w:rsid w:val="2DCA2C72"/>
    <w:rsid w:val="2DCE076A"/>
    <w:rsid w:val="2DE666D4"/>
    <w:rsid w:val="2DEF72E4"/>
    <w:rsid w:val="2E232336"/>
    <w:rsid w:val="2E2E72B2"/>
    <w:rsid w:val="2E667F96"/>
    <w:rsid w:val="2E6C419D"/>
    <w:rsid w:val="2E716E9F"/>
    <w:rsid w:val="2E8226AB"/>
    <w:rsid w:val="2E8E6F7B"/>
    <w:rsid w:val="2E8F72E3"/>
    <w:rsid w:val="2E9821AD"/>
    <w:rsid w:val="2EAC6004"/>
    <w:rsid w:val="2EC479D2"/>
    <w:rsid w:val="2F0568F3"/>
    <w:rsid w:val="2F1A219A"/>
    <w:rsid w:val="2F2D0BD0"/>
    <w:rsid w:val="2F382528"/>
    <w:rsid w:val="2F407445"/>
    <w:rsid w:val="2F721949"/>
    <w:rsid w:val="2F7B1D7E"/>
    <w:rsid w:val="2FA04364"/>
    <w:rsid w:val="2FB14A33"/>
    <w:rsid w:val="2FBB4906"/>
    <w:rsid w:val="2FD065E6"/>
    <w:rsid w:val="2FD96870"/>
    <w:rsid w:val="2FEC2CD3"/>
    <w:rsid w:val="302F5CC6"/>
    <w:rsid w:val="30346CC3"/>
    <w:rsid w:val="304244B3"/>
    <w:rsid w:val="30515FFE"/>
    <w:rsid w:val="30520E0D"/>
    <w:rsid w:val="30580BC9"/>
    <w:rsid w:val="30A25F0E"/>
    <w:rsid w:val="30AF4EE2"/>
    <w:rsid w:val="30CE3163"/>
    <w:rsid w:val="30D47DFE"/>
    <w:rsid w:val="30DB4DB8"/>
    <w:rsid w:val="30E8734A"/>
    <w:rsid w:val="30ED5F42"/>
    <w:rsid w:val="311E2ED7"/>
    <w:rsid w:val="31506E30"/>
    <w:rsid w:val="31551ECE"/>
    <w:rsid w:val="315619EE"/>
    <w:rsid w:val="315C449C"/>
    <w:rsid w:val="3194289D"/>
    <w:rsid w:val="31A01217"/>
    <w:rsid w:val="31A850A5"/>
    <w:rsid w:val="31B82709"/>
    <w:rsid w:val="31D05482"/>
    <w:rsid w:val="31D4793E"/>
    <w:rsid w:val="31D8664E"/>
    <w:rsid w:val="31F47FFC"/>
    <w:rsid w:val="3211647D"/>
    <w:rsid w:val="3222395D"/>
    <w:rsid w:val="32314D8B"/>
    <w:rsid w:val="32400B34"/>
    <w:rsid w:val="32726C15"/>
    <w:rsid w:val="32756EAC"/>
    <w:rsid w:val="329E6876"/>
    <w:rsid w:val="32A80688"/>
    <w:rsid w:val="32EE3827"/>
    <w:rsid w:val="330E572E"/>
    <w:rsid w:val="331B7260"/>
    <w:rsid w:val="33202BF6"/>
    <w:rsid w:val="332643FB"/>
    <w:rsid w:val="333015F2"/>
    <w:rsid w:val="33406DAB"/>
    <w:rsid w:val="33457009"/>
    <w:rsid w:val="334B6320"/>
    <w:rsid w:val="335B558A"/>
    <w:rsid w:val="3362463C"/>
    <w:rsid w:val="33707536"/>
    <w:rsid w:val="337D7B87"/>
    <w:rsid w:val="338872BC"/>
    <w:rsid w:val="339D1CEF"/>
    <w:rsid w:val="33D934D4"/>
    <w:rsid w:val="33E82FC0"/>
    <w:rsid w:val="33F12782"/>
    <w:rsid w:val="33F76AEF"/>
    <w:rsid w:val="33FE2F6A"/>
    <w:rsid w:val="340048BE"/>
    <w:rsid w:val="340E07E5"/>
    <w:rsid w:val="340F4D3C"/>
    <w:rsid w:val="34177DBB"/>
    <w:rsid w:val="341A02CD"/>
    <w:rsid w:val="341C13EC"/>
    <w:rsid w:val="341F027C"/>
    <w:rsid w:val="34235BF7"/>
    <w:rsid w:val="3429066C"/>
    <w:rsid w:val="344F186B"/>
    <w:rsid w:val="3457226A"/>
    <w:rsid w:val="346A7183"/>
    <w:rsid w:val="346B3893"/>
    <w:rsid w:val="34757EB3"/>
    <w:rsid w:val="348267E9"/>
    <w:rsid w:val="34AE59F2"/>
    <w:rsid w:val="34C12538"/>
    <w:rsid w:val="34CB7F82"/>
    <w:rsid w:val="34D11C52"/>
    <w:rsid w:val="34D20F62"/>
    <w:rsid w:val="351216E7"/>
    <w:rsid w:val="352073D1"/>
    <w:rsid w:val="35362BA1"/>
    <w:rsid w:val="358C5FA8"/>
    <w:rsid w:val="358E358F"/>
    <w:rsid w:val="3590728A"/>
    <w:rsid w:val="35B93DB9"/>
    <w:rsid w:val="35C15DF1"/>
    <w:rsid w:val="35CB226D"/>
    <w:rsid w:val="35D06206"/>
    <w:rsid w:val="36074A7F"/>
    <w:rsid w:val="36124088"/>
    <w:rsid w:val="36153780"/>
    <w:rsid w:val="361A5473"/>
    <w:rsid w:val="36703ED5"/>
    <w:rsid w:val="367457DF"/>
    <w:rsid w:val="36923549"/>
    <w:rsid w:val="36AB1B13"/>
    <w:rsid w:val="36AB3EA1"/>
    <w:rsid w:val="36B32D41"/>
    <w:rsid w:val="36B75FBF"/>
    <w:rsid w:val="36BD0C45"/>
    <w:rsid w:val="36E51BDB"/>
    <w:rsid w:val="36E77119"/>
    <w:rsid w:val="36F75D93"/>
    <w:rsid w:val="36FF2131"/>
    <w:rsid w:val="370C4677"/>
    <w:rsid w:val="371C0798"/>
    <w:rsid w:val="372F2693"/>
    <w:rsid w:val="37517E6F"/>
    <w:rsid w:val="377B7886"/>
    <w:rsid w:val="3785293B"/>
    <w:rsid w:val="37DA540E"/>
    <w:rsid w:val="37E00298"/>
    <w:rsid w:val="37E11891"/>
    <w:rsid w:val="37E43319"/>
    <w:rsid w:val="382D16F4"/>
    <w:rsid w:val="385D0CD0"/>
    <w:rsid w:val="38720CF2"/>
    <w:rsid w:val="388B6995"/>
    <w:rsid w:val="388E3078"/>
    <w:rsid w:val="38953F6F"/>
    <w:rsid w:val="38B302F9"/>
    <w:rsid w:val="38B60EDE"/>
    <w:rsid w:val="38D344B8"/>
    <w:rsid w:val="38D74B44"/>
    <w:rsid w:val="38F12CD3"/>
    <w:rsid w:val="38F94775"/>
    <w:rsid w:val="39037210"/>
    <w:rsid w:val="390C1A97"/>
    <w:rsid w:val="392971ED"/>
    <w:rsid w:val="39325651"/>
    <w:rsid w:val="39464E29"/>
    <w:rsid w:val="398355DF"/>
    <w:rsid w:val="39A62050"/>
    <w:rsid w:val="39A97D66"/>
    <w:rsid w:val="39BA6517"/>
    <w:rsid w:val="39C27BA5"/>
    <w:rsid w:val="39C6058E"/>
    <w:rsid w:val="39D05E69"/>
    <w:rsid w:val="39D11F3B"/>
    <w:rsid w:val="3A0B1DF3"/>
    <w:rsid w:val="3A3F67A7"/>
    <w:rsid w:val="3A512D5B"/>
    <w:rsid w:val="3A740C9F"/>
    <w:rsid w:val="3A872856"/>
    <w:rsid w:val="3A933BC1"/>
    <w:rsid w:val="3AD47E3F"/>
    <w:rsid w:val="3AD578BE"/>
    <w:rsid w:val="3B3763D1"/>
    <w:rsid w:val="3B4D18CD"/>
    <w:rsid w:val="3B89782D"/>
    <w:rsid w:val="3B900FCE"/>
    <w:rsid w:val="3B916194"/>
    <w:rsid w:val="3B932223"/>
    <w:rsid w:val="3BC40631"/>
    <w:rsid w:val="3BE26846"/>
    <w:rsid w:val="3C15539D"/>
    <w:rsid w:val="3C2A7D26"/>
    <w:rsid w:val="3C2F6E1E"/>
    <w:rsid w:val="3C4333FA"/>
    <w:rsid w:val="3C4F64BA"/>
    <w:rsid w:val="3C575941"/>
    <w:rsid w:val="3C680D06"/>
    <w:rsid w:val="3C747AE7"/>
    <w:rsid w:val="3CB01A94"/>
    <w:rsid w:val="3CB92537"/>
    <w:rsid w:val="3CCB72ED"/>
    <w:rsid w:val="3CCE7A82"/>
    <w:rsid w:val="3CDA245A"/>
    <w:rsid w:val="3CEC3936"/>
    <w:rsid w:val="3CFB2FAD"/>
    <w:rsid w:val="3D0F48FB"/>
    <w:rsid w:val="3D1E06B7"/>
    <w:rsid w:val="3D203039"/>
    <w:rsid w:val="3D413922"/>
    <w:rsid w:val="3D4D533B"/>
    <w:rsid w:val="3D8B47E9"/>
    <w:rsid w:val="3DBC290D"/>
    <w:rsid w:val="3DEC7181"/>
    <w:rsid w:val="3E14509C"/>
    <w:rsid w:val="3E28203B"/>
    <w:rsid w:val="3E4151A4"/>
    <w:rsid w:val="3E444599"/>
    <w:rsid w:val="3E62587A"/>
    <w:rsid w:val="3E934075"/>
    <w:rsid w:val="3EDA0523"/>
    <w:rsid w:val="3EDB3A33"/>
    <w:rsid w:val="3EDF523A"/>
    <w:rsid w:val="3F1F3FEF"/>
    <w:rsid w:val="3F396AF0"/>
    <w:rsid w:val="3F8857AA"/>
    <w:rsid w:val="3F944C03"/>
    <w:rsid w:val="3F962C67"/>
    <w:rsid w:val="3FD05413"/>
    <w:rsid w:val="401F15F8"/>
    <w:rsid w:val="401F1D12"/>
    <w:rsid w:val="40426387"/>
    <w:rsid w:val="406B0215"/>
    <w:rsid w:val="407A6407"/>
    <w:rsid w:val="407B43BC"/>
    <w:rsid w:val="407C4B57"/>
    <w:rsid w:val="40B05155"/>
    <w:rsid w:val="40EA503D"/>
    <w:rsid w:val="411037F3"/>
    <w:rsid w:val="41392108"/>
    <w:rsid w:val="414C3DBE"/>
    <w:rsid w:val="415E5BD2"/>
    <w:rsid w:val="41700F54"/>
    <w:rsid w:val="4177345E"/>
    <w:rsid w:val="419932B0"/>
    <w:rsid w:val="41BF0053"/>
    <w:rsid w:val="41D04E6E"/>
    <w:rsid w:val="4200449D"/>
    <w:rsid w:val="420856EB"/>
    <w:rsid w:val="420C78C0"/>
    <w:rsid w:val="42333654"/>
    <w:rsid w:val="423A3BCC"/>
    <w:rsid w:val="4247550B"/>
    <w:rsid w:val="424E57D2"/>
    <w:rsid w:val="425114CE"/>
    <w:rsid w:val="42590E0D"/>
    <w:rsid w:val="42641B13"/>
    <w:rsid w:val="426D186E"/>
    <w:rsid w:val="42932444"/>
    <w:rsid w:val="42A52FCD"/>
    <w:rsid w:val="42A73169"/>
    <w:rsid w:val="42AC11C8"/>
    <w:rsid w:val="42B26C49"/>
    <w:rsid w:val="42C361AD"/>
    <w:rsid w:val="42C4140C"/>
    <w:rsid w:val="42CF1061"/>
    <w:rsid w:val="42D26BC3"/>
    <w:rsid w:val="430075AA"/>
    <w:rsid w:val="43030A5E"/>
    <w:rsid w:val="4303661A"/>
    <w:rsid w:val="4333000A"/>
    <w:rsid w:val="433A58C9"/>
    <w:rsid w:val="433A6FE6"/>
    <w:rsid w:val="43480868"/>
    <w:rsid w:val="43484F3D"/>
    <w:rsid w:val="4350713C"/>
    <w:rsid w:val="436653E0"/>
    <w:rsid w:val="43B064AA"/>
    <w:rsid w:val="43B34800"/>
    <w:rsid w:val="43C4431A"/>
    <w:rsid w:val="43F22CEF"/>
    <w:rsid w:val="44014C53"/>
    <w:rsid w:val="440D6316"/>
    <w:rsid w:val="442F22F3"/>
    <w:rsid w:val="44306084"/>
    <w:rsid w:val="445B61B0"/>
    <w:rsid w:val="446E503B"/>
    <w:rsid w:val="44853396"/>
    <w:rsid w:val="4493319F"/>
    <w:rsid w:val="44B951CC"/>
    <w:rsid w:val="44C841CA"/>
    <w:rsid w:val="44CD14E0"/>
    <w:rsid w:val="44F20B0B"/>
    <w:rsid w:val="450A4182"/>
    <w:rsid w:val="452E5F4C"/>
    <w:rsid w:val="45397BA5"/>
    <w:rsid w:val="455F0D99"/>
    <w:rsid w:val="45601D22"/>
    <w:rsid w:val="45612018"/>
    <w:rsid w:val="45783301"/>
    <w:rsid w:val="458946E9"/>
    <w:rsid w:val="45A47C0E"/>
    <w:rsid w:val="45EF1A65"/>
    <w:rsid w:val="46006AB3"/>
    <w:rsid w:val="46015A1D"/>
    <w:rsid w:val="46257259"/>
    <w:rsid w:val="46382F6D"/>
    <w:rsid w:val="46404A08"/>
    <w:rsid w:val="46577FD6"/>
    <w:rsid w:val="46782F6E"/>
    <w:rsid w:val="46835A49"/>
    <w:rsid w:val="46AB11F1"/>
    <w:rsid w:val="46B717B2"/>
    <w:rsid w:val="46D03D24"/>
    <w:rsid w:val="46D955A7"/>
    <w:rsid w:val="46E55E23"/>
    <w:rsid w:val="47107AE3"/>
    <w:rsid w:val="47133957"/>
    <w:rsid w:val="471A1215"/>
    <w:rsid w:val="47337845"/>
    <w:rsid w:val="473D0BAD"/>
    <w:rsid w:val="47541A1E"/>
    <w:rsid w:val="476E7987"/>
    <w:rsid w:val="47954A60"/>
    <w:rsid w:val="479852FB"/>
    <w:rsid w:val="47A07E0C"/>
    <w:rsid w:val="47A15DD2"/>
    <w:rsid w:val="47BD4B04"/>
    <w:rsid w:val="47C56C25"/>
    <w:rsid w:val="47FF4AD3"/>
    <w:rsid w:val="48032EAD"/>
    <w:rsid w:val="481B5455"/>
    <w:rsid w:val="48584679"/>
    <w:rsid w:val="48597CD5"/>
    <w:rsid w:val="4861133B"/>
    <w:rsid w:val="4870272E"/>
    <w:rsid w:val="488A5384"/>
    <w:rsid w:val="489353E1"/>
    <w:rsid w:val="489B17CB"/>
    <w:rsid w:val="48BD1F92"/>
    <w:rsid w:val="48BF5427"/>
    <w:rsid w:val="48E6292F"/>
    <w:rsid w:val="48EA3928"/>
    <w:rsid w:val="490F63F6"/>
    <w:rsid w:val="492B11F9"/>
    <w:rsid w:val="49472E01"/>
    <w:rsid w:val="49B262F6"/>
    <w:rsid w:val="49C114EF"/>
    <w:rsid w:val="49C56B74"/>
    <w:rsid w:val="49D4264B"/>
    <w:rsid w:val="49DC7715"/>
    <w:rsid w:val="49E827DA"/>
    <w:rsid w:val="4A023139"/>
    <w:rsid w:val="4A19472F"/>
    <w:rsid w:val="4A7B576F"/>
    <w:rsid w:val="4A993C47"/>
    <w:rsid w:val="4AAF5970"/>
    <w:rsid w:val="4AC4452E"/>
    <w:rsid w:val="4AF561A9"/>
    <w:rsid w:val="4B19475E"/>
    <w:rsid w:val="4B1E3DB2"/>
    <w:rsid w:val="4B556A9C"/>
    <w:rsid w:val="4B9156C8"/>
    <w:rsid w:val="4BC85D75"/>
    <w:rsid w:val="4BF90D4D"/>
    <w:rsid w:val="4BFC2331"/>
    <w:rsid w:val="4C4A0649"/>
    <w:rsid w:val="4C4F0870"/>
    <w:rsid w:val="4C6824F6"/>
    <w:rsid w:val="4C7E5ECA"/>
    <w:rsid w:val="4C876AA5"/>
    <w:rsid w:val="4C8A6DCA"/>
    <w:rsid w:val="4CAF16A8"/>
    <w:rsid w:val="4CDF331E"/>
    <w:rsid w:val="4CEF3096"/>
    <w:rsid w:val="4CFA3C1F"/>
    <w:rsid w:val="4D0E00FB"/>
    <w:rsid w:val="4D0E2795"/>
    <w:rsid w:val="4D176606"/>
    <w:rsid w:val="4D6F0538"/>
    <w:rsid w:val="4D9E03E5"/>
    <w:rsid w:val="4DB049C0"/>
    <w:rsid w:val="4DB62172"/>
    <w:rsid w:val="4DC458EB"/>
    <w:rsid w:val="4DC86066"/>
    <w:rsid w:val="4DCD2184"/>
    <w:rsid w:val="4DD513FC"/>
    <w:rsid w:val="4DD74D0F"/>
    <w:rsid w:val="4DDF2976"/>
    <w:rsid w:val="4DEC4FB0"/>
    <w:rsid w:val="4DF422CD"/>
    <w:rsid w:val="4E075D8A"/>
    <w:rsid w:val="4E0D4F02"/>
    <w:rsid w:val="4E1F304A"/>
    <w:rsid w:val="4E512800"/>
    <w:rsid w:val="4E533062"/>
    <w:rsid w:val="4E5A17E0"/>
    <w:rsid w:val="4E6B173A"/>
    <w:rsid w:val="4E710F72"/>
    <w:rsid w:val="4E722F5E"/>
    <w:rsid w:val="4E877901"/>
    <w:rsid w:val="4E8B2669"/>
    <w:rsid w:val="4E921BE0"/>
    <w:rsid w:val="4EB27064"/>
    <w:rsid w:val="4EC00FAD"/>
    <w:rsid w:val="4EC278E5"/>
    <w:rsid w:val="4EF21EF2"/>
    <w:rsid w:val="4F035F30"/>
    <w:rsid w:val="4F07780E"/>
    <w:rsid w:val="4F41753D"/>
    <w:rsid w:val="4F5E7CD7"/>
    <w:rsid w:val="4F603425"/>
    <w:rsid w:val="4F6F4F5E"/>
    <w:rsid w:val="4F892E34"/>
    <w:rsid w:val="4F9843DC"/>
    <w:rsid w:val="4F9A631E"/>
    <w:rsid w:val="4FA179F5"/>
    <w:rsid w:val="4FC62A8C"/>
    <w:rsid w:val="4FCD1980"/>
    <w:rsid w:val="4FE20F0D"/>
    <w:rsid w:val="4FE51552"/>
    <w:rsid w:val="50504C4B"/>
    <w:rsid w:val="50814840"/>
    <w:rsid w:val="508A7BA1"/>
    <w:rsid w:val="509C6E7C"/>
    <w:rsid w:val="50B37A49"/>
    <w:rsid w:val="50C74DA5"/>
    <w:rsid w:val="50EF1DEB"/>
    <w:rsid w:val="50F10517"/>
    <w:rsid w:val="50F10879"/>
    <w:rsid w:val="50F7036B"/>
    <w:rsid w:val="51393730"/>
    <w:rsid w:val="514F1BAD"/>
    <w:rsid w:val="515512D4"/>
    <w:rsid w:val="5162104E"/>
    <w:rsid w:val="51895BD2"/>
    <w:rsid w:val="518C470E"/>
    <w:rsid w:val="519A5C9A"/>
    <w:rsid w:val="51B77057"/>
    <w:rsid w:val="51FC6742"/>
    <w:rsid w:val="52087AEE"/>
    <w:rsid w:val="521560B8"/>
    <w:rsid w:val="524B7098"/>
    <w:rsid w:val="525E1115"/>
    <w:rsid w:val="526863C2"/>
    <w:rsid w:val="52907952"/>
    <w:rsid w:val="529261B9"/>
    <w:rsid w:val="529E3592"/>
    <w:rsid w:val="52C9659A"/>
    <w:rsid w:val="52FB4CED"/>
    <w:rsid w:val="532F2C62"/>
    <w:rsid w:val="53543243"/>
    <w:rsid w:val="53664F45"/>
    <w:rsid w:val="538B77C1"/>
    <w:rsid w:val="53992819"/>
    <w:rsid w:val="53997E99"/>
    <w:rsid w:val="539A41CF"/>
    <w:rsid w:val="53A039CC"/>
    <w:rsid w:val="53A1505A"/>
    <w:rsid w:val="53D84D97"/>
    <w:rsid w:val="54050D54"/>
    <w:rsid w:val="54063E08"/>
    <w:rsid w:val="542436A1"/>
    <w:rsid w:val="543437E8"/>
    <w:rsid w:val="54365691"/>
    <w:rsid w:val="543B3067"/>
    <w:rsid w:val="54427370"/>
    <w:rsid w:val="544425F8"/>
    <w:rsid w:val="548F0B9D"/>
    <w:rsid w:val="54A03E38"/>
    <w:rsid w:val="54A35F6C"/>
    <w:rsid w:val="54A603DC"/>
    <w:rsid w:val="54BE4DC6"/>
    <w:rsid w:val="54ED301C"/>
    <w:rsid w:val="54F73313"/>
    <w:rsid w:val="54F80955"/>
    <w:rsid w:val="54FD3CA5"/>
    <w:rsid w:val="551A30BB"/>
    <w:rsid w:val="553C0EEE"/>
    <w:rsid w:val="55443B8A"/>
    <w:rsid w:val="555170A7"/>
    <w:rsid w:val="55594793"/>
    <w:rsid w:val="555F276C"/>
    <w:rsid w:val="5587536D"/>
    <w:rsid w:val="55904673"/>
    <w:rsid w:val="55975033"/>
    <w:rsid w:val="559B174B"/>
    <w:rsid w:val="55C35C6D"/>
    <w:rsid w:val="55C91367"/>
    <w:rsid w:val="55CE0CF4"/>
    <w:rsid w:val="55D11EE8"/>
    <w:rsid w:val="55E9341B"/>
    <w:rsid w:val="55F83D27"/>
    <w:rsid w:val="56171A4F"/>
    <w:rsid w:val="563D212D"/>
    <w:rsid w:val="564C5CC1"/>
    <w:rsid w:val="5663625F"/>
    <w:rsid w:val="568D4F8F"/>
    <w:rsid w:val="568E2A56"/>
    <w:rsid w:val="569F0781"/>
    <w:rsid w:val="56B22A9C"/>
    <w:rsid w:val="56C11D54"/>
    <w:rsid w:val="56DD2A76"/>
    <w:rsid w:val="56E16D93"/>
    <w:rsid w:val="56ED4B48"/>
    <w:rsid w:val="56F3287C"/>
    <w:rsid w:val="56F84A53"/>
    <w:rsid w:val="570568E0"/>
    <w:rsid w:val="570E4B3D"/>
    <w:rsid w:val="573A673E"/>
    <w:rsid w:val="573B2A8A"/>
    <w:rsid w:val="577E740B"/>
    <w:rsid w:val="57B72A76"/>
    <w:rsid w:val="57BD4DA5"/>
    <w:rsid w:val="57C3426C"/>
    <w:rsid w:val="57CA5382"/>
    <w:rsid w:val="57CE1F93"/>
    <w:rsid w:val="57F7473D"/>
    <w:rsid w:val="582D4B8D"/>
    <w:rsid w:val="58472EBF"/>
    <w:rsid w:val="584D7ACE"/>
    <w:rsid w:val="58705CC4"/>
    <w:rsid w:val="588743D1"/>
    <w:rsid w:val="5887701A"/>
    <w:rsid w:val="588F72F0"/>
    <w:rsid w:val="58B2453A"/>
    <w:rsid w:val="58BC3122"/>
    <w:rsid w:val="58BE5ADC"/>
    <w:rsid w:val="590C1208"/>
    <w:rsid w:val="59183F8D"/>
    <w:rsid w:val="59745DBA"/>
    <w:rsid w:val="597F3073"/>
    <w:rsid w:val="59A1215B"/>
    <w:rsid w:val="59A907D0"/>
    <w:rsid w:val="59C0439F"/>
    <w:rsid w:val="59CA02DF"/>
    <w:rsid w:val="59CB0AF0"/>
    <w:rsid w:val="59E71824"/>
    <w:rsid w:val="59F82255"/>
    <w:rsid w:val="5A154A5E"/>
    <w:rsid w:val="5A1B3911"/>
    <w:rsid w:val="5A227411"/>
    <w:rsid w:val="5A374072"/>
    <w:rsid w:val="5A422CAE"/>
    <w:rsid w:val="5A60547D"/>
    <w:rsid w:val="5A6A6A96"/>
    <w:rsid w:val="5AA42977"/>
    <w:rsid w:val="5AB60277"/>
    <w:rsid w:val="5ABE2233"/>
    <w:rsid w:val="5B162680"/>
    <w:rsid w:val="5B2B24A8"/>
    <w:rsid w:val="5B64433E"/>
    <w:rsid w:val="5B6C27CD"/>
    <w:rsid w:val="5B730795"/>
    <w:rsid w:val="5B797326"/>
    <w:rsid w:val="5B907A62"/>
    <w:rsid w:val="5B9F54BD"/>
    <w:rsid w:val="5BCA6DF0"/>
    <w:rsid w:val="5BDF5D95"/>
    <w:rsid w:val="5BFE7528"/>
    <w:rsid w:val="5C5218DF"/>
    <w:rsid w:val="5C6551E2"/>
    <w:rsid w:val="5C97011F"/>
    <w:rsid w:val="5CE80E7D"/>
    <w:rsid w:val="5CF14047"/>
    <w:rsid w:val="5D3A4790"/>
    <w:rsid w:val="5D516444"/>
    <w:rsid w:val="5D564896"/>
    <w:rsid w:val="5D7A4270"/>
    <w:rsid w:val="5D7B4C3D"/>
    <w:rsid w:val="5DA82956"/>
    <w:rsid w:val="5DC07A86"/>
    <w:rsid w:val="5DCE4BD6"/>
    <w:rsid w:val="5DD03176"/>
    <w:rsid w:val="5E242409"/>
    <w:rsid w:val="5E2467F1"/>
    <w:rsid w:val="5E3736EB"/>
    <w:rsid w:val="5E3C0D11"/>
    <w:rsid w:val="5E5442D0"/>
    <w:rsid w:val="5E646654"/>
    <w:rsid w:val="5ECF091E"/>
    <w:rsid w:val="5EDA0AE5"/>
    <w:rsid w:val="5EE06CE5"/>
    <w:rsid w:val="5F044D47"/>
    <w:rsid w:val="5F0D2BED"/>
    <w:rsid w:val="5F1A2B43"/>
    <w:rsid w:val="5F3533AD"/>
    <w:rsid w:val="5F6319D5"/>
    <w:rsid w:val="5F862550"/>
    <w:rsid w:val="5F8C53BA"/>
    <w:rsid w:val="5FB21040"/>
    <w:rsid w:val="5FB837BB"/>
    <w:rsid w:val="5FBB46FD"/>
    <w:rsid w:val="5FC87780"/>
    <w:rsid w:val="5FCC7822"/>
    <w:rsid w:val="6003380C"/>
    <w:rsid w:val="603A429F"/>
    <w:rsid w:val="60756457"/>
    <w:rsid w:val="607A4BFD"/>
    <w:rsid w:val="607E4274"/>
    <w:rsid w:val="60A34A2E"/>
    <w:rsid w:val="60CC405A"/>
    <w:rsid w:val="60D704E4"/>
    <w:rsid w:val="60E95638"/>
    <w:rsid w:val="61134F83"/>
    <w:rsid w:val="61212761"/>
    <w:rsid w:val="61235A57"/>
    <w:rsid w:val="612E0471"/>
    <w:rsid w:val="618942AC"/>
    <w:rsid w:val="61997898"/>
    <w:rsid w:val="61B75E27"/>
    <w:rsid w:val="61B8776B"/>
    <w:rsid w:val="61DD1582"/>
    <w:rsid w:val="61DF182F"/>
    <w:rsid w:val="61E215D8"/>
    <w:rsid w:val="61FB77FC"/>
    <w:rsid w:val="620E510C"/>
    <w:rsid w:val="621B3775"/>
    <w:rsid w:val="62323744"/>
    <w:rsid w:val="62364782"/>
    <w:rsid w:val="625C6F94"/>
    <w:rsid w:val="626D056F"/>
    <w:rsid w:val="62742C57"/>
    <w:rsid w:val="62831E38"/>
    <w:rsid w:val="62840880"/>
    <w:rsid w:val="62890706"/>
    <w:rsid w:val="62A57F2C"/>
    <w:rsid w:val="62AF0F6A"/>
    <w:rsid w:val="630625C3"/>
    <w:rsid w:val="634E5C0C"/>
    <w:rsid w:val="635000F2"/>
    <w:rsid w:val="6394356A"/>
    <w:rsid w:val="63AA7768"/>
    <w:rsid w:val="63AE492E"/>
    <w:rsid w:val="63B5196F"/>
    <w:rsid w:val="63B80135"/>
    <w:rsid w:val="63C61B2C"/>
    <w:rsid w:val="63D40BE9"/>
    <w:rsid w:val="63F13060"/>
    <w:rsid w:val="64102431"/>
    <w:rsid w:val="643C1514"/>
    <w:rsid w:val="64692B32"/>
    <w:rsid w:val="64692F7A"/>
    <w:rsid w:val="64792D6D"/>
    <w:rsid w:val="647978F2"/>
    <w:rsid w:val="647C5B07"/>
    <w:rsid w:val="64836B8B"/>
    <w:rsid w:val="64882769"/>
    <w:rsid w:val="64A5243A"/>
    <w:rsid w:val="64BB5FF7"/>
    <w:rsid w:val="64D24A38"/>
    <w:rsid w:val="64D711E0"/>
    <w:rsid w:val="64F531DE"/>
    <w:rsid w:val="65253B9C"/>
    <w:rsid w:val="652D0FCF"/>
    <w:rsid w:val="65373578"/>
    <w:rsid w:val="65907DB7"/>
    <w:rsid w:val="659D1C82"/>
    <w:rsid w:val="65D8039C"/>
    <w:rsid w:val="65EF3917"/>
    <w:rsid w:val="65FD5B6B"/>
    <w:rsid w:val="660319D7"/>
    <w:rsid w:val="6625546C"/>
    <w:rsid w:val="66555E83"/>
    <w:rsid w:val="667767F5"/>
    <w:rsid w:val="66AF2E81"/>
    <w:rsid w:val="66BD1BEF"/>
    <w:rsid w:val="66BF7115"/>
    <w:rsid w:val="66C04521"/>
    <w:rsid w:val="66D1122A"/>
    <w:rsid w:val="66D57C50"/>
    <w:rsid w:val="66DE15B7"/>
    <w:rsid w:val="66DF170F"/>
    <w:rsid w:val="66F140D8"/>
    <w:rsid w:val="66FA79C7"/>
    <w:rsid w:val="671F124A"/>
    <w:rsid w:val="67525FA9"/>
    <w:rsid w:val="675D5AF5"/>
    <w:rsid w:val="6765286A"/>
    <w:rsid w:val="67693C80"/>
    <w:rsid w:val="67792CE4"/>
    <w:rsid w:val="677A33C6"/>
    <w:rsid w:val="67AA2BD3"/>
    <w:rsid w:val="67DA3934"/>
    <w:rsid w:val="680F4B15"/>
    <w:rsid w:val="681F6961"/>
    <w:rsid w:val="682D2EF5"/>
    <w:rsid w:val="68403510"/>
    <w:rsid w:val="684D668A"/>
    <w:rsid w:val="68610A2F"/>
    <w:rsid w:val="68805514"/>
    <w:rsid w:val="68974BB9"/>
    <w:rsid w:val="68B91071"/>
    <w:rsid w:val="68BB1F40"/>
    <w:rsid w:val="68E54691"/>
    <w:rsid w:val="68EC61A0"/>
    <w:rsid w:val="69316639"/>
    <w:rsid w:val="69316E2F"/>
    <w:rsid w:val="693353D0"/>
    <w:rsid w:val="694E2071"/>
    <w:rsid w:val="69766163"/>
    <w:rsid w:val="697A3B33"/>
    <w:rsid w:val="69A60A85"/>
    <w:rsid w:val="69BB196A"/>
    <w:rsid w:val="69C44D3C"/>
    <w:rsid w:val="69D44760"/>
    <w:rsid w:val="69D606D3"/>
    <w:rsid w:val="69D74DFB"/>
    <w:rsid w:val="6A1003A3"/>
    <w:rsid w:val="6A18653E"/>
    <w:rsid w:val="6A520EC7"/>
    <w:rsid w:val="6A5800C8"/>
    <w:rsid w:val="6A650672"/>
    <w:rsid w:val="6A7F4960"/>
    <w:rsid w:val="6A845731"/>
    <w:rsid w:val="6A8A077F"/>
    <w:rsid w:val="6AA54E2D"/>
    <w:rsid w:val="6AB64B28"/>
    <w:rsid w:val="6AF51334"/>
    <w:rsid w:val="6AF87E20"/>
    <w:rsid w:val="6B0C4594"/>
    <w:rsid w:val="6B175264"/>
    <w:rsid w:val="6B2A197B"/>
    <w:rsid w:val="6B322639"/>
    <w:rsid w:val="6B54755A"/>
    <w:rsid w:val="6B5A54B0"/>
    <w:rsid w:val="6B65177E"/>
    <w:rsid w:val="6B9D1833"/>
    <w:rsid w:val="6B9E25CD"/>
    <w:rsid w:val="6BA01579"/>
    <w:rsid w:val="6BD00EFF"/>
    <w:rsid w:val="6BD81086"/>
    <w:rsid w:val="6BE75246"/>
    <w:rsid w:val="6BEC0658"/>
    <w:rsid w:val="6BFA155E"/>
    <w:rsid w:val="6BFC3CCA"/>
    <w:rsid w:val="6C145EBC"/>
    <w:rsid w:val="6C15131C"/>
    <w:rsid w:val="6C1D4BD4"/>
    <w:rsid w:val="6C373265"/>
    <w:rsid w:val="6C41026E"/>
    <w:rsid w:val="6C45393F"/>
    <w:rsid w:val="6C636C38"/>
    <w:rsid w:val="6C6375BD"/>
    <w:rsid w:val="6C7B5998"/>
    <w:rsid w:val="6C8820B8"/>
    <w:rsid w:val="6C8C42C1"/>
    <w:rsid w:val="6C8D2A73"/>
    <w:rsid w:val="6CB00A5F"/>
    <w:rsid w:val="6CB70040"/>
    <w:rsid w:val="6CBE0FA0"/>
    <w:rsid w:val="6CC70C4C"/>
    <w:rsid w:val="6D034FD0"/>
    <w:rsid w:val="6D04351B"/>
    <w:rsid w:val="6D4006DA"/>
    <w:rsid w:val="6D433097"/>
    <w:rsid w:val="6D5F525C"/>
    <w:rsid w:val="6DB34098"/>
    <w:rsid w:val="6DB545B6"/>
    <w:rsid w:val="6DBB19CC"/>
    <w:rsid w:val="6DC03844"/>
    <w:rsid w:val="6DE02FB4"/>
    <w:rsid w:val="6E0839FA"/>
    <w:rsid w:val="6E0973B0"/>
    <w:rsid w:val="6E296EA1"/>
    <w:rsid w:val="6E2D40FD"/>
    <w:rsid w:val="6E350DE4"/>
    <w:rsid w:val="6E514CED"/>
    <w:rsid w:val="6E6575EB"/>
    <w:rsid w:val="6E91665A"/>
    <w:rsid w:val="6EA93F85"/>
    <w:rsid w:val="6EAF4C4A"/>
    <w:rsid w:val="6EB563D5"/>
    <w:rsid w:val="6ED92677"/>
    <w:rsid w:val="6F0A6C8D"/>
    <w:rsid w:val="6F1A6595"/>
    <w:rsid w:val="6F225983"/>
    <w:rsid w:val="6F2474E3"/>
    <w:rsid w:val="6F341FB2"/>
    <w:rsid w:val="6F424BC6"/>
    <w:rsid w:val="6F4B6A37"/>
    <w:rsid w:val="6F567E27"/>
    <w:rsid w:val="6FE552C4"/>
    <w:rsid w:val="6FEE2341"/>
    <w:rsid w:val="6FEF478E"/>
    <w:rsid w:val="6FFC5590"/>
    <w:rsid w:val="70001CFE"/>
    <w:rsid w:val="70085E9F"/>
    <w:rsid w:val="700C644D"/>
    <w:rsid w:val="705043EE"/>
    <w:rsid w:val="7069787D"/>
    <w:rsid w:val="706D1DD0"/>
    <w:rsid w:val="70703B85"/>
    <w:rsid w:val="707F6ACA"/>
    <w:rsid w:val="70856B87"/>
    <w:rsid w:val="70BC13D5"/>
    <w:rsid w:val="70C90969"/>
    <w:rsid w:val="70D527EE"/>
    <w:rsid w:val="70DF218F"/>
    <w:rsid w:val="70E72AF9"/>
    <w:rsid w:val="712A77F2"/>
    <w:rsid w:val="712C32D8"/>
    <w:rsid w:val="714F1CA9"/>
    <w:rsid w:val="715B5300"/>
    <w:rsid w:val="718D2A9D"/>
    <w:rsid w:val="71A16CE9"/>
    <w:rsid w:val="71D27F8A"/>
    <w:rsid w:val="722241AD"/>
    <w:rsid w:val="72332E55"/>
    <w:rsid w:val="72367E53"/>
    <w:rsid w:val="723A7004"/>
    <w:rsid w:val="724F4E17"/>
    <w:rsid w:val="72553024"/>
    <w:rsid w:val="7296164F"/>
    <w:rsid w:val="72A40F4C"/>
    <w:rsid w:val="72B936B1"/>
    <w:rsid w:val="72EB1FB5"/>
    <w:rsid w:val="72FB3CC9"/>
    <w:rsid w:val="73122968"/>
    <w:rsid w:val="731D724C"/>
    <w:rsid w:val="731F5D5E"/>
    <w:rsid w:val="733430BC"/>
    <w:rsid w:val="7359481B"/>
    <w:rsid w:val="738F2FE5"/>
    <w:rsid w:val="739F514F"/>
    <w:rsid w:val="73A87091"/>
    <w:rsid w:val="73C51AD5"/>
    <w:rsid w:val="73D53447"/>
    <w:rsid w:val="73FB5AE1"/>
    <w:rsid w:val="741A6756"/>
    <w:rsid w:val="741E793C"/>
    <w:rsid w:val="742D25C0"/>
    <w:rsid w:val="74521179"/>
    <w:rsid w:val="745E3944"/>
    <w:rsid w:val="74710293"/>
    <w:rsid w:val="74716C24"/>
    <w:rsid w:val="74734967"/>
    <w:rsid w:val="74896CD1"/>
    <w:rsid w:val="748C4844"/>
    <w:rsid w:val="74965912"/>
    <w:rsid w:val="749E54D4"/>
    <w:rsid w:val="74B50E9B"/>
    <w:rsid w:val="74BC0FC4"/>
    <w:rsid w:val="74D52979"/>
    <w:rsid w:val="750A6882"/>
    <w:rsid w:val="75140916"/>
    <w:rsid w:val="75272E8E"/>
    <w:rsid w:val="752B4D69"/>
    <w:rsid w:val="7546425F"/>
    <w:rsid w:val="75624BD6"/>
    <w:rsid w:val="75B36414"/>
    <w:rsid w:val="75DB3A6E"/>
    <w:rsid w:val="75ED1ADF"/>
    <w:rsid w:val="76172592"/>
    <w:rsid w:val="76276BA0"/>
    <w:rsid w:val="7635099D"/>
    <w:rsid w:val="76392BE9"/>
    <w:rsid w:val="766D6759"/>
    <w:rsid w:val="766E1FD4"/>
    <w:rsid w:val="767E1B7B"/>
    <w:rsid w:val="767F3ECF"/>
    <w:rsid w:val="76853DD7"/>
    <w:rsid w:val="76A07EB8"/>
    <w:rsid w:val="76AC0274"/>
    <w:rsid w:val="76BA01A8"/>
    <w:rsid w:val="76BE7BA0"/>
    <w:rsid w:val="76C52083"/>
    <w:rsid w:val="76CD49AE"/>
    <w:rsid w:val="76F57100"/>
    <w:rsid w:val="76F816CE"/>
    <w:rsid w:val="76FF654E"/>
    <w:rsid w:val="774411F5"/>
    <w:rsid w:val="7768157B"/>
    <w:rsid w:val="7769638B"/>
    <w:rsid w:val="776B5767"/>
    <w:rsid w:val="77762421"/>
    <w:rsid w:val="77B17D0F"/>
    <w:rsid w:val="77B56B1F"/>
    <w:rsid w:val="77B6618F"/>
    <w:rsid w:val="77D33DEE"/>
    <w:rsid w:val="77E574E8"/>
    <w:rsid w:val="77F46616"/>
    <w:rsid w:val="780F09F4"/>
    <w:rsid w:val="7839624D"/>
    <w:rsid w:val="785A5479"/>
    <w:rsid w:val="785E7F5D"/>
    <w:rsid w:val="78666718"/>
    <w:rsid w:val="7872329B"/>
    <w:rsid w:val="787C4205"/>
    <w:rsid w:val="78933626"/>
    <w:rsid w:val="789834A2"/>
    <w:rsid w:val="78992399"/>
    <w:rsid w:val="78A90480"/>
    <w:rsid w:val="78B72514"/>
    <w:rsid w:val="78DE5DEC"/>
    <w:rsid w:val="78E92761"/>
    <w:rsid w:val="78E94B9A"/>
    <w:rsid w:val="7900493C"/>
    <w:rsid w:val="79104961"/>
    <w:rsid w:val="795F7763"/>
    <w:rsid w:val="79717CA3"/>
    <w:rsid w:val="79872181"/>
    <w:rsid w:val="79947BAE"/>
    <w:rsid w:val="79A43A87"/>
    <w:rsid w:val="79A63181"/>
    <w:rsid w:val="79BE3D2A"/>
    <w:rsid w:val="79CB1CEC"/>
    <w:rsid w:val="79EF48E0"/>
    <w:rsid w:val="7A080884"/>
    <w:rsid w:val="7A0F14BB"/>
    <w:rsid w:val="7A2F3E76"/>
    <w:rsid w:val="7A363AEE"/>
    <w:rsid w:val="7A364017"/>
    <w:rsid w:val="7A3F0E72"/>
    <w:rsid w:val="7A6B3FD4"/>
    <w:rsid w:val="7A6C17FE"/>
    <w:rsid w:val="7A8265E1"/>
    <w:rsid w:val="7A8610E4"/>
    <w:rsid w:val="7A933E62"/>
    <w:rsid w:val="7B03513D"/>
    <w:rsid w:val="7B046F77"/>
    <w:rsid w:val="7B072501"/>
    <w:rsid w:val="7B0768DB"/>
    <w:rsid w:val="7B425DB7"/>
    <w:rsid w:val="7B50762D"/>
    <w:rsid w:val="7B686D42"/>
    <w:rsid w:val="7B763991"/>
    <w:rsid w:val="7B841746"/>
    <w:rsid w:val="7BA62AD7"/>
    <w:rsid w:val="7BC421D4"/>
    <w:rsid w:val="7BD932E1"/>
    <w:rsid w:val="7BDA6114"/>
    <w:rsid w:val="7BDE52CB"/>
    <w:rsid w:val="7BE878B8"/>
    <w:rsid w:val="7C533DB3"/>
    <w:rsid w:val="7C605C6F"/>
    <w:rsid w:val="7C6362BC"/>
    <w:rsid w:val="7C647BF4"/>
    <w:rsid w:val="7C6C5AC7"/>
    <w:rsid w:val="7C8C4C25"/>
    <w:rsid w:val="7C910BF5"/>
    <w:rsid w:val="7CA62F2A"/>
    <w:rsid w:val="7CAA1487"/>
    <w:rsid w:val="7CB55AFC"/>
    <w:rsid w:val="7CC6544B"/>
    <w:rsid w:val="7CEE3E07"/>
    <w:rsid w:val="7CFE1CF5"/>
    <w:rsid w:val="7D0239FF"/>
    <w:rsid w:val="7D052063"/>
    <w:rsid w:val="7D105DEF"/>
    <w:rsid w:val="7D5A0660"/>
    <w:rsid w:val="7D5E40CD"/>
    <w:rsid w:val="7D5F78D8"/>
    <w:rsid w:val="7D7161A6"/>
    <w:rsid w:val="7D7B67C7"/>
    <w:rsid w:val="7DAB2669"/>
    <w:rsid w:val="7DCD56F2"/>
    <w:rsid w:val="7E0429B9"/>
    <w:rsid w:val="7E0903C9"/>
    <w:rsid w:val="7E12375A"/>
    <w:rsid w:val="7E304BA3"/>
    <w:rsid w:val="7E450C1A"/>
    <w:rsid w:val="7E4D7AFA"/>
    <w:rsid w:val="7E4E7ADF"/>
    <w:rsid w:val="7E6D339B"/>
    <w:rsid w:val="7E780E90"/>
    <w:rsid w:val="7E996FD5"/>
    <w:rsid w:val="7EB13908"/>
    <w:rsid w:val="7ECD32D4"/>
    <w:rsid w:val="7EDA21E0"/>
    <w:rsid w:val="7EDB0F21"/>
    <w:rsid w:val="7EE44AC2"/>
    <w:rsid w:val="7EF15914"/>
    <w:rsid w:val="7F001CE7"/>
    <w:rsid w:val="7F3D1C6C"/>
    <w:rsid w:val="7FAA32B5"/>
    <w:rsid w:val="7FAB6BCA"/>
    <w:rsid w:val="7FCF4AA9"/>
    <w:rsid w:val="7FD20AE4"/>
    <w:rsid w:val="7FD83431"/>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qFormat="1" w:unhideWhenUsed="0" w:uiPriority="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1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qFormat="1" w:unhideWhenUsed="0" w:uiPriority="99" w:name="Salutation" w:locked="1"/>
    <w:lsdException w:qFormat="1" w:unhideWhenUsed="0" w:uiPriority="0" w:semiHidden="0" w:name="Date"/>
    <w:lsdException w:qFormat="1" w:unhideWhenUsed="0" w:uiPriority="0" w:name="Body Text First Indent" w:locked="1"/>
    <w:lsdException w:qFormat="1" w:unhideWhenUsed="0" w:uiPriority="0" w:semiHidden="0" w:name="Body Text First Indent 2" w:locked="1"/>
    <w:lsdException w:unhideWhenUsed="0" w:uiPriority="0" w:semiHidden="0" w:name="Note Heading" w:locked="1"/>
    <w:lsdException w:qFormat="1"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unhideWhenUsed="0" w:uiPriority="0" w:semiHidden="0" w:name="Block Text" w:locked="1"/>
    <w:lsdException w:qFormat="1" w:unhideWhenUsed="0" w:uiPriority="0" w:semiHidden="0" w:name="Hyperlink" w:locked="1"/>
    <w:lsdException w:qFormat="1"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6">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7">
    <w:name w:val="heading 2"/>
    <w:basedOn w:val="1"/>
    <w:next w:val="1"/>
    <w:qFormat/>
    <w:locked/>
    <w:uiPriority w:val="0"/>
    <w:pPr>
      <w:keepNext/>
      <w:keepLines/>
      <w:spacing w:before="260" w:after="260" w:line="416" w:lineRule="auto"/>
      <w:outlineLvl w:val="1"/>
    </w:pPr>
    <w:rPr>
      <w:rFonts w:ascii="Arial" w:hAnsi="Arial" w:eastAsia="黑体"/>
      <w:b/>
      <w:bCs/>
      <w:sz w:val="32"/>
      <w:szCs w:val="32"/>
    </w:rPr>
  </w:style>
  <w:style w:type="paragraph" w:styleId="8">
    <w:name w:val="heading 3"/>
    <w:basedOn w:val="1"/>
    <w:next w:val="1"/>
    <w:qFormat/>
    <w:locked/>
    <w:uiPriority w:val="0"/>
    <w:pPr>
      <w:keepNext/>
      <w:keepLines/>
      <w:spacing w:before="260" w:after="260" w:line="416" w:lineRule="auto"/>
      <w:outlineLvl w:val="2"/>
    </w:pPr>
    <w:rPr>
      <w:b/>
      <w:bCs/>
      <w:sz w:val="32"/>
      <w:szCs w:val="32"/>
    </w:rPr>
  </w:style>
  <w:style w:type="paragraph" w:styleId="9">
    <w:name w:val="heading 4"/>
    <w:basedOn w:val="1"/>
    <w:next w:val="1"/>
    <w:qFormat/>
    <w:locked/>
    <w:uiPriority w:val="0"/>
    <w:pPr>
      <w:keepNext/>
      <w:keepLines/>
      <w:spacing w:before="280" w:after="290" w:line="376" w:lineRule="auto"/>
      <w:outlineLvl w:val="3"/>
    </w:pPr>
    <w:rPr>
      <w:rFonts w:ascii="Calibri Light" w:hAnsi="Calibri Light"/>
      <w:b/>
      <w:bCs/>
      <w:sz w:val="28"/>
      <w:szCs w:val="28"/>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5"/>
    <w:semiHidden/>
    <w:qFormat/>
    <w:locked/>
    <w:uiPriority w:val="0"/>
    <w:pPr>
      <w:framePr w:wrap="around" w:vAnchor="margin" w:hAnchor="text" w:yAlign="top"/>
      <w:snapToGrid/>
      <w:spacing w:after="120" w:line="480" w:lineRule="exact"/>
      <w:ind w:firstLine="420" w:firstLineChars="100"/>
    </w:pPr>
  </w:style>
  <w:style w:type="paragraph" w:styleId="3">
    <w:name w:val="Body Text"/>
    <w:basedOn w:val="1"/>
    <w:next w:val="4"/>
    <w:link w:val="44"/>
    <w:qFormat/>
    <w:uiPriority w:val="0"/>
    <w:pPr>
      <w:widowControl/>
      <w:snapToGrid w:val="0"/>
      <w:spacing w:before="60" w:after="160" w:line="259" w:lineRule="auto"/>
      <w:ind w:right="113"/>
    </w:pPr>
    <w:rPr>
      <w:kern w:val="0"/>
      <w:sz w:val="18"/>
      <w:szCs w:val="20"/>
    </w:rPr>
  </w:style>
  <w:style w:type="paragraph" w:styleId="4">
    <w:name w:val="List Bullet 5"/>
    <w:basedOn w:val="1"/>
    <w:qFormat/>
    <w:locked/>
    <w:uiPriority w:val="0"/>
    <w:pPr>
      <w:numPr>
        <w:ilvl w:val="0"/>
        <w:numId w:val="1"/>
      </w:numPr>
    </w:pPr>
  </w:style>
  <w:style w:type="paragraph" w:styleId="5">
    <w:name w:val="table of figures"/>
    <w:basedOn w:val="1"/>
    <w:next w:val="1"/>
    <w:semiHidden/>
    <w:qFormat/>
    <w:locked/>
    <w:uiPriority w:val="0"/>
    <w:pPr>
      <w:spacing w:after="120" w:line="500" w:lineRule="exact"/>
      <w:jc w:val="center"/>
    </w:pPr>
    <w:rPr>
      <w:rFonts w:ascii="仿宋_GB2312" w:eastAsia="仿宋_GB2312"/>
      <w:sz w:val="28"/>
    </w:rPr>
  </w:style>
  <w:style w:type="paragraph" w:styleId="10">
    <w:name w:val="Normal Indent"/>
    <w:basedOn w:val="1"/>
    <w:qFormat/>
    <w:locked/>
    <w:uiPriority w:val="0"/>
    <w:pPr>
      <w:ind w:firstLine="420" w:firstLineChars="200"/>
    </w:pPr>
    <w:rPr>
      <w:szCs w:val="20"/>
    </w:rPr>
  </w:style>
  <w:style w:type="paragraph" w:styleId="11">
    <w:name w:val="annotation text"/>
    <w:basedOn w:val="1"/>
    <w:link w:val="43"/>
    <w:semiHidden/>
    <w:qFormat/>
    <w:uiPriority w:val="0"/>
    <w:pPr>
      <w:jc w:val="left"/>
    </w:pPr>
    <w:rPr>
      <w:kern w:val="0"/>
      <w:sz w:val="24"/>
      <w:szCs w:val="20"/>
    </w:rPr>
  </w:style>
  <w:style w:type="paragraph" w:styleId="12">
    <w:name w:val="Salutation"/>
    <w:basedOn w:val="1"/>
    <w:next w:val="1"/>
    <w:semiHidden/>
    <w:qFormat/>
    <w:locked/>
    <w:uiPriority w:val="99"/>
    <w:pPr>
      <w:pBdr>
        <w:top w:val="single" w:color="auto" w:sz="4" w:space="1"/>
      </w:pBdr>
      <w:adjustRightInd w:val="0"/>
      <w:spacing w:line="360" w:lineRule="atLeast"/>
      <w:jc w:val="left"/>
      <w:textAlignment w:val="baseline"/>
    </w:pPr>
    <w:rPr>
      <w:kern w:val="0"/>
      <w:sz w:val="24"/>
    </w:rPr>
  </w:style>
  <w:style w:type="paragraph" w:styleId="13">
    <w:name w:val="Body Text Indent"/>
    <w:basedOn w:val="1"/>
    <w:next w:val="14"/>
    <w:link w:val="45"/>
    <w:qFormat/>
    <w:uiPriority w:val="0"/>
    <w:pPr>
      <w:spacing w:after="120"/>
      <w:ind w:left="420" w:leftChars="200"/>
    </w:pPr>
    <w:rPr>
      <w:kern w:val="0"/>
      <w:sz w:val="24"/>
      <w:szCs w:val="20"/>
    </w:rPr>
  </w:style>
  <w:style w:type="paragraph" w:styleId="14">
    <w:name w:val="Body Text Indent 2"/>
    <w:basedOn w:val="1"/>
    <w:next w:val="15"/>
    <w:qFormat/>
    <w:locked/>
    <w:uiPriority w:val="0"/>
    <w:pPr>
      <w:spacing w:after="120" w:line="480" w:lineRule="auto"/>
      <w:ind w:left="420" w:leftChars="200"/>
    </w:pPr>
  </w:style>
  <w:style w:type="paragraph" w:styleId="15">
    <w:name w:val="Body Text First Indent 2"/>
    <w:basedOn w:val="13"/>
    <w:next w:val="1"/>
    <w:qFormat/>
    <w:locked/>
    <w:uiPriority w:val="0"/>
    <w:pPr>
      <w:ind w:firstLine="420" w:firstLineChars="200"/>
    </w:pPr>
    <w:rPr>
      <w:sz w:val="21"/>
      <w:szCs w:val="24"/>
    </w:rPr>
  </w:style>
  <w:style w:type="paragraph" w:styleId="16">
    <w:name w:val="Plain Text"/>
    <w:basedOn w:val="1"/>
    <w:qFormat/>
    <w:locked/>
    <w:uiPriority w:val="0"/>
    <w:rPr>
      <w:rFonts w:ascii="宋体" w:hAnsi="Courier New"/>
    </w:rPr>
  </w:style>
  <w:style w:type="paragraph" w:styleId="17">
    <w:name w:val="Date"/>
    <w:basedOn w:val="1"/>
    <w:next w:val="1"/>
    <w:link w:val="46"/>
    <w:qFormat/>
    <w:uiPriority w:val="0"/>
    <w:pPr>
      <w:ind w:left="100" w:leftChars="2500"/>
    </w:pPr>
    <w:rPr>
      <w:kern w:val="0"/>
      <w:sz w:val="24"/>
      <w:szCs w:val="20"/>
    </w:rPr>
  </w:style>
  <w:style w:type="paragraph" w:styleId="18">
    <w:name w:val="Balloon Text"/>
    <w:basedOn w:val="1"/>
    <w:link w:val="47"/>
    <w:semiHidden/>
    <w:qFormat/>
    <w:uiPriority w:val="0"/>
    <w:rPr>
      <w:kern w:val="0"/>
      <w:sz w:val="18"/>
      <w:szCs w:val="20"/>
    </w:rPr>
  </w:style>
  <w:style w:type="paragraph" w:styleId="19">
    <w:name w:val="footer"/>
    <w:basedOn w:val="1"/>
    <w:link w:val="48"/>
    <w:qFormat/>
    <w:uiPriority w:val="99"/>
    <w:pPr>
      <w:tabs>
        <w:tab w:val="center" w:pos="4153"/>
        <w:tab w:val="right" w:pos="8306"/>
      </w:tabs>
      <w:snapToGrid w:val="0"/>
      <w:jc w:val="left"/>
    </w:pPr>
    <w:rPr>
      <w:kern w:val="0"/>
      <w:sz w:val="18"/>
      <w:szCs w:val="20"/>
    </w:rPr>
  </w:style>
  <w:style w:type="paragraph" w:styleId="20">
    <w:name w:val="header"/>
    <w:basedOn w:val="1"/>
    <w:link w:val="49"/>
    <w:qFormat/>
    <w:uiPriority w:val="0"/>
    <w:pPr>
      <w:pBdr>
        <w:bottom w:val="single" w:color="auto" w:sz="6" w:space="1"/>
      </w:pBdr>
      <w:tabs>
        <w:tab w:val="center" w:pos="4153"/>
        <w:tab w:val="right" w:pos="8306"/>
      </w:tabs>
      <w:snapToGrid w:val="0"/>
      <w:jc w:val="center"/>
    </w:pPr>
    <w:rPr>
      <w:kern w:val="0"/>
      <w:sz w:val="18"/>
      <w:szCs w:val="20"/>
    </w:rPr>
  </w:style>
  <w:style w:type="paragraph" w:styleId="21">
    <w:name w:val="List"/>
    <w:basedOn w:val="1"/>
    <w:qFormat/>
    <w:locked/>
    <w:uiPriority w:val="0"/>
    <w:pPr>
      <w:spacing w:line="360" w:lineRule="exact"/>
      <w:jc w:val="center"/>
    </w:pPr>
    <w:rPr>
      <w:rFonts w:ascii="仿宋_GB2312" w:eastAsia="仿宋_GB2312" w:cs="仿宋_GB2312"/>
      <w:sz w:val="24"/>
    </w:rPr>
  </w:style>
  <w:style w:type="paragraph" w:styleId="22">
    <w:name w:val="Body Text 2"/>
    <w:basedOn w:val="1"/>
    <w:qFormat/>
    <w:locked/>
    <w:uiPriority w:val="0"/>
    <w:pPr>
      <w:spacing w:after="120" w:line="480" w:lineRule="auto"/>
    </w:pPr>
  </w:style>
  <w:style w:type="paragraph" w:styleId="23">
    <w:name w:val="Normal (Web)"/>
    <w:basedOn w:val="1"/>
    <w:link w:val="50"/>
    <w:qFormat/>
    <w:uiPriority w:val="0"/>
    <w:pPr>
      <w:widowControl/>
      <w:spacing w:before="100" w:beforeAutospacing="1" w:after="100" w:afterAutospacing="1"/>
      <w:jc w:val="left"/>
    </w:pPr>
    <w:rPr>
      <w:rFonts w:ascii="宋体" w:hAnsi="宋体"/>
      <w:kern w:val="0"/>
      <w:sz w:val="24"/>
      <w:szCs w:val="20"/>
    </w:rPr>
  </w:style>
  <w:style w:type="paragraph" w:styleId="24">
    <w:name w:val="Title"/>
    <w:basedOn w:val="1"/>
    <w:next w:val="1"/>
    <w:qFormat/>
    <w:locked/>
    <w:uiPriority w:val="10"/>
    <w:pPr>
      <w:spacing w:before="240" w:after="60"/>
      <w:jc w:val="center"/>
      <w:outlineLvl w:val="0"/>
    </w:pPr>
    <w:rPr>
      <w:rFonts w:ascii="Cambria" w:hAnsi="Cambria"/>
      <w:b/>
      <w:bCs/>
      <w:sz w:val="32"/>
      <w:szCs w:val="32"/>
    </w:rPr>
  </w:style>
  <w:style w:type="paragraph" w:styleId="25">
    <w:name w:val="annotation subject"/>
    <w:basedOn w:val="11"/>
    <w:next w:val="11"/>
    <w:link w:val="51"/>
    <w:semiHidden/>
    <w:qFormat/>
    <w:uiPriority w:val="0"/>
    <w:rPr>
      <w:b/>
      <w:kern w:val="2"/>
    </w:rPr>
  </w:style>
  <w:style w:type="table" w:styleId="27">
    <w:name w:val="Table Grid"/>
    <w:basedOn w:val="2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page number"/>
    <w:qFormat/>
    <w:locked/>
    <w:uiPriority w:val="0"/>
  </w:style>
  <w:style w:type="character" w:styleId="30">
    <w:name w:val="FollowedHyperlink"/>
    <w:basedOn w:val="28"/>
    <w:qFormat/>
    <w:locked/>
    <w:uiPriority w:val="0"/>
    <w:rPr>
      <w:color w:val="800080"/>
      <w:u w:val="none"/>
    </w:rPr>
  </w:style>
  <w:style w:type="character" w:styleId="31">
    <w:name w:val="Emphasis"/>
    <w:basedOn w:val="28"/>
    <w:qFormat/>
    <w:locked/>
    <w:uiPriority w:val="0"/>
  </w:style>
  <w:style w:type="character" w:styleId="32">
    <w:name w:val="Hyperlink"/>
    <w:basedOn w:val="28"/>
    <w:qFormat/>
    <w:locked/>
    <w:uiPriority w:val="0"/>
    <w:rPr>
      <w:color w:val="0000FF"/>
      <w:u w:val="single"/>
    </w:rPr>
  </w:style>
  <w:style w:type="character" w:styleId="33">
    <w:name w:val="annotation reference"/>
    <w:semiHidden/>
    <w:qFormat/>
    <w:uiPriority w:val="0"/>
    <w:rPr>
      <w:sz w:val="21"/>
    </w:rPr>
  </w:style>
  <w:style w:type="paragraph" w:customStyle="1" w:styleId="34">
    <w:name w:val="xl27"/>
    <w:basedOn w:val="1"/>
    <w:next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sz w:val="20"/>
    </w:rPr>
  </w:style>
  <w:style w:type="paragraph" w:customStyle="1" w:styleId="35">
    <w:name w:val="Default"/>
    <w:basedOn w:val="36"/>
    <w:qFormat/>
    <w:uiPriority w:val="0"/>
    <w:pPr>
      <w:autoSpaceDE w:val="0"/>
      <w:autoSpaceDN w:val="0"/>
    </w:pPr>
    <w:rPr>
      <w:rFonts w:ascii="宋体" w:hAnsi="宋体" w:cs="宋体"/>
    </w:rPr>
  </w:style>
  <w:style w:type="paragraph" w:customStyle="1" w:styleId="36">
    <w:name w:val="标题2"/>
    <w:basedOn w:val="7"/>
    <w:qFormat/>
    <w:uiPriority w:val="0"/>
    <w:pPr>
      <w:keepLines w:val="0"/>
      <w:adjustRightInd w:val="0"/>
      <w:snapToGrid w:val="0"/>
      <w:spacing w:before="0" w:after="0" w:line="360" w:lineRule="auto"/>
    </w:pPr>
    <w:rPr>
      <w:rFonts w:ascii="黑体" w:hAnsi="Times New Roman"/>
      <w:snapToGrid w:val="0"/>
      <w:kern w:val="0"/>
      <w:sz w:val="24"/>
      <w:szCs w:val="20"/>
    </w:rPr>
  </w:style>
  <w:style w:type="paragraph" w:customStyle="1" w:styleId="37">
    <w:name w:val="样式35"/>
    <w:basedOn w:val="1"/>
    <w:qFormat/>
    <w:uiPriority w:val="0"/>
    <w:pPr>
      <w:adjustRightInd w:val="0"/>
      <w:spacing w:line="312" w:lineRule="auto"/>
      <w:ind w:firstLine="567"/>
    </w:pPr>
    <w:rPr>
      <w:rFonts w:ascii="宋体"/>
      <w:kern w:val="0"/>
      <w:sz w:val="28"/>
    </w:rPr>
  </w:style>
  <w:style w:type="paragraph" w:customStyle="1" w:styleId="38">
    <w:name w:val="正文_15"/>
    <w:qFormat/>
    <w:uiPriority w:val="0"/>
    <w:pPr>
      <w:widowControl w:val="0"/>
      <w:jc w:val="both"/>
    </w:pPr>
    <w:rPr>
      <w:rFonts w:ascii="Calibri" w:hAnsi="Calibri" w:eastAsia="宋体" w:cs="Times New Roman"/>
      <w:kern w:val="2"/>
      <w:sz w:val="21"/>
      <w:lang w:val="en-US" w:eastAsia="zh-CN" w:bidi="ar-SA"/>
    </w:rPr>
  </w:style>
  <w:style w:type="paragraph" w:customStyle="1" w:styleId="39">
    <w:name w:val="1正文段落"/>
    <w:basedOn w:val="1"/>
    <w:qFormat/>
    <w:uiPriority w:val="0"/>
    <w:pPr>
      <w:spacing w:before="60"/>
      <w:ind w:firstLine="480"/>
      <w:jc w:val="center"/>
    </w:pPr>
    <w:rPr>
      <w:rFonts w:ascii="黑体"/>
      <w:color w:val="000000"/>
    </w:rPr>
  </w:style>
  <w:style w:type="paragraph" w:customStyle="1" w:styleId="40">
    <w:name w:val="样式3"/>
    <w:basedOn w:val="1"/>
    <w:next w:val="41"/>
    <w:qFormat/>
    <w:uiPriority w:val="0"/>
    <w:pPr>
      <w:autoSpaceDE w:val="0"/>
      <w:autoSpaceDN w:val="0"/>
      <w:snapToGrid w:val="0"/>
      <w:spacing w:before="120" w:line="460" w:lineRule="atLeast"/>
      <w:jc w:val="center"/>
    </w:pPr>
    <w:rPr>
      <w:rFonts w:eastAsia="黑体"/>
      <w:sz w:val="28"/>
    </w:rPr>
  </w:style>
  <w:style w:type="paragraph" w:customStyle="1" w:styleId="41">
    <w:name w:val="目录 53"/>
    <w:basedOn w:val="1"/>
    <w:next w:val="1"/>
    <w:qFormat/>
    <w:uiPriority w:val="0"/>
    <w:pPr>
      <w:ind w:left="840"/>
    </w:pPr>
    <w:rPr>
      <w:rFonts w:cs="宋体"/>
      <w:color w:val="000000"/>
    </w:rPr>
  </w:style>
  <w:style w:type="paragraph" w:customStyle="1" w:styleId="42">
    <w:name w:val="表格"/>
    <w:basedOn w:val="1"/>
    <w:next w:val="1"/>
    <w:link w:val="54"/>
    <w:qFormat/>
    <w:uiPriority w:val="0"/>
    <w:pPr>
      <w:adjustRightInd w:val="0"/>
      <w:snapToGrid w:val="0"/>
      <w:spacing w:beforeLines="10" w:afterLines="10" w:line="259" w:lineRule="auto"/>
      <w:jc w:val="center"/>
    </w:pPr>
    <w:rPr>
      <w:rFonts w:ascii="宋体"/>
      <w:kern w:val="0"/>
      <w:szCs w:val="20"/>
    </w:rPr>
  </w:style>
  <w:style w:type="character" w:customStyle="1" w:styleId="43">
    <w:name w:val="批注文字 字符"/>
    <w:link w:val="11"/>
    <w:qFormat/>
    <w:locked/>
    <w:uiPriority w:val="0"/>
    <w:rPr>
      <w:rFonts w:ascii="Times New Roman" w:hAnsi="Times New Roman" w:eastAsia="宋体"/>
      <w:sz w:val="24"/>
    </w:rPr>
  </w:style>
  <w:style w:type="character" w:customStyle="1" w:styleId="44">
    <w:name w:val="正文文本 字符"/>
    <w:link w:val="3"/>
    <w:qFormat/>
    <w:locked/>
    <w:uiPriority w:val="0"/>
    <w:rPr>
      <w:sz w:val="18"/>
    </w:rPr>
  </w:style>
  <w:style w:type="character" w:customStyle="1" w:styleId="45">
    <w:name w:val="正文文本缩进 字符"/>
    <w:link w:val="13"/>
    <w:semiHidden/>
    <w:qFormat/>
    <w:locked/>
    <w:uiPriority w:val="0"/>
    <w:rPr>
      <w:rFonts w:ascii="Times New Roman" w:hAnsi="Times New Roman" w:eastAsia="宋体"/>
      <w:sz w:val="24"/>
    </w:rPr>
  </w:style>
  <w:style w:type="character" w:customStyle="1" w:styleId="46">
    <w:name w:val="日期 字符1"/>
    <w:link w:val="17"/>
    <w:qFormat/>
    <w:locked/>
    <w:uiPriority w:val="0"/>
    <w:rPr>
      <w:rFonts w:ascii="Times New Roman" w:hAnsi="Times New Roman" w:eastAsia="宋体"/>
      <w:sz w:val="24"/>
    </w:rPr>
  </w:style>
  <w:style w:type="character" w:customStyle="1" w:styleId="47">
    <w:name w:val="批注框文本 字符"/>
    <w:link w:val="18"/>
    <w:semiHidden/>
    <w:qFormat/>
    <w:locked/>
    <w:uiPriority w:val="0"/>
    <w:rPr>
      <w:rFonts w:ascii="Times New Roman" w:hAnsi="Times New Roman" w:eastAsia="宋体"/>
      <w:sz w:val="18"/>
    </w:rPr>
  </w:style>
  <w:style w:type="character" w:customStyle="1" w:styleId="48">
    <w:name w:val="页脚 字符1"/>
    <w:link w:val="19"/>
    <w:qFormat/>
    <w:locked/>
    <w:uiPriority w:val="99"/>
    <w:rPr>
      <w:sz w:val="18"/>
    </w:rPr>
  </w:style>
  <w:style w:type="character" w:customStyle="1" w:styleId="49">
    <w:name w:val="页眉 字符"/>
    <w:link w:val="20"/>
    <w:qFormat/>
    <w:locked/>
    <w:uiPriority w:val="0"/>
    <w:rPr>
      <w:sz w:val="18"/>
    </w:rPr>
  </w:style>
  <w:style w:type="character" w:customStyle="1" w:styleId="50">
    <w:name w:val="普通(网站) 字符"/>
    <w:link w:val="23"/>
    <w:qFormat/>
    <w:locked/>
    <w:uiPriority w:val="0"/>
    <w:rPr>
      <w:rFonts w:ascii="宋体" w:hAnsi="宋体" w:eastAsia="宋体"/>
      <w:sz w:val="24"/>
    </w:rPr>
  </w:style>
  <w:style w:type="character" w:customStyle="1" w:styleId="51">
    <w:name w:val="批注主题 字符"/>
    <w:link w:val="25"/>
    <w:semiHidden/>
    <w:qFormat/>
    <w:locked/>
    <w:uiPriority w:val="0"/>
    <w:rPr>
      <w:rFonts w:ascii="Times New Roman" w:hAnsi="Times New Roman" w:eastAsia="宋体"/>
      <w:b/>
      <w:kern w:val="2"/>
      <w:sz w:val="24"/>
    </w:rPr>
  </w:style>
  <w:style w:type="character" w:customStyle="1" w:styleId="52">
    <w:name w:val="日期 字符"/>
    <w:semiHidden/>
    <w:qFormat/>
    <w:uiPriority w:val="0"/>
    <w:rPr>
      <w:rFonts w:ascii="Times New Roman" w:hAnsi="Times New Roman" w:eastAsia="宋体"/>
      <w:sz w:val="24"/>
    </w:rPr>
  </w:style>
  <w:style w:type="character" w:customStyle="1" w:styleId="53">
    <w:name w:val="页脚 字符"/>
    <w:qFormat/>
    <w:uiPriority w:val="99"/>
  </w:style>
  <w:style w:type="character" w:customStyle="1" w:styleId="54">
    <w:name w:val="表格 Char"/>
    <w:link w:val="42"/>
    <w:qFormat/>
    <w:locked/>
    <w:uiPriority w:val="0"/>
    <w:rPr>
      <w:rFonts w:ascii="宋体"/>
      <w:sz w:val="21"/>
    </w:rPr>
  </w:style>
  <w:style w:type="character" w:customStyle="1" w:styleId="55">
    <w:name w:val="font31"/>
    <w:qFormat/>
    <w:uiPriority w:val="0"/>
    <w:rPr>
      <w:rFonts w:hint="eastAsia" w:ascii="宋体" w:hAnsi="宋体" w:eastAsia="宋体" w:cs="宋体"/>
      <w:color w:val="000000"/>
      <w:sz w:val="22"/>
      <w:szCs w:val="22"/>
      <w:u w:val="none"/>
    </w:rPr>
  </w:style>
  <w:style w:type="character" w:customStyle="1" w:styleId="56">
    <w:name w:val="font51"/>
    <w:qFormat/>
    <w:uiPriority w:val="0"/>
    <w:rPr>
      <w:rFonts w:hint="default" w:ascii="Times New Roman" w:hAnsi="Times New Roman" w:cs="Times New Roman"/>
      <w:color w:val="000000"/>
      <w:sz w:val="21"/>
      <w:szCs w:val="21"/>
      <w:u w:val="none"/>
    </w:rPr>
  </w:style>
  <w:style w:type="character" w:customStyle="1" w:styleId="57">
    <w:name w:val="font71"/>
    <w:qFormat/>
    <w:uiPriority w:val="0"/>
    <w:rPr>
      <w:rFonts w:hint="default" w:ascii="Times New Roman" w:hAnsi="Times New Roman" w:cs="Times New Roman"/>
      <w:color w:val="000000"/>
      <w:sz w:val="20"/>
      <w:szCs w:val="20"/>
      <w:u w:val="none"/>
    </w:rPr>
  </w:style>
  <w:style w:type="character" w:customStyle="1" w:styleId="58">
    <w:name w:val="font01"/>
    <w:qFormat/>
    <w:uiPriority w:val="0"/>
    <w:rPr>
      <w:rFonts w:hint="eastAsia" w:ascii="宋体" w:hAnsi="宋体" w:eastAsia="宋体" w:cs="宋体"/>
      <w:color w:val="000000"/>
      <w:sz w:val="22"/>
      <w:szCs w:val="22"/>
      <w:u w:val="none"/>
    </w:rPr>
  </w:style>
  <w:style w:type="character" w:customStyle="1" w:styleId="59">
    <w:name w:val="font21"/>
    <w:qFormat/>
    <w:uiPriority w:val="0"/>
    <w:rPr>
      <w:rFonts w:hint="eastAsia" w:ascii="宋体" w:hAnsi="宋体" w:eastAsia="宋体" w:cs="宋体"/>
      <w:color w:val="000000"/>
      <w:sz w:val="21"/>
      <w:szCs w:val="21"/>
      <w:u w:val="none"/>
    </w:rPr>
  </w:style>
  <w:style w:type="character" w:customStyle="1" w:styleId="60">
    <w:name w:val="font61"/>
    <w:qFormat/>
    <w:uiPriority w:val="0"/>
    <w:rPr>
      <w:rFonts w:hint="eastAsia" w:ascii="宋体" w:hAnsi="宋体" w:eastAsia="宋体" w:cs="宋体"/>
      <w:color w:val="333333"/>
      <w:sz w:val="21"/>
      <w:szCs w:val="21"/>
      <w:u w:val="none"/>
    </w:rPr>
  </w:style>
  <w:style w:type="character" w:customStyle="1" w:styleId="61">
    <w:name w:val="正文文本 字符1"/>
    <w:semiHidden/>
    <w:qFormat/>
    <w:uiPriority w:val="0"/>
    <w:rPr>
      <w:rFonts w:ascii="Times New Roman" w:hAnsi="Times New Roman" w:eastAsia="宋体"/>
      <w:sz w:val="24"/>
    </w:rPr>
  </w:style>
  <w:style w:type="character" w:customStyle="1" w:styleId="62">
    <w:name w:val="font11"/>
    <w:qFormat/>
    <w:uiPriority w:val="0"/>
    <w:rPr>
      <w:rFonts w:hint="eastAsia" w:ascii="宋体" w:hAnsi="宋体" w:eastAsia="宋体" w:cs="宋体"/>
      <w:color w:val="000000"/>
      <w:sz w:val="21"/>
      <w:szCs w:val="21"/>
      <w:u w:val="none"/>
    </w:rPr>
  </w:style>
  <w:style w:type="character" w:customStyle="1" w:styleId="63">
    <w:name w:val="批注文字 字符1"/>
    <w:semiHidden/>
    <w:qFormat/>
    <w:uiPriority w:val="0"/>
    <w:rPr>
      <w:rFonts w:ascii="Times New Roman" w:hAnsi="Times New Roman" w:eastAsia="宋体"/>
      <w:sz w:val="24"/>
    </w:rPr>
  </w:style>
  <w:style w:type="character" w:customStyle="1" w:styleId="64">
    <w:name w:val="font41"/>
    <w:qFormat/>
    <w:uiPriority w:val="0"/>
    <w:rPr>
      <w:rFonts w:hint="default" w:ascii="Times New Roman" w:hAnsi="Times New Roman" w:cs="Times New Roman"/>
      <w:color w:val="000000"/>
      <w:sz w:val="21"/>
      <w:szCs w:val="21"/>
      <w:u w:val="none"/>
      <w:vertAlign w:val="superscript"/>
    </w:rPr>
  </w:style>
  <w:style w:type="paragraph" w:customStyle="1" w:styleId="65">
    <w:name w:val="文本"/>
    <w:basedOn w:val="1"/>
    <w:qFormat/>
    <w:uiPriority w:val="0"/>
    <w:pPr>
      <w:adjustRightInd w:val="0"/>
      <w:snapToGrid w:val="0"/>
      <w:spacing w:line="360" w:lineRule="auto"/>
      <w:ind w:firstLine="1446" w:firstLineChars="200"/>
    </w:pPr>
    <w:rPr>
      <w:sz w:val="24"/>
    </w:rPr>
  </w:style>
  <w:style w:type="paragraph" w:customStyle="1" w:styleId="66">
    <w:name w:val="表格头"/>
    <w:basedOn w:val="1"/>
    <w:qFormat/>
    <w:uiPriority w:val="0"/>
    <w:pPr>
      <w:tabs>
        <w:tab w:val="left" w:pos="0"/>
      </w:tabs>
      <w:spacing w:line="360" w:lineRule="auto"/>
      <w:jc w:val="center"/>
    </w:pPr>
    <w:rPr>
      <w:b/>
      <w:bCs/>
      <w:sz w:val="24"/>
    </w:rPr>
  </w:style>
  <w:style w:type="paragraph" w:customStyle="1" w:styleId="67">
    <w:name w:val="表头"/>
    <w:basedOn w:val="65"/>
    <w:next w:val="1"/>
    <w:qFormat/>
    <w:uiPriority w:val="0"/>
    <w:pPr>
      <w:spacing w:line="320" w:lineRule="atLeast"/>
      <w:jc w:val="center"/>
      <w:textAlignment w:val="baseline"/>
    </w:pPr>
    <w:rPr>
      <w:rFonts w:eastAsia="黑体"/>
      <w:spacing w:val="-10"/>
      <w:kern w:val="0"/>
      <w:szCs w:val="20"/>
    </w:rPr>
  </w:style>
  <w:style w:type="paragraph" w:customStyle="1" w:styleId="68">
    <w:name w:val="表格标题"/>
    <w:basedOn w:val="2"/>
    <w:next w:val="69"/>
    <w:qFormat/>
    <w:uiPriority w:val="0"/>
    <w:pPr>
      <w:framePr w:wrap="around"/>
      <w:adjustRightInd w:val="0"/>
      <w:snapToGrid w:val="0"/>
      <w:jc w:val="center"/>
    </w:pPr>
    <w:rPr>
      <w:rFonts w:eastAsia="黑体"/>
      <w:b/>
      <w:snapToGrid w:val="0"/>
      <w:sz w:val="24"/>
    </w:rPr>
  </w:style>
  <w:style w:type="paragraph" w:customStyle="1" w:styleId="69">
    <w:name w:val="表格内容"/>
    <w:basedOn w:val="68"/>
    <w:next w:val="16"/>
    <w:qFormat/>
    <w:uiPriority w:val="0"/>
    <w:pPr>
      <w:framePr w:wrap="around"/>
      <w:spacing w:line="240" w:lineRule="atLeast"/>
    </w:pPr>
    <w:rPr>
      <w:rFonts w:eastAsia="宋体"/>
      <w:sz w:val="21"/>
    </w:rPr>
  </w:style>
  <w:style w:type="paragraph" w:customStyle="1" w:styleId="70">
    <w:name w:val="_Style 0"/>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71">
    <w:name w:val="表"/>
    <w:basedOn w:val="1"/>
    <w:qFormat/>
    <w:uiPriority w:val="0"/>
    <w:pPr>
      <w:snapToGrid w:val="0"/>
      <w:jc w:val="center"/>
    </w:pPr>
    <w:rPr>
      <w:spacing w:val="2"/>
      <w:sz w:val="24"/>
      <w:szCs w:val="22"/>
    </w:rPr>
  </w:style>
  <w:style w:type="paragraph" w:customStyle="1" w:styleId="72">
    <w:name w:val="表格内容自定"/>
    <w:basedOn w:val="1"/>
    <w:qFormat/>
    <w:uiPriority w:val="0"/>
    <w:pPr>
      <w:spacing w:line="280" w:lineRule="exact"/>
      <w:jc w:val="center"/>
    </w:pPr>
    <w:rPr>
      <w:sz w:val="18"/>
      <w:szCs w:val="21"/>
    </w:rPr>
  </w:style>
  <w:style w:type="paragraph" w:customStyle="1" w:styleId="73">
    <w:name w:val="Table Paragraph"/>
    <w:basedOn w:val="1"/>
    <w:qFormat/>
    <w:uiPriority w:val="99"/>
  </w:style>
  <w:style w:type="paragraph" w:customStyle="1" w:styleId="74">
    <w:name w:val="正文（首行缩进） Char"/>
    <w:basedOn w:val="1"/>
    <w:qFormat/>
    <w:uiPriority w:val="0"/>
    <w:pPr>
      <w:widowControl/>
      <w:overflowPunct w:val="0"/>
      <w:topLinePunct/>
      <w:autoSpaceDE w:val="0"/>
      <w:autoSpaceDN w:val="0"/>
      <w:adjustRightInd w:val="0"/>
      <w:snapToGrid w:val="0"/>
      <w:spacing w:line="360" w:lineRule="auto"/>
      <w:ind w:firstLine="480" w:firstLineChars="200"/>
      <w:textAlignment w:val="baseline"/>
    </w:pPr>
    <w:rPr>
      <w:snapToGrid w:val="0"/>
      <w:kern w:val="0"/>
      <w:sz w:val="24"/>
    </w:rPr>
  </w:style>
  <w:style w:type="paragraph" w:customStyle="1" w:styleId="75">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76">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
    <w:name w:val="样式1"/>
    <w:basedOn w:val="1"/>
    <w:qFormat/>
    <w:uiPriority w:val="0"/>
    <w:rPr>
      <w:color w:val="000000"/>
      <w:sz w:val="24"/>
    </w:rPr>
  </w:style>
  <w:style w:type="table" w:customStyle="1" w:styleId="78">
    <w:name w:val="Table Normal"/>
    <w:unhideWhenUsed/>
    <w:qFormat/>
    <w:uiPriority w:val="2"/>
    <w:tblPr>
      <w:tblCellMar>
        <w:top w:w="0" w:type="dxa"/>
        <w:left w:w="0" w:type="dxa"/>
        <w:bottom w:w="0" w:type="dxa"/>
        <w:right w:w="0" w:type="dxa"/>
      </w:tblCellMar>
    </w:tblPr>
  </w:style>
  <w:style w:type="paragraph" w:customStyle="1" w:styleId="79">
    <w:name w:val="正文首行缩进 2 + Times New Roman"/>
    <w:basedOn w:val="1"/>
    <w:qFormat/>
    <w:uiPriority w:val="0"/>
    <w:pPr>
      <w:tabs>
        <w:tab w:val="left" w:pos="0"/>
        <w:tab w:val="left" w:pos="870"/>
        <w:tab w:val="left" w:pos="3150"/>
      </w:tabs>
      <w:autoSpaceDE w:val="0"/>
      <w:autoSpaceDN w:val="0"/>
      <w:spacing w:line="360" w:lineRule="auto"/>
      <w:ind w:firstLine="480" w:firstLineChars="200"/>
      <w:jc w:val="left"/>
    </w:pPr>
    <w:rPr>
      <w:kern w:val="0"/>
      <w:sz w:val="24"/>
    </w:rPr>
  </w:style>
  <w:style w:type="paragraph" w:customStyle="1" w:styleId="80">
    <w:name w:val="Char"/>
    <w:basedOn w:val="1"/>
    <w:next w:val="3"/>
    <w:qFormat/>
    <w:uiPriority w:val="0"/>
  </w:style>
  <w:style w:type="paragraph" w:customStyle="1" w:styleId="81">
    <w:name w:val="样式 样式 正文@ + 首行缩进:  2 字符 字距调整小四 紧缩量  0.2 磅 + 首行缩进:  2 字符"/>
    <w:basedOn w:val="1"/>
    <w:qFormat/>
    <w:uiPriority w:val="99"/>
    <w:pPr>
      <w:spacing w:line="360" w:lineRule="auto"/>
      <w:ind w:firstLine="480" w:firstLineChars="200"/>
    </w:pPr>
    <w:rPr>
      <w:rFonts w:ascii="宋体" w:hAnsi="宋体"/>
      <w:kern w:val="24"/>
      <w:sz w:val="24"/>
      <w:szCs w:val="20"/>
    </w:rPr>
  </w:style>
  <w:style w:type="paragraph" w:customStyle="1" w:styleId="82">
    <w:name w:val="表格内部—常用"/>
    <w:basedOn w:val="1"/>
    <w:next w:val="1"/>
    <w:qFormat/>
    <w:uiPriority w:val="0"/>
    <w:pPr>
      <w:jc w:val="center"/>
    </w:pPr>
    <w:rPr>
      <w:szCs w:val="21"/>
    </w:rPr>
  </w:style>
  <w:style w:type="paragraph" w:customStyle="1" w:styleId="83">
    <w:name w:val="表样式1"/>
    <w:basedOn w:val="1"/>
    <w:qFormat/>
    <w:uiPriority w:val="0"/>
    <w:pPr>
      <w:snapToGrid w:val="0"/>
      <w:jc w:val="center"/>
    </w:pPr>
    <w:rPr>
      <w:color w:val="000000"/>
      <w:szCs w:val="21"/>
    </w:rPr>
  </w:style>
  <w:style w:type="character" w:customStyle="1" w:styleId="84">
    <w:name w:val="lable"/>
    <w:basedOn w:val="28"/>
    <w:qFormat/>
    <w:uiPriority w:val="0"/>
    <w:rPr>
      <w:sz w:val="24"/>
      <w:szCs w:val="24"/>
    </w:rPr>
  </w:style>
  <w:style w:type="character" w:customStyle="1" w:styleId="85">
    <w:name w:val="span1"/>
    <w:basedOn w:val="28"/>
    <w:qFormat/>
    <w:uiPriority w:val="0"/>
    <w:rPr>
      <w:color w:val="333333"/>
      <w:sz w:val="24"/>
      <w:szCs w:val="24"/>
    </w:rPr>
  </w:style>
  <w:style w:type="character" w:customStyle="1" w:styleId="86">
    <w:name w:val="fontstyle01"/>
    <w:basedOn w:val="28"/>
    <w:qFormat/>
    <w:uiPriority w:val="0"/>
    <w:rPr>
      <w:rFonts w:hint="eastAsia" w:ascii="宋体" w:hAnsi="宋体" w:eastAsia="宋体" w:cs="宋体"/>
      <w:color w:val="000000"/>
      <w:sz w:val="18"/>
      <w:szCs w:val="18"/>
    </w:rPr>
  </w:style>
  <w:style w:type="paragraph" w:styleId="87">
    <w:name w:val="List Paragraph"/>
    <w:basedOn w:val="1"/>
    <w:qFormat/>
    <w:uiPriority w:val="34"/>
    <w:pPr>
      <w:widowControl w:val="0"/>
      <w:adjustRightInd/>
      <w:snapToGrid/>
      <w:spacing w:after="0" w:afterLines="0"/>
      <w:ind w:firstLine="420" w:firstLineChars="200"/>
      <w:jc w:val="both"/>
    </w:pPr>
    <w:rPr>
      <w:rFonts w:ascii="Times New Roman" w:hAnsi="Times New Roman" w:eastAsia="宋体"/>
      <w:kern w:val="2"/>
      <w:sz w:val="21"/>
      <w:szCs w:val="20"/>
    </w:rPr>
  </w:style>
  <w:style w:type="paragraph" w:customStyle="1" w:styleId="88">
    <w:name w:val="3 Char Char Char Char Char Char Char Char Char Char"/>
    <w:basedOn w:val="1"/>
    <w:qFormat/>
    <w:uiPriority w:val="0"/>
    <w:pPr>
      <w:widowControl w:val="0"/>
      <w:jc w:val="both"/>
    </w:pPr>
    <w:rPr>
      <w:kern w:val="2"/>
      <w:sz w:val="24"/>
      <w:szCs w:val="24"/>
    </w:rPr>
  </w:style>
  <w:style w:type="paragraph" w:customStyle="1" w:styleId="89">
    <w:name w:val="Table Text"/>
    <w:basedOn w:val="1"/>
    <w:semiHidden/>
    <w:qFormat/>
    <w:uiPriority w:val="0"/>
    <w:rPr>
      <w:rFonts w:ascii="宋体" w:hAnsi="宋体" w:eastAsia="宋体" w:cs="宋体"/>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9" Type="http://schemas.openxmlformats.org/officeDocument/2006/relationships/fontTable" Target="fontTable.xml"/><Relationship Id="rId58" Type="http://schemas.openxmlformats.org/officeDocument/2006/relationships/numbering" Target="numbering.xml"/><Relationship Id="rId57" Type="http://schemas.openxmlformats.org/officeDocument/2006/relationships/customXml" Target="../customXml/item1.xml"/><Relationship Id="rId56" Type="http://schemas.openxmlformats.org/officeDocument/2006/relationships/image" Target="media/image27.png"/><Relationship Id="rId55" Type="http://schemas.openxmlformats.org/officeDocument/2006/relationships/image" Target="media/image26.wmf"/><Relationship Id="rId54" Type="http://schemas.openxmlformats.org/officeDocument/2006/relationships/oleObject" Target="embeddings/oleObject20.bin"/><Relationship Id="rId53" Type="http://schemas.openxmlformats.org/officeDocument/2006/relationships/image" Target="media/image25.wmf"/><Relationship Id="rId52" Type="http://schemas.openxmlformats.org/officeDocument/2006/relationships/oleObject" Target="embeddings/oleObject19.bin"/><Relationship Id="rId51" Type="http://schemas.openxmlformats.org/officeDocument/2006/relationships/image" Target="media/image24.wmf"/><Relationship Id="rId50" Type="http://schemas.openxmlformats.org/officeDocument/2006/relationships/oleObject" Target="embeddings/oleObject18.bin"/><Relationship Id="rId5" Type="http://schemas.openxmlformats.org/officeDocument/2006/relationships/footer" Target="footer2.xml"/><Relationship Id="rId49" Type="http://schemas.openxmlformats.org/officeDocument/2006/relationships/image" Target="media/image23.wmf"/><Relationship Id="rId48" Type="http://schemas.openxmlformats.org/officeDocument/2006/relationships/oleObject" Target="embeddings/oleObject17.bin"/><Relationship Id="rId47" Type="http://schemas.openxmlformats.org/officeDocument/2006/relationships/image" Target="media/image22.wmf"/><Relationship Id="rId46" Type="http://schemas.openxmlformats.org/officeDocument/2006/relationships/oleObject" Target="embeddings/oleObject16.bin"/><Relationship Id="rId45" Type="http://schemas.openxmlformats.org/officeDocument/2006/relationships/image" Target="media/image21.wmf"/><Relationship Id="rId44" Type="http://schemas.openxmlformats.org/officeDocument/2006/relationships/oleObject" Target="embeddings/oleObject15.bin"/><Relationship Id="rId43" Type="http://schemas.openxmlformats.org/officeDocument/2006/relationships/image" Target="media/image20.wmf"/><Relationship Id="rId42" Type="http://schemas.openxmlformats.org/officeDocument/2006/relationships/oleObject" Target="embeddings/oleObject14.bin"/><Relationship Id="rId41" Type="http://schemas.openxmlformats.org/officeDocument/2006/relationships/image" Target="media/image19.wmf"/><Relationship Id="rId40" Type="http://schemas.openxmlformats.org/officeDocument/2006/relationships/oleObject" Target="embeddings/oleObject13.bin"/><Relationship Id="rId4" Type="http://schemas.openxmlformats.org/officeDocument/2006/relationships/footer" Target="footer1.xml"/><Relationship Id="rId39" Type="http://schemas.openxmlformats.org/officeDocument/2006/relationships/image" Target="media/image18.wmf"/><Relationship Id="rId38" Type="http://schemas.openxmlformats.org/officeDocument/2006/relationships/oleObject" Target="embeddings/oleObject12.bin"/><Relationship Id="rId37" Type="http://schemas.openxmlformats.org/officeDocument/2006/relationships/image" Target="media/image17.wmf"/><Relationship Id="rId36" Type="http://schemas.openxmlformats.org/officeDocument/2006/relationships/oleObject" Target="embeddings/oleObject11.bin"/><Relationship Id="rId35" Type="http://schemas.openxmlformats.org/officeDocument/2006/relationships/image" Target="media/image16.wmf"/><Relationship Id="rId34" Type="http://schemas.openxmlformats.org/officeDocument/2006/relationships/oleObject" Target="embeddings/oleObject10.bin"/><Relationship Id="rId33" Type="http://schemas.openxmlformats.org/officeDocument/2006/relationships/image" Target="media/image15.wmf"/><Relationship Id="rId32" Type="http://schemas.openxmlformats.org/officeDocument/2006/relationships/oleObject" Target="embeddings/oleObject9.bin"/><Relationship Id="rId31" Type="http://schemas.openxmlformats.org/officeDocument/2006/relationships/image" Target="media/image14.wmf"/><Relationship Id="rId30" Type="http://schemas.openxmlformats.org/officeDocument/2006/relationships/oleObject" Target="embeddings/oleObject8.bin"/><Relationship Id="rId3" Type="http://schemas.openxmlformats.org/officeDocument/2006/relationships/header" Target="header1.xml"/><Relationship Id="rId29" Type="http://schemas.openxmlformats.org/officeDocument/2006/relationships/image" Target="media/image13.wmf"/><Relationship Id="rId28" Type="http://schemas.openxmlformats.org/officeDocument/2006/relationships/oleObject" Target="embeddings/oleObject7.bin"/><Relationship Id="rId27" Type="http://schemas.openxmlformats.org/officeDocument/2006/relationships/image" Target="media/image12.wmf"/><Relationship Id="rId26" Type="http://schemas.openxmlformats.org/officeDocument/2006/relationships/oleObject" Target="embeddings/oleObject6.bin"/><Relationship Id="rId25" Type="http://schemas.openxmlformats.org/officeDocument/2006/relationships/image" Target="media/image11.wmf"/><Relationship Id="rId24" Type="http://schemas.openxmlformats.org/officeDocument/2006/relationships/oleObject" Target="embeddings/oleObject5.bin"/><Relationship Id="rId23" Type="http://schemas.openxmlformats.org/officeDocument/2006/relationships/image" Target="media/image10.png"/><Relationship Id="rId22" Type="http://schemas.openxmlformats.org/officeDocument/2006/relationships/image" Target="media/image9.wmf"/><Relationship Id="rId21" Type="http://schemas.openxmlformats.org/officeDocument/2006/relationships/oleObject" Target="embeddings/oleObject4.bin"/><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emf"/><Relationship Id="rId18" Type="http://schemas.openxmlformats.org/officeDocument/2006/relationships/oleObject" Target="embeddings/oleObject3.bin"/><Relationship Id="rId17" Type="http://schemas.openxmlformats.org/officeDocument/2006/relationships/image" Target="media/image6.png"/><Relationship Id="rId16" Type="http://schemas.openxmlformats.org/officeDocument/2006/relationships/image" Target="media/image5.emf"/><Relationship Id="rId15" Type="http://schemas.openxmlformats.org/officeDocument/2006/relationships/oleObject" Target="embeddings/oleObject2.bin"/><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wmf"/><Relationship Id="rId11" Type="http://schemas.openxmlformats.org/officeDocument/2006/relationships/oleObject" Target="embeddings/oleObject1.bin"/><Relationship Id="rId10" Type="http://schemas.openxmlformats.org/officeDocument/2006/relationships/image" Target="media/image1.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customShpExts>
  <extobjs>
    <extobj name="ECB019B1-382A-4266-B25C-5B523AA43C14-1">
      <extobjdata type="ECB019B1-382A-4266-B25C-5B523AA43C14" data="ewoJIkZpbGVJZCIgOiAiMzk1MzI2NjMzMjk4IiwKCSJHcm91cElkIiA6ICIxOTAzODM5NDUiLAoJIkltYWdlIiA6ICJpVkJPUncwS0dnb0FBQUFOU1VoRVVnQUFCU2tBQUFYRUNBWUFBQUFoMVl0UEFBQUFBWE5TUjBJQXJzNGM2UUFBSUFCSlJFRlVlSnpzM1h0Y2p2Zi9CL0RYZFhmZmRaZFNpRVZGVWtzNVZRN0RIT2JVektFNVRJWTV6SEhNY2N3cGMycVlNOTg1NURSeUtOckdzSm5EeURGbUtGR0pFQjFFcFZLNHEvdStyOThmL2JyWHJidFU0cDY4bm8rSHg2UDdjMzJ1ei9XK3REbThmQTRB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StQLzI0RUFBQUFBQVFKQy85UVFiVkFBQUFBQUFBQUFBQUFBQUFLd0FHeHcxSGtQZmJ5c0FBQUFBU1VWT1JLNUNZSUk9IiwKCSJUaGVtZSIgOiAiIiwKCSJUeXBlIiA6ICJmbG93IiwKCSJVc2VySWQiIDogIjI3MTg3MTA5MCIsCgkiVmVyc2lvbiIgOiAiNzMiCn0K"/>
    </extobj>
    <extobj name="ECB019B1-382A-4266-B25C-5B523AA43C14-2">
      <extobjdata type="ECB019B1-382A-4266-B25C-5B523AA43C14" data="ewoJIkZpbGVJZCIgOiAiNDAwMDM0Nzk4NDE2IiwKCSJHcm91cElkIiA6ICIxOTAzODM5NDUiLAoJIkltYWdlIiA6ICJpVkJPUncwS0dnb0FBQUFOU1VoRVVnQUFCTWNBQUFGMENBWUFBQUFuOVY0ckFBQUFBWE5TUjBJQXJzNGM2UUFBSUFCSlJFRlVlSnpzM1hkOGpXY2Z4L0h2ZlhJeUVCSWFvMVppRmFVU2V5czFxNlY5dEtvRFZhcEt0WGhhMUM1cVZxZlMwa0dMVmxVcGFsTmI3U2l4WSs4UkVvbk1rM00vZjBUT0kzSVNRU0xCNS8xNjlmVWs5M1hkMS8yNzA4cnpPbC9Ya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RRjZmOEFNcjM2NEtxYXViRUFBQUFBU1VWT1JLNUNZSUk9IiwKCSJUaGVtZSIgOiAiIiwKCSJUeXBlIiA6ICJmbG93IiwKCSJVc2VySWQiIDogIjI3MTg3MTA5MCIsCgkiVmVyc2lvbiIgOiAiMzYiCn0K"/>
    </extobj>
    <extobj name="ECB019B1-382A-4266-B25C-5B523AA43C14-3">
      <extobjdata type="ECB019B1-382A-4266-B25C-5B523AA43C14" data="ewoJIkZpbGVJZCIgOiAiMjAyNjcxNTYzMDUzIiwKCSJHcm91cElkIiA6ICI0MjE1OTgxMTEiLAoJIkltYWdlIiA6ICJpVkJPUncwS0dnb0FBQUFOU1VoRVVnQUFBNVFBQUFHTENBWUFBQUM0S2QwdkFBQUFDWEJJV1hNQUFBc1RBQUFMRXdFQW1wd1lBQUFnQUVsRVFWUjRuT3pkZVh4VTliMy84ZmVaTEpQSkpDRUpJSUZBRWhLUXpaRE00STVYUVcxN2E2MWFiYTFXMUd1cnRyMm9yVXRGVVJUbFY1UmFiYlZ1M0xyZ1hyZGFSRUZSVWJUdU1wTVFnb29RSU93aEJCS3lKelBmM3g4dzA0U0VrSVJrSnN2citYandJUE05MzNQbWMwNXlaczduZkpjakFR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T3IzL0QvYlQvdnYrRjZXQUFBQUFBRWxGVGtTdVFtQ0MiLAoJIlRoZW1lIiA6ICIiLAoJIlR5cGUiIDogImZsb3ciLAoJIlZlcnNpb24iIDogIi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生态环境部制</Company>
  <Pages>63</Pages>
  <Words>20176</Words>
  <Characters>21869</Characters>
  <Lines>274</Lines>
  <Paragraphs>77</Paragraphs>
  <TotalTime>119</TotalTime>
  <ScaleCrop>false</ScaleCrop>
  <LinksUpToDate>false</LinksUpToDate>
  <CharactersWithSpaces>21985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徐老师</dc:creator>
  <cp:lastModifiedBy>心</cp:lastModifiedBy>
  <cp:lastPrinted>2022-10-20T04:52:00Z</cp:lastPrinted>
  <dcterms:modified xsi:type="dcterms:W3CDTF">2025-08-06T01:06:45Z</dcterms:modified>
  <dc:title>建设项目环境影响报告表（污染影响类）</dc:title>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5C0CB19762DA449C9FF5F4866220AE53_13</vt:lpwstr>
  </property>
  <property fmtid="{D5CDD505-2E9C-101B-9397-08002B2CF9AE}" pid="4" name="KSOTemplateDocerSaveRecord">
    <vt:lpwstr>eyJoZGlkIjoiMGVjZmYxYjBhMTllM2VmOGNhMDE4Njg0MGRhNDEzMDQiLCJ1c2VySWQiOiI0MDI3OTY5ODkifQ==</vt:lpwstr>
  </property>
</Properties>
</file>