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60EBCB">
      <w:pPr>
        <w:rPr>
          <w:rFonts w:hint="eastAsia" w:ascii="仿宋_GB2312" w:hAnsi="仿宋_GB2312" w:eastAsia="仿宋_GB2312" w:cs="仿宋_GB2312"/>
          <w:color w:val="auto"/>
          <w:sz w:val="36"/>
          <w:szCs w:val="36"/>
          <w:lang w:val="en-US" w:eastAsia="zh-CN"/>
        </w:rPr>
      </w:pPr>
      <w:r>
        <w:rPr>
          <w:rFonts w:hint="eastAsia" w:ascii="仿宋_GB2312" w:hAnsi="仿宋_GB2312" w:eastAsia="仿宋_GB2312" w:cs="仿宋_GB2312"/>
          <w:color w:val="auto"/>
          <w:sz w:val="36"/>
          <w:szCs w:val="36"/>
          <w:lang w:val="en-US" w:eastAsia="zh-CN"/>
        </w:rPr>
        <w:t xml:space="preserve"> </w:t>
      </w:r>
    </w:p>
    <w:p w14:paraId="0B86D6A8">
      <w:pPr>
        <w:rPr>
          <w:rFonts w:ascii="仿宋_GB2312" w:hAnsi="仿宋_GB2312" w:eastAsia="仿宋_GB2312" w:cs="仿宋_GB2312"/>
          <w:color w:val="auto"/>
          <w:sz w:val="36"/>
          <w:szCs w:val="36"/>
        </w:rPr>
      </w:pPr>
    </w:p>
    <w:p w14:paraId="011F9772">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14:paraId="21B2B112">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14:paraId="007A6355">
      <w:pPr>
        <w:adjustRightInd w:val="0"/>
        <w:snapToGrid w:val="0"/>
        <w:spacing w:line="288" w:lineRule="auto"/>
        <w:jc w:val="center"/>
        <w:outlineLvl w:val="0"/>
        <w:rPr>
          <w:rFonts w:eastAsia="华文仿宋"/>
          <w:color w:val="auto"/>
          <w:kern w:val="44"/>
          <w:sz w:val="44"/>
          <w:szCs w:val="44"/>
        </w:rPr>
      </w:pPr>
    </w:p>
    <w:p w14:paraId="71EB7C74">
      <w:pPr>
        <w:jc w:val="center"/>
        <w:rPr>
          <w:rFonts w:eastAsia="仿宋"/>
          <w:color w:val="auto"/>
          <w:sz w:val="52"/>
          <w:szCs w:val="52"/>
        </w:rPr>
      </w:pPr>
    </w:p>
    <w:p w14:paraId="6380BA9E">
      <w:pPr>
        <w:ind w:firstLine="1040"/>
        <w:rPr>
          <w:rFonts w:eastAsia="仿宋"/>
          <w:color w:val="auto"/>
          <w:sz w:val="44"/>
          <w:szCs w:val="44"/>
        </w:rPr>
      </w:pPr>
    </w:p>
    <w:p w14:paraId="1F9464DD">
      <w:pPr>
        <w:ind w:firstLine="1040"/>
        <w:rPr>
          <w:rFonts w:eastAsia="仿宋"/>
          <w:color w:val="auto"/>
          <w:sz w:val="44"/>
          <w:szCs w:val="44"/>
        </w:rPr>
      </w:pPr>
    </w:p>
    <w:p w14:paraId="2E81C065">
      <w:pPr>
        <w:ind w:firstLine="1040"/>
        <w:rPr>
          <w:rFonts w:eastAsia="仿宋"/>
          <w:color w:val="auto"/>
          <w:sz w:val="44"/>
          <w:szCs w:val="44"/>
        </w:rPr>
      </w:pPr>
    </w:p>
    <w:p w14:paraId="7B1229E4">
      <w:pPr>
        <w:ind w:firstLine="1040"/>
        <w:rPr>
          <w:rFonts w:eastAsia="仿宋"/>
          <w:color w:val="auto"/>
          <w:sz w:val="44"/>
          <w:szCs w:val="44"/>
        </w:rPr>
      </w:pPr>
    </w:p>
    <w:p w14:paraId="5FBD0FBF">
      <w:pPr>
        <w:adjustRightInd w:val="0"/>
        <w:snapToGrid w:val="0"/>
        <w:spacing w:line="360" w:lineRule="auto"/>
        <w:ind w:firstLine="640" w:firstLineChars="200"/>
        <w:rPr>
          <w:rFonts w:eastAsia="仿宋_GB2312"/>
          <w:color w:val="auto"/>
          <w:sz w:val="32"/>
          <w:szCs w:val="32"/>
        </w:rPr>
      </w:pPr>
    </w:p>
    <w:p w14:paraId="01D08DE9">
      <w:pPr>
        <w:adjustRightInd w:val="0"/>
        <w:snapToGrid w:val="0"/>
        <w:spacing w:line="360" w:lineRule="auto"/>
        <w:ind w:firstLine="640" w:firstLineChars="200"/>
        <w:rPr>
          <w:rFonts w:eastAsia="仿宋_GB2312"/>
          <w:color w:val="auto"/>
          <w:sz w:val="32"/>
          <w:szCs w:val="32"/>
        </w:rPr>
      </w:pPr>
    </w:p>
    <w:p w14:paraId="4FB5477C">
      <w:pPr>
        <w:adjustRightInd w:val="0"/>
        <w:snapToGrid w:val="0"/>
        <w:spacing w:line="360" w:lineRule="auto"/>
        <w:ind w:firstLine="640" w:firstLineChars="200"/>
        <w:rPr>
          <w:rFonts w:eastAsia="仿宋_GB2312"/>
          <w:color w:val="auto"/>
          <w:sz w:val="32"/>
          <w:szCs w:val="32"/>
        </w:rPr>
      </w:pPr>
    </w:p>
    <w:p w14:paraId="1A670B8B">
      <w:pPr>
        <w:pStyle w:val="12"/>
        <w:rPr>
          <w:rFonts w:eastAsia="仿宋_GB2312"/>
          <w:color w:val="auto"/>
          <w:sz w:val="32"/>
          <w:szCs w:val="32"/>
        </w:rPr>
      </w:pPr>
    </w:p>
    <w:p w14:paraId="6FD88993">
      <w:pPr>
        <w:rPr>
          <w:color w:val="auto"/>
        </w:rPr>
      </w:pPr>
    </w:p>
    <w:p w14:paraId="6AE34D10">
      <w:pPr>
        <w:adjustRightInd w:val="0"/>
        <w:snapToGrid w:val="0"/>
        <w:spacing w:line="360" w:lineRule="auto"/>
        <w:ind w:left="2238" w:leftChars="304" w:hanging="1600" w:hangingChars="500"/>
        <w:rPr>
          <w:rFonts w:hint="default" w:eastAsia="仿宋_GB2312"/>
          <w:color w:val="auto"/>
          <w:sz w:val="32"/>
          <w:szCs w:val="32"/>
          <w:u w:val="single"/>
          <w:lang w:val="en-US" w:eastAsia="zh-CN"/>
        </w:rPr>
      </w:pPr>
      <w:r>
        <w:rPr>
          <w:rFonts w:eastAsia="仿宋_GB2312"/>
          <w:color w:val="auto"/>
          <w:sz w:val="32"/>
          <w:szCs w:val="32"/>
        </w:rPr>
        <w:t>项目名称：</w:t>
      </w:r>
      <w:r>
        <w:rPr>
          <w:rFonts w:hint="default" w:eastAsia="仿宋_GB2312"/>
          <w:color w:val="auto"/>
          <w:sz w:val="32"/>
          <w:szCs w:val="32"/>
          <w:u w:val="single"/>
          <w:lang w:val="en-US" w:eastAsia="zh-CN"/>
        </w:rPr>
        <w:t>淮北科力机电设备有限责任公司</w:t>
      </w:r>
      <w:r>
        <w:rPr>
          <w:rFonts w:hint="eastAsia" w:eastAsia="仿宋_GB2312"/>
          <w:color w:val="auto"/>
          <w:sz w:val="32"/>
          <w:szCs w:val="32"/>
          <w:u w:val="single"/>
          <w:lang w:val="en-US" w:eastAsia="zh-CN"/>
        </w:rPr>
        <w:t>年产1000吨的大型液压装备支架配件加工新增抛丸机及其他技术改造项目</w:t>
      </w:r>
    </w:p>
    <w:p w14:paraId="0B74B4D1">
      <w:pPr>
        <w:adjustRightInd w:val="0"/>
        <w:snapToGrid w:val="0"/>
        <w:spacing w:line="360" w:lineRule="auto"/>
        <w:ind w:firstLine="640" w:firstLineChars="200"/>
        <w:rPr>
          <w:rFonts w:eastAsia="仿宋_GB2312"/>
          <w:color w:val="auto"/>
          <w:sz w:val="32"/>
          <w:szCs w:val="32"/>
          <w:u w:val="single"/>
        </w:rPr>
      </w:pPr>
      <w:r>
        <w:rPr>
          <w:rFonts w:eastAsia="仿宋_GB2312"/>
          <w:color w:val="auto"/>
          <w:sz w:val="32"/>
          <w:szCs w:val="32"/>
        </w:rPr>
        <w:t>建设单位：</w:t>
      </w:r>
      <w:r>
        <w:rPr>
          <w:rFonts w:hint="eastAsia" w:eastAsia="仿宋_GB2312"/>
          <w:color w:val="auto"/>
          <w:sz w:val="32"/>
          <w:szCs w:val="32"/>
          <w:u w:val="single"/>
          <w:lang w:val="en-US" w:eastAsia="zh-CN"/>
        </w:rPr>
        <w:t xml:space="preserve">     </w:t>
      </w:r>
      <w:r>
        <w:rPr>
          <w:rFonts w:hint="default" w:eastAsia="仿宋_GB2312"/>
          <w:color w:val="auto"/>
          <w:sz w:val="32"/>
          <w:szCs w:val="32"/>
          <w:u w:val="single"/>
          <w:lang w:val="en-US" w:eastAsia="zh-CN"/>
        </w:rPr>
        <w:t>淮北科力机电设备有限责任公司</w:t>
      </w:r>
      <w:r>
        <w:rPr>
          <w:rFonts w:hint="eastAsia" w:eastAsia="仿宋_GB2312"/>
          <w:color w:val="auto"/>
          <w:sz w:val="32"/>
          <w:szCs w:val="32"/>
          <w:u w:val="single"/>
          <w:lang w:val="en-US" w:eastAsia="zh-CN"/>
        </w:rPr>
        <w:t xml:space="preserve">      </w:t>
      </w:r>
      <w:r>
        <w:rPr>
          <w:rFonts w:eastAsia="仿宋_GB2312"/>
          <w:color w:val="auto"/>
          <w:sz w:val="32"/>
          <w:szCs w:val="32"/>
          <w:u w:val="single"/>
        </w:rPr>
        <w:t>（盖章）</w:t>
      </w:r>
    </w:p>
    <w:p w14:paraId="3521D65D">
      <w:pPr>
        <w:adjustRightInd w:val="0"/>
        <w:snapToGrid w:val="0"/>
        <w:spacing w:line="360" w:lineRule="auto"/>
        <w:ind w:firstLine="640" w:firstLineChars="200"/>
        <w:jc w:val="both"/>
        <w:rPr>
          <w:rFonts w:hint="default" w:eastAsia="仿宋_GB2312"/>
          <w:color w:val="auto"/>
          <w:sz w:val="32"/>
          <w:szCs w:val="32"/>
          <w:u w:val="single"/>
          <w:lang w:val="en-US" w:eastAsia="zh-CN"/>
        </w:rPr>
      </w:pPr>
      <w:r>
        <w:rPr>
          <w:rFonts w:eastAsia="仿宋_GB2312"/>
          <w:color w:val="auto"/>
          <w:sz w:val="32"/>
          <w:szCs w:val="32"/>
        </w:rPr>
        <w:t>编制日期：</w:t>
      </w:r>
      <w:r>
        <w:rPr>
          <w:rFonts w:hint="eastAsia" w:eastAsia="仿宋_GB2312"/>
          <w:color w:val="auto"/>
          <w:sz w:val="32"/>
          <w:szCs w:val="32"/>
          <w:u w:val="single"/>
          <w:lang w:val="en-US" w:eastAsia="zh-CN"/>
        </w:rPr>
        <w:t xml:space="preserve">                </w:t>
      </w:r>
      <w:r>
        <w:rPr>
          <w:rFonts w:eastAsia="仿宋_GB2312"/>
          <w:color w:val="auto"/>
          <w:sz w:val="32"/>
          <w:szCs w:val="32"/>
          <w:u w:val="single"/>
        </w:rPr>
        <w:t>202</w:t>
      </w:r>
      <w:r>
        <w:rPr>
          <w:rFonts w:hint="eastAsia" w:eastAsia="仿宋_GB2312"/>
          <w:color w:val="auto"/>
          <w:sz w:val="32"/>
          <w:szCs w:val="32"/>
          <w:u w:val="single"/>
          <w:lang w:val="en-US" w:eastAsia="zh-CN"/>
        </w:rPr>
        <w:t>5</w:t>
      </w:r>
      <w:r>
        <w:rPr>
          <w:rFonts w:eastAsia="仿宋_GB2312"/>
          <w:color w:val="auto"/>
          <w:sz w:val="32"/>
          <w:szCs w:val="32"/>
          <w:u w:val="single"/>
        </w:rPr>
        <w:t>年</w:t>
      </w:r>
      <w:r>
        <w:rPr>
          <w:rFonts w:hint="eastAsia" w:eastAsia="仿宋_GB2312"/>
          <w:color w:val="auto"/>
          <w:sz w:val="32"/>
          <w:szCs w:val="32"/>
          <w:u w:val="single"/>
          <w:lang w:val="en-US" w:eastAsia="zh-CN"/>
        </w:rPr>
        <w:t>7</w:t>
      </w:r>
      <w:r>
        <w:rPr>
          <w:rFonts w:eastAsia="仿宋_GB2312"/>
          <w:color w:val="auto"/>
          <w:sz w:val="32"/>
          <w:szCs w:val="32"/>
          <w:u w:val="single"/>
        </w:rPr>
        <w:t xml:space="preserve">月  </w:t>
      </w:r>
      <w:r>
        <w:rPr>
          <w:rFonts w:hint="eastAsia" w:eastAsia="仿宋_GB2312"/>
          <w:color w:val="auto"/>
          <w:sz w:val="32"/>
          <w:szCs w:val="32"/>
          <w:u w:val="single"/>
          <w:lang w:val="en-US" w:eastAsia="zh-CN"/>
        </w:rPr>
        <w:t xml:space="preserve"> </w:t>
      </w:r>
      <w:r>
        <w:rPr>
          <w:rFonts w:eastAsia="仿宋_GB2312"/>
          <w:color w:val="auto"/>
          <w:sz w:val="32"/>
          <w:szCs w:val="32"/>
          <w:u w:val="single"/>
        </w:rPr>
        <w:t xml:space="preserve">       </w:t>
      </w:r>
      <w:r>
        <w:rPr>
          <w:rFonts w:hint="eastAsia" w:eastAsia="仿宋_GB2312"/>
          <w:color w:val="auto"/>
          <w:sz w:val="32"/>
          <w:szCs w:val="32"/>
          <w:u w:val="single"/>
        </w:rPr>
        <w:t xml:space="preserve">   </w:t>
      </w:r>
      <w:r>
        <w:rPr>
          <w:rFonts w:eastAsia="仿宋_GB2312"/>
          <w:color w:val="auto"/>
          <w:sz w:val="32"/>
          <w:szCs w:val="32"/>
          <w:u w:val="single"/>
        </w:rPr>
        <w:t xml:space="preserve">     </w:t>
      </w:r>
      <w:r>
        <w:rPr>
          <w:rFonts w:hint="eastAsia" w:eastAsia="仿宋_GB2312"/>
          <w:color w:val="auto"/>
          <w:sz w:val="32"/>
          <w:szCs w:val="32"/>
          <w:u w:val="single"/>
          <w:lang w:val="en-US" w:eastAsia="zh-CN"/>
        </w:rPr>
        <w:t xml:space="preserve">  </w:t>
      </w:r>
    </w:p>
    <w:p w14:paraId="0B7B6B33">
      <w:pPr>
        <w:adjustRightInd w:val="0"/>
        <w:snapToGrid w:val="0"/>
        <w:spacing w:line="288" w:lineRule="auto"/>
        <w:rPr>
          <w:rFonts w:eastAsia="仿宋_GB2312"/>
          <w:color w:val="auto"/>
          <w:sz w:val="36"/>
          <w:szCs w:val="36"/>
          <w:u w:val="single"/>
        </w:rPr>
      </w:pPr>
    </w:p>
    <w:p w14:paraId="4ABBEDB8">
      <w:pPr>
        <w:adjustRightInd w:val="0"/>
        <w:snapToGrid w:val="0"/>
        <w:spacing w:line="288" w:lineRule="auto"/>
        <w:ind w:firstLine="1040"/>
        <w:rPr>
          <w:rFonts w:eastAsia="仿宋_GB2312"/>
          <w:color w:val="auto"/>
          <w:sz w:val="36"/>
          <w:szCs w:val="36"/>
        </w:rPr>
      </w:pPr>
    </w:p>
    <w:p w14:paraId="318C6420">
      <w:pPr>
        <w:adjustRightInd w:val="0"/>
        <w:snapToGrid w:val="0"/>
        <w:spacing w:line="288" w:lineRule="auto"/>
        <w:ind w:firstLine="1040"/>
        <w:rPr>
          <w:rFonts w:eastAsia="仿宋_GB2312"/>
          <w:color w:val="auto"/>
          <w:sz w:val="36"/>
          <w:szCs w:val="36"/>
        </w:rPr>
      </w:pPr>
    </w:p>
    <w:p w14:paraId="1274125C">
      <w:pPr>
        <w:adjustRightInd w:val="0"/>
        <w:snapToGrid w:val="0"/>
        <w:spacing w:line="288" w:lineRule="auto"/>
        <w:ind w:firstLine="1040"/>
        <w:rPr>
          <w:rFonts w:eastAsia="仿宋_GB2312"/>
          <w:color w:val="auto"/>
          <w:sz w:val="36"/>
          <w:szCs w:val="36"/>
        </w:rPr>
      </w:pPr>
    </w:p>
    <w:p w14:paraId="433719CD">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183C69B1">
      <w:pPr>
        <w:adjustRightInd w:val="0"/>
        <w:snapToGrid w:val="0"/>
        <w:spacing w:line="288" w:lineRule="auto"/>
        <w:ind w:firstLine="1040"/>
        <w:rPr>
          <w:rFonts w:eastAsia="仿宋_GB2312"/>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1077" w:gutter="0"/>
          <w:pgBorders>
            <w:top w:val="none" w:sz="0" w:space="0"/>
            <w:left w:val="none" w:sz="0" w:space="0"/>
            <w:bottom w:val="none" w:sz="0" w:space="0"/>
            <w:right w:val="none" w:sz="0" w:space="0"/>
          </w:pgBorders>
          <w:pgNumType w:start="3"/>
          <w:cols w:space="720" w:num="1"/>
          <w:titlePg/>
          <w:docGrid w:linePitch="312" w:charSpace="0"/>
        </w:sectPr>
      </w:pPr>
    </w:p>
    <w:p w14:paraId="10A858A8">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8"/>
        <w:tblW w:w="90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11"/>
        <w:gridCol w:w="1971"/>
        <w:gridCol w:w="2332"/>
        <w:gridCol w:w="3341"/>
      </w:tblGrid>
      <w:tr w14:paraId="0B26B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411" w:type="dxa"/>
            <w:tcMar>
              <w:top w:w="16" w:type="dxa"/>
              <w:left w:w="16" w:type="dxa"/>
              <w:right w:w="16" w:type="dxa"/>
            </w:tcMar>
            <w:vAlign w:val="center"/>
          </w:tcPr>
          <w:p w14:paraId="4080FFC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644" w:type="dxa"/>
            <w:gridSpan w:val="3"/>
            <w:vAlign w:val="center"/>
          </w:tcPr>
          <w:p w14:paraId="71FA7DC7">
            <w:pPr>
              <w:autoSpaceDE w:val="0"/>
              <w:autoSpaceDN w:val="0"/>
              <w:ind w:left="-496" w:leftChars="-236" w:right="-580" w:rightChars="-276"/>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年产1000吨的大型液压装备支架配件加工新增抛丸机及其他技术改造项目</w:t>
            </w:r>
          </w:p>
        </w:tc>
      </w:tr>
      <w:tr w14:paraId="5E153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11" w:type="dxa"/>
            <w:tcMar>
              <w:top w:w="16" w:type="dxa"/>
              <w:left w:w="16" w:type="dxa"/>
              <w:right w:w="16" w:type="dxa"/>
            </w:tcMar>
            <w:vAlign w:val="center"/>
          </w:tcPr>
          <w:p w14:paraId="6CD177EC">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7644" w:type="dxa"/>
            <w:gridSpan w:val="3"/>
            <w:vAlign w:val="center"/>
          </w:tcPr>
          <w:p w14:paraId="050A808D">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2505-340602-07-02-387777</w:t>
            </w:r>
          </w:p>
        </w:tc>
      </w:tr>
      <w:tr w14:paraId="44883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1411" w:type="dxa"/>
            <w:tcMar>
              <w:top w:w="16" w:type="dxa"/>
              <w:left w:w="16" w:type="dxa"/>
              <w:right w:w="16" w:type="dxa"/>
            </w:tcMar>
            <w:vAlign w:val="center"/>
          </w:tcPr>
          <w:p w14:paraId="6A753F3A">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建设单位联系人</w:t>
            </w:r>
          </w:p>
        </w:tc>
        <w:tc>
          <w:tcPr>
            <w:tcW w:w="1971" w:type="dxa"/>
            <w:vAlign w:val="center"/>
          </w:tcPr>
          <w:p w14:paraId="6D1F1AE6">
            <w:pPr>
              <w:adjustRightInd w:val="0"/>
              <w:snapToGrid w:val="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赵信伟</w:t>
            </w:r>
          </w:p>
        </w:tc>
        <w:tc>
          <w:tcPr>
            <w:tcW w:w="2332" w:type="dxa"/>
            <w:vAlign w:val="center"/>
          </w:tcPr>
          <w:p w14:paraId="2CE133D3">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联系方式</w:t>
            </w:r>
          </w:p>
        </w:tc>
        <w:tc>
          <w:tcPr>
            <w:tcW w:w="3341" w:type="dxa"/>
            <w:vAlign w:val="center"/>
          </w:tcPr>
          <w:p w14:paraId="202046C2">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15856191166</w:t>
            </w:r>
          </w:p>
        </w:tc>
      </w:tr>
      <w:tr w14:paraId="058BF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11" w:type="dxa"/>
            <w:tcMar>
              <w:top w:w="16" w:type="dxa"/>
              <w:left w:w="16" w:type="dxa"/>
              <w:right w:w="16" w:type="dxa"/>
            </w:tcMar>
            <w:vAlign w:val="center"/>
          </w:tcPr>
          <w:p w14:paraId="7D6E0CD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644" w:type="dxa"/>
            <w:gridSpan w:val="3"/>
            <w:vAlign w:val="center"/>
          </w:tcPr>
          <w:p w14:paraId="5B13697F">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4"/>
                <w:lang w:eastAsia="zh-CN"/>
              </w:rPr>
              <w:t>安徽省淮北市杜集区杜集经济开发区紫昱路</w:t>
            </w:r>
            <w:r>
              <w:rPr>
                <w:rFonts w:hint="default" w:ascii="Times New Roman" w:hAnsi="Times New Roman" w:cs="Times New Roman"/>
                <w:color w:val="auto"/>
                <w:sz w:val="24"/>
                <w:szCs w:val="24"/>
                <w:lang w:val="en-US" w:eastAsia="zh-CN"/>
              </w:rPr>
              <w:t>16号</w:t>
            </w:r>
          </w:p>
        </w:tc>
      </w:tr>
      <w:tr w14:paraId="655444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11" w:type="dxa"/>
            <w:tcMar>
              <w:top w:w="16" w:type="dxa"/>
              <w:left w:w="16" w:type="dxa"/>
              <w:right w:w="16" w:type="dxa"/>
            </w:tcMar>
            <w:vAlign w:val="center"/>
          </w:tcPr>
          <w:p w14:paraId="6CB6992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644" w:type="dxa"/>
            <w:gridSpan w:val="3"/>
            <w:vAlign w:val="center"/>
          </w:tcPr>
          <w:p w14:paraId="75D6D6E3">
            <w:pPr>
              <w:jc w:val="center"/>
              <w:rPr>
                <w:rFonts w:hint="default" w:ascii="Times New Roman" w:hAnsi="Times New Roman" w:cs="Times New Roman"/>
                <w:color w:val="auto"/>
                <w:sz w:val="24"/>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u w:val="single"/>
                <w:lang w:eastAsia="zh-CN"/>
              </w:rPr>
              <w:t>11</w:t>
            </w:r>
            <w:r>
              <w:rPr>
                <w:rFonts w:hint="default" w:ascii="Times New Roman" w:hAnsi="Times New Roman" w:cs="Times New Roman"/>
                <w:color w:val="auto"/>
                <w:sz w:val="24"/>
                <w:highlight w:val="none"/>
                <w:u w:val="single"/>
                <w:lang w:val="en-US" w:eastAsia="zh-CN"/>
              </w:rPr>
              <w:t>6</w:t>
            </w:r>
            <w:r>
              <w:rPr>
                <w:rFonts w:hint="default" w:ascii="Times New Roman" w:hAnsi="Times New Roman" w:cs="Times New Roman"/>
                <w:color w:val="auto"/>
                <w:sz w:val="24"/>
                <w:highlight w:val="none"/>
                <w:lang w:eastAsia="zh-CN"/>
              </w:rPr>
              <w:t>度</w:t>
            </w:r>
            <w:r>
              <w:rPr>
                <w:rFonts w:hint="default" w:ascii="Times New Roman" w:hAnsi="Times New Roman" w:cs="Times New Roman"/>
                <w:color w:val="auto"/>
                <w:sz w:val="24"/>
                <w:highlight w:val="none"/>
                <w:lang w:val="en-US" w:eastAsia="zh-CN"/>
              </w:rPr>
              <w:t>48</w:t>
            </w:r>
            <w:r>
              <w:rPr>
                <w:rFonts w:hint="default" w:ascii="Times New Roman" w:hAnsi="Times New Roman" w:cs="Times New Roman"/>
                <w:color w:val="auto"/>
                <w:sz w:val="24"/>
                <w:highlight w:val="none"/>
                <w:lang w:eastAsia="zh-CN"/>
              </w:rPr>
              <w:t>分</w:t>
            </w:r>
            <w:r>
              <w:rPr>
                <w:rFonts w:hint="default" w:ascii="Times New Roman" w:hAnsi="Times New Roman" w:cs="Times New Roman"/>
                <w:color w:val="auto"/>
                <w:sz w:val="24"/>
                <w:highlight w:val="none"/>
                <w:u w:val="single"/>
                <w:lang w:val="en-US" w:eastAsia="zh-CN"/>
              </w:rPr>
              <w:t>522.931</w:t>
            </w:r>
            <w:r>
              <w:rPr>
                <w:rFonts w:hint="default" w:ascii="Times New Roman" w:hAnsi="Times New Roman" w:cs="Times New Roman"/>
                <w:color w:val="auto"/>
                <w:sz w:val="24"/>
                <w:highlight w:val="none"/>
                <w:lang w:eastAsia="zh-CN"/>
              </w:rPr>
              <w:t>秒，</w:t>
            </w:r>
            <w:r>
              <w:rPr>
                <w:rFonts w:hint="default" w:ascii="Times New Roman" w:hAnsi="Times New Roman" w:cs="Times New Roman"/>
                <w:color w:val="auto"/>
                <w:sz w:val="24"/>
                <w:highlight w:val="none"/>
                <w:u w:val="single"/>
                <w:lang w:val="en-US" w:eastAsia="zh-CN"/>
              </w:rPr>
              <w:t>34</w:t>
            </w:r>
            <w:r>
              <w:rPr>
                <w:rFonts w:hint="default" w:ascii="Times New Roman" w:hAnsi="Times New Roman" w:cs="Times New Roman"/>
                <w:color w:val="auto"/>
                <w:sz w:val="24"/>
                <w:highlight w:val="none"/>
                <w:lang w:eastAsia="zh-CN"/>
              </w:rPr>
              <w:t>度</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分</w:t>
            </w:r>
            <w:r>
              <w:rPr>
                <w:rFonts w:hint="default" w:ascii="Times New Roman" w:hAnsi="Times New Roman" w:cs="Times New Roman"/>
                <w:color w:val="auto"/>
                <w:sz w:val="24"/>
                <w:highlight w:val="none"/>
                <w:lang w:val="en-US" w:eastAsia="zh-CN"/>
              </w:rPr>
              <w:t>59</w:t>
            </w:r>
            <w:r>
              <w:rPr>
                <w:rFonts w:hint="default" w:ascii="Times New Roman" w:hAnsi="Times New Roman" w:cs="Times New Roman"/>
                <w:color w:val="auto"/>
                <w:sz w:val="24"/>
                <w:highlight w:val="none"/>
                <w:u w:val="single"/>
                <w:lang w:val="en-US" w:eastAsia="zh-CN"/>
              </w:rPr>
              <w:t>.214</w:t>
            </w:r>
            <w:r>
              <w:rPr>
                <w:rFonts w:hint="default" w:ascii="Times New Roman" w:hAnsi="Times New Roman" w:cs="Times New Roman"/>
                <w:color w:val="auto"/>
                <w:sz w:val="24"/>
                <w:highlight w:val="none"/>
                <w:lang w:eastAsia="zh-CN"/>
              </w:rPr>
              <w:t>秒</w:t>
            </w:r>
            <w:r>
              <w:rPr>
                <w:rFonts w:hint="default" w:ascii="Times New Roman" w:hAnsi="Times New Roman" w:cs="Times New Roman"/>
                <w:color w:val="auto"/>
                <w:sz w:val="24"/>
                <w:highlight w:val="none"/>
              </w:rPr>
              <w:t>）</w:t>
            </w:r>
          </w:p>
        </w:tc>
      </w:tr>
      <w:tr w14:paraId="62366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11" w:type="dxa"/>
            <w:tcMar>
              <w:top w:w="16" w:type="dxa"/>
              <w:left w:w="16" w:type="dxa"/>
              <w:right w:w="16" w:type="dxa"/>
            </w:tcMar>
            <w:vAlign w:val="center"/>
          </w:tcPr>
          <w:p w14:paraId="380C698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国民经济</w:t>
            </w:r>
          </w:p>
          <w:p w14:paraId="5FDD485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1971" w:type="dxa"/>
            <w:vAlign w:val="center"/>
          </w:tcPr>
          <w:p w14:paraId="31D7B9B9">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4"/>
              </w:rPr>
              <w:t>C3</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11</w:t>
            </w:r>
            <w:r>
              <w:rPr>
                <w:rFonts w:hint="default" w:ascii="Times New Roman" w:hAnsi="Times New Roman" w:cs="Times New Roman"/>
                <w:color w:val="auto"/>
                <w:sz w:val="24"/>
                <w:szCs w:val="24"/>
                <w:lang w:eastAsia="zh-CN"/>
              </w:rPr>
              <w:t>矿山机械制造</w:t>
            </w:r>
          </w:p>
        </w:tc>
        <w:tc>
          <w:tcPr>
            <w:tcW w:w="2332" w:type="dxa"/>
            <w:vAlign w:val="center"/>
          </w:tcPr>
          <w:p w14:paraId="4B0DC090">
            <w:pPr>
              <w:adjustRightInd w:val="0"/>
              <w:snapToGrid w:val="0"/>
              <w:jc w:val="center"/>
              <w:rPr>
                <w:rFonts w:hint="default" w:ascii="Times New Roman" w:hAnsi="Times New Roman" w:cs="Times New Roman"/>
                <w:color w:val="auto"/>
                <w:sz w:val="24"/>
              </w:rPr>
            </w:pPr>
            <w:bookmarkStart w:id="0" w:name="_Hlk49843745"/>
            <w:r>
              <w:rPr>
                <w:rFonts w:hint="default" w:ascii="Times New Roman" w:hAnsi="Times New Roman" w:cs="Times New Roman"/>
                <w:color w:val="auto"/>
                <w:sz w:val="24"/>
              </w:rPr>
              <w:t>建设项目</w:t>
            </w:r>
          </w:p>
          <w:p w14:paraId="72CEE8F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bookmarkEnd w:id="0"/>
          </w:p>
        </w:tc>
        <w:tc>
          <w:tcPr>
            <w:tcW w:w="3341" w:type="dxa"/>
            <w:vAlign w:val="center"/>
          </w:tcPr>
          <w:p w14:paraId="65C896C0">
            <w:pPr>
              <w:autoSpaceDE w:val="0"/>
              <w:autoSpaceDN w:val="0"/>
              <w:adjustRightInd w:val="0"/>
              <w:ind w:firstLine="240" w:firstLineChars="100"/>
              <w:jc w:val="left"/>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三十二、专用设备制造</w:t>
            </w:r>
            <w:r>
              <w:rPr>
                <w:rFonts w:hint="default" w:ascii="Times New Roman" w:hAnsi="Times New Roman" w:cs="Times New Roman"/>
                <w:color w:val="auto"/>
                <w:sz w:val="24"/>
                <w:highlight w:val="none"/>
                <w:lang w:val="en-US" w:eastAsia="zh-CN"/>
              </w:rPr>
              <w:t>业35</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70采矿、冶金、建筑专用</w:t>
            </w:r>
            <w:r>
              <w:rPr>
                <w:rFonts w:hint="default" w:ascii="Times New Roman" w:hAnsi="Times New Roman" w:cs="Times New Roman"/>
                <w:color w:val="auto"/>
                <w:sz w:val="24"/>
                <w:lang w:val="en-US" w:eastAsia="zh-CN"/>
              </w:rPr>
              <w:t>设备制造351</w:t>
            </w:r>
            <w:r>
              <w:rPr>
                <w:rFonts w:hint="default" w:ascii="Times New Roman" w:hAnsi="Times New Roman" w:cs="Times New Roman"/>
                <w:color w:val="auto"/>
                <w:sz w:val="24"/>
                <w:lang w:eastAsia="zh-CN"/>
              </w:rPr>
              <w:t>其他（年用非溶剂型低VOCs含量涂料10吨以下的除外）</w:t>
            </w:r>
          </w:p>
        </w:tc>
      </w:tr>
      <w:tr w14:paraId="61E62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11" w:type="dxa"/>
            <w:tcMar>
              <w:top w:w="16" w:type="dxa"/>
              <w:left w:w="16" w:type="dxa"/>
              <w:right w:w="16" w:type="dxa"/>
            </w:tcMar>
            <w:vAlign w:val="center"/>
          </w:tcPr>
          <w:p w14:paraId="0FE12DB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1971" w:type="dxa"/>
            <w:vAlign w:val="center"/>
          </w:tcPr>
          <w:p w14:paraId="1E0E0E7E">
            <w:pPr>
              <w:jc w:val="left"/>
              <w:rPr>
                <w:rFonts w:hint="default" w:ascii="Times New Roman" w:hAnsi="Times New Roman" w:cs="Times New Roman"/>
                <w:color w:val="auto"/>
                <w:sz w:val="24"/>
              </w:rPr>
            </w:pPr>
            <w:r>
              <w:rPr>
                <w:rFonts w:hint="default" w:ascii="Times New Roman" w:hAnsi="Times New Roman" w:cs="Times New Roman"/>
                <w:color w:val="auto"/>
                <w:sz w:val="24"/>
              </w:rPr>
              <w:t>□新建（迁建）</w:t>
            </w:r>
          </w:p>
          <w:p w14:paraId="47133626">
            <w:pPr>
              <w:jc w:val="left"/>
              <w:rPr>
                <w:rFonts w:hint="default" w:ascii="Times New Roman" w:hAnsi="Times New Roman" w:cs="Times New Roman"/>
                <w:color w:val="auto"/>
                <w:sz w:val="24"/>
              </w:rPr>
            </w:pPr>
            <w:r>
              <w:rPr>
                <w:rFonts w:hint="default" w:ascii="Times New Roman" w:hAnsi="Times New Roman" w:cs="Times New Roman"/>
                <w:color w:val="auto"/>
                <w:sz w:val="24"/>
              </w:rPr>
              <w:t>□改建</w:t>
            </w:r>
          </w:p>
          <w:p w14:paraId="58E1BE9F">
            <w:pPr>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扩建</w:t>
            </w:r>
          </w:p>
          <w:p w14:paraId="0D131A05">
            <w:pPr>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技术改造</w:t>
            </w:r>
          </w:p>
        </w:tc>
        <w:tc>
          <w:tcPr>
            <w:tcW w:w="2332" w:type="dxa"/>
            <w:vAlign w:val="center"/>
          </w:tcPr>
          <w:p w14:paraId="7EFFF811">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567928DA">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3341" w:type="dxa"/>
            <w:vAlign w:val="center"/>
          </w:tcPr>
          <w:p w14:paraId="33164094">
            <w:pPr>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首次申报项目</w:t>
            </w:r>
          </w:p>
          <w:p w14:paraId="157737C5">
            <w:pPr>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不予批准后再次申报项目</w:t>
            </w:r>
          </w:p>
          <w:p w14:paraId="0C490009">
            <w:pPr>
              <w:jc w:val="left"/>
              <w:rPr>
                <w:rFonts w:hint="default" w:ascii="Times New Roman" w:hAnsi="Times New Roman" w:cs="Times New Roman"/>
                <w:color w:val="auto"/>
                <w:sz w:val="24"/>
              </w:rPr>
            </w:pPr>
            <w:r>
              <w:rPr>
                <w:rFonts w:hint="default" w:ascii="Times New Roman" w:hAnsi="Times New Roman" w:cs="Times New Roman"/>
                <w:color w:val="auto"/>
                <w:sz w:val="24"/>
              </w:rPr>
              <w:t>□超五年重新审核项目</w:t>
            </w:r>
          </w:p>
          <w:p w14:paraId="42C26BE2">
            <w:pPr>
              <w:jc w:val="left"/>
              <w:rPr>
                <w:rFonts w:hint="default" w:ascii="Times New Roman" w:hAnsi="Times New Roman" w:cs="Times New Roman"/>
                <w:color w:val="auto"/>
                <w:sz w:val="24"/>
              </w:rPr>
            </w:pPr>
            <w:r>
              <w:rPr>
                <w:rFonts w:hint="default" w:ascii="Times New Roman" w:hAnsi="Times New Roman" w:cs="Times New Roman"/>
                <w:color w:val="auto"/>
                <w:sz w:val="24"/>
              </w:rPr>
              <w:t>□重大变动重新报批项目</w:t>
            </w:r>
          </w:p>
        </w:tc>
      </w:tr>
      <w:tr w14:paraId="5DD9A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11" w:type="dxa"/>
            <w:tcMar>
              <w:top w:w="16" w:type="dxa"/>
              <w:left w:w="16" w:type="dxa"/>
              <w:right w:w="16" w:type="dxa"/>
            </w:tcMar>
            <w:vAlign w:val="center"/>
          </w:tcPr>
          <w:p w14:paraId="4800211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02BF2A2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备案）部门</w:t>
            </w:r>
          </w:p>
          <w:p w14:paraId="3AD7B27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（选填）</w:t>
            </w:r>
          </w:p>
        </w:tc>
        <w:tc>
          <w:tcPr>
            <w:tcW w:w="1971" w:type="dxa"/>
            <w:vAlign w:val="center"/>
          </w:tcPr>
          <w:p w14:paraId="356AB7CA">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淮北市杜集区工信局</w:t>
            </w:r>
          </w:p>
        </w:tc>
        <w:tc>
          <w:tcPr>
            <w:tcW w:w="2332" w:type="dxa"/>
            <w:vAlign w:val="center"/>
          </w:tcPr>
          <w:p w14:paraId="4402DE8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4CB688E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3341" w:type="dxa"/>
            <w:vAlign w:val="center"/>
          </w:tcPr>
          <w:p w14:paraId="3EE341C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w:t>
            </w:r>
          </w:p>
        </w:tc>
      </w:tr>
      <w:tr w14:paraId="5FCC3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11" w:type="dxa"/>
            <w:tcMar>
              <w:top w:w="16" w:type="dxa"/>
              <w:left w:w="16" w:type="dxa"/>
              <w:right w:w="16" w:type="dxa"/>
            </w:tcMar>
            <w:vAlign w:val="center"/>
          </w:tcPr>
          <w:p w14:paraId="7F5471B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1971" w:type="dxa"/>
            <w:vAlign w:val="center"/>
          </w:tcPr>
          <w:p w14:paraId="6D8EE841">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400</w:t>
            </w:r>
          </w:p>
        </w:tc>
        <w:tc>
          <w:tcPr>
            <w:tcW w:w="2332" w:type="dxa"/>
            <w:tcMar>
              <w:top w:w="16" w:type="dxa"/>
              <w:left w:w="16" w:type="dxa"/>
              <w:right w:w="16" w:type="dxa"/>
            </w:tcMar>
            <w:vAlign w:val="center"/>
          </w:tcPr>
          <w:p w14:paraId="5BCF28C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3341" w:type="dxa"/>
            <w:vAlign w:val="center"/>
          </w:tcPr>
          <w:p w14:paraId="0E9BA06D">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40</w:t>
            </w:r>
          </w:p>
        </w:tc>
      </w:tr>
      <w:tr w14:paraId="2145E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11" w:type="dxa"/>
            <w:tcMar>
              <w:top w:w="16" w:type="dxa"/>
              <w:left w:w="16" w:type="dxa"/>
              <w:right w:w="16" w:type="dxa"/>
            </w:tcMar>
            <w:vAlign w:val="center"/>
          </w:tcPr>
          <w:p w14:paraId="13BAFBB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1971" w:type="dxa"/>
            <w:vAlign w:val="center"/>
          </w:tcPr>
          <w:p w14:paraId="5F3B4564">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10</w:t>
            </w:r>
          </w:p>
        </w:tc>
        <w:tc>
          <w:tcPr>
            <w:tcW w:w="2332" w:type="dxa"/>
            <w:tcMar>
              <w:top w:w="16" w:type="dxa"/>
              <w:left w:w="16" w:type="dxa"/>
              <w:right w:w="16" w:type="dxa"/>
            </w:tcMar>
            <w:vAlign w:val="center"/>
          </w:tcPr>
          <w:p w14:paraId="2CFAF1F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3341" w:type="dxa"/>
            <w:vAlign w:val="center"/>
          </w:tcPr>
          <w:p w14:paraId="4375E558">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highlight w:val="none"/>
                <w:lang w:val="en-US" w:eastAsia="zh-CN"/>
              </w:rPr>
              <w:t>3个月</w:t>
            </w:r>
          </w:p>
        </w:tc>
      </w:tr>
      <w:tr w14:paraId="0E58A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4" w:hRule="atLeast"/>
          <w:jc w:val="center"/>
        </w:trPr>
        <w:tc>
          <w:tcPr>
            <w:tcW w:w="1411" w:type="dxa"/>
            <w:tcMar>
              <w:top w:w="16" w:type="dxa"/>
              <w:left w:w="16" w:type="dxa"/>
              <w:right w:w="16" w:type="dxa"/>
            </w:tcMar>
            <w:vAlign w:val="center"/>
          </w:tcPr>
          <w:p w14:paraId="6AA1379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1971" w:type="dxa"/>
            <w:vAlign w:val="center"/>
          </w:tcPr>
          <w:p w14:paraId="77AC87B8">
            <w:pPr>
              <w:adjustRightInd w:val="0"/>
              <w:snapToGrid w:val="0"/>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否</w:t>
            </w:r>
          </w:p>
          <w:p w14:paraId="59239C45">
            <w:pPr>
              <w:adjustRightInd w:val="0"/>
              <w:snapToGrid w:val="0"/>
              <w:rPr>
                <w:rFonts w:hint="default" w:ascii="Times New Roman" w:hAnsi="Times New Roman" w:eastAsia="宋体" w:cs="Times New Roman"/>
                <w:color w:val="auto"/>
                <w:sz w:val="24"/>
                <w:u w:val="single"/>
                <w:lang w:val="en-US" w:eastAsia="zh-CN"/>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eq \o\ac(□)</w:instrTex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是</w:t>
            </w:r>
            <w:r>
              <w:rPr>
                <w:rFonts w:hint="eastAsia" w:cs="Times New Roman"/>
                <w:color w:val="auto"/>
                <w:sz w:val="24"/>
                <w:u w:val="single"/>
                <w:lang w:val="en-US" w:eastAsia="zh-CN"/>
              </w:rPr>
              <w:t xml:space="preserve">         </w:t>
            </w:r>
          </w:p>
        </w:tc>
        <w:tc>
          <w:tcPr>
            <w:tcW w:w="2332" w:type="dxa"/>
            <w:tcMar>
              <w:top w:w="16" w:type="dxa"/>
              <w:left w:w="16" w:type="dxa"/>
              <w:right w:w="16" w:type="dxa"/>
            </w:tcMar>
            <w:vAlign w:val="center"/>
          </w:tcPr>
          <w:p w14:paraId="4DE680F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用地面积（m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tc>
        <w:tc>
          <w:tcPr>
            <w:tcW w:w="3341" w:type="dxa"/>
            <w:vAlign w:val="center"/>
          </w:tcPr>
          <w:p w14:paraId="428A338E">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highlight w:val="none"/>
                <w:lang w:val="en-US" w:eastAsia="zh-CN"/>
              </w:rPr>
              <w:t>10000（</w:t>
            </w:r>
            <w:r>
              <w:rPr>
                <w:rFonts w:hint="eastAsia" w:cs="Times New Roman"/>
                <w:color w:val="auto"/>
                <w:sz w:val="24"/>
                <w:highlight w:val="none"/>
                <w:lang w:val="en-US" w:eastAsia="zh-CN"/>
              </w:rPr>
              <w:t>本项目</w:t>
            </w:r>
            <w:r>
              <w:rPr>
                <w:rFonts w:hint="default" w:ascii="Times New Roman" w:hAnsi="Times New Roman" w:cs="Times New Roman"/>
                <w:color w:val="auto"/>
                <w:sz w:val="24"/>
                <w:highlight w:val="none"/>
                <w:lang w:val="en-US" w:eastAsia="zh-CN"/>
              </w:rPr>
              <w:t>不新增用地）</w:t>
            </w:r>
          </w:p>
        </w:tc>
      </w:tr>
      <w:tr w14:paraId="77769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411" w:type="dxa"/>
            <w:vAlign w:val="center"/>
          </w:tcPr>
          <w:p w14:paraId="4B5F803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 w:val="24"/>
              </w:rPr>
              <w:t>专项评价设置情况</w:t>
            </w:r>
          </w:p>
        </w:tc>
        <w:tc>
          <w:tcPr>
            <w:tcW w:w="7644" w:type="dxa"/>
            <w:gridSpan w:val="3"/>
            <w:vAlign w:val="center"/>
          </w:tcPr>
          <w:p w14:paraId="0954887E">
            <w:pPr>
              <w:pStyle w:val="49"/>
              <w:snapToGrid/>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无</w:t>
            </w:r>
          </w:p>
        </w:tc>
      </w:tr>
      <w:tr w14:paraId="006AE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411" w:type="dxa"/>
            <w:vAlign w:val="center"/>
          </w:tcPr>
          <w:p w14:paraId="4A2C1C8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规划情况</w:t>
            </w:r>
          </w:p>
        </w:tc>
        <w:tc>
          <w:tcPr>
            <w:tcW w:w="7644" w:type="dxa"/>
            <w:gridSpan w:val="3"/>
            <w:vAlign w:val="center"/>
          </w:tcPr>
          <w:p w14:paraId="57BF29AC">
            <w:pPr>
              <w:numPr>
                <w:ilvl w:val="0"/>
                <w:numId w:val="0"/>
              </w:numPr>
              <w:autoSpaceDE w:val="0"/>
              <w:autoSpaceDN w:val="0"/>
              <w:adjustRightInd w:val="0"/>
              <w:snapToGrid w:val="0"/>
              <w:spacing w:line="360" w:lineRule="auto"/>
              <w:rPr>
                <w:color w:val="000000"/>
                <w:kern w:val="2"/>
                <w:sz w:val="24"/>
                <w:szCs w:val="24"/>
              </w:rPr>
            </w:pPr>
            <w:r>
              <w:rPr>
                <w:color w:val="000000"/>
                <w:kern w:val="2"/>
                <w:sz w:val="24"/>
                <w:szCs w:val="24"/>
              </w:rPr>
              <w:t>规划名称：《安徽淮北杜集经济技术开发区总体规划》（2007-2020年）</w:t>
            </w:r>
          </w:p>
          <w:p w14:paraId="5BAE81BA">
            <w:pPr>
              <w:numPr>
                <w:ilvl w:val="0"/>
                <w:numId w:val="0"/>
              </w:numPr>
              <w:autoSpaceDE w:val="0"/>
              <w:autoSpaceDN w:val="0"/>
              <w:adjustRightInd w:val="0"/>
              <w:snapToGrid w:val="0"/>
              <w:spacing w:line="360" w:lineRule="auto"/>
              <w:rPr>
                <w:color w:val="000000"/>
                <w:kern w:val="2"/>
                <w:sz w:val="24"/>
                <w:szCs w:val="24"/>
              </w:rPr>
            </w:pPr>
            <w:r>
              <w:rPr>
                <w:color w:val="000000"/>
                <w:kern w:val="2"/>
                <w:sz w:val="24"/>
                <w:szCs w:val="24"/>
              </w:rPr>
              <w:t>审批机关：安徽省人民政府</w:t>
            </w:r>
          </w:p>
          <w:p w14:paraId="4645C2DF">
            <w:pPr>
              <w:autoSpaceDE w:val="0"/>
              <w:autoSpaceDN w:val="0"/>
              <w:adjustRightInd w:val="0"/>
              <w:snapToGrid w:val="0"/>
              <w:spacing w:line="360" w:lineRule="auto"/>
              <w:rPr>
                <w:rFonts w:hint="default" w:ascii="Times New Roman" w:hAnsi="Times New Roman" w:cs="Times New Roman"/>
                <w:color w:val="000000"/>
                <w:sz w:val="24"/>
              </w:rPr>
            </w:pPr>
            <w:r>
              <w:rPr>
                <w:color w:val="000000"/>
                <w:kern w:val="2"/>
                <w:sz w:val="24"/>
                <w:szCs w:val="24"/>
              </w:rPr>
              <w:t>审批文件名称及文号：《关于同意筹建安徽淮北杜集经济开发区的批复》皖政秘〔2006〕164号。</w:t>
            </w:r>
          </w:p>
        </w:tc>
      </w:tr>
      <w:tr w14:paraId="001CA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411" w:type="dxa"/>
            <w:vAlign w:val="center"/>
          </w:tcPr>
          <w:p w14:paraId="09E315E3">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规划环境影响评价情况</w:t>
            </w:r>
          </w:p>
        </w:tc>
        <w:tc>
          <w:tcPr>
            <w:tcW w:w="7644" w:type="dxa"/>
            <w:gridSpan w:val="3"/>
            <w:vAlign w:val="center"/>
          </w:tcPr>
          <w:p w14:paraId="1021F2CC">
            <w:pPr>
              <w:autoSpaceDE w:val="0"/>
              <w:autoSpaceDN w:val="0"/>
              <w:adjustRightInd w:val="0"/>
              <w:snapToGrid w:val="0"/>
              <w:spacing w:line="360" w:lineRule="auto"/>
              <w:rPr>
                <w:rFonts w:ascii="宋体" w:hAnsi="宋体" w:eastAsia="宋体" w:cs="宋体"/>
                <w:b w:val="0"/>
                <w:bCs w:val="0"/>
                <w:color w:val="000000"/>
                <w:sz w:val="24"/>
                <w:szCs w:val="24"/>
              </w:rPr>
            </w:pPr>
            <w:r>
              <w:rPr>
                <w:rFonts w:ascii="宋体" w:hAnsi="宋体" w:eastAsia="宋体" w:cs="宋体"/>
                <w:b w:val="0"/>
                <w:bCs w:val="0"/>
                <w:color w:val="000000"/>
                <w:sz w:val="24"/>
                <w:szCs w:val="24"/>
              </w:rPr>
              <w:t>规划环评名称：《安徽淮北杜集经济开发区总体发展规划（</w:t>
            </w:r>
            <w:r>
              <w:rPr>
                <w:rFonts w:ascii="TimesNewRomanPSMT" w:hAnsi="TimesNewRomanPSMT" w:eastAsia="TimesNewRomanPSMT" w:cs="TimesNewRomanPSMT"/>
                <w:b w:val="0"/>
                <w:bCs w:val="0"/>
                <w:color w:val="000000"/>
                <w:sz w:val="24"/>
                <w:szCs w:val="24"/>
              </w:rPr>
              <w:t>2023-2035</w:t>
            </w:r>
            <w:r>
              <w:rPr>
                <w:rFonts w:ascii="宋体" w:hAnsi="宋体" w:eastAsia="宋体" w:cs="宋体"/>
                <w:b w:val="0"/>
                <w:bCs w:val="0"/>
                <w:color w:val="000000"/>
                <w:sz w:val="24"/>
                <w:szCs w:val="24"/>
              </w:rPr>
              <w:t>年）环境影响报告书》</w:t>
            </w:r>
          </w:p>
          <w:p w14:paraId="47ECDD64">
            <w:pPr>
              <w:autoSpaceDE w:val="0"/>
              <w:autoSpaceDN w:val="0"/>
              <w:adjustRightInd w:val="0"/>
              <w:snapToGrid w:val="0"/>
              <w:spacing w:line="360" w:lineRule="auto"/>
              <w:rPr>
                <w:rFonts w:ascii="宋体" w:hAnsi="宋体" w:eastAsia="宋体" w:cs="宋体"/>
                <w:b w:val="0"/>
                <w:bCs w:val="0"/>
                <w:color w:val="000000"/>
                <w:sz w:val="24"/>
                <w:szCs w:val="24"/>
              </w:rPr>
            </w:pPr>
            <w:r>
              <w:rPr>
                <w:rFonts w:ascii="宋体" w:hAnsi="宋体" w:eastAsia="宋体" w:cs="宋体"/>
                <w:b w:val="0"/>
                <w:bCs w:val="0"/>
                <w:color w:val="000000"/>
                <w:sz w:val="24"/>
                <w:szCs w:val="24"/>
              </w:rPr>
              <w:t>规划环评审查机关：淮北市生态环境局</w:t>
            </w:r>
          </w:p>
          <w:p w14:paraId="1A2561C7">
            <w:pPr>
              <w:autoSpaceDE w:val="0"/>
              <w:autoSpaceDN w:val="0"/>
              <w:adjustRightInd w:val="0"/>
              <w:snapToGrid w:val="0"/>
              <w:spacing w:line="360" w:lineRule="auto"/>
              <w:rPr>
                <w:rFonts w:ascii="宋体" w:hAnsi="宋体" w:eastAsia="宋体" w:cs="宋体"/>
                <w:b w:val="0"/>
                <w:bCs w:val="0"/>
                <w:color w:val="000000"/>
                <w:sz w:val="24"/>
                <w:szCs w:val="24"/>
              </w:rPr>
            </w:pPr>
            <w:r>
              <w:rPr>
                <w:rFonts w:ascii="宋体" w:hAnsi="宋体" w:eastAsia="宋体" w:cs="宋体"/>
                <w:b w:val="0"/>
                <w:bCs w:val="0"/>
                <w:color w:val="000000"/>
                <w:sz w:val="24"/>
                <w:szCs w:val="24"/>
              </w:rPr>
              <w:t>审查文件名称及文号：《关于印送</w:t>
            </w:r>
            <w:r>
              <w:rPr>
                <w:rFonts w:hint="default" w:ascii="TimesNewRomanPSMT" w:hAnsi="TimesNewRomanPSMT" w:eastAsia="TimesNewRomanPSMT" w:cs="TimesNewRomanPSMT"/>
                <w:b w:val="0"/>
                <w:bCs w:val="0"/>
                <w:color w:val="000000"/>
                <w:sz w:val="24"/>
                <w:szCs w:val="24"/>
              </w:rPr>
              <w:t>&lt;</w:t>
            </w:r>
            <w:r>
              <w:rPr>
                <w:rFonts w:ascii="宋体" w:hAnsi="宋体" w:eastAsia="宋体" w:cs="宋体"/>
                <w:b w:val="0"/>
                <w:bCs w:val="0"/>
                <w:color w:val="000000"/>
                <w:sz w:val="24"/>
                <w:szCs w:val="24"/>
              </w:rPr>
              <w:t>安徽淮北杜集经济开发区总体发展规划（</w:t>
            </w:r>
            <w:r>
              <w:rPr>
                <w:rFonts w:hint="default" w:ascii="TimesNewRomanPSMT" w:hAnsi="TimesNewRomanPSMT" w:eastAsia="TimesNewRomanPSMT" w:cs="TimesNewRomanPSMT"/>
                <w:b w:val="0"/>
                <w:bCs w:val="0"/>
                <w:color w:val="000000"/>
                <w:sz w:val="24"/>
                <w:szCs w:val="24"/>
              </w:rPr>
              <w:t>2023-2035</w:t>
            </w:r>
            <w:r>
              <w:rPr>
                <w:rFonts w:ascii="宋体" w:hAnsi="宋体" w:eastAsia="宋体" w:cs="宋体"/>
                <w:b w:val="0"/>
                <w:bCs w:val="0"/>
                <w:color w:val="000000"/>
                <w:sz w:val="24"/>
                <w:szCs w:val="24"/>
              </w:rPr>
              <w:t>年）环境影响报告书审查意见</w:t>
            </w:r>
            <w:r>
              <w:rPr>
                <w:rFonts w:hint="default" w:ascii="TimesNewRomanPSMT" w:hAnsi="TimesNewRomanPSMT" w:eastAsia="TimesNewRomanPSMT" w:cs="TimesNewRomanPSMT"/>
                <w:b w:val="0"/>
                <w:bCs w:val="0"/>
                <w:color w:val="000000"/>
                <w:sz w:val="24"/>
                <w:szCs w:val="24"/>
              </w:rPr>
              <w:t>&gt;</w:t>
            </w:r>
            <w:r>
              <w:rPr>
                <w:rFonts w:ascii="宋体" w:hAnsi="宋体" w:eastAsia="宋体" w:cs="宋体"/>
                <w:b w:val="0"/>
                <w:bCs w:val="0"/>
                <w:color w:val="000000"/>
                <w:sz w:val="24"/>
                <w:szCs w:val="24"/>
              </w:rPr>
              <w:t>的函》</w:t>
            </w:r>
          </w:p>
          <w:p w14:paraId="5E12B8FD">
            <w:pPr>
              <w:numPr>
                <w:ilvl w:val="0"/>
                <w:numId w:val="0"/>
              </w:numPr>
              <w:autoSpaceDE w:val="0"/>
              <w:autoSpaceDN w:val="0"/>
              <w:adjustRightInd w:val="0"/>
              <w:snapToGrid w:val="0"/>
              <w:spacing w:line="360" w:lineRule="auto"/>
              <w:rPr>
                <w:rFonts w:hint="default" w:ascii="Times New Roman" w:hAnsi="Times New Roman" w:cs="Times New Roman"/>
                <w:color w:val="000000"/>
                <w:sz w:val="24"/>
              </w:rPr>
            </w:pPr>
            <w:r>
              <w:rPr>
                <w:rFonts w:ascii="宋体" w:hAnsi="宋体" w:eastAsia="宋体" w:cs="宋体"/>
                <w:b w:val="0"/>
                <w:bCs w:val="0"/>
                <w:color w:val="000000"/>
                <w:sz w:val="24"/>
                <w:szCs w:val="24"/>
              </w:rPr>
              <w:t>审查文号：淮环函〔</w:t>
            </w:r>
            <w:r>
              <w:rPr>
                <w:rFonts w:hint="default" w:ascii="TimesNewRomanPSMT" w:hAnsi="TimesNewRomanPSMT" w:eastAsia="TimesNewRomanPSMT" w:cs="TimesNewRomanPSMT"/>
                <w:b w:val="0"/>
                <w:bCs w:val="0"/>
                <w:color w:val="000000"/>
                <w:sz w:val="24"/>
                <w:szCs w:val="24"/>
              </w:rPr>
              <w:t>2024</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68</w:t>
            </w:r>
            <w:r>
              <w:rPr>
                <w:rFonts w:ascii="宋体" w:hAnsi="宋体" w:eastAsia="宋体" w:cs="宋体"/>
                <w:b w:val="0"/>
                <w:bCs w:val="0"/>
                <w:color w:val="000000"/>
                <w:sz w:val="24"/>
                <w:szCs w:val="24"/>
              </w:rPr>
              <w:t>号</w:t>
            </w:r>
          </w:p>
        </w:tc>
      </w:tr>
      <w:tr w14:paraId="6691E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7" w:hRule="atLeast"/>
          <w:jc w:val="center"/>
        </w:trPr>
        <w:tc>
          <w:tcPr>
            <w:tcW w:w="1411" w:type="dxa"/>
            <w:vAlign w:val="center"/>
          </w:tcPr>
          <w:p w14:paraId="77BDA01F">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规划及规划环境影响评价符合性分析</w:t>
            </w:r>
          </w:p>
        </w:tc>
        <w:tc>
          <w:tcPr>
            <w:tcW w:w="7644" w:type="dxa"/>
            <w:gridSpan w:val="3"/>
            <w:vAlign w:val="center"/>
          </w:tcPr>
          <w:p w14:paraId="6A3AA4EE">
            <w:pPr>
              <w:autoSpaceDE/>
              <w:autoSpaceDN/>
              <w:adjustRightInd w:val="0"/>
              <w:snapToGrid w:val="0"/>
              <w:spacing w:line="360" w:lineRule="auto"/>
              <w:ind w:firstLine="482" w:firstLineChars="200"/>
              <w:jc w:val="left"/>
              <w:rPr>
                <w:rFonts w:hint="default" w:ascii="Times New Roman" w:hAnsi="Times New Roman" w:cs="Times New Roman"/>
                <w:color w:val="auto"/>
                <w:sz w:val="24"/>
              </w:rPr>
            </w:pPr>
            <w:r>
              <w:rPr>
                <w:rFonts w:hint="default" w:ascii="Times New Roman" w:hAnsi="Times New Roman" w:cs="Times New Roman"/>
                <w:b/>
                <w:bCs/>
                <w:color w:val="auto"/>
                <w:sz w:val="24"/>
              </w:rPr>
              <w:t>1、与规划相符性分析</w:t>
            </w:r>
          </w:p>
          <w:p w14:paraId="7E58A50D">
            <w:pPr>
              <w:autoSpaceDE w:val="0"/>
              <w:autoSpaceDN w:val="0"/>
              <w:adjustRightInd w:val="0"/>
              <w:snapToGrid w:val="0"/>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w:t>
            </w:r>
            <w:r>
              <w:rPr>
                <w:rFonts w:ascii="TimesNewRomanPSMT" w:hAnsi="TimesNewRomanPSMT" w:eastAsia="TimesNewRomanPSMT" w:cs="TimesNewRomanPSMT"/>
                <w:b w:val="0"/>
                <w:bCs w:val="0"/>
                <w:color w:val="000000"/>
                <w:sz w:val="24"/>
                <w:szCs w:val="24"/>
              </w:rPr>
              <w:t>1</w:t>
            </w:r>
            <w:r>
              <w:rPr>
                <w:rFonts w:ascii="宋体" w:hAnsi="宋体" w:eastAsia="宋体" w:cs="宋体"/>
                <w:b w:val="0"/>
                <w:bCs w:val="0"/>
                <w:color w:val="000000"/>
                <w:sz w:val="24"/>
                <w:szCs w:val="24"/>
              </w:rPr>
              <w:t>）规划期限</w:t>
            </w:r>
          </w:p>
          <w:p w14:paraId="5E5ECB4D">
            <w:pPr>
              <w:autoSpaceDE w:val="0"/>
              <w:autoSpaceDN w:val="0"/>
              <w:adjustRightInd w:val="0"/>
              <w:snapToGrid w:val="0"/>
              <w:spacing w:line="360" w:lineRule="auto"/>
              <w:ind w:firstLine="480" w:firstLineChars="200"/>
              <w:rPr>
                <w:rFonts w:hint="eastAsia" w:ascii="宋体" w:hAnsi="宋体" w:eastAsia="宋体" w:cs="宋体"/>
                <w:b w:val="0"/>
                <w:bCs w:val="0"/>
                <w:color w:val="000000"/>
                <w:sz w:val="24"/>
                <w:szCs w:val="24"/>
                <w:lang w:eastAsia="zh-CN"/>
              </w:rPr>
            </w:pPr>
            <w:r>
              <w:rPr>
                <w:rFonts w:ascii="宋体" w:hAnsi="宋体" w:eastAsia="宋体" w:cs="宋体"/>
                <w:b w:val="0"/>
                <w:bCs w:val="0"/>
                <w:color w:val="000000"/>
                <w:sz w:val="24"/>
                <w:szCs w:val="24"/>
              </w:rPr>
              <w:t>规划期限为：</w:t>
            </w:r>
            <w:r>
              <w:rPr>
                <w:rFonts w:hint="default"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2035</w:t>
            </w:r>
            <w:r>
              <w:rPr>
                <w:rFonts w:ascii="宋体" w:hAnsi="宋体" w:eastAsia="宋体" w:cs="宋体"/>
                <w:b w:val="0"/>
                <w:bCs w:val="0"/>
                <w:color w:val="000000"/>
                <w:sz w:val="24"/>
                <w:szCs w:val="24"/>
              </w:rPr>
              <w:t>年，其中近期：</w:t>
            </w:r>
            <w:r>
              <w:rPr>
                <w:rFonts w:hint="default"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2025</w:t>
            </w:r>
            <w:r>
              <w:rPr>
                <w:rFonts w:ascii="宋体" w:hAnsi="宋体" w:eastAsia="宋体" w:cs="宋体"/>
                <w:b w:val="0"/>
                <w:bCs w:val="0"/>
                <w:color w:val="000000"/>
                <w:sz w:val="24"/>
                <w:szCs w:val="24"/>
              </w:rPr>
              <w:t>年，远期：</w:t>
            </w:r>
            <w:r>
              <w:rPr>
                <w:rFonts w:hint="default" w:ascii="TimesNewRomanPSMT" w:hAnsi="TimesNewRomanPSMT" w:eastAsia="TimesNewRomanPSMT" w:cs="TimesNewRomanPSMT"/>
                <w:b w:val="0"/>
                <w:bCs w:val="0"/>
                <w:color w:val="000000"/>
                <w:sz w:val="24"/>
                <w:szCs w:val="24"/>
              </w:rPr>
              <w:t>2025</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2035</w:t>
            </w:r>
            <w:r>
              <w:rPr>
                <w:rFonts w:ascii="宋体" w:hAnsi="宋体" w:eastAsia="宋体" w:cs="宋体"/>
                <w:b w:val="0"/>
                <w:bCs w:val="0"/>
                <w:color w:val="000000"/>
                <w:sz w:val="24"/>
                <w:szCs w:val="24"/>
              </w:rPr>
              <w:t>年。</w:t>
            </w:r>
          </w:p>
          <w:p w14:paraId="31522BB1">
            <w:pPr>
              <w:numPr>
                <w:ilvl w:val="0"/>
                <w:numId w:val="1"/>
              </w:numPr>
              <w:autoSpaceDE w:val="0"/>
              <w:autoSpaceDN w:val="0"/>
              <w:adjustRightInd w:val="0"/>
              <w:snapToGrid w:val="0"/>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规划范围</w:t>
            </w:r>
          </w:p>
          <w:p w14:paraId="4555C116">
            <w:pPr>
              <w:numPr>
                <w:ilvl w:val="-1"/>
                <w:numId w:val="0"/>
              </w:numPr>
              <w:autoSpaceDE/>
              <w:autoSpaceDN/>
              <w:adjustRightInd w:val="0"/>
              <w:snapToGrid w:val="0"/>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开发区规划总面积为</w:t>
            </w:r>
            <w:r>
              <w:rPr>
                <w:rFonts w:hint="default" w:ascii="TimesNewRomanPSMT" w:hAnsi="TimesNewRomanPSMT" w:eastAsia="TimesNewRomanPSMT" w:cs="TimesNewRomanPSMT"/>
                <w:b w:val="0"/>
                <w:bCs w:val="0"/>
                <w:color w:val="000000"/>
                <w:sz w:val="24"/>
                <w:szCs w:val="24"/>
              </w:rPr>
              <w:t>805.19</w:t>
            </w:r>
            <w:r>
              <w:rPr>
                <w:rFonts w:ascii="宋体" w:hAnsi="宋体" w:eastAsia="宋体" w:cs="宋体"/>
                <w:b w:val="0"/>
                <w:bCs w:val="0"/>
                <w:color w:val="000000"/>
                <w:sz w:val="24"/>
                <w:szCs w:val="24"/>
              </w:rPr>
              <w:t>公顷，包含</w:t>
            </w:r>
            <w:r>
              <w:rPr>
                <w:rFonts w:hint="default" w:ascii="TimesNewRomanPSMT" w:hAnsi="TimesNewRomanPSMT" w:eastAsia="TimesNewRomanPSMT" w:cs="TimesNewRomanPSMT"/>
                <w:b w:val="0"/>
                <w:bCs w:val="0"/>
                <w:color w:val="000000"/>
                <w:sz w:val="24"/>
                <w:szCs w:val="24"/>
              </w:rPr>
              <w:t>2</w:t>
            </w:r>
            <w:r>
              <w:rPr>
                <w:rFonts w:ascii="宋体" w:hAnsi="宋体" w:eastAsia="宋体" w:cs="宋体"/>
                <w:b w:val="0"/>
                <w:bCs w:val="0"/>
                <w:color w:val="000000"/>
                <w:sz w:val="24"/>
                <w:szCs w:val="24"/>
              </w:rPr>
              <w:t>个区块，其中区块一面积为</w:t>
            </w:r>
            <w:r>
              <w:rPr>
                <w:rFonts w:hint="default" w:ascii="TimesNewRomanPSMT" w:hAnsi="TimesNewRomanPSMT" w:eastAsia="TimesNewRomanPSMT" w:cs="TimesNewRomanPSMT"/>
                <w:b w:val="0"/>
                <w:bCs w:val="0"/>
                <w:color w:val="000000"/>
                <w:sz w:val="24"/>
                <w:szCs w:val="24"/>
              </w:rPr>
              <w:t>634.17</w:t>
            </w:r>
            <w:r>
              <w:rPr>
                <w:rFonts w:ascii="宋体" w:hAnsi="宋体" w:eastAsia="宋体" w:cs="宋体"/>
                <w:b w:val="0"/>
                <w:bCs w:val="0"/>
                <w:color w:val="000000"/>
                <w:sz w:val="24"/>
                <w:szCs w:val="24"/>
              </w:rPr>
              <w:t>公顷，四至范围为：东至岱河，南至青年路，西至尖山山脚，北至山河大道；区块二面积为</w:t>
            </w:r>
            <w:r>
              <w:rPr>
                <w:rFonts w:hint="default" w:ascii="TimesNewRomanPSMT" w:hAnsi="TimesNewRomanPSMT" w:eastAsia="TimesNewRomanPSMT" w:cs="TimesNewRomanPSMT"/>
                <w:b w:val="0"/>
                <w:bCs w:val="0"/>
                <w:color w:val="000000"/>
                <w:sz w:val="24"/>
                <w:szCs w:val="24"/>
              </w:rPr>
              <w:t>171.03</w:t>
            </w:r>
            <w:r>
              <w:rPr>
                <w:rFonts w:ascii="宋体" w:hAnsi="宋体" w:eastAsia="宋体" w:cs="宋体"/>
                <w:b w:val="0"/>
                <w:bCs w:val="0"/>
                <w:color w:val="000000"/>
                <w:sz w:val="24"/>
                <w:szCs w:val="24"/>
              </w:rPr>
              <w:t>公顷，四至范围为：东至萧淮公路，南至岱河与萧淮公路交界处，西至岱河，北至开创路。</w:t>
            </w:r>
          </w:p>
          <w:p w14:paraId="4703DEE2">
            <w:pPr>
              <w:numPr>
                <w:ilvl w:val="0"/>
                <w:numId w:val="1"/>
              </w:numPr>
              <w:autoSpaceDE w:val="0"/>
              <w:autoSpaceDN w:val="0"/>
              <w:adjustRightInd w:val="0"/>
              <w:snapToGrid w:val="0"/>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规划主导产业</w:t>
            </w:r>
          </w:p>
          <w:p w14:paraId="6CEA8E4B">
            <w:pPr>
              <w:numPr>
                <w:ilvl w:val="-1"/>
                <w:numId w:val="0"/>
              </w:numPr>
              <w:autoSpaceDE/>
              <w:autoSpaceDN/>
              <w:adjustRightInd w:val="0"/>
              <w:snapToGrid w:val="0"/>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规划主导产业为装备制造业、非金属新材料和电气机械制造。</w:t>
            </w:r>
          </w:p>
          <w:p w14:paraId="125E43DA">
            <w:pPr>
              <w:numPr>
                <w:ilvl w:val="-1"/>
                <w:numId w:val="0"/>
              </w:numPr>
              <w:autoSpaceDE/>
              <w:autoSpaceDN/>
              <w:adjustRightInd w:val="0"/>
              <w:snapToGrid w:val="0"/>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对照《建设项目环境影响评价分类管理名录》（</w:t>
            </w:r>
            <w:r>
              <w:rPr>
                <w:rFonts w:hint="default" w:ascii="TimesNewRomanPSMT" w:hAnsi="TimesNewRomanPSMT" w:eastAsia="TimesNewRomanPSMT" w:cs="TimesNewRomanPSMT"/>
                <w:b w:val="0"/>
                <w:bCs w:val="0"/>
                <w:color w:val="000000"/>
                <w:sz w:val="24"/>
                <w:szCs w:val="24"/>
              </w:rPr>
              <w:t>2021</w:t>
            </w:r>
            <w:r>
              <w:rPr>
                <w:rFonts w:ascii="宋体" w:hAnsi="宋体" w:eastAsia="宋体" w:cs="宋体"/>
                <w:b w:val="0"/>
                <w:bCs w:val="0"/>
                <w:color w:val="000000"/>
                <w:sz w:val="24"/>
                <w:szCs w:val="24"/>
              </w:rPr>
              <w:t>版），本项目行业类别为“</w:t>
            </w:r>
            <w:r>
              <w:rPr>
                <w:rFonts w:hint="eastAsia" w:ascii="宋体" w:hAnsi="宋体" w:eastAsia="宋体" w:cs="宋体"/>
                <w:b w:val="0"/>
                <w:bCs w:val="0"/>
                <w:color w:val="000000"/>
                <w:sz w:val="24"/>
                <w:szCs w:val="24"/>
                <w:lang w:eastAsia="zh-CN"/>
              </w:rPr>
              <w:t>矿山机械</w:t>
            </w:r>
            <w:r>
              <w:rPr>
                <w:rFonts w:ascii="宋体" w:hAnsi="宋体" w:eastAsia="宋体" w:cs="宋体"/>
                <w:b w:val="0"/>
                <w:bCs w:val="0"/>
                <w:color w:val="000000"/>
                <w:sz w:val="24"/>
                <w:szCs w:val="24"/>
              </w:rPr>
              <w:t>制造”，属于</w:t>
            </w:r>
            <w:r>
              <w:rPr>
                <w:rFonts w:hint="eastAsia" w:ascii="宋体" w:hAnsi="宋体" w:eastAsia="宋体" w:cs="宋体"/>
                <w:b w:val="0"/>
                <w:bCs w:val="0"/>
                <w:color w:val="000000"/>
                <w:sz w:val="24"/>
                <w:szCs w:val="24"/>
                <w:lang w:eastAsia="zh-CN"/>
              </w:rPr>
              <w:t>通用设备</w:t>
            </w:r>
            <w:r>
              <w:rPr>
                <w:rFonts w:ascii="宋体" w:hAnsi="宋体" w:eastAsia="宋体" w:cs="宋体"/>
                <w:b w:val="0"/>
                <w:bCs w:val="0"/>
                <w:color w:val="000000"/>
                <w:sz w:val="24"/>
                <w:szCs w:val="24"/>
              </w:rPr>
              <w:t>制造，属于《安徽淮北杜集经济开发区总体发展规划（</w:t>
            </w:r>
            <w:r>
              <w:rPr>
                <w:rFonts w:hint="default" w:ascii="TimesNewRomanPSMT" w:hAnsi="TimesNewRomanPSMT" w:eastAsia="TimesNewRomanPSMT" w:cs="TimesNewRomanPSMT"/>
                <w:b w:val="0"/>
                <w:bCs w:val="0"/>
                <w:color w:val="000000"/>
                <w:sz w:val="24"/>
                <w:szCs w:val="24"/>
              </w:rPr>
              <w:t>2023-2035</w:t>
            </w:r>
            <w:r>
              <w:rPr>
                <w:rFonts w:ascii="宋体" w:hAnsi="宋体" w:eastAsia="宋体" w:cs="宋体"/>
                <w:b w:val="0"/>
                <w:bCs w:val="0"/>
                <w:color w:val="000000"/>
                <w:sz w:val="24"/>
                <w:szCs w:val="24"/>
              </w:rPr>
              <w:t>年）》中的主导产业。</w:t>
            </w:r>
          </w:p>
          <w:p w14:paraId="4AD92218">
            <w:pPr>
              <w:numPr>
                <w:ilvl w:val="-1"/>
                <w:numId w:val="0"/>
              </w:numPr>
              <w:autoSpaceDE/>
              <w:autoSpaceDN/>
              <w:adjustRightInd w:val="0"/>
              <w:snapToGrid w:val="0"/>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因此，本项目建设与《安徽淮北杜集经济开发区总体发展规划（</w:t>
            </w:r>
            <w:r>
              <w:rPr>
                <w:rFonts w:hint="default" w:ascii="TimesNewRomanPSMT" w:hAnsi="TimesNewRomanPSMT" w:eastAsia="TimesNewRomanPSMT" w:cs="TimesNewRomanPSMT"/>
                <w:b w:val="0"/>
                <w:bCs w:val="0"/>
                <w:color w:val="000000"/>
                <w:sz w:val="24"/>
                <w:szCs w:val="24"/>
              </w:rPr>
              <w:t>2023-2035</w:t>
            </w:r>
            <w:r>
              <w:rPr>
                <w:rFonts w:ascii="宋体" w:hAnsi="宋体" w:eastAsia="宋体" w:cs="宋体"/>
                <w:b w:val="0"/>
                <w:bCs w:val="0"/>
                <w:color w:val="000000"/>
                <w:sz w:val="24"/>
                <w:szCs w:val="24"/>
              </w:rPr>
              <w:t>年）》相符。</w:t>
            </w:r>
          </w:p>
          <w:p w14:paraId="139C141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rPr>
            </w:pPr>
            <w:r>
              <w:rPr>
                <w:rFonts w:hint="eastAsia" w:cs="Times New Roman"/>
                <w:b/>
                <w:bCs/>
                <w:color w:val="auto"/>
                <w:sz w:val="24"/>
                <w:lang w:val="en-US" w:eastAsia="zh-CN"/>
              </w:rPr>
              <w:t>2</w:t>
            </w:r>
            <w:r>
              <w:rPr>
                <w:rFonts w:hint="default" w:ascii="Times New Roman" w:hAnsi="Times New Roman" w:cs="Times New Roman"/>
                <w:b/>
                <w:bCs/>
                <w:color w:val="auto"/>
                <w:sz w:val="24"/>
              </w:rPr>
              <w:t>、与《关于印送&lt;安徽淮北杜集经济开发区总体发展规（2023-2035年）环境影响报告书审查意见&gt;的函》（淮环函〔2024〕68号）的相符性分析</w:t>
            </w:r>
          </w:p>
          <w:p w14:paraId="2C6881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本项目与《关于印送</w:t>
            </w:r>
            <w:r>
              <w:rPr>
                <w:rFonts w:hint="default" w:ascii="Times New Roman" w:hAnsi="Times New Roman" w:eastAsia="TimesNewRomanPSMT" w:cs="Times New Roman"/>
                <w:b w:val="0"/>
                <w:bCs w:val="0"/>
                <w:color w:val="000000"/>
                <w:sz w:val="24"/>
                <w:szCs w:val="24"/>
              </w:rPr>
              <w:t>&lt;</w:t>
            </w:r>
            <w:r>
              <w:rPr>
                <w:rFonts w:hint="default" w:ascii="Times New Roman" w:hAnsi="Times New Roman" w:eastAsia="宋体" w:cs="Times New Roman"/>
                <w:b w:val="0"/>
                <w:bCs w:val="0"/>
                <w:color w:val="000000"/>
                <w:sz w:val="24"/>
                <w:szCs w:val="24"/>
              </w:rPr>
              <w:t>安徽淮北杜集经济开发区总体发展规划（</w:t>
            </w:r>
            <w:r>
              <w:rPr>
                <w:rFonts w:hint="default" w:ascii="Times New Roman" w:hAnsi="Times New Roman" w:eastAsia="TimesNewRomanPSMT" w:cs="Times New Roman"/>
                <w:b w:val="0"/>
                <w:bCs w:val="0"/>
                <w:color w:val="000000"/>
                <w:sz w:val="24"/>
                <w:szCs w:val="24"/>
              </w:rPr>
              <w:t>2023-2035</w:t>
            </w:r>
            <w:r>
              <w:rPr>
                <w:rFonts w:hint="default" w:ascii="Times New Roman" w:hAnsi="Times New Roman" w:eastAsia="宋体" w:cs="Times New Roman"/>
                <w:b w:val="0"/>
                <w:bCs w:val="0"/>
                <w:color w:val="000000"/>
                <w:sz w:val="24"/>
                <w:szCs w:val="24"/>
              </w:rPr>
              <w:t>年）环境影响报告书审查意见</w:t>
            </w:r>
            <w:r>
              <w:rPr>
                <w:rFonts w:hint="default" w:ascii="Times New Roman" w:hAnsi="Times New Roman" w:eastAsia="TimesNewRomanPSMT" w:cs="Times New Roman"/>
                <w:b w:val="0"/>
                <w:bCs w:val="0"/>
                <w:color w:val="000000"/>
                <w:sz w:val="24"/>
                <w:szCs w:val="24"/>
              </w:rPr>
              <w:t>&gt;</w:t>
            </w:r>
            <w:r>
              <w:rPr>
                <w:rFonts w:hint="default" w:ascii="Times New Roman" w:hAnsi="Times New Roman" w:eastAsia="宋体" w:cs="Times New Roman"/>
                <w:b w:val="0"/>
                <w:bCs w:val="0"/>
                <w:color w:val="000000"/>
                <w:sz w:val="24"/>
                <w:szCs w:val="24"/>
              </w:rPr>
              <w:t>的函》（淮环函〔</w:t>
            </w:r>
            <w:r>
              <w:rPr>
                <w:rFonts w:hint="default" w:ascii="Times New Roman" w:hAnsi="Times New Roman" w:eastAsia="TimesNewRomanPSMT" w:cs="Times New Roman"/>
                <w:b w:val="0"/>
                <w:bCs w:val="0"/>
                <w:color w:val="000000"/>
                <w:sz w:val="24"/>
                <w:szCs w:val="24"/>
              </w:rPr>
              <w:t>2024</w:t>
            </w:r>
            <w:r>
              <w:rPr>
                <w:rFonts w:hint="default" w:ascii="Times New Roman" w:hAnsi="Times New Roman" w:eastAsia="宋体" w:cs="Times New Roman"/>
                <w:b w:val="0"/>
                <w:bCs w:val="0"/>
                <w:color w:val="000000"/>
                <w:sz w:val="24"/>
                <w:szCs w:val="24"/>
              </w:rPr>
              <w:t>〕</w:t>
            </w:r>
            <w:r>
              <w:rPr>
                <w:rFonts w:hint="default" w:ascii="Times New Roman" w:hAnsi="Times New Roman" w:eastAsia="TimesNewRomanPSMT" w:cs="Times New Roman"/>
                <w:b w:val="0"/>
                <w:bCs w:val="0"/>
                <w:color w:val="000000"/>
                <w:sz w:val="24"/>
                <w:szCs w:val="24"/>
              </w:rPr>
              <w:t>68</w:t>
            </w:r>
            <w:r>
              <w:rPr>
                <w:rFonts w:hint="default" w:ascii="Times New Roman" w:hAnsi="Times New Roman" w:eastAsia="宋体" w:cs="Times New Roman"/>
                <w:b w:val="0"/>
                <w:bCs w:val="0"/>
                <w:color w:val="000000"/>
                <w:sz w:val="24"/>
                <w:szCs w:val="24"/>
              </w:rPr>
              <w:t>号）相符性分析见下表。</w:t>
            </w:r>
          </w:p>
          <w:p w14:paraId="4DD1457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bCs/>
                <w:color w:val="auto"/>
                <w:sz w:val="24"/>
              </w:rPr>
              <w:t>表1</w:t>
            </w:r>
            <w:r>
              <w:rPr>
                <w:rFonts w:hint="default" w:ascii="Times New Roman" w:hAnsi="Times New Roman" w:eastAsia="宋体" w:cs="Times New Roman"/>
                <w:b/>
                <w:bCs/>
                <w:color w:val="auto"/>
                <w:sz w:val="24"/>
                <w:lang w:val="en-US" w:eastAsia="zh-CN"/>
              </w:rPr>
              <w:t>-</w:t>
            </w:r>
            <w:r>
              <w:rPr>
                <w:rFonts w:hint="eastAsia" w:cs="Times New Roman"/>
                <w:b/>
                <w:bCs/>
                <w:color w:val="auto"/>
                <w:sz w:val="24"/>
                <w:lang w:val="en-US" w:eastAsia="zh-CN"/>
              </w:rPr>
              <w:t>1</w:t>
            </w:r>
            <w:r>
              <w:rPr>
                <w:rFonts w:hint="default" w:ascii="Times New Roman" w:hAnsi="Times New Roman" w:eastAsia="宋体" w:cs="Times New Roman"/>
                <w:b/>
                <w:bCs/>
                <w:color w:val="auto"/>
                <w:sz w:val="24"/>
              </w:rPr>
              <w:t>与《关于印送&lt;安徽淮北杜集经济开发区总体发展规（2023-2035年）环境影响报告书审查意见&gt;的函》相符性分析</w:t>
            </w:r>
          </w:p>
          <w:tbl>
            <w:tblPr>
              <w:tblStyle w:val="2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9"/>
              <w:gridCol w:w="3111"/>
              <w:gridCol w:w="705"/>
            </w:tblGrid>
            <w:tr w14:paraId="5EB1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426" w:type="pct"/>
                  <w:vAlign w:val="center"/>
                </w:tcPr>
                <w:p w14:paraId="0852C3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Cs w:val="21"/>
                      <w:highlight w:val="none"/>
                      <w:lang w:bidi="en-US"/>
                    </w:rPr>
                  </w:pPr>
                  <w:r>
                    <w:rPr>
                      <w:rFonts w:hint="default" w:ascii="Times New Roman" w:hAnsi="Times New Roman" w:cs="Times New Roman"/>
                      <w:b/>
                      <w:bCs/>
                      <w:color w:val="auto"/>
                      <w:szCs w:val="21"/>
                      <w:highlight w:val="none"/>
                      <w:lang w:bidi="en-US"/>
                    </w:rPr>
                    <w:t>规划环评批复主要内容</w:t>
                  </w:r>
                </w:p>
              </w:tc>
              <w:tc>
                <w:tcPr>
                  <w:tcW w:w="2097" w:type="pct"/>
                  <w:vAlign w:val="center"/>
                </w:tcPr>
                <w:p w14:paraId="179205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Cs w:val="21"/>
                      <w:highlight w:val="none"/>
                      <w:lang w:bidi="en-US"/>
                    </w:rPr>
                  </w:pPr>
                  <w:r>
                    <w:rPr>
                      <w:rFonts w:hint="default" w:ascii="Times New Roman" w:hAnsi="Times New Roman" w:cs="Times New Roman"/>
                      <w:b/>
                      <w:bCs/>
                      <w:color w:val="auto"/>
                      <w:szCs w:val="21"/>
                      <w:highlight w:val="none"/>
                      <w:lang w:bidi="en-US"/>
                    </w:rPr>
                    <w:t>本项目对照情况</w:t>
                  </w:r>
                </w:p>
              </w:tc>
              <w:tc>
                <w:tcPr>
                  <w:tcW w:w="475" w:type="pct"/>
                  <w:vAlign w:val="center"/>
                </w:tcPr>
                <w:p w14:paraId="4F434C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Cs w:val="21"/>
                      <w:lang w:bidi="en-US"/>
                    </w:rPr>
                  </w:pPr>
                  <w:r>
                    <w:rPr>
                      <w:rFonts w:hint="default" w:ascii="Times New Roman" w:hAnsi="Times New Roman" w:cs="Times New Roman"/>
                      <w:b/>
                      <w:bCs/>
                      <w:color w:val="auto"/>
                      <w:szCs w:val="21"/>
                      <w:lang w:bidi="en-US"/>
                    </w:rPr>
                    <w:t>符合情况</w:t>
                  </w:r>
                </w:p>
              </w:tc>
            </w:tr>
            <w:tr w14:paraId="4D15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26" w:type="pct"/>
                  <w:vAlign w:val="center"/>
                </w:tcPr>
                <w:p w14:paraId="038F71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一)加强《规划》引领，坚持绿色协调发展。《规划》应全面贯彻落实习近平生态文明思想，加强《规划》与《长江三角洲区域一体化发展规划纲要》、深入打好污染防治攻坚战等相关要求、区域生态环境分区管控要求、“三区三线”等的协调衔接，未纳入城镇开发边界的区域，建议按照自然资源部门管理要求进一步优化。统筹推进开发区整体发展和生态保护，基于区域资源、生态、环境等制约因素合理控制开发利用强度和开发区建设时序，进一步提高土地利用效率，协调好产业发展与区域环境保护的关系。</w:t>
                  </w:r>
                </w:p>
              </w:tc>
              <w:tc>
                <w:tcPr>
                  <w:tcW w:w="2097" w:type="pct"/>
                  <w:vAlign w:val="center"/>
                </w:tcPr>
                <w:p w14:paraId="340B4C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en-US" w:eastAsia="zh-CN" w:bidi="en-US"/>
                    </w:rPr>
                  </w:pPr>
                  <w:r>
                    <w:rPr>
                      <w:rFonts w:hint="default" w:ascii="Times New Roman" w:hAnsi="Times New Roman" w:cs="Times New Roman"/>
                      <w:color w:val="auto"/>
                      <w:szCs w:val="21"/>
                      <w:lang w:bidi="en-US"/>
                    </w:rPr>
                    <w:t>本项目位于开发区范围内，全部位于城镇开发边界内，项目属于〔C3</w:t>
                  </w:r>
                  <w:r>
                    <w:rPr>
                      <w:rFonts w:hint="default" w:ascii="Times New Roman" w:hAnsi="Times New Roman" w:cs="Times New Roman"/>
                      <w:color w:val="auto"/>
                      <w:szCs w:val="21"/>
                      <w:lang w:val="en-US" w:eastAsia="zh-CN" w:bidi="en-US"/>
                    </w:rPr>
                    <w:t>5</w:t>
                  </w:r>
                  <w:r>
                    <w:rPr>
                      <w:rFonts w:hint="default" w:ascii="Times New Roman" w:hAnsi="Times New Roman" w:cs="Times New Roman"/>
                      <w:color w:val="auto"/>
                      <w:szCs w:val="21"/>
                      <w:lang w:bidi="en-US"/>
                    </w:rPr>
                    <w:t>11〕</w:t>
                  </w:r>
                  <w:r>
                    <w:rPr>
                      <w:rFonts w:hint="default" w:ascii="Times New Roman" w:hAnsi="Times New Roman" w:cs="Times New Roman"/>
                      <w:color w:val="auto"/>
                      <w:szCs w:val="21"/>
                      <w:lang w:eastAsia="zh-CN" w:bidi="en-US"/>
                    </w:rPr>
                    <w:t>矿山机械制造</w:t>
                  </w:r>
                  <w:r>
                    <w:rPr>
                      <w:rFonts w:hint="default" w:ascii="Times New Roman" w:hAnsi="Times New Roman" w:cs="Times New Roman"/>
                      <w:color w:val="auto"/>
                      <w:szCs w:val="21"/>
                      <w:lang w:bidi="en-US"/>
                    </w:rPr>
                    <w:t>，对照“安徽淮北杜集经济开发区生态环境准入清单”，</w:t>
                  </w:r>
                  <w:r>
                    <w:rPr>
                      <w:rFonts w:hint="eastAsia" w:cs="Times New Roman"/>
                      <w:color w:val="auto"/>
                      <w:szCs w:val="21"/>
                      <w:lang w:eastAsia="zh-CN" w:bidi="en-US"/>
                    </w:rPr>
                    <w:t>属于园区主导产业，</w:t>
                  </w:r>
                  <w:r>
                    <w:rPr>
                      <w:rFonts w:hint="default" w:ascii="Times New Roman" w:hAnsi="Times New Roman" w:cs="Times New Roman"/>
                      <w:color w:val="auto"/>
                      <w:szCs w:val="21"/>
                      <w:lang w:bidi="en-US"/>
                    </w:rPr>
                    <w:t>不属于园区限制类和禁止类项目，不涉及开发区限制及禁止类产业，选址符合园区布局要求。</w:t>
                  </w:r>
                </w:p>
              </w:tc>
              <w:tc>
                <w:tcPr>
                  <w:tcW w:w="475" w:type="pct"/>
                  <w:vAlign w:val="center"/>
                </w:tcPr>
                <w:p w14:paraId="6E5592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符合</w:t>
                  </w:r>
                </w:p>
              </w:tc>
            </w:tr>
            <w:tr w14:paraId="5FAD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26" w:type="pct"/>
                  <w:vAlign w:val="center"/>
                </w:tcPr>
                <w:p w14:paraId="344B45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二）严守环境质量底线，保护区域生态环境质量。根据国家和安徽省大气、水、土壤、环境风险防范和固体废物污染防治相关要求，妥善解决区域现存生态环境问题，确保开发区建设项目污染物长期稳定达标排放，区域生态环境质量持续改善。开发区应根据受纳水体水环境质量现状及特征因子现状情况，审慎考虑并严格控制涉氟产业发展规模及水污染物排放强度，重金属污染物排放量和水污染物排放强度不得突破现有控制要求。</w:t>
                  </w:r>
                </w:p>
              </w:tc>
              <w:tc>
                <w:tcPr>
                  <w:tcW w:w="2097" w:type="pct"/>
                  <w:vAlign w:val="center"/>
                </w:tcPr>
                <w:p w14:paraId="660530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本项目污染物经处理后达标排放，固废按</w:t>
                  </w:r>
                  <w:r>
                    <w:rPr>
                      <w:rFonts w:hint="default" w:ascii="Times New Roman" w:hAnsi="Times New Roman" w:cs="Times New Roman"/>
                      <w:color w:val="auto"/>
                      <w:szCs w:val="21"/>
                      <w:highlight w:val="none"/>
                      <w:lang w:bidi="en-US"/>
                    </w:rPr>
                    <w:t>要求合理处理，本项目废水主要为生活污水</w:t>
                  </w:r>
                  <w:r>
                    <w:rPr>
                      <w:rFonts w:hint="default" w:ascii="Times New Roman" w:hAnsi="Times New Roman" w:cs="Times New Roman"/>
                      <w:color w:val="auto"/>
                      <w:szCs w:val="21"/>
                      <w:highlight w:val="none"/>
                      <w:lang w:eastAsia="zh-CN" w:bidi="en-US"/>
                    </w:rPr>
                    <w:t>，</w:t>
                  </w:r>
                  <w:r>
                    <w:rPr>
                      <w:rFonts w:hint="default" w:ascii="Times New Roman" w:hAnsi="Times New Roman" w:cs="Times New Roman"/>
                      <w:color w:val="auto"/>
                      <w:szCs w:val="21"/>
                      <w:highlight w:val="none"/>
                      <w:lang w:bidi="en-US"/>
                    </w:rPr>
                    <w:t>生活污水经化粪池预处理后接管网进入龙湖污水处理厂进一步深度处理，达标后排入龙河，不会突破开发区现有控制要求。</w:t>
                  </w:r>
                </w:p>
              </w:tc>
              <w:tc>
                <w:tcPr>
                  <w:tcW w:w="475" w:type="pct"/>
                  <w:vAlign w:val="center"/>
                </w:tcPr>
                <w:p w14:paraId="56CA0E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符合</w:t>
                  </w:r>
                </w:p>
              </w:tc>
            </w:tr>
            <w:tr w14:paraId="18AF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26" w:type="pct"/>
                  <w:vAlign w:val="center"/>
                </w:tcPr>
                <w:p w14:paraId="64F75F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三）优化产业布局，加强生态环境分区管控。落实生态环境分区管控要求，结合国家和省长江经济带发展负面清单管控要求、区域资源优势和环境制约因素、开发区产业定位等，进一步完善产业发展规划，优化主导产业发展方向、功能分区和重大项目布局，严禁引入安徽省长江经济带发展负面清单中的项目。合理规划不同功能区的环境保护空间，严禁不符合管控要求的各类开发建设活动，规划实施不得损害周边地表水、地下水、环境空气和声环境等敏感目标环境质量和生态功能。做好开发区与周边生态敏感区、地表水、居住区之间的有效隔离和管控，敏感区周边严禁布设生态环境影响较大的建设项目，保障居住区和各类自然保护地的生态环境质量，实现产业发展与区域生态环境保护相协调。</w:t>
                  </w:r>
                </w:p>
              </w:tc>
              <w:tc>
                <w:tcPr>
                  <w:tcW w:w="2097" w:type="pct"/>
                  <w:vAlign w:val="center"/>
                </w:tcPr>
                <w:p w14:paraId="31C7CD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对照《产业结构调整指导目录》（2024年本），本项目不属于“鼓励类”、“限制类”和“淘汰类”，属于“允许类”项目。项目已于202</w:t>
                  </w:r>
                  <w:r>
                    <w:rPr>
                      <w:rFonts w:hint="default" w:ascii="Times New Roman" w:hAnsi="Times New Roman" w:cs="Times New Roman"/>
                      <w:color w:val="auto"/>
                      <w:szCs w:val="21"/>
                      <w:lang w:val="en-US" w:eastAsia="zh-CN" w:bidi="en-US"/>
                    </w:rPr>
                    <w:t>5</w:t>
                  </w:r>
                  <w:r>
                    <w:rPr>
                      <w:rFonts w:hint="default" w:ascii="Times New Roman" w:hAnsi="Times New Roman" w:cs="Times New Roman"/>
                      <w:color w:val="auto"/>
                      <w:szCs w:val="21"/>
                      <w:lang w:bidi="en-US"/>
                    </w:rPr>
                    <w:t>年</w:t>
                  </w:r>
                  <w:r>
                    <w:rPr>
                      <w:rFonts w:hint="default" w:ascii="Times New Roman" w:hAnsi="Times New Roman" w:cs="Times New Roman"/>
                      <w:color w:val="auto"/>
                      <w:szCs w:val="21"/>
                      <w:lang w:val="en-US" w:eastAsia="zh-CN" w:bidi="en-US"/>
                    </w:rPr>
                    <w:t>5</w:t>
                  </w:r>
                  <w:r>
                    <w:rPr>
                      <w:rFonts w:hint="default" w:ascii="Times New Roman" w:hAnsi="Times New Roman" w:cs="Times New Roman"/>
                      <w:color w:val="auto"/>
                      <w:szCs w:val="21"/>
                      <w:lang w:bidi="en-US"/>
                    </w:rPr>
                    <w:t>月</w:t>
                  </w:r>
                  <w:r>
                    <w:rPr>
                      <w:rFonts w:hint="default" w:ascii="Times New Roman" w:hAnsi="Times New Roman" w:cs="Times New Roman"/>
                      <w:color w:val="auto"/>
                      <w:szCs w:val="21"/>
                      <w:lang w:val="en-US" w:eastAsia="zh-CN" w:bidi="en-US"/>
                    </w:rPr>
                    <w:t>16</w:t>
                  </w:r>
                  <w:r>
                    <w:rPr>
                      <w:rFonts w:hint="default" w:ascii="Times New Roman" w:hAnsi="Times New Roman" w:cs="Times New Roman"/>
                      <w:color w:val="auto"/>
                      <w:szCs w:val="21"/>
                      <w:lang w:bidi="en-US"/>
                    </w:rPr>
                    <w:t>日，</w:t>
                  </w:r>
                  <w:r>
                    <w:rPr>
                      <w:rFonts w:hint="default"/>
                      <w:color w:val="auto"/>
                      <w:szCs w:val="21"/>
                      <w:lang w:eastAsia="zh-CN" w:bidi="en-US"/>
                    </w:rPr>
                    <w:t>经信委备案</w:t>
                  </w:r>
                  <w:r>
                    <w:rPr>
                      <w:rFonts w:hint="default" w:ascii="Times New Roman" w:hAnsi="Times New Roman" w:cs="Times New Roman"/>
                      <w:color w:val="auto"/>
                      <w:szCs w:val="21"/>
                      <w:lang w:bidi="en-US"/>
                    </w:rPr>
                    <w:t>（项目代码：</w:t>
                  </w:r>
                  <w:r>
                    <w:rPr>
                      <w:rFonts w:hint="default" w:ascii="Times New Roman" w:hAnsi="Times New Roman" w:cs="Times New Roman"/>
                      <w:color w:val="auto"/>
                      <w:szCs w:val="21"/>
                      <w:lang w:val="en-US" w:eastAsia="zh-CN" w:bidi="en-US"/>
                    </w:rPr>
                    <w:t>2505-340602-07-02-387777</w:t>
                  </w:r>
                  <w:r>
                    <w:rPr>
                      <w:rFonts w:hint="default" w:ascii="Times New Roman" w:hAnsi="Times New Roman" w:cs="Times New Roman"/>
                      <w:color w:val="auto"/>
                      <w:szCs w:val="21"/>
                      <w:lang w:bidi="en-US"/>
                    </w:rPr>
                    <w:t>），属于允许入园项目。且项目不属于安徽省长江经济带发展负面清单中的项目。</w:t>
                  </w:r>
                </w:p>
              </w:tc>
              <w:tc>
                <w:tcPr>
                  <w:tcW w:w="475" w:type="pct"/>
                  <w:vAlign w:val="center"/>
                </w:tcPr>
                <w:p w14:paraId="7E19C7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符合</w:t>
                  </w:r>
                </w:p>
              </w:tc>
            </w:tr>
            <w:tr w14:paraId="36F3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26" w:type="pct"/>
                  <w:vAlign w:val="center"/>
                </w:tcPr>
                <w:p w14:paraId="5B1BFD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四）完善环保基础设施建设，强化环境污染防控。根据开发时序和开发强度要求，进一步优化区域供水、排水、中水回用等规划。按照科学规划、适度超前的原则，结合区域地表水环境质量现状、已批光伏产业、电池行业开发强度等，加快推进开发区含氟废水预处理设施工程，细化园区污染防治基础设施建设、排放和运行管理要求，强化开发区中水回用。落实开发区雨污分流、清污分流，做好初期雨水截污、收集、处理，保障开发区周边受纳水体的水环境功能、下游水环境保护目标及相关考核断面水质稳定达标。</w:t>
                  </w:r>
                </w:p>
              </w:tc>
              <w:tc>
                <w:tcPr>
                  <w:tcW w:w="2097" w:type="pct"/>
                  <w:vAlign w:val="center"/>
                </w:tcPr>
                <w:p w14:paraId="63A394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eastAsia="zh-CN" w:bidi="en-US"/>
                    </w:rPr>
                  </w:pPr>
                  <w:r>
                    <w:rPr>
                      <w:rFonts w:hint="default" w:ascii="Times New Roman" w:hAnsi="Times New Roman" w:cs="Times New Roman"/>
                      <w:color w:val="auto"/>
                      <w:szCs w:val="21"/>
                      <w:lang w:bidi="en-US"/>
                    </w:rPr>
                    <w:t>项目排水实行雨污分流制，本项目废水主要为生活污水，生活污水经化粪池预处理后接管网进入龙湖污水处理厂进一步深度处理，达标后排入龙河，废水排放执行《污水综合排放标准》（GB8978-1996）表4的三级标准浓度限值和龙湖污水处理厂接管限值从严值</w:t>
                  </w:r>
                </w:p>
              </w:tc>
              <w:tc>
                <w:tcPr>
                  <w:tcW w:w="475" w:type="pct"/>
                  <w:vAlign w:val="center"/>
                </w:tcPr>
                <w:p w14:paraId="13FE79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符合</w:t>
                  </w:r>
                </w:p>
              </w:tc>
            </w:tr>
            <w:tr w14:paraId="5C51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26" w:type="pct"/>
                  <w:vAlign w:val="center"/>
                </w:tcPr>
                <w:p w14:paraId="260136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五）细化生态环境准入清单，推动高质量发展。根据国家和区域发展战略，结合区域生态环境质量现状、生态环境分区管控要求、“三区三线”成果等，严格落实《报告书》生态环境准入要求。严格执行国家产业政策，坚决遏制高耗能、高排放项目盲目发展，限制与规划主导产业不相关且污染物排放量大的项目，严禁引入安徽省长江经济带发展负面清单中的项目。引进项目的生产工艺、设备、自动化水平，以及单位产品能耗、污染物排放、碳排放等不应低于国内同行业先进水平。</w:t>
                  </w:r>
                </w:p>
              </w:tc>
              <w:tc>
                <w:tcPr>
                  <w:tcW w:w="2097" w:type="pct"/>
                  <w:vAlign w:val="center"/>
                </w:tcPr>
                <w:p w14:paraId="456A5D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本项目不属于高耗能、高排放项目，不属于安徽省长江经济带发展负面清单中的项目。</w:t>
                  </w:r>
                </w:p>
              </w:tc>
              <w:tc>
                <w:tcPr>
                  <w:tcW w:w="475" w:type="pct"/>
                  <w:vAlign w:val="center"/>
                </w:tcPr>
                <w:p w14:paraId="1E1561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bidi="en-US"/>
                    </w:rPr>
                  </w:pPr>
                  <w:r>
                    <w:rPr>
                      <w:rFonts w:hint="default" w:ascii="Times New Roman" w:hAnsi="Times New Roman" w:cs="Times New Roman"/>
                      <w:color w:val="auto"/>
                      <w:highlight w:val="none"/>
                    </w:rPr>
                    <w:t>符合</w:t>
                  </w:r>
                </w:p>
              </w:tc>
            </w:tr>
            <w:tr w14:paraId="27C3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26" w:type="pct"/>
                  <w:vAlign w:val="center"/>
                </w:tcPr>
                <w:p w14:paraId="3E03FE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六）提升环境管理水平，加强生态环境风险防控。着力提升开发区环境管理水平，统筹考虑区域内污染物排放、大气环境保护、水环境保护、环境风险防范、环境管理等要求，健全区域风险防范体系和生态安全保障体系，完善环境风险防范应急措施，落实应急处理处置方案要求，完善开发区环境风险“三级防控”体系建设要求。加强日常环境监管与监测，落实区域环境管理要求。做好开发区重大环境风险源的识别与管控，确保事故废水与外环境有效隔离、及时处置。</w:t>
                  </w:r>
                </w:p>
              </w:tc>
              <w:tc>
                <w:tcPr>
                  <w:tcW w:w="2097" w:type="pct"/>
                  <w:vAlign w:val="center"/>
                </w:tcPr>
                <w:p w14:paraId="0A50B2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本项目按要求制定突发环境事</w:t>
                  </w:r>
                  <w:r>
                    <w:rPr>
                      <w:rFonts w:hint="default" w:ascii="Times New Roman" w:hAnsi="Times New Roman" w:cs="Times New Roman"/>
                      <w:color w:val="auto"/>
                      <w:szCs w:val="21"/>
                      <w:highlight w:val="none"/>
                      <w:lang w:bidi="en-US"/>
                    </w:rPr>
                    <w:t>件应急预案，落</w:t>
                  </w:r>
                  <w:r>
                    <w:rPr>
                      <w:rFonts w:hint="default" w:ascii="Times New Roman" w:hAnsi="Times New Roman" w:cs="Times New Roman"/>
                      <w:color w:val="auto"/>
                      <w:szCs w:val="21"/>
                      <w:lang w:bidi="en-US"/>
                    </w:rPr>
                    <w:t>实环境风险防范措施等。</w:t>
                  </w:r>
                </w:p>
              </w:tc>
              <w:tc>
                <w:tcPr>
                  <w:tcW w:w="475" w:type="pct"/>
                  <w:vAlign w:val="center"/>
                </w:tcPr>
                <w:p w14:paraId="337E72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14:paraId="7257AC56">
            <w:pPr>
              <w:pStyle w:val="50"/>
              <w:spacing w:line="360" w:lineRule="auto"/>
              <w:ind w:left="0" w:leftChars="0" w:firstLine="0" w:firstLineChars="0"/>
              <w:rPr>
                <w:rFonts w:hint="default" w:ascii="Times New Roman" w:hAnsi="Times New Roman" w:cs="Times New Roman"/>
                <w:color w:val="auto"/>
                <w:sz w:val="24"/>
              </w:rPr>
            </w:pPr>
          </w:p>
        </w:tc>
      </w:tr>
      <w:tr w14:paraId="0983A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24" w:hRule="atLeast"/>
          <w:jc w:val="center"/>
        </w:trPr>
        <w:tc>
          <w:tcPr>
            <w:tcW w:w="1411" w:type="dxa"/>
            <w:vAlign w:val="center"/>
          </w:tcPr>
          <w:p w14:paraId="43EA817E">
            <w:pPr>
              <w:autoSpaceDE w:val="0"/>
              <w:autoSpaceDN w:val="0"/>
              <w:adjustRightInd w:val="0"/>
              <w:snapToGrid w:val="0"/>
              <w:spacing w:line="360" w:lineRule="auto"/>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w:t>
            </w:r>
          </w:p>
          <w:p w14:paraId="1007C9A8">
            <w:pPr>
              <w:autoSpaceDE w:val="0"/>
              <w:autoSpaceDN w:val="0"/>
              <w:adjustRightInd w:val="0"/>
              <w:snapToGrid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分析</w:t>
            </w:r>
          </w:p>
        </w:tc>
        <w:tc>
          <w:tcPr>
            <w:tcW w:w="7644" w:type="dxa"/>
            <w:gridSpan w:val="3"/>
            <w:vAlign w:val="center"/>
          </w:tcPr>
          <w:p w14:paraId="522EDB72">
            <w:pPr>
              <w:autoSpaceDE w:val="0"/>
              <w:autoSpaceDN w:val="0"/>
              <w:adjustRightInd w:val="0"/>
              <w:snapToGrid w:val="0"/>
              <w:spacing w:before="240" w:beforeLines="100" w:line="360" w:lineRule="auto"/>
              <w:ind w:firstLine="482" w:firstLineChars="200"/>
              <w:jc w:val="left"/>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rPr>
              <w:t>、</w:t>
            </w:r>
            <w:r>
              <w:rPr>
                <w:rFonts w:hint="default" w:ascii="Times New Roman" w:hAnsi="Times New Roman" w:cs="Times New Roman"/>
                <w:b/>
                <w:bCs/>
                <w:color w:val="auto"/>
                <w:sz w:val="24"/>
                <w:szCs w:val="24"/>
                <w:lang w:eastAsia="zh-CN"/>
              </w:rPr>
              <w:t>选址相符性分析</w:t>
            </w:r>
          </w:p>
          <w:p w14:paraId="5FC630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w:t>
            </w:r>
            <w:r>
              <w:rPr>
                <w:rFonts w:hint="default" w:ascii="Times New Roman" w:hAnsi="Times New Roman" w:eastAsia="TimesNewRomanPSMT" w:cs="Times New Roman"/>
                <w:b w:val="0"/>
                <w:bCs w:val="0"/>
                <w:color w:val="000000"/>
                <w:sz w:val="24"/>
                <w:szCs w:val="24"/>
              </w:rPr>
              <w:t>1</w:t>
            </w:r>
            <w:r>
              <w:rPr>
                <w:rFonts w:hint="default" w:ascii="Times New Roman" w:hAnsi="Times New Roman" w:eastAsia="宋体" w:cs="Times New Roman"/>
                <w:b w:val="0"/>
                <w:bCs w:val="0"/>
                <w:color w:val="000000"/>
                <w:sz w:val="24"/>
                <w:szCs w:val="24"/>
              </w:rPr>
              <w:t>）</w:t>
            </w:r>
            <w:r>
              <w:rPr>
                <w:color w:val="000000"/>
                <w:sz w:val="24"/>
              </w:rPr>
              <w:t>本项目选址位于</w:t>
            </w:r>
            <w:r>
              <w:rPr>
                <w:rFonts w:hint="default" w:ascii="Times New Roman" w:hAnsi="Times New Roman" w:cs="Times New Roman"/>
                <w:color w:val="auto"/>
                <w:sz w:val="24"/>
                <w:szCs w:val="24"/>
                <w:lang w:eastAsia="zh-CN"/>
              </w:rPr>
              <w:t>安徽省淮北市杜集区杜集经济开发区紫昱路</w:t>
            </w:r>
            <w:r>
              <w:rPr>
                <w:rFonts w:hint="default" w:ascii="Times New Roman" w:hAnsi="Times New Roman" w:cs="Times New Roman"/>
                <w:color w:val="auto"/>
                <w:sz w:val="24"/>
                <w:szCs w:val="24"/>
                <w:lang w:val="en-US" w:eastAsia="zh-CN"/>
              </w:rPr>
              <w:t>16号</w:t>
            </w:r>
            <w:r>
              <w:rPr>
                <w:color w:val="000000"/>
                <w:sz w:val="24"/>
              </w:rPr>
              <w:t>。根据淮北市杜集经济开发区规划用地布局图，本项目用地属于工业用地，项目选址符合杜集经济开发区用地总体规划要求。</w:t>
            </w:r>
          </w:p>
          <w:p w14:paraId="712DD7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rPr>
              <w:t>）环境承载能力</w:t>
            </w:r>
          </w:p>
          <w:p w14:paraId="7358E6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本项目周边</w:t>
            </w:r>
            <w:r>
              <w:rPr>
                <w:rFonts w:hint="default" w:ascii="Times New Roman" w:hAnsi="Times New Roman" w:eastAsia="TimesNewRomanPSMT" w:cs="Times New Roman"/>
                <w:b w:val="0"/>
                <w:bCs w:val="0"/>
                <w:color w:val="000000"/>
                <w:sz w:val="24"/>
                <w:szCs w:val="24"/>
              </w:rPr>
              <w:t>500m</w:t>
            </w:r>
            <w:r>
              <w:rPr>
                <w:rFonts w:hint="default" w:ascii="Times New Roman" w:hAnsi="Times New Roman" w:eastAsia="宋体" w:cs="Times New Roman"/>
                <w:b w:val="0"/>
                <w:bCs w:val="0"/>
                <w:color w:val="000000"/>
                <w:sz w:val="24"/>
                <w:szCs w:val="24"/>
              </w:rPr>
              <w:t>范围内无自然保护区、风景旅游景点和文物古迹等；项目所在地交通方便，水电供应可靠；本项目在做好废气治理和废水处理措施的前提下，对环境质量的影响较小，建成后不会造成环境质量下降。因此，项目在环境承载能力内。</w:t>
            </w:r>
          </w:p>
          <w:p w14:paraId="07FA90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sz w:val="24"/>
                <w:szCs w:val="24"/>
                <w:lang w:val="en-US" w:eastAsia="zh-CN"/>
              </w:rPr>
              <w:t>3</w:t>
            </w:r>
            <w:r>
              <w:rPr>
                <w:rFonts w:hint="default" w:ascii="Times New Roman" w:hAnsi="Times New Roman" w:eastAsia="宋体" w:cs="Times New Roman"/>
                <w:b w:val="0"/>
                <w:bCs w:val="0"/>
                <w:color w:val="000000"/>
                <w:sz w:val="24"/>
                <w:szCs w:val="24"/>
              </w:rPr>
              <w:t>）环境功能区划相符性分析</w:t>
            </w:r>
          </w:p>
          <w:p w14:paraId="402DA5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24"/>
                <w:szCs w:val="24"/>
              </w:rPr>
              <w:t>①项目所在区域内的空气环境质量不能完全满足《环境空气质量标准》及其修改单中的二级标准要求。</w:t>
            </w:r>
          </w:p>
          <w:p w14:paraId="0DB68B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②项目所在区域声环境质量满足《声环境质量标准》（</w:t>
            </w:r>
            <w:r>
              <w:rPr>
                <w:rFonts w:hint="default" w:ascii="Times New Roman" w:hAnsi="Times New Roman" w:eastAsia="TimesNewRomanPSMT" w:cs="Times New Roman"/>
                <w:b w:val="0"/>
                <w:bCs w:val="0"/>
                <w:color w:val="000000"/>
                <w:sz w:val="24"/>
                <w:szCs w:val="24"/>
              </w:rPr>
              <w:t>GB3096-2008</w:t>
            </w:r>
            <w:r>
              <w:rPr>
                <w:rFonts w:hint="default" w:ascii="Times New Roman" w:hAnsi="Times New Roman" w:eastAsia="宋体" w:cs="Times New Roman"/>
                <w:b w:val="0"/>
                <w:bCs w:val="0"/>
                <w:color w:val="000000"/>
                <w:sz w:val="24"/>
                <w:szCs w:val="24"/>
              </w:rPr>
              <w:t>）中</w:t>
            </w:r>
            <w:r>
              <w:rPr>
                <w:rFonts w:hint="default" w:ascii="Times New Roman" w:hAnsi="Times New Roman" w:eastAsia="TimesNewRomanPSMT" w:cs="Times New Roman"/>
                <w:b w:val="0"/>
                <w:bCs w:val="0"/>
                <w:color w:val="000000"/>
                <w:sz w:val="24"/>
                <w:szCs w:val="24"/>
              </w:rPr>
              <w:t>3</w:t>
            </w:r>
            <w:r>
              <w:rPr>
                <w:rFonts w:hint="default" w:ascii="Times New Roman" w:hAnsi="Times New Roman" w:eastAsia="宋体" w:cs="Times New Roman"/>
                <w:b w:val="0"/>
                <w:bCs w:val="0"/>
                <w:color w:val="000000"/>
                <w:sz w:val="24"/>
                <w:szCs w:val="24"/>
              </w:rPr>
              <w:t>类区标准要求，声环境质量良好。</w:t>
            </w:r>
          </w:p>
          <w:p w14:paraId="7CFD98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③根据《安徽淮北杜集经济开发区总体发展规划（</w:t>
            </w:r>
            <w:r>
              <w:rPr>
                <w:rFonts w:hint="default" w:ascii="Times New Roman" w:hAnsi="Times New Roman" w:eastAsia="TimesNewRomanPSMT" w:cs="Times New Roman"/>
                <w:b w:val="0"/>
                <w:bCs w:val="0"/>
                <w:color w:val="000000"/>
                <w:sz w:val="24"/>
                <w:szCs w:val="24"/>
              </w:rPr>
              <w:t>2023-2035</w:t>
            </w:r>
            <w:r>
              <w:rPr>
                <w:rFonts w:hint="default" w:ascii="Times New Roman" w:hAnsi="Times New Roman" w:eastAsia="宋体" w:cs="Times New Roman"/>
                <w:b w:val="0"/>
                <w:bCs w:val="0"/>
                <w:color w:val="000000"/>
                <w:sz w:val="24"/>
                <w:szCs w:val="24"/>
              </w:rPr>
              <w:t>年）环境影响报告书》项目所在区域地表水环境岱河、龙河水质满足《地表水环境质量标准》（</w:t>
            </w:r>
            <w:r>
              <w:rPr>
                <w:rFonts w:hint="default" w:ascii="Times New Roman" w:hAnsi="Times New Roman" w:eastAsia="TimesNewRomanPSMT" w:cs="Times New Roman"/>
                <w:b w:val="0"/>
                <w:bCs w:val="0"/>
                <w:color w:val="000000"/>
                <w:sz w:val="24"/>
                <w:szCs w:val="24"/>
              </w:rPr>
              <w:t>GB3838-2002</w:t>
            </w:r>
            <w:r>
              <w:rPr>
                <w:rFonts w:hint="default" w:ascii="Times New Roman" w:hAnsi="Times New Roman" w:eastAsia="宋体" w:cs="Times New Roman"/>
                <w:b w:val="0"/>
                <w:bCs w:val="0"/>
                <w:color w:val="000000"/>
                <w:sz w:val="24"/>
                <w:szCs w:val="24"/>
              </w:rPr>
              <w:t>）中的</w:t>
            </w:r>
            <w:r>
              <w:rPr>
                <w:rFonts w:hint="default" w:ascii="Times New Roman" w:hAnsi="Times New Roman" w:eastAsia="TimesNewRomanPSMT" w:cs="Times New Roman"/>
                <w:b w:val="0"/>
                <w:bCs w:val="0"/>
                <w:color w:val="000000"/>
                <w:sz w:val="24"/>
                <w:szCs w:val="24"/>
              </w:rPr>
              <w:t>Ⅳ</w:t>
            </w:r>
            <w:r>
              <w:rPr>
                <w:rFonts w:hint="default" w:ascii="Times New Roman" w:hAnsi="Times New Roman" w:eastAsia="宋体" w:cs="Times New Roman"/>
                <w:b w:val="0"/>
                <w:bCs w:val="0"/>
                <w:color w:val="000000"/>
                <w:sz w:val="24"/>
                <w:szCs w:val="24"/>
              </w:rPr>
              <w:t>类标准。</w:t>
            </w:r>
          </w:p>
          <w:p w14:paraId="14DED3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④项目所在区域地下水环境各项指标均能满足《地下水质量标准》（</w:t>
            </w:r>
            <w:r>
              <w:rPr>
                <w:rFonts w:hint="default" w:ascii="Times New Roman" w:hAnsi="Times New Roman" w:eastAsia="TimesNewRomanPSMT" w:cs="Times New Roman"/>
                <w:b w:val="0"/>
                <w:bCs w:val="0"/>
                <w:color w:val="000000"/>
                <w:sz w:val="24"/>
                <w:szCs w:val="24"/>
              </w:rPr>
              <w:t>GB/T14848-2017</w:t>
            </w:r>
            <w:r>
              <w:rPr>
                <w:rFonts w:hint="default" w:ascii="Times New Roman" w:hAnsi="Times New Roman" w:eastAsia="宋体" w:cs="Times New Roman"/>
                <w:b w:val="0"/>
                <w:bCs w:val="0"/>
                <w:color w:val="000000"/>
                <w:sz w:val="24"/>
                <w:szCs w:val="24"/>
              </w:rPr>
              <w:t>）</w:t>
            </w:r>
            <w:r>
              <w:rPr>
                <w:rFonts w:hint="default" w:ascii="Times New Roman" w:hAnsi="Times New Roman" w:eastAsia="TimesNewRomanPSMT" w:cs="Times New Roman"/>
                <w:b w:val="0"/>
                <w:bCs w:val="0"/>
                <w:color w:val="000000"/>
                <w:sz w:val="24"/>
                <w:szCs w:val="24"/>
              </w:rPr>
              <w:t>Ⅲ</w:t>
            </w:r>
            <w:r>
              <w:rPr>
                <w:rFonts w:hint="default" w:ascii="Times New Roman" w:hAnsi="Times New Roman" w:eastAsia="宋体" w:cs="Times New Roman"/>
                <w:b w:val="0"/>
                <w:bCs w:val="0"/>
                <w:color w:val="000000"/>
                <w:sz w:val="24"/>
                <w:szCs w:val="24"/>
              </w:rPr>
              <w:t>类标准要求。由环境影响分析可知，项目营运期产生的环境影响不会改变区域环境质量，故项目的建设不会突破区域环境质量底线。</w:t>
            </w:r>
          </w:p>
          <w:p w14:paraId="4E0D18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综上所述，本项目的选址符合区域总体规划，符合区域环境功能区划。</w:t>
            </w:r>
          </w:p>
          <w:p w14:paraId="48A634E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default" w:ascii="Times New Roman" w:hAnsi="Times New Roman" w:cs="Times New Roman"/>
                <w:b/>
                <w:bCs/>
                <w:color w:val="auto"/>
                <w:sz w:val="24"/>
                <w:szCs w:val="24"/>
                <w:lang w:eastAsia="zh-CN"/>
              </w:rPr>
              <w:t>与“三线一单”对照分析</w:t>
            </w:r>
          </w:p>
          <w:p w14:paraId="01A8F1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w:t>
            </w:r>
            <w:r>
              <w:rPr>
                <w:rFonts w:hint="default" w:ascii="Times New Roman" w:hAnsi="Times New Roman" w:eastAsia="TimesNewRomanPSMT" w:cs="Times New Roman"/>
                <w:b w:val="0"/>
                <w:bCs w:val="0"/>
                <w:color w:val="000000"/>
                <w:sz w:val="24"/>
                <w:szCs w:val="24"/>
              </w:rPr>
              <w:t>1</w:t>
            </w:r>
            <w:r>
              <w:rPr>
                <w:rFonts w:hint="default" w:ascii="Times New Roman" w:hAnsi="Times New Roman" w:eastAsia="宋体" w:cs="Times New Roman"/>
                <w:b w:val="0"/>
                <w:bCs w:val="0"/>
                <w:color w:val="000000"/>
                <w:sz w:val="24"/>
                <w:szCs w:val="24"/>
              </w:rPr>
              <w:t>）生态保护红线</w:t>
            </w:r>
          </w:p>
          <w:p w14:paraId="16D9EC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根据安徽省生态环境厅关于印发《安徽省</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三线一单</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生态环境分区管控管理办法（暂行）的通知》的要求，</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在建设项目环评中，做好与</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三线</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单</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生态环境分区管控相符性分析，充分论证是否符合生态环境准入清单要求，对不符合的依法不予审批。</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根据安徽省</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三线一单</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公众服务平台查询可知，本项目所在地环境管控单元编码：</w:t>
            </w:r>
            <w:r>
              <w:rPr>
                <w:rFonts w:hint="default" w:ascii="Times New Roman" w:hAnsi="Times New Roman" w:eastAsia="TimesNewRomanPSMT" w:cs="Times New Roman"/>
                <w:b w:val="0"/>
                <w:bCs w:val="0"/>
                <w:color w:val="000000"/>
                <w:sz w:val="24"/>
                <w:szCs w:val="24"/>
              </w:rPr>
              <w:t>ZH34060220041</w:t>
            </w:r>
            <w:r>
              <w:rPr>
                <w:rFonts w:hint="default" w:ascii="Times New Roman" w:hAnsi="Times New Roman" w:eastAsia="宋体" w:cs="Times New Roman"/>
                <w:b w:val="0"/>
                <w:bCs w:val="0"/>
                <w:color w:val="000000"/>
                <w:sz w:val="24"/>
                <w:szCs w:val="24"/>
              </w:rPr>
              <w:t>，项目涉及沿淮绿色生态廊道区</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重点管控单元</w:t>
            </w:r>
            <w:r>
              <w:rPr>
                <w:rFonts w:hint="default" w:ascii="Times New Roman" w:hAnsi="Times New Roman" w:eastAsia="TimesNewRomanPSMT" w:cs="Times New Roman"/>
                <w:b w:val="0"/>
                <w:bCs w:val="0"/>
                <w:color w:val="000000"/>
                <w:sz w:val="24"/>
                <w:szCs w:val="24"/>
              </w:rPr>
              <w:t>15</w:t>
            </w:r>
            <w:r>
              <w:rPr>
                <w:rFonts w:hint="default" w:ascii="Times New Roman" w:hAnsi="Times New Roman" w:eastAsia="宋体" w:cs="Times New Roman"/>
                <w:b w:val="0"/>
                <w:bCs w:val="0"/>
                <w:color w:val="000000"/>
                <w:sz w:val="24"/>
                <w:szCs w:val="24"/>
              </w:rPr>
              <w:t>，项目建设符合其空间布局约束、污染物排放管控、资源开发效率等要求。</w:t>
            </w:r>
          </w:p>
          <w:p w14:paraId="34C69CE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环境质量底线</w:t>
            </w:r>
          </w:p>
          <w:p w14:paraId="1D9823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①质量底线</w:t>
            </w:r>
          </w:p>
          <w:p w14:paraId="18B3A3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根据环境现状监测结果及《</w:t>
            </w:r>
            <w:r>
              <w:rPr>
                <w:rFonts w:hint="default" w:ascii="Times New Roman" w:hAnsi="Times New Roman" w:eastAsia="TimesNewRomanPSMT" w:cs="Times New Roman"/>
                <w:b w:val="0"/>
                <w:bCs w:val="0"/>
                <w:color w:val="000000"/>
                <w:sz w:val="24"/>
                <w:szCs w:val="24"/>
              </w:rPr>
              <w:t>2023</w:t>
            </w:r>
            <w:r>
              <w:rPr>
                <w:rFonts w:hint="default" w:ascii="Times New Roman" w:hAnsi="Times New Roman" w:eastAsia="宋体" w:cs="Times New Roman"/>
                <w:b w:val="0"/>
                <w:bCs w:val="0"/>
                <w:color w:val="000000"/>
                <w:sz w:val="24"/>
                <w:szCs w:val="24"/>
              </w:rPr>
              <w:t>年淮北市环境质量公告》。项目所在区域内的环境空气质量不能完全满足《环境空气质量标准》及其修改单中的二级标准要求；项目所在区域声环境质量满足《声环境质量标准》（</w:t>
            </w:r>
            <w:r>
              <w:rPr>
                <w:rFonts w:hint="default" w:ascii="Times New Roman" w:hAnsi="Times New Roman" w:eastAsia="TimesNewRomanPSMT" w:cs="Times New Roman"/>
                <w:b w:val="0"/>
                <w:bCs w:val="0"/>
                <w:color w:val="000000"/>
                <w:sz w:val="24"/>
                <w:szCs w:val="24"/>
              </w:rPr>
              <w:t>GB3096-2008</w:t>
            </w:r>
            <w:r>
              <w:rPr>
                <w:rFonts w:hint="default" w:ascii="Times New Roman" w:hAnsi="Times New Roman" w:eastAsia="宋体" w:cs="Times New Roman"/>
                <w:b w:val="0"/>
                <w:bCs w:val="0"/>
                <w:color w:val="000000"/>
                <w:sz w:val="24"/>
                <w:szCs w:val="24"/>
              </w:rPr>
              <w:t>）中</w:t>
            </w:r>
            <w:r>
              <w:rPr>
                <w:rFonts w:hint="default" w:ascii="Times New Roman" w:hAnsi="Times New Roman" w:eastAsia="TimesNewRomanPSMT" w:cs="Times New Roman"/>
                <w:b w:val="0"/>
                <w:bCs w:val="0"/>
                <w:color w:val="000000"/>
                <w:sz w:val="24"/>
                <w:szCs w:val="24"/>
              </w:rPr>
              <w:t>3</w:t>
            </w:r>
            <w:r>
              <w:rPr>
                <w:rFonts w:hint="default" w:ascii="Times New Roman" w:hAnsi="Times New Roman" w:eastAsia="宋体" w:cs="Times New Roman"/>
                <w:b w:val="0"/>
                <w:bCs w:val="0"/>
                <w:color w:val="000000"/>
                <w:sz w:val="24"/>
                <w:szCs w:val="24"/>
              </w:rPr>
              <w:t>类区标准要求，声环境质量良好；项目所在区域地表水环境岱河、龙河水质满足《地表水环境质量标准》（</w:t>
            </w:r>
            <w:r>
              <w:rPr>
                <w:rFonts w:hint="default" w:ascii="Times New Roman" w:hAnsi="Times New Roman" w:eastAsia="TimesNewRomanPSMT" w:cs="Times New Roman"/>
                <w:b w:val="0"/>
                <w:bCs w:val="0"/>
                <w:color w:val="000000"/>
                <w:sz w:val="24"/>
                <w:szCs w:val="24"/>
              </w:rPr>
              <w:t>GB3838-2002</w:t>
            </w:r>
            <w:r>
              <w:rPr>
                <w:rFonts w:hint="default" w:ascii="Times New Roman" w:hAnsi="Times New Roman" w:eastAsia="宋体" w:cs="Times New Roman"/>
                <w:b w:val="0"/>
                <w:bCs w:val="0"/>
                <w:color w:val="000000"/>
                <w:sz w:val="24"/>
                <w:szCs w:val="24"/>
              </w:rPr>
              <w:t>）中的</w:t>
            </w:r>
            <w:r>
              <w:rPr>
                <w:rFonts w:hint="default" w:ascii="Times New Roman" w:hAnsi="Times New Roman" w:eastAsia="TimesNewRomanPSMT" w:cs="Times New Roman"/>
                <w:b w:val="0"/>
                <w:bCs w:val="0"/>
                <w:color w:val="000000"/>
                <w:sz w:val="24"/>
                <w:szCs w:val="24"/>
              </w:rPr>
              <w:t>Ⅳ</w:t>
            </w:r>
            <w:r>
              <w:rPr>
                <w:rFonts w:hint="default" w:ascii="Times New Roman" w:hAnsi="Times New Roman" w:eastAsia="宋体" w:cs="Times New Roman"/>
                <w:b w:val="0"/>
                <w:bCs w:val="0"/>
                <w:color w:val="000000"/>
                <w:sz w:val="24"/>
                <w:szCs w:val="24"/>
              </w:rPr>
              <w:t>类标准；项目所在区域地下水环境各项指标均能满足《地下水质量标准》（</w:t>
            </w:r>
            <w:r>
              <w:rPr>
                <w:rFonts w:hint="default" w:ascii="Times New Roman" w:hAnsi="Times New Roman" w:eastAsia="TimesNewRomanPSMT" w:cs="Times New Roman"/>
                <w:b w:val="0"/>
                <w:bCs w:val="0"/>
                <w:color w:val="000000"/>
                <w:sz w:val="24"/>
                <w:szCs w:val="24"/>
              </w:rPr>
              <w:t>GB/T14848-2017</w:t>
            </w:r>
            <w:r>
              <w:rPr>
                <w:rFonts w:hint="default" w:ascii="Times New Roman" w:hAnsi="Times New Roman" w:eastAsia="宋体" w:cs="Times New Roman"/>
                <w:b w:val="0"/>
                <w:bCs w:val="0"/>
                <w:color w:val="000000"/>
                <w:sz w:val="24"/>
                <w:szCs w:val="24"/>
              </w:rPr>
              <w:t>）</w:t>
            </w:r>
            <w:r>
              <w:rPr>
                <w:rFonts w:hint="default" w:ascii="Times New Roman" w:hAnsi="Times New Roman" w:eastAsia="TimesNewRomanPSMT" w:cs="Times New Roman"/>
                <w:b w:val="0"/>
                <w:bCs w:val="0"/>
                <w:color w:val="000000"/>
                <w:sz w:val="24"/>
                <w:szCs w:val="24"/>
              </w:rPr>
              <w:t>Ⅲ</w:t>
            </w:r>
            <w:r>
              <w:rPr>
                <w:rFonts w:hint="default" w:ascii="Times New Roman" w:hAnsi="Times New Roman" w:eastAsia="宋体" w:cs="Times New Roman"/>
                <w:b w:val="0"/>
                <w:bCs w:val="0"/>
                <w:color w:val="000000"/>
                <w:sz w:val="24"/>
                <w:szCs w:val="24"/>
              </w:rPr>
              <w:t>类标准要求。本项目实施后不会降低区域环境质量现有的功能要求。</w:t>
            </w:r>
          </w:p>
          <w:p w14:paraId="05B53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②分区管控</w:t>
            </w:r>
          </w:p>
          <w:p w14:paraId="3D7643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根据安徽省生态环境厅发布的《安徽省</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三线一单</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生态环境分区管控管理办法（暂行）》（皖环发〔</w:t>
            </w:r>
            <w:r>
              <w:rPr>
                <w:rFonts w:hint="default" w:ascii="Times New Roman" w:hAnsi="Times New Roman" w:eastAsia="TimesNewRomanPSMT" w:cs="Times New Roman"/>
                <w:b w:val="0"/>
                <w:bCs w:val="0"/>
                <w:color w:val="000000"/>
                <w:sz w:val="24"/>
                <w:szCs w:val="24"/>
              </w:rPr>
              <w:t>2022</w:t>
            </w:r>
            <w:r>
              <w:rPr>
                <w:rFonts w:hint="default" w:ascii="Times New Roman" w:hAnsi="Times New Roman" w:eastAsia="宋体" w:cs="Times New Roman"/>
                <w:b w:val="0"/>
                <w:bCs w:val="0"/>
                <w:color w:val="000000"/>
                <w:sz w:val="24"/>
                <w:szCs w:val="24"/>
              </w:rPr>
              <w:t>〕</w:t>
            </w:r>
            <w:r>
              <w:rPr>
                <w:rFonts w:hint="default" w:ascii="Times New Roman" w:hAnsi="Times New Roman" w:eastAsia="TimesNewRomanPSMT" w:cs="Times New Roman"/>
                <w:b w:val="0"/>
                <w:bCs w:val="0"/>
                <w:color w:val="000000"/>
                <w:sz w:val="24"/>
                <w:szCs w:val="24"/>
              </w:rPr>
              <w:t>5</w:t>
            </w:r>
            <w:r>
              <w:rPr>
                <w:rFonts w:hint="default" w:ascii="Times New Roman" w:hAnsi="Times New Roman" w:eastAsia="宋体" w:cs="Times New Roman"/>
                <w:b w:val="0"/>
                <w:bCs w:val="0"/>
                <w:color w:val="000000"/>
                <w:sz w:val="24"/>
                <w:szCs w:val="24"/>
              </w:rPr>
              <w:t>号）（以下简称《办法》），《办法》要求</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在建设项目环评中，做好与</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三线一单</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生态环境分区管控、《淮北市生态环境分区管控成果动态更新情况说明》相符性分析，充分论证是否符合生态环境准入清单要求。</w:t>
            </w:r>
          </w:p>
          <w:p w14:paraId="23761E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项目位于</w:t>
            </w:r>
            <w:r>
              <w:rPr>
                <w:rFonts w:hint="default" w:ascii="Times New Roman" w:hAnsi="Times New Roman" w:cs="Times New Roman"/>
                <w:color w:val="auto"/>
                <w:sz w:val="24"/>
                <w:szCs w:val="24"/>
                <w:lang w:eastAsia="zh-CN"/>
              </w:rPr>
              <w:t>安徽省淮北市杜集区杜集经济开发区紫昱路</w:t>
            </w:r>
            <w:r>
              <w:rPr>
                <w:rFonts w:hint="default" w:ascii="Times New Roman" w:hAnsi="Times New Roman" w:cs="Times New Roman"/>
                <w:color w:val="auto"/>
                <w:sz w:val="24"/>
                <w:szCs w:val="24"/>
                <w:lang w:val="en-US" w:eastAsia="zh-CN"/>
              </w:rPr>
              <w:t>16号</w:t>
            </w:r>
            <w:r>
              <w:rPr>
                <w:rFonts w:hint="default" w:ascii="Times New Roman" w:hAnsi="Times New Roman" w:eastAsia="宋体" w:cs="Times New Roman"/>
                <w:b w:val="0"/>
                <w:bCs w:val="0"/>
                <w:color w:val="000000"/>
                <w:sz w:val="24"/>
                <w:szCs w:val="24"/>
              </w:rPr>
              <w:t>，对照《长江经济带战略环境评价淮北市</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三线一单</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文本》，项目水环境属于工业污染重点管控区，大气环境属于高排放重点管控区，水资源属于一般管控区，土壤环境属于一般防控区。</w:t>
            </w:r>
          </w:p>
          <w:p w14:paraId="1688F3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对于重点管控单元，着重从现有源排放削减、新增源等量或倍量替代、排放标准加严、区域污染联防联控或污染物允许排放量等方面提出污染物排放管控要求。</w:t>
            </w:r>
          </w:p>
          <w:p w14:paraId="7CC9177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eastAsia" w:cs="Times New Roman"/>
                <w:b/>
                <w:bCs/>
                <w:color w:val="auto"/>
                <w:sz w:val="24"/>
                <w:lang w:val="en-US" w:eastAsia="zh-CN"/>
              </w:rPr>
              <w:t>2</w:t>
            </w:r>
            <w:r>
              <w:rPr>
                <w:rFonts w:hint="default" w:ascii="Times New Roman" w:hAnsi="Times New Roman" w:eastAsia="宋体" w:cs="Times New Roman"/>
                <w:b/>
                <w:bCs/>
                <w:color w:val="auto"/>
                <w:sz w:val="24"/>
              </w:rPr>
              <w:t>分区管控内容</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916"/>
              <w:gridCol w:w="2835"/>
              <w:gridCol w:w="2012"/>
            </w:tblGrid>
            <w:tr w14:paraId="584C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33" w:type="pct"/>
                  <w:noWrap w:val="0"/>
                  <w:vAlign w:val="center"/>
                </w:tcPr>
                <w:p w14:paraId="23FF296A">
                  <w:pPr>
                    <w:keepNext w:val="0"/>
                    <w:keepLines w:val="0"/>
                    <w:pageBreakBefore w:val="0"/>
                    <w:kinsoku/>
                    <w:wordWrap/>
                    <w:overflowPunct/>
                    <w:topLinePunct w:val="0"/>
                    <w:autoSpaceDE/>
                    <w:autoSpaceDN/>
                    <w:bidi w:val="0"/>
                    <w:adjustRightInd w:val="0"/>
                    <w:snapToGrid/>
                    <w:jc w:val="center"/>
                    <w:textAlignment w:val="auto"/>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bCs/>
                      <w:color w:val="auto"/>
                      <w:sz w:val="21"/>
                      <w:szCs w:val="21"/>
                      <w:lang w:val="en-US" w:eastAsia="zh-CN"/>
                    </w:rPr>
                    <w:t>环境管控单元编码</w:t>
                  </w:r>
                </w:p>
              </w:tc>
              <w:tc>
                <w:tcPr>
                  <w:tcW w:w="2849" w:type="pct"/>
                  <w:gridSpan w:val="2"/>
                  <w:noWrap w:val="0"/>
                  <w:vAlign w:val="center"/>
                </w:tcPr>
                <w:p w14:paraId="7D55991C">
                  <w:pPr>
                    <w:keepNext w:val="0"/>
                    <w:keepLines w:val="0"/>
                    <w:pageBreakBefore w:val="0"/>
                    <w:kinsoku/>
                    <w:wordWrap/>
                    <w:overflowPunct/>
                    <w:topLinePunct w:val="0"/>
                    <w:autoSpaceDE/>
                    <w:autoSpaceDN/>
                    <w:bidi w:val="0"/>
                    <w:adjustRightInd w:val="0"/>
                    <w:snapToGrid/>
                    <w:jc w:val="center"/>
                    <w:textAlignment w:val="auto"/>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管控要求</w:t>
                  </w:r>
                </w:p>
              </w:tc>
              <w:tc>
                <w:tcPr>
                  <w:tcW w:w="1516" w:type="pct"/>
                  <w:noWrap w:val="0"/>
                  <w:vAlign w:val="center"/>
                </w:tcPr>
                <w:p w14:paraId="531FE887">
                  <w:pPr>
                    <w:keepNext w:val="0"/>
                    <w:keepLines w:val="0"/>
                    <w:pageBreakBefore w:val="0"/>
                    <w:kinsoku/>
                    <w:wordWrap/>
                    <w:overflowPunct/>
                    <w:topLinePunct w:val="0"/>
                    <w:autoSpaceDE/>
                    <w:autoSpaceDN/>
                    <w:bidi w:val="0"/>
                    <w:adjustRightInd w:val="0"/>
                    <w:snapToGrid/>
                    <w:jc w:val="center"/>
                    <w:textAlignment w:val="auto"/>
                    <w:rPr>
                      <w:rFonts w:hint="default" w:ascii="Times New Roman" w:hAnsi="Times New Roman" w:eastAsia="宋体" w:cs="Times New Roman"/>
                      <w:b/>
                      <w:color w:val="auto"/>
                      <w:kern w:val="0"/>
                      <w:sz w:val="21"/>
                      <w:szCs w:val="21"/>
                      <w:lang w:val="en-US"/>
                    </w:rPr>
                  </w:pPr>
                  <w:r>
                    <w:rPr>
                      <w:rFonts w:hint="default" w:ascii="Times New Roman" w:hAnsi="Times New Roman" w:eastAsia="宋体" w:cs="Times New Roman"/>
                      <w:b/>
                      <w:bCs/>
                      <w:color w:val="auto"/>
                      <w:sz w:val="21"/>
                      <w:szCs w:val="21"/>
                      <w:lang w:val="en-US" w:eastAsia="zh-CN"/>
                    </w:rPr>
                    <w:t>项目情况</w:t>
                  </w:r>
                </w:p>
              </w:tc>
            </w:tr>
            <w:tr w14:paraId="4EE8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jc w:val="center"/>
              </w:trPr>
              <w:tc>
                <w:tcPr>
                  <w:tcW w:w="633" w:type="pct"/>
                  <w:vMerge w:val="restart"/>
                  <w:noWrap w:val="0"/>
                  <w:vAlign w:val="center"/>
                </w:tcPr>
                <w:p w14:paraId="03416C50">
                  <w:pPr>
                    <w:keepNext w:val="0"/>
                    <w:keepLines w:val="0"/>
                    <w:pageBreakBefore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TimesNewRomanPSMT" w:cs="Times New Roman"/>
                      <w:b w:val="0"/>
                      <w:bCs w:val="0"/>
                      <w:color w:val="000000"/>
                      <w:sz w:val="21"/>
                      <w:szCs w:val="21"/>
                    </w:rPr>
                    <w:t>ZH34060220041</w:t>
                  </w:r>
                </w:p>
              </w:tc>
              <w:tc>
                <w:tcPr>
                  <w:tcW w:w="778" w:type="pct"/>
                  <w:noWrap w:val="0"/>
                  <w:vAlign w:val="center"/>
                </w:tcPr>
                <w:p w14:paraId="0285326C">
                  <w:pPr>
                    <w:keepNext w:val="0"/>
                    <w:keepLines w:val="0"/>
                    <w:pageBreakBefore w:val="0"/>
                    <w:widowControl/>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大气环境</w:t>
                  </w:r>
                </w:p>
              </w:tc>
              <w:tc>
                <w:tcPr>
                  <w:tcW w:w="2070" w:type="pct"/>
                  <w:noWrap w:val="0"/>
                  <w:vAlign w:val="center"/>
                </w:tcPr>
                <w:p w14:paraId="7FD8E896">
                  <w:pPr>
                    <w:keepNext w:val="0"/>
                    <w:keepLines w:val="0"/>
                    <w:pageBreakBefore w:val="0"/>
                    <w:kinsoku/>
                    <w:wordWrap/>
                    <w:overflowPunct/>
                    <w:topLinePunct w:val="0"/>
                    <w:autoSpaceDE/>
                    <w:autoSpaceDN/>
                    <w:bidi w:val="0"/>
                    <w:snapToGrid/>
                    <w:jc w:val="center"/>
                    <w:textAlignment w:val="auto"/>
                    <w:rPr>
                      <w:rFonts w:hint="default" w:ascii="Times New Roman" w:hAnsi="Times New Roman" w:cs="Times New Roman"/>
                      <w:color w:val="auto"/>
                      <w:szCs w:val="21"/>
                      <w:lang w:eastAsia="zh-CN" w:bidi="en-US"/>
                    </w:rPr>
                  </w:pPr>
                  <w:r>
                    <w:rPr>
                      <w:rFonts w:hint="default" w:ascii="Times New Roman" w:hAnsi="Times New Roman" w:cs="Times New Roman"/>
                      <w:color w:val="auto"/>
                      <w:szCs w:val="21"/>
                      <w:lang w:bidi="en-US"/>
                    </w:rPr>
                    <w:t>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深入打好污染防治攻坚战行动方案》《淮北市“十四五”节能减排实施方案》要求；严格目标实施计划，加强环境监管，促进生态环境质量好转；新建、改建和扩建项目大气污染物实施“倍量替代”，执行特别排放标准的行业实施提标升级改造。</w:t>
                  </w:r>
                </w:p>
              </w:tc>
              <w:tc>
                <w:tcPr>
                  <w:tcW w:w="1516" w:type="pct"/>
                  <w:noWrap w:val="0"/>
                  <w:vAlign w:val="center"/>
                </w:tcPr>
                <w:p w14:paraId="257890F0">
                  <w:pPr>
                    <w:keepNext w:val="0"/>
                    <w:keepLines w:val="0"/>
                    <w:pageBreakBefore w:val="0"/>
                    <w:kinsoku/>
                    <w:wordWrap/>
                    <w:overflowPunct/>
                    <w:topLinePunct w:val="0"/>
                    <w:autoSpaceDE/>
                    <w:autoSpaceDN/>
                    <w:bidi w:val="0"/>
                    <w:snapToGrid/>
                    <w:jc w:val="center"/>
                    <w:textAlignment w:val="auto"/>
                    <w:rPr>
                      <w:rFonts w:hint="default" w:ascii="Times New Roman" w:hAnsi="Times New Roman" w:cs="Times New Roman"/>
                      <w:color w:val="auto"/>
                      <w:szCs w:val="21"/>
                      <w:lang w:val="en-US" w:eastAsia="zh-CN" w:bidi="en-US"/>
                    </w:rPr>
                  </w:pPr>
                  <w:r>
                    <w:rPr>
                      <w:rFonts w:hint="default" w:ascii="Times New Roman" w:hAnsi="Times New Roman" w:cs="Times New Roman"/>
                      <w:color w:val="auto"/>
                      <w:szCs w:val="21"/>
                      <w:lang w:bidi="en-US"/>
                    </w:rPr>
                    <w:t>本项目严格按照相关要求执行</w:t>
                  </w:r>
                  <w:r>
                    <w:rPr>
                      <w:rFonts w:hint="eastAsia" w:cs="Times New Roman"/>
                      <w:color w:val="auto"/>
                      <w:szCs w:val="21"/>
                      <w:lang w:eastAsia="zh-CN" w:bidi="en-US"/>
                    </w:rPr>
                    <w:t>，</w:t>
                  </w:r>
                  <w:r>
                    <w:rPr>
                      <w:rFonts w:hint="eastAsia" w:ascii="宋体" w:hAnsi="宋体" w:cs="宋体"/>
                      <w:color w:val="000000" w:themeColor="text1"/>
                      <w:spacing w:val="-1"/>
                      <w:position w:val="0"/>
                      <w:sz w:val="21"/>
                      <w:szCs w:val="21"/>
                      <w:u w:val="none"/>
                      <w:lang w:val="en-US" w:eastAsia="zh-CN"/>
                      <w14:textFill>
                        <w14:solidFill>
                          <w14:schemeClr w14:val="tx1"/>
                        </w14:solidFill>
                      </w14:textFill>
                    </w:rPr>
                    <w:t>抛丸粉尘：</w:t>
                  </w:r>
                  <w:r>
                    <w:rPr>
                      <w:rFonts w:ascii="Times New Roman" w:hAnsi="Times New Roman"/>
                      <w:color w:val="000000" w:themeColor="text1"/>
                      <w:szCs w:val="21"/>
                      <w14:textFill>
                        <w14:solidFill>
                          <w14:schemeClr w14:val="tx1"/>
                        </w14:solidFill>
                      </w14:textFill>
                    </w:rPr>
                    <w:t>设备自带粉尘收集系统+布袋除尘器（TA00</w:t>
                  </w:r>
                  <w:r>
                    <w:rPr>
                      <w:rFonts w:hint="eastAsia"/>
                      <w:color w:val="000000" w:themeColor="text1"/>
                      <w:szCs w:val="21"/>
                      <w:lang w:val="en-US" w:eastAsia="zh-CN"/>
                      <w14:textFill>
                        <w14:solidFill>
                          <w14:schemeClr w14:val="tx1"/>
                        </w14:solidFill>
                      </w14:textFill>
                    </w:rPr>
                    <w:t>2</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2；</w:t>
                  </w:r>
                  <w:r>
                    <w:rPr>
                      <w:rFonts w:hint="eastAsia" w:ascii="宋体" w:hAnsi="宋体" w:cs="宋体"/>
                      <w:color w:val="000000" w:themeColor="text1"/>
                      <w:spacing w:val="-1"/>
                      <w:position w:val="1"/>
                      <w:sz w:val="21"/>
                      <w:szCs w:val="21"/>
                      <w:u w:val="none"/>
                      <w:lang w:eastAsia="zh-CN"/>
                      <w14:textFill>
                        <w14:solidFill>
                          <w14:schemeClr w14:val="tx1"/>
                        </w14:solidFill>
                      </w14:textFill>
                    </w:rPr>
                    <w:t>喷漆、晾干工艺废气：</w:t>
                  </w:r>
                  <w:r>
                    <w:rPr>
                      <w:rFonts w:ascii="Times New Roman" w:hAnsi="Times New Roman"/>
                      <w:color w:val="000000" w:themeColor="text1"/>
                      <w:szCs w:val="21"/>
                      <w14:textFill>
                        <w14:solidFill>
                          <w14:schemeClr w14:val="tx1"/>
                        </w14:solidFill>
                      </w14:textFill>
                    </w:rPr>
                    <w:t>采用密闭负压收集+</w:t>
                  </w:r>
                  <w:r>
                    <w:rPr>
                      <w:rFonts w:hint="eastAsia" w:ascii="Times New Roman" w:hAnsi="Times New Roman"/>
                      <w:color w:val="000000" w:themeColor="text1"/>
                      <w:szCs w:val="21"/>
                      <w14:textFill>
                        <w14:solidFill>
                          <w14:schemeClr w14:val="tx1"/>
                        </w14:solidFill>
                      </w14:textFill>
                    </w:rPr>
                    <w:t>过滤棉+</w:t>
                  </w:r>
                  <w:r>
                    <w:rPr>
                      <w:rFonts w:ascii="Times New Roman" w:hAnsi="Times New Roman"/>
                      <w:color w:val="000000" w:themeColor="text1"/>
                      <w:szCs w:val="21"/>
                      <w14:textFill>
                        <w14:solidFill>
                          <w14:schemeClr w14:val="tx1"/>
                        </w14:solidFill>
                      </w14:textFill>
                    </w:rPr>
                    <w:t>二级活性炭吸附（TA00</w:t>
                  </w:r>
                  <w:r>
                    <w:rPr>
                      <w:rFonts w:hint="eastAsia"/>
                      <w:color w:val="000000" w:themeColor="text1"/>
                      <w:szCs w:val="21"/>
                      <w:lang w:val="en-US" w:eastAsia="zh-CN"/>
                      <w14:textFill>
                        <w14:solidFill>
                          <w14:schemeClr w14:val="tx1"/>
                        </w14:solidFill>
                      </w14:textFill>
                    </w:rPr>
                    <w:t>3</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3</w:t>
                  </w:r>
                  <w:r>
                    <w:rPr>
                      <w:rFonts w:hint="eastAsia" w:ascii="Times New Roman" w:hAnsi="Times New Roman" w:cs="Times New Roman"/>
                      <w:b w:val="0"/>
                      <w:bCs w:val="0"/>
                      <w:color w:val="000000" w:themeColor="text1"/>
                      <w:kern w:val="2"/>
                      <w:sz w:val="21"/>
                      <w:szCs w:val="24"/>
                      <w:highlight w:val="none"/>
                      <w:vertAlign w:val="baseline"/>
                      <w:lang w:val="en-US" w:eastAsia="zh-CN" w:bidi="ar-SA"/>
                      <w14:textFill>
                        <w14:solidFill>
                          <w14:schemeClr w14:val="tx1"/>
                        </w14:solidFill>
                      </w14:textFill>
                    </w:rPr>
                    <w:t>。</w:t>
                  </w:r>
                </w:p>
              </w:tc>
            </w:tr>
            <w:tr w14:paraId="55AB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1" w:hRule="atLeast"/>
                <w:jc w:val="center"/>
              </w:trPr>
              <w:tc>
                <w:tcPr>
                  <w:tcW w:w="633" w:type="pct"/>
                  <w:vMerge w:val="continue"/>
                  <w:noWrap w:val="0"/>
                  <w:vAlign w:val="center"/>
                </w:tcPr>
                <w:p w14:paraId="6F77DED0">
                  <w:pPr>
                    <w:keepNext w:val="0"/>
                    <w:keepLines w:val="0"/>
                    <w:pageBreakBefore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21"/>
                      <w:szCs w:val="21"/>
                    </w:rPr>
                  </w:pPr>
                </w:p>
              </w:tc>
              <w:tc>
                <w:tcPr>
                  <w:tcW w:w="778" w:type="pct"/>
                  <w:noWrap w:val="0"/>
                  <w:vAlign w:val="center"/>
                </w:tcPr>
                <w:p w14:paraId="3DB4BAB2">
                  <w:pPr>
                    <w:keepNext w:val="0"/>
                    <w:keepLines w:val="0"/>
                    <w:pageBreakBefore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水环境</w:t>
                  </w:r>
                </w:p>
              </w:tc>
              <w:tc>
                <w:tcPr>
                  <w:tcW w:w="2070" w:type="pct"/>
                  <w:noWrap w:val="0"/>
                  <w:vAlign w:val="center"/>
                </w:tcPr>
                <w:p w14:paraId="738832B3">
                  <w:pPr>
                    <w:keepNext w:val="0"/>
                    <w:keepLines w:val="0"/>
                    <w:pageBreakBefore w:val="0"/>
                    <w:kinsoku/>
                    <w:wordWrap/>
                    <w:overflowPunct/>
                    <w:topLinePunct w:val="0"/>
                    <w:autoSpaceDE/>
                    <w:autoSpaceDN/>
                    <w:bidi w:val="0"/>
                    <w:snapToGrid/>
                    <w:jc w:val="center"/>
                    <w:textAlignment w:val="auto"/>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依据《中华人民共和国水污染防治法》《水污染防治行动计划》《安徽省水污染防治工作方案》及淮北市水污染防治工作方案对重点管控区实施管控；依据淮北市相关开发区规划、规划环评及审查意见相关要求对开发区实施管控；落实《安徽省“十四五”生态环境保护规划》《安徽省“十四五”节能减排实施方案》《淮北市“十四五”生态环境保护规划》《淮北市“十四五”水生态环境保护专项规划》《淮北市“十四五”节能减排方案》《淮北市水污染防治工作方案》等要求；新建、改建和扩建项目水污染物实施“等量替代”。</w:t>
                  </w:r>
                </w:p>
              </w:tc>
              <w:tc>
                <w:tcPr>
                  <w:tcW w:w="1516" w:type="pct"/>
                  <w:noWrap w:val="0"/>
                  <w:vAlign w:val="center"/>
                </w:tcPr>
                <w:p w14:paraId="02FB8D25">
                  <w:pPr>
                    <w:keepNext w:val="0"/>
                    <w:keepLines w:val="0"/>
                    <w:pageBreakBefore w:val="0"/>
                    <w:kinsoku/>
                    <w:wordWrap/>
                    <w:overflowPunct/>
                    <w:topLinePunct w:val="0"/>
                    <w:autoSpaceDE/>
                    <w:autoSpaceDN/>
                    <w:bidi w:val="0"/>
                    <w:snapToGrid/>
                    <w:jc w:val="center"/>
                    <w:textAlignment w:val="auto"/>
                    <w:rPr>
                      <w:rFonts w:hint="default" w:ascii="Times New Roman" w:hAnsi="Times New Roman" w:cs="Times New Roman"/>
                      <w:color w:val="auto"/>
                      <w:szCs w:val="21"/>
                      <w:lang w:val="en-US" w:eastAsia="zh-CN" w:bidi="en-US"/>
                    </w:rPr>
                  </w:pPr>
                  <w:r>
                    <w:rPr>
                      <w:rFonts w:hint="default" w:ascii="Times New Roman" w:hAnsi="Times New Roman" w:cs="Times New Roman"/>
                      <w:color w:val="auto"/>
                      <w:szCs w:val="21"/>
                      <w:lang w:bidi="en-US"/>
                    </w:rPr>
                    <w:t>生活污水经化粪池预处理后，接管网进入龙湖污水处理厂进一步深度处理，达标后排入龙河，废水排放执行《污水综合排放标准》（GB8978-1996）表4的三级标准浓度限值和龙湖污水处理厂接管限值，从严值。厂区严格按照《中华人民共和国水污染防治法》《水污染防治行动计划》《安徽省水污染防治工作方案》及各市水污染防治工作方案实施</w:t>
                  </w:r>
                </w:p>
              </w:tc>
            </w:tr>
          </w:tbl>
          <w:p w14:paraId="3BBB39F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资源利用上线及自然资源开发分区管控</w:t>
            </w:r>
          </w:p>
          <w:p w14:paraId="6D22601E">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①资源利用上线</w:t>
            </w:r>
          </w:p>
          <w:p w14:paraId="34630BE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本项目建设过程中所利用的资源主要为水资源、电资源，均为清洁能源。</w:t>
            </w:r>
          </w:p>
          <w:p w14:paraId="1075B48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煤资源利用上限：本项目不使用高污染能源，热源为电，由市政提供。</w:t>
            </w:r>
          </w:p>
          <w:p w14:paraId="23F5358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水资源利用上限：本项目用水来自园区供水，本项目用数量较小，不属于高耗水行业，对水资源影响较小。</w:t>
            </w:r>
          </w:p>
          <w:p w14:paraId="5304881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土地资源利用上限：本项目用地为现有工业用地，不新增土地资源的利用。项目的水、电等资源利用不会突破区城的资源利用上线。</w:t>
            </w:r>
          </w:p>
          <w:p w14:paraId="20A1504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②分区管控</w:t>
            </w:r>
          </w:p>
          <w:p w14:paraId="36DC79A1">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项目位于</w:t>
            </w:r>
            <w:r>
              <w:rPr>
                <w:rFonts w:hint="default" w:ascii="Times New Roman" w:hAnsi="Times New Roman" w:cs="Times New Roman"/>
                <w:color w:val="auto"/>
                <w:sz w:val="24"/>
                <w:szCs w:val="24"/>
                <w:lang w:eastAsia="zh-CN"/>
              </w:rPr>
              <w:t>安徽省淮北市杜集区杜集经济开发区紫昱路</w:t>
            </w:r>
            <w:r>
              <w:rPr>
                <w:rFonts w:hint="default" w:ascii="Times New Roman" w:hAnsi="Times New Roman" w:cs="Times New Roman"/>
                <w:color w:val="auto"/>
                <w:sz w:val="24"/>
                <w:szCs w:val="24"/>
                <w:lang w:val="en-US" w:eastAsia="zh-CN"/>
              </w:rPr>
              <w:t>16号</w:t>
            </w:r>
            <w:r>
              <w:rPr>
                <w:rFonts w:hint="default" w:ascii="Times New Roman" w:hAnsi="Times New Roman" w:eastAsia="宋体" w:cs="Times New Roman"/>
                <w:b w:val="0"/>
                <w:bCs w:val="0"/>
                <w:color w:val="000000"/>
                <w:sz w:val="24"/>
                <w:szCs w:val="24"/>
              </w:rPr>
              <w:t>，对照《长江经济带战略环境评价淮北市</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三线一单</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文本》，本项目位于不属于禁燃区，管控要求：落实《安徽省“十四五”节能减排实施方案》《淮北市生态环境保护“十四五”规划》《淮北市“十四五”节能减排实施方案》要求；属于水资源利用一般管控区，管控要求：落实《安徽省</w:t>
            </w:r>
            <w:r>
              <w:rPr>
                <w:rFonts w:hint="default" w:ascii="Times New Roman" w:hAnsi="Times New Roman" w:eastAsia="TimesNewRomanPSMT" w:cs="Times New Roman"/>
                <w:b w:val="0"/>
                <w:bCs w:val="0"/>
                <w:color w:val="000000"/>
                <w:sz w:val="24"/>
                <w:szCs w:val="24"/>
              </w:rPr>
              <w:t>2025</w:t>
            </w:r>
            <w:r>
              <w:rPr>
                <w:rFonts w:hint="default" w:ascii="Times New Roman" w:hAnsi="Times New Roman" w:eastAsia="宋体" w:cs="Times New Roman"/>
                <w:b w:val="0"/>
                <w:bCs w:val="0"/>
                <w:color w:val="000000"/>
                <w:sz w:val="24"/>
                <w:szCs w:val="24"/>
              </w:rPr>
              <w:t>年用水总量和用水效率控制指标的函》《淮北市水利发展“十四五”规划》《淮北市“十四五”节能减排实施方案》《关于落实淮北市“十四五”用水总量和强度双控目标的通知》等要求；土地资源一般管控区，管控要求：落实《淮北市国土空间总体规划》（</w:t>
            </w:r>
            <w:r>
              <w:rPr>
                <w:rFonts w:hint="default" w:ascii="Times New Roman" w:hAnsi="Times New Roman" w:eastAsia="TimesNewRomanPSMT" w:cs="Times New Roman"/>
                <w:b w:val="0"/>
                <w:bCs w:val="0"/>
                <w:color w:val="000000"/>
                <w:sz w:val="24"/>
                <w:szCs w:val="24"/>
              </w:rPr>
              <w:t>2021-2035</w:t>
            </w:r>
            <w:r>
              <w:rPr>
                <w:rFonts w:hint="default" w:ascii="Times New Roman" w:hAnsi="Times New Roman" w:eastAsia="宋体" w:cs="Times New Roman"/>
                <w:b w:val="0"/>
                <w:bCs w:val="0"/>
                <w:color w:val="000000"/>
                <w:sz w:val="24"/>
                <w:szCs w:val="24"/>
              </w:rPr>
              <w:t>年）等要求。</w:t>
            </w:r>
          </w:p>
          <w:p w14:paraId="1B02511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（4）</w:t>
            </w:r>
            <w:r>
              <w:rPr>
                <w:rFonts w:hint="default" w:ascii="Times New Roman" w:hAnsi="Times New Roman" w:eastAsia="宋体" w:cs="Times New Roman"/>
                <w:b w:val="0"/>
                <w:bCs w:val="0"/>
                <w:color w:val="000000"/>
                <w:sz w:val="24"/>
                <w:szCs w:val="24"/>
              </w:rPr>
              <w:t>环境管控单元划定及分类管控</w:t>
            </w:r>
          </w:p>
          <w:p w14:paraId="2E3237E8">
            <w:pPr>
              <w:pStyle w:val="12"/>
              <w:keepNext w:val="0"/>
              <w:keepLines w:val="0"/>
              <w:pageBreakBefore w:val="0"/>
              <w:widowControl w:val="0"/>
              <w:kinsoku/>
              <w:wordWrap/>
              <w:overflowPunct/>
              <w:topLinePunct w:val="0"/>
              <w:autoSpaceDE/>
              <w:autoSpaceDN/>
              <w:bidi w:val="0"/>
              <w:adjustRightInd/>
              <w:snapToGrid/>
              <w:spacing w:before="0" w:after="0" w:line="360" w:lineRule="auto"/>
              <w:ind w:leftChars="0" w:right="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根据生态环境部《</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生态保护红线、环境质量底线、资源利用上线和环境准入负面清单</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编制技术指南（试行）》（环办环评〔</w:t>
            </w:r>
            <w:r>
              <w:rPr>
                <w:rFonts w:hint="default" w:ascii="Times New Roman" w:hAnsi="Times New Roman" w:eastAsia="TimesNewRomanPSMT" w:cs="Times New Roman"/>
                <w:b w:val="0"/>
                <w:bCs w:val="0"/>
                <w:color w:val="000000"/>
                <w:sz w:val="24"/>
                <w:szCs w:val="24"/>
              </w:rPr>
              <w:t>2017</w:t>
            </w:r>
            <w:r>
              <w:rPr>
                <w:rFonts w:hint="default" w:ascii="Times New Roman" w:hAnsi="Times New Roman" w:eastAsia="宋体" w:cs="Times New Roman"/>
                <w:b w:val="0"/>
                <w:bCs w:val="0"/>
                <w:color w:val="000000"/>
                <w:sz w:val="24"/>
                <w:szCs w:val="24"/>
              </w:rPr>
              <w:t>〕</w:t>
            </w:r>
            <w:r>
              <w:rPr>
                <w:rFonts w:hint="default" w:ascii="Times New Roman" w:hAnsi="Times New Roman" w:eastAsia="TimesNewRomanPSMT" w:cs="Times New Roman"/>
                <w:b w:val="0"/>
                <w:bCs w:val="0"/>
                <w:color w:val="000000"/>
                <w:sz w:val="24"/>
                <w:szCs w:val="24"/>
              </w:rPr>
              <w:t>99</w:t>
            </w:r>
            <w:r>
              <w:rPr>
                <w:rFonts w:hint="default" w:ascii="Times New Roman" w:hAnsi="Times New Roman" w:eastAsia="宋体" w:cs="Times New Roman"/>
                <w:b w:val="0"/>
                <w:bCs w:val="0"/>
                <w:color w:val="000000"/>
                <w:sz w:val="24"/>
                <w:szCs w:val="24"/>
              </w:rPr>
              <w:t>号）、《长江经济带战略环境评价淮北市</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三线一单</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编制技术方案》等技术规定的要求，本项目属于“三线一单”中重点管控单元。</w:t>
            </w:r>
          </w:p>
          <w:p w14:paraId="12F01B9C">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default" w:ascii="Times New Roman" w:hAnsi="Times New Roman" w:eastAsia="宋体" w:cs="Times New Roman"/>
                <w:b w:val="0"/>
                <w:bCs w:val="0"/>
                <w:color w:val="000000"/>
                <w:sz w:val="24"/>
                <w:szCs w:val="24"/>
              </w:rPr>
              <w:t>生态环境准入清单</w:t>
            </w:r>
          </w:p>
          <w:p w14:paraId="67A9DECB">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对照淮北市</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三线一单</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编制文件、《淮北市生态环境分区管控成果动态更新情况说明》中的淮北市生态环境准入清单、长江经济带发展负面清单，本项目建设不违背清单要求。</w:t>
            </w:r>
          </w:p>
          <w:p w14:paraId="0EE4CC72">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①生态环境准入负面清单</w:t>
            </w:r>
          </w:p>
          <w:p w14:paraId="4E0D00C7">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根据《部分工业行业淘汰落后生产工艺装备和产品指导目录（</w:t>
            </w:r>
            <w:r>
              <w:rPr>
                <w:rFonts w:hint="default" w:ascii="Times New Roman" w:hAnsi="Times New Roman" w:eastAsia="TimesNewRomanPSMT" w:cs="Times New Roman"/>
                <w:b w:val="0"/>
                <w:bCs w:val="0"/>
                <w:color w:val="000000"/>
                <w:sz w:val="24"/>
                <w:szCs w:val="24"/>
              </w:rPr>
              <w:t>2010</w:t>
            </w:r>
            <w:r>
              <w:rPr>
                <w:rFonts w:hint="default" w:ascii="Times New Roman" w:hAnsi="Times New Roman" w:eastAsia="宋体" w:cs="Times New Roman"/>
                <w:b w:val="0"/>
                <w:bCs w:val="0"/>
                <w:color w:val="000000"/>
                <w:sz w:val="24"/>
                <w:szCs w:val="24"/>
              </w:rPr>
              <w:t>年本）》，本项目使用的设备不属于其中淘汰落后生产工艺装备。本项目选址用地不属于《限制用地项目目录（</w:t>
            </w:r>
            <w:r>
              <w:rPr>
                <w:rFonts w:hint="default" w:ascii="Times New Roman" w:hAnsi="Times New Roman" w:eastAsia="TimesNewRomanPSMT" w:cs="Times New Roman"/>
                <w:b w:val="0"/>
                <w:bCs w:val="0"/>
                <w:color w:val="000000"/>
                <w:sz w:val="24"/>
                <w:szCs w:val="24"/>
              </w:rPr>
              <w:t>2012</w:t>
            </w:r>
            <w:r>
              <w:rPr>
                <w:rFonts w:hint="default" w:ascii="Times New Roman" w:hAnsi="Times New Roman" w:eastAsia="宋体" w:cs="Times New Roman"/>
                <w:b w:val="0"/>
                <w:bCs w:val="0"/>
                <w:color w:val="000000"/>
                <w:sz w:val="24"/>
                <w:szCs w:val="24"/>
              </w:rPr>
              <w:t>年本）》和《禁止用地项目目录（</w:t>
            </w:r>
            <w:r>
              <w:rPr>
                <w:rFonts w:hint="default" w:ascii="Times New Roman" w:hAnsi="Times New Roman" w:eastAsia="TimesNewRomanPSMT" w:cs="Times New Roman"/>
                <w:b w:val="0"/>
                <w:bCs w:val="0"/>
                <w:color w:val="000000"/>
                <w:sz w:val="24"/>
                <w:szCs w:val="24"/>
              </w:rPr>
              <w:t>2012</w:t>
            </w:r>
            <w:r>
              <w:rPr>
                <w:rFonts w:hint="default" w:ascii="Times New Roman" w:hAnsi="Times New Roman" w:eastAsia="宋体" w:cs="Times New Roman"/>
                <w:b w:val="0"/>
                <w:bCs w:val="0"/>
                <w:color w:val="000000"/>
                <w:sz w:val="24"/>
                <w:szCs w:val="24"/>
              </w:rPr>
              <w:t>年本）》中规定项目。</w:t>
            </w:r>
          </w:p>
          <w:p w14:paraId="5A48FFE5">
            <w:pPr>
              <w:spacing w:line="360" w:lineRule="auto"/>
              <w:ind w:firstLine="480" w:firstLineChars="200"/>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根据《市场准入负面清单（</w:t>
            </w:r>
            <w:r>
              <w:rPr>
                <w:rFonts w:hint="default" w:ascii="Times New Roman" w:hAnsi="Times New Roman" w:eastAsia="TimesNewRomanPSMT" w:cs="Times New Roman"/>
                <w:b w:val="0"/>
                <w:bCs w:val="0"/>
                <w:color w:val="000000"/>
                <w:sz w:val="24"/>
                <w:szCs w:val="24"/>
              </w:rPr>
              <w:t>2022</w:t>
            </w:r>
            <w:r>
              <w:rPr>
                <w:rFonts w:hint="default" w:ascii="Times New Roman" w:hAnsi="Times New Roman" w:eastAsia="宋体" w:cs="Times New Roman"/>
                <w:b w:val="0"/>
                <w:bCs w:val="0"/>
                <w:color w:val="000000"/>
                <w:sz w:val="24"/>
                <w:szCs w:val="24"/>
              </w:rPr>
              <w:t>年版）》，本项目不涉及其中负面清单内容。且项目已于</w:t>
            </w:r>
            <w:r>
              <w:rPr>
                <w:rFonts w:hint="default" w:ascii="Times New Roman" w:hAnsi="Times New Roman" w:eastAsia="TimesNewRomanPSMT" w:cs="Times New Roman"/>
                <w:b w:val="0"/>
                <w:bCs w:val="0"/>
                <w:color w:val="000000"/>
                <w:sz w:val="24"/>
                <w:szCs w:val="24"/>
              </w:rPr>
              <w:t>202</w:t>
            </w:r>
            <w:r>
              <w:rPr>
                <w:rFonts w:hint="default" w:ascii="Times New Roman" w:hAnsi="Times New Roman" w:eastAsia="宋体" w:cs="Times New Roman"/>
                <w:b w:val="0"/>
                <w:bCs w:val="0"/>
                <w:color w:val="000000"/>
                <w:sz w:val="24"/>
                <w:szCs w:val="24"/>
                <w:lang w:val="en-US" w:eastAsia="zh-CN"/>
              </w:rPr>
              <w:t>5</w:t>
            </w:r>
            <w:r>
              <w:rPr>
                <w:rFonts w:hint="default" w:ascii="Times New Roman" w:hAnsi="Times New Roman" w:eastAsia="宋体" w:cs="Times New Roman"/>
                <w:b w:val="0"/>
                <w:bCs w:val="0"/>
                <w:color w:val="000000"/>
                <w:sz w:val="24"/>
                <w:szCs w:val="24"/>
              </w:rPr>
              <w:t>年</w:t>
            </w:r>
            <w:r>
              <w:rPr>
                <w:rFonts w:hint="default" w:ascii="Times New Roman" w:hAnsi="Times New Roman" w:cs="Times New Roman"/>
                <w:b w:val="0"/>
                <w:bCs w:val="0"/>
                <w:color w:val="000000"/>
                <w:sz w:val="24"/>
                <w:szCs w:val="24"/>
                <w:lang w:val="en-US" w:eastAsia="zh-CN"/>
              </w:rPr>
              <w:t>5</w:t>
            </w:r>
            <w:r>
              <w:rPr>
                <w:rFonts w:hint="default" w:ascii="Times New Roman" w:hAnsi="Times New Roman" w:eastAsia="宋体" w:cs="Times New Roman"/>
                <w:b w:val="0"/>
                <w:bCs w:val="0"/>
                <w:color w:val="000000"/>
                <w:sz w:val="24"/>
                <w:szCs w:val="24"/>
              </w:rPr>
              <w:t>月</w:t>
            </w:r>
            <w:r>
              <w:rPr>
                <w:rFonts w:hint="default" w:ascii="Times New Roman" w:hAnsi="Times New Roman" w:eastAsia="宋体" w:cs="Times New Roman"/>
                <w:b w:val="0"/>
                <w:bCs w:val="0"/>
                <w:color w:val="000000"/>
                <w:sz w:val="24"/>
                <w:szCs w:val="24"/>
                <w:lang w:val="en-US" w:eastAsia="zh-CN"/>
              </w:rPr>
              <w:t>16</w:t>
            </w:r>
            <w:r>
              <w:rPr>
                <w:rFonts w:hint="default" w:ascii="Times New Roman" w:hAnsi="Times New Roman" w:eastAsia="宋体" w:cs="Times New Roman"/>
                <w:b w:val="0"/>
                <w:bCs w:val="0"/>
                <w:color w:val="000000"/>
                <w:sz w:val="24"/>
                <w:szCs w:val="24"/>
              </w:rPr>
              <w:t>日，</w:t>
            </w:r>
            <w:r>
              <w:rPr>
                <w:rFonts w:hint="default"/>
                <w:color w:val="000000"/>
                <w:sz w:val="24"/>
                <w:szCs w:val="24"/>
                <w:lang w:eastAsia="zh-CN" w:bidi="en-US"/>
              </w:rPr>
              <w:t>经信委备案</w:t>
            </w:r>
            <w:r>
              <w:rPr>
                <w:rFonts w:hint="default" w:ascii="Times New Roman" w:hAnsi="Times New Roman" w:eastAsia="宋体" w:cs="Times New Roman"/>
                <w:b w:val="0"/>
                <w:bCs w:val="0"/>
                <w:color w:val="000000"/>
                <w:sz w:val="24"/>
                <w:szCs w:val="24"/>
              </w:rPr>
              <w:t>（项目代码：</w:t>
            </w:r>
            <w:r>
              <w:rPr>
                <w:rFonts w:hint="default" w:ascii="Times New Roman" w:hAnsi="Times New Roman" w:cs="Times New Roman"/>
                <w:color w:val="auto"/>
                <w:sz w:val="24"/>
                <w:lang w:val="en-US" w:eastAsia="zh-CN"/>
              </w:rPr>
              <w:t>2505-340602-07-02-387777</w:t>
            </w:r>
            <w:r>
              <w:rPr>
                <w:rFonts w:hint="default" w:ascii="Times New Roman" w:hAnsi="Times New Roman" w:eastAsia="宋体" w:cs="Times New Roman"/>
                <w:b w:val="0"/>
                <w:bCs w:val="0"/>
                <w:color w:val="000000"/>
                <w:sz w:val="24"/>
                <w:szCs w:val="24"/>
              </w:rPr>
              <w:t>），符合当地产业政策。</w:t>
            </w:r>
          </w:p>
          <w:p w14:paraId="06B0B36F">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对照《产业结构调整指导目录（</w:t>
            </w:r>
            <w:r>
              <w:rPr>
                <w:rFonts w:hint="default" w:ascii="Times New Roman" w:hAnsi="Times New Roman" w:eastAsia="TimesNewRomanPSMT" w:cs="Times New Roman"/>
                <w:b w:val="0"/>
                <w:bCs w:val="0"/>
                <w:color w:val="000000"/>
                <w:sz w:val="24"/>
                <w:szCs w:val="24"/>
              </w:rPr>
              <w:t>2024</w:t>
            </w:r>
            <w:r>
              <w:rPr>
                <w:rFonts w:hint="default" w:ascii="Times New Roman" w:hAnsi="Times New Roman" w:eastAsia="宋体" w:cs="Times New Roman"/>
                <w:b w:val="0"/>
                <w:bCs w:val="0"/>
                <w:color w:val="000000"/>
                <w:sz w:val="24"/>
                <w:szCs w:val="24"/>
              </w:rPr>
              <w:t>年本）》，本项目不属于中限制类和淘汰类项目，视为允许类项目。</w:t>
            </w:r>
          </w:p>
          <w:p w14:paraId="57CF1CF0">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因此，项目不在生态环境准入负面清单中。</w:t>
            </w:r>
          </w:p>
          <w:p w14:paraId="3EAD973E">
            <w:pPr>
              <w:pStyle w:val="51"/>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5、</w:t>
            </w:r>
            <w:r>
              <w:rPr>
                <w:rFonts w:hint="default" w:ascii="Times New Roman" w:hAnsi="Times New Roman" w:eastAsia="宋体" w:cs="Times New Roman"/>
                <w:b/>
                <w:bCs/>
                <w:color w:val="000000"/>
                <w:sz w:val="24"/>
                <w:szCs w:val="24"/>
              </w:rPr>
              <w:t>产业政策符合性</w:t>
            </w:r>
          </w:p>
          <w:p w14:paraId="44CDCC7B">
            <w:pPr>
              <w:pStyle w:val="51"/>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本项目不属于《产业结构调整目录（</w:t>
            </w:r>
            <w:r>
              <w:rPr>
                <w:rFonts w:hint="default" w:ascii="Times New Roman" w:hAnsi="Times New Roman" w:eastAsia="TimesNewRomanPSMT" w:cs="Times New Roman"/>
                <w:b w:val="0"/>
                <w:bCs w:val="0"/>
                <w:color w:val="000000"/>
                <w:sz w:val="24"/>
                <w:szCs w:val="24"/>
              </w:rPr>
              <w:t>2024</w:t>
            </w:r>
            <w:r>
              <w:rPr>
                <w:rFonts w:hint="default" w:ascii="Times New Roman" w:hAnsi="Times New Roman" w:eastAsia="宋体" w:cs="Times New Roman"/>
                <w:b w:val="0"/>
                <w:bCs w:val="0"/>
                <w:color w:val="000000"/>
                <w:sz w:val="24"/>
                <w:szCs w:val="24"/>
              </w:rPr>
              <w:t>年本）》（中华人民共和国国家发展和改革委员会令第</w:t>
            </w:r>
            <w:r>
              <w:rPr>
                <w:rFonts w:hint="default" w:ascii="Times New Roman" w:hAnsi="Times New Roman" w:eastAsia="TimesNewRomanPSMT" w:cs="Times New Roman"/>
                <w:b w:val="0"/>
                <w:bCs w:val="0"/>
                <w:color w:val="000000"/>
                <w:sz w:val="24"/>
                <w:szCs w:val="24"/>
              </w:rPr>
              <w:t>29</w:t>
            </w:r>
            <w:r>
              <w:rPr>
                <w:rFonts w:hint="default" w:ascii="Times New Roman" w:hAnsi="Times New Roman" w:eastAsia="宋体" w:cs="Times New Roman"/>
                <w:b w:val="0"/>
                <w:bCs w:val="0"/>
                <w:color w:val="000000"/>
                <w:sz w:val="24"/>
                <w:szCs w:val="24"/>
              </w:rPr>
              <w:t>号）中的限制类和淘汰类项目，不属于《禁止用地用地项目目录（</w:t>
            </w:r>
            <w:r>
              <w:rPr>
                <w:rFonts w:hint="default" w:ascii="Times New Roman" w:hAnsi="Times New Roman" w:eastAsia="TimesNewRomanPSMT" w:cs="Times New Roman"/>
                <w:b w:val="0"/>
                <w:bCs w:val="0"/>
                <w:color w:val="000000"/>
                <w:sz w:val="24"/>
                <w:szCs w:val="24"/>
              </w:rPr>
              <w:t>2012</w:t>
            </w:r>
            <w:r>
              <w:rPr>
                <w:rFonts w:hint="default" w:ascii="Times New Roman" w:hAnsi="Times New Roman" w:eastAsia="宋体" w:cs="Times New Roman"/>
                <w:b w:val="0"/>
                <w:bCs w:val="0"/>
                <w:color w:val="000000"/>
                <w:sz w:val="24"/>
                <w:szCs w:val="24"/>
              </w:rPr>
              <w:t>年本）》、《限制用地项目目录（</w:t>
            </w:r>
            <w:r>
              <w:rPr>
                <w:rFonts w:hint="default" w:ascii="Times New Roman" w:hAnsi="Times New Roman" w:eastAsia="TimesNewRomanPSMT" w:cs="Times New Roman"/>
                <w:b w:val="0"/>
                <w:bCs w:val="0"/>
                <w:color w:val="000000"/>
                <w:sz w:val="24"/>
                <w:szCs w:val="24"/>
              </w:rPr>
              <w:t>2012</w:t>
            </w:r>
            <w:r>
              <w:rPr>
                <w:rFonts w:hint="default" w:ascii="Times New Roman" w:hAnsi="Times New Roman" w:eastAsia="宋体" w:cs="Times New Roman"/>
                <w:b w:val="0"/>
                <w:bCs w:val="0"/>
                <w:color w:val="000000"/>
                <w:sz w:val="24"/>
                <w:szCs w:val="24"/>
              </w:rPr>
              <w:t>年本）》中禁止和限制的用地项目。本项目已于</w:t>
            </w:r>
            <w:r>
              <w:rPr>
                <w:rFonts w:hint="default" w:ascii="Times New Roman" w:hAnsi="Times New Roman" w:eastAsia="TimesNewRomanPSMT" w:cs="Times New Roman"/>
                <w:b w:val="0"/>
                <w:bCs w:val="0"/>
                <w:color w:val="000000"/>
                <w:sz w:val="24"/>
                <w:szCs w:val="24"/>
              </w:rPr>
              <w:t>202</w:t>
            </w:r>
            <w:r>
              <w:rPr>
                <w:rFonts w:hint="default" w:ascii="Times New Roman" w:hAnsi="Times New Roman" w:eastAsia="宋体" w:cs="Times New Roman"/>
                <w:b w:val="0"/>
                <w:bCs w:val="0"/>
                <w:color w:val="000000"/>
                <w:sz w:val="24"/>
                <w:szCs w:val="24"/>
                <w:lang w:val="en-US" w:eastAsia="zh-CN"/>
              </w:rPr>
              <w:t>5</w:t>
            </w:r>
            <w:r>
              <w:rPr>
                <w:rFonts w:hint="default" w:ascii="Times New Roman" w:hAnsi="Times New Roman" w:eastAsia="宋体" w:cs="Times New Roman"/>
                <w:b w:val="0"/>
                <w:bCs w:val="0"/>
                <w:color w:val="000000"/>
                <w:sz w:val="24"/>
                <w:szCs w:val="24"/>
              </w:rPr>
              <w:t>年</w:t>
            </w:r>
            <w:r>
              <w:rPr>
                <w:rFonts w:hint="default" w:ascii="Times New Roman" w:hAnsi="Times New Roman" w:eastAsia="宋体" w:cs="Times New Roman"/>
                <w:b w:val="0"/>
                <w:bCs w:val="0"/>
                <w:color w:val="000000"/>
                <w:sz w:val="24"/>
                <w:szCs w:val="24"/>
                <w:lang w:val="en-US" w:eastAsia="zh-CN"/>
              </w:rPr>
              <w:t>5</w:t>
            </w:r>
            <w:r>
              <w:rPr>
                <w:rFonts w:hint="default" w:ascii="Times New Roman" w:hAnsi="Times New Roman" w:eastAsia="宋体" w:cs="Times New Roman"/>
                <w:b w:val="0"/>
                <w:bCs w:val="0"/>
                <w:color w:val="000000"/>
                <w:sz w:val="24"/>
                <w:szCs w:val="24"/>
              </w:rPr>
              <w:t>月</w:t>
            </w:r>
            <w:r>
              <w:rPr>
                <w:rFonts w:hint="default" w:ascii="Times New Roman" w:hAnsi="Times New Roman" w:eastAsia="宋体" w:cs="Times New Roman"/>
                <w:b w:val="0"/>
                <w:bCs w:val="0"/>
                <w:color w:val="000000"/>
                <w:sz w:val="24"/>
                <w:szCs w:val="24"/>
                <w:lang w:val="en-US" w:eastAsia="zh-CN"/>
              </w:rPr>
              <w:t>16</w:t>
            </w:r>
            <w:r>
              <w:rPr>
                <w:rFonts w:hint="default" w:ascii="Times New Roman" w:hAnsi="Times New Roman" w:eastAsia="宋体" w:cs="Times New Roman"/>
                <w:b w:val="0"/>
                <w:bCs w:val="0"/>
                <w:color w:val="000000"/>
                <w:sz w:val="24"/>
                <w:szCs w:val="24"/>
              </w:rPr>
              <w:t>日，</w:t>
            </w:r>
            <w:r>
              <w:rPr>
                <w:rFonts w:hint="default" w:ascii="Times New Roman" w:hAnsi="Times New Roman" w:eastAsia="TimesNewRomanPSMT"/>
                <w:color w:val="000000"/>
                <w:sz w:val="24"/>
                <w:szCs w:val="24"/>
                <w:lang w:eastAsia="zh-CN" w:bidi="en-US"/>
              </w:rPr>
              <w:t>经</w:t>
            </w:r>
            <w:r>
              <w:rPr>
                <w:rFonts w:hint="eastAsia" w:ascii="Times New Roman" w:hAnsi="Times New Roman" w:eastAsia="TimesNewRomanPSMT"/>
                <w:color w:val="000000"/>
                <w:sz w:val="24"/>
                <w:szCs w:val="24"/>
                <w:lang w:val="en-US" w:eastAsia="zh-CN" w:bidi="en-US"/>
              </w:rPr>
              <w:t>杜集区</w:t>
            </w:r>
            <w:r>
              <w:rPr>
                <w:rFonts w:hint="default" w:ascii="Times New Roman" w:hAnsi="Times New Roman" w:eastAsia="TimesNewRomanPSMT"/>
                <w:color w:val="000000"/>
                <w:sz w:val="24"/>
                <w:szCs w:val="24"/>
                <w:lang w:eastAsia="zh-CN" w:bidi="en-US"/>
              </w:rPr>
              <w:t>信委备案</w:t>
            </w:r>
            <w:r>
              <w:rPr>
                <w:rFonts w:hint="default" w:ascii="Times New Roman" w:hAnsi="Times New Roman" w:eastAsia="TimesNewRomanPSMT" w:cs="Times New Roman"/>
                <w:b w:val="0"/>
                <w:bCs w:val="0"/>
                <w:color w:val="000000"/>
                <w:sz w:val="24"/>
                <w:szCs w:val="24"/>
              </w:rPr>
              <w:t>（</w:t>
            </w:r>
            <w:r>
              <w:rPr>
                <w:rFonts w:hint="default" w:ascii="Times New Roman" w:hAnsi="Times New Roman" w:eastAsia="宋体" w:cs="Times New Roman"/>
                <w:b w:val="0"/>
                <w:bCs w:val="0"/>
                <w:color w:val="000000"/>
                <w:sz w:val="24"/>
                <w:szCs w:val="24"/>
              </w:rPr>
              <w:t>项目代码：</w:t>
            </w:r>
            <w:r>
              <w:rPr>
                <w:rFonts w:hint="default" w:ascii="Times New Roman" w:hAnsi="Times New Roman" w:cs="Times New Roman"/>
                <w:color w:val="auto"/>
                <w:sz w:val="24"/>
                <w:lang w:val="en-US" w:eastAsia="zh-CN"/>
              </w:rPr>
              <w:t>2505-340602-07-02-387777</w:t>
            </w:r>
            <w:r>
              <w:rPr>
                <w:rFonts w:hint="default" w:ascii="Times New Roman" w:hAnsi="Times New Roman" w:eastAsia="宋体" w:cs="Times New Roman"/>
                <w:b w:val="0"/>
                <w:bCs w:val="0"/>
                <w:color w:val="000000"/>
                <w:sz w:val="24"/>
                <w:szCs w:val="24"/>
              </w:rPr>
              <w:t>），符合当地产业政策，根据相关部门意见，本项目符合当地规划要求，未被列入环境准入负面清单。因此，本项目的建设符合国家相关的产业政策要求。</w:t>
            </w:r>
          </w:p>
          <w:p w14:paraId="778B5BCC">
            <w:pPr>
              <w:pStyle w:val="51"/>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lang w:eastAsia="zh-CN"/>
              </w:rPr>
              <w:t>政策相符性分析</w:t>
            </w:r>
          </w:p>
          <w:p w14:paraId="78EFADE6">
            <w:pPr>
              <w:pStyle w:val="51"/>
              <w:keepNext w:val="0"/>
              <w:keepLines w:val="0"/>
              <w:pageBreakBefore w:val="0"/>
              <w:widowControl/>
              <w:numPr>
                <w:ilvl w:val="0"/>
                <w:numId w:val="0"/>
              </w:numPr>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rPr>
              <w:t>与《淮北市生态环境保护</w:t>
            </w: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bCs/>
                <w:color w:val="000000"/>
                <w:sz w:val="24"/>
                <w:szCs w:val="24"/>
              </w:rPr>
              <w:t>十四五</w:t>
            </w: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bCs/>
                <w:color w:val="000000"/>
                <w:sz w:val="24"/>
                <w:szCs w:val="24"/>
              </w:rPr>
              <w:t>规划》的通知（淮环〔</w:t>
            </w:r>
            <w:r>
              <w:rPr>
                <w:rFonts w:hint="default" w:ascii="Times New Roman" w:hAnsi="Times New Roman" w:eastAsia="宋体" w:cs="Times New Roman"/>
                <w:b w:val="0"/>
                <w:bCs w:val="0"/>
                <w:color w:val="000000"/>
                <w:sz w:val="24"/>
                <w:szCs w:val="24"/>
              </w:rPr>
              <w:t>2022</w:t>
            </w:r>
            <w:r>
              <w:rPr>
                <w:rFonts w:hint="default" w:ascii="Times New Roman" w:hAnsi="Times New Roman" w:eastAsia="宋体" w:cs="Times New Roman"/>
                <w:b/>
                <w:bCs/>
                <w:color w:val="000000"/>
                <w:sz w:val="24"/>
                <w:szCs w:val="24"/>
              </w:rPr>
              <w:t>〕</w:t>
            </w:r>
            <w:r>
              <w:rPr>
                <w:rFonts w:hint="default" w:ascii="Times New Roman" w:hAnsi="Times New Roman" w:eastAsia="宋体" w:cs="Times New Roman"/>
                <w:b w:val="0"/>
                <w:bCs w:val="0"/>
                <w:color w:val="000000"/>
                <w:sz w:val="24"/>
                <w:szCs w:val="24"/>
              </w:rPr>
              <w:t>1</w:t>
            </w:r>
            <w:r>
              <w:rPr>
                <w:rFonts w:hint="default" w:ascii="Times New Roman" w:hAnsi="Times New Roman" w:eastAsia="宋体" w:cs="Times New Roman"/>
                <w:b/>
                <w:bCs/>
                <w:color w:val="000000"/>
                <w:sz w:val="24"/>
                <w:szCs w:val="24"/>
              </w:rPr>
              <w:t>号）相符性分析</w:t>
            </w:r>
          </w:p>
          <w:p w14:paraId="703A9C8E">
            <w:pPr>
              <w:pStyle w:val="51"/>
              <w:numPr>
                <w:ilvl w:val="0"/>
                <w:numId w:val="0"/>
              </w:numPr>
              <w:spacing w:line="240" w:lineRule="auto"/>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w:t>
            </w: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与淮环〔2022〕1号文件相符性分析</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3424"/>
              <w:gridCol w:w="2597"/>
              <w:gridCol w:w="758"/>
            </w:tblGrid>
            <w:tr w14:paraId="0F2A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428" w:type="pct"/>
                  <w:noWrap w:val="0"/>
                  <w:vAlign w:val="center"/>
                </w:tcPr>
                <w:p w14:paraId="5C6946FD">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序号</w:t>
                  </w:r>
                </w:p>
              </w:tc>
              <w:tc>
                <w:tcPr>
                  <w:tcW w:w="2308" w:type="pct"/>
                  <w:tcBorders>
                    <w:left w:val="nil"/>
                  </w:tcBorders>
                  <w:noWrap w:val="0"/>
                  <w:vAlign w:val="center"/>
                </w:tcPr>
                <w:p w14:paraId="1765A274">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内容</w:t>
                  </w:r>
                </w:p>
              </w:tc>
              <w:tc>
                <w:tcPr>
                  <w:tcW w:w="1751" w:type="pct"/>
                  <w:noWrap w:val="0"/>
                  <w:vAlign w:val="center"/>
                </w:tcPr>
                <w:p w14:paraId="249209B4">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本项目建设内容</w:t>
                  </w:r>
                </w:p>
              </w:tc>
              <w:tc>
                <w:tcPr>
                  <w:tcW w:w="511" w:type="pct"/>
                  <w:noWrap w:val="0"/>
                  <w:vAlign w:val="center"/>
                </w:tcPr>
                <w:p w14:paraId="58DC287A">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相符性</w:t>
                  </w:r>
                </w:p>
              </w:tc>
            </w:tr>
            <w:tr w14:paraId="2A8F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trPr>
              <w:tc>
                <w:tcPr>
                  <w:tcW w:w="428" w:type="pct"/>
                  <w:noWrap w:val="0"/>
                  <w:vAlign w:val="center"/>
                </w:tcPr>
                <w:p w14:paraId="31A1705C">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1</w:t>
                  </w:r>
                </w:p>
              </w:tc>
              <w:tc>
                <w:tcPr>
                  <w:tcW w:w="2308" w:type="pct"/>
                  <w:tcBorders>
                    <w:left w:val="nil"/>
                  </w:tcBorders>
                  <w:noWrap w:val="0"/>
                  <w:vAlign w:val="center"/>
                </w:tcPr>
                <w:p w14:paraId="5FF77C8F">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推进风险全过程监管。强化企业环境风险主体责任，督促企业开展环境风险隐患排查并建立档案。抓好重点行业企业和重点区域的环境风险评估工作，实施环境风险分级管理，持续推进企业、市政、行政区域的三级防控体系。建立企业突发环境事件报告与应急处理制度、特征污染物监测报告等制度，探索建立建设项目验收与企业环境应急预案备案的联动机制，推广“标杆式”、“卡片式”预案管理模式。严格源头防控、深化过程监管，严厉打击污染治理设施不规范、不运行、偷排、漏排等行为，强化责任追究，将环境风险防范纳入到日常环境管理</w:t>
                  </w:r>
                </w:p>
              </w:tc>
              <w:tc>
                <w:tcPr>
                  <w:tcW w:w="1751" w:type="pct"/>
                  <w:noWrap w:val="0"/>
                  <w:vAlign w:val="center"/>
                </w:tcPr>
                <w:p w14:paraId="340E5EC1">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本项目将强化企业环境风险主体责任，督促企业开展环境风险隐患排查并建立档案，建立企业突发环境事件报告与应急处理制度、特征污染物监测报告等制度，加强厂区内的环境风险防范措施，制定突发环境风险应急预案联动</w:t>
                  </w:r>
                </w:p>
              </w:tc>
              <w:tc>
                <w:tcPr>
                  <w:tcW w:w="511" w:type="pct"/>
                  <w:noWrap w:val="0"/>
                  <w:vAlign w:val="center"/>
                </w:tcPr>
                <w:p w14:paraId="5750D3B7">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符合</w:t>
                  </w:r>
                </w:p>
              </w:tc>
            </w:tr>
            <w:tr w14:paraId="4EB0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28" w:type="pct"/>
                  <w:noWrap w:val="0"/>
                  <w:vAlign w:val="center"/>
                </w:tcPr>
                <w:p w14:paraId="433B9A83">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2</w:t>
                  </w:r>
                </w:p>
              </w:tc>
              <w:tc>
                <w:tcPr>
                  <w:tcW w:w="2308" w:type="pct"/>
                  <w:tcBorders>
                    <w:left w:val="nil"/>
                  </w:tcBorders>
                  <w:noWrap w:val="0"/>
                  <w:vAlign w:val="center"/>
                </w:tcPr>
                <w:p w14:paraId="129C8944">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强化应急防范处置能力。加强环境风险信息化管理，完善环境风险源、环境敏感目标、环境应急能力及环境应急预案等数据库，健全应急指挥决策支持系统，提升环境应急信息化水平。加强环境应急预案管理，强化应急演练，推进环境应急管理规范化。加强部门应急联动机制建设，完善环境应急监测设备，提高应急监测水平。提升环境应急保障能力，建立市、县(区)突发环境事件应急综合救援队伍，加强环境应急专家队伍管理，优化相关咨询机制和决策支持。加强突发环境事件环境污染损害评估、事件调查、信息发布等</w:t>
                  </w:r>
                </w:p>
              </w:tc>
              <w:tc>
                <w:tcPr>
                  <w:tcW w:w="1751" w:type="pct"/>
                  <w:noWrap w:val="0"/>
                  <w:vAlign w:val="center"/>
                </w:tcPr>
                <w:p w14:paraId="0E95DB96">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本项目完善环境风险源、环境敏感目标、环境应急能力及环境应急预案等数据库，且加强厂区内的环境风险防范措施，要求企业编制应急预案，加强突发环境事件环境污染损害评估、事件调查、信息发布</w:t>
                  </w:r>
                </w:p>
              </w:tc>
              <w:tc>
                <w:tcPr>
                  <w:tcW w:w="511" w:type="pct"/>
                  <w:noWrap w:val="0"/>
                  <w:vAlign w:val="center"/>
                </w:tcPr>
                <w:p w14:paraId="283FDABE">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符合</w:t>
                  </w:r>
                </w:p>
              </w:tc>
            </w:tr>
            <w:tr w14:paraId="1D4D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28" w:type="pct"/>
                  <w:noWrap w:val="0"/>
                  <w:vAlign w:val="center"/>
                </w:tcPr>
                <w:p w14:paraId="4862D203">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3</w:t>
                  </w:r>
                </w:p>
              </w:tc>
              <w:tc>
                <w:tcPr>
                  <w:tcW w:w="2308" w:type="pct"/>
                  <w:tcBorders>
                    <w:left w:val="nil"/>
                  </w:tcBorders>
                  <w:noWrap w:val="0"/>
                  <w:vAlign w:val="center"/>
                </w:tcPr>
                <w:p w14:paraId="04BF19D6">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防控重点行业环境风险。加强石化、化工行业环境风险防控，全面排查危险化学品生产、运输、使用及存储全过程风险隐患，健全环境监管及风险防范制度，严厉查处环境违法行为。加强对涉重行业环境风险防控，提高金属表面处理等行业环境准入门槛和环境安全水平。加强对危废处置企业环境风险管控，强化贮存、运输、处置的环境监管</w:t>
                  </w:r>
                </w:p>
              </w:tc>
              <w:tc>
                <w:tcPr>
                  <w:tcW w:w="1751" w:type="pct"/>
                  <w:noWrap w:val="0"/>
                  <w:vAlign w:val="center"/>
                </w:tcPr>
                <w:p w14:paraId="7FF9DE7C">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本项目不属石油、化工、金属表面处理等防控重点行业，且项目设置符合要求的危险废物贮存库，加强建设单位与危废处置单位之间的管控，降低环境风险</w:t>
                  </w:r>
                </w:p>
              </w:tc>
              <w:tc>
                <w:tcPr>
                  <w:tcW w:w="511" w:type="pct"/>
                  <w:noWrap w:val="0"/>
                  <w:vAlign w:val="center"/>
                </w:tcPr>
                <w:p w14:paraId="4CF18FE5">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符合</w:t>
                  </w:r>
                </w:p>
              </w:tc>
            </w:tr>
            <w:tr w14:paraId="2261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428" w:type="pct"/>
                  <w:noWrap w:val="0"/>
                  <w:vAlign w:val="center"/>
                </w:tcPr>
                <w:p w14:paraId="18EC46FC">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4</w:t>
                  </w:r>
                </w:p>
              </w:tc>
              <w:tc>
                <w:tcPr>
                  <w:tcW w:w="2308" w:type="pct"/>
                  <w:tcBorders>
                    <w:left w:val="nil"/>
                  </w:tcBorders>
                  <w:noWrap w:val="0"/>
                  <w:vAlign w:val="center"/>
                </w:tcPr>
                <w:p w14:paraId="779883B0">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加强生活垃圾综合处理。深入实施城市生活垃圾分类，提高垃圾处理减量化、资源化和无害化水平，积极创建“无废城市”。完善区域生活垃圾无害化处理系统，加强生活垃圾无害化处理设施建设和运营信息统计，重点推进对焚烧厂、卫生填埋场主要设施运营状况等实施实时监控，加强对焚烧设施烟气排放和卫生填埋场渗滤液和填埋气</w:t>
                  </w:r>
                </w:p>
              </w:tc>
              <w:tc>
                <w:tcPr>
                  <w:tcW w:w="1751" w:type="pct"/>
                  <w:noWrap w:val="0"/>
                  <w:vAlign w:val="center"/>
                </w:tcPr>
                <w:p w14:paraId="0D35B31A">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本项目生活垃圾经生活垃圾桶收集后由环卫部门统一清运处理，只在厂内暂存</w:t>
                  </w:r>
                </w:p>
              </w:tc>
              <w:tc>
                <w:tcPr>
                  <w:tcW w:w="511" w:type="pct"/>
                  <w:noWrap w:val="0"/>
                  <w:vAlign w:val="center"/>
                </w:tcPr>
                <w:p w14:paraId="48B00D94">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符合</w:t>
                  </w:r>
                </w:p>
              </w:tc>
            </w:tr>
          </w:tbl>
          <w:p w14:paraId="36FF3D2A">
            <w:pPr>
              <w:pStyle w:val="51"/>
              <w:keepNext w:val="0"/>
              <w:keepLines w:val="0"/>
              <w:pageBreakBefore w:val="0"/>
              <w:widowControl/>
              <w:numPr>
                <w:ilvl w:val="0"/>
                <w:numId w:val="0"/>
              </w:numPr>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lang w:eastAsia="zh-CN"/>
              </w:rPr>
              <w:t>）与安徽省人民政府《关于印发安徽省空气质量持续改善行动方案的通知》（皖政〔2024〕36号）相符性分析</w:t>
            </w:r>
          </w:p>
          <w:p w14:paraId="4C7134DC">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与皖政〔2024〕36号文件相符性分析</w:t>
            </w:r>
          </w:p>
          <w:tbl>
            <w:tblPr>
              <w:tblStyle w:val="2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3453"/>
              <w:gridCol w:w="2272"/>
              <w:gridCol w:w="968"/>
            </w:tblGrid>
            <w:tr w14:paraId="479D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6" w:type="dxa"/>
                  <w:noWrap w:val="0"/>
                  <w:vAlign w:val="center"/>
                </w:tcPr>
                <w:p w14:paraId="67715FF9">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序号</w:t>
                  </w:r>
                </w:p>
              </w:tc>
              <w:tc>
                <w:tcPr>
                  <w:tcW w:w="3375" w:type="dxa"/>
                  <w:noWrap w:val="0"/>
                  <w:vAlign w:val="center"/>
                </w:tcPr>
                <w:p w14:paraId="5F9974E2">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内容</w:t>
                  </w:r>
                </w:p>
              </w:tc>
              <w:tc>
                <w:tcPr>
                  <w:tcW w:w="2221" w:type="dxa"/>
                  <w:noWrap w:val="0"/>
                  <w:vAlign w:val="center"/>
                </w:tcPr>
                <w:p w14:paraId="45695514">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highlight w:val="none"/>
                      <w:lang w:val="en-US" w:eastAsia="zh-CN" w:bidi="en-US"/>
                    </w:rPr>
                    <w:t>本项目情况</w:t>
                  </w:r>
                </w:p>
              </w:tc>
              <w:tc>
                <w:tcPr>
                  <w:tcW w:w="946" w:type="dxa"/>
                  <w:noWrap w:val="0"/>
                  <w:vAlign w:val="center"/>
                </w:tcPr>
                <w:p w14:paraId="635CB3AC">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相符性</w:t>
                  </w:r>
                </w:p>
              </w:tc>
            </w:tr>
            <w:tr w14:paraId="4208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636" w:type="dxa"/>
                  <w:vMerge w:val="restart"/>
                  <w:noWrap w:val="0"/>
                  <w:vAlign w:val="center"/>
                </w:tcPr>
                <w:p w14:paraId="5DA11969">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三、强化产业布局升级，源头推进绿色发展</w:t>
                  </w:r>
                </w:p>
                <w:p w14:paraId="3241FBC5">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p>
              </w:tc>
              <w:tc>
                <w:tcPr>
                  <w:tcW w:w="3375" w:type="dxa"/>
                  <w:noWrap w:val="0"/>
                  <w:vAlign w:val="center"/>
                </w:tcPr>
                <w:p w14:paraId="30D99EBC">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推动新能源和节能环保等产业健康发展。深化新能源和节能环保产业“双招双引”，在低（无）VOCs含量原辅材料生产和使用、VOCs污染治理、超低排放、环境和大气成分监测等领域支持培育一批技术水平高、市场竞争力强的龙头企业。加快发展新能源汽车和智能网联汽车等战略性新兴产业。开展招标投标领域优化营商环境对标提升行动，系统治理环保领域低价低质中标乱象，营造公平竞争环境，推动产业健康有序发展</w:t>
                  </w:r>
                </w:p>
              </w:tc>
              <w:tc>
                <w:tcPr>
                  <w:tcW w:w="2221" w:type="dxa"/>
                  <w:vMerge w:val="restart"/>
                  <w:noWrap w:val="0"/>
                  <w:vAlign w:val="center"/>
                </w:tcPr>
                <w:p w14:paraId="1A408EC1">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项目含VOCs物料全过程采取密闭管理。储存环节采用密闭容器，封闭式化学品仓。装卸、转移环节采用密闭容器。废气收集后经VOCs废气处理系统处理后有组织达标排放。企业承诺非取用状态时容器保持密闭。处置环节应将盛装过VOCs物料的包装容器、含VOCs废料（渣、液）、废吸附剂等通过加盖、封装等方式密闭，妥善存放，交由有资质的单位处置,严格执行VOCs含量限值标准</w:t>
                  </w:r>
                </w:p>
              </w:tc>
              <w:tc>
                <w:tcPr>
                  <w:tcW w:w="946" w:type="dxa"/>
                  <w:noWrap w:val="0"/>
                  <w:vAlign w:val="center"/>
                </w:tcPr>
                <w:p w14:paraId="6563D21B">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符合</w:t>
                  </w:r>
                </w:p>
              </w:tc>
            </w:tr>
            <w:tr w14:paraId="6407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3" w:hRule="atLeast"/>
                <w:jc w:val="center"/>
              </w:trPr>
              <w:tc>
                <w:tcPr>
                  <w:tcW w:w="636" w:type="dxa"/>
                  <w:vMerge w:val="continue"/>
                  <w:noWrap w:val="0"/>
                  <w:vAlign w:val="center"/>
                </w:tcPr>
                <w:p w14:paraId="0D1A12B3">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p>
              </w:tc>
              <w:tc>
                <w:tcPr>
                  <w:tcW w:w="3375" w:type="dxa"/>
                  <w:noWrap w:val="0"/>
                  <w:vAlign w:val="center"/>
                </w:tcPr>
                <w:p w14:paraId="606F6A09">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加快低（无）VOCs原辅材料替代。严格控制生产和使用高VOCs含量涂料、油墨、胶粘剂、清洗剂等建设项目。推动现有高VOCs含量产品生产企业加快产品升级转型，提高低（无）VOCs含量产品比重。加大工业涂装行业、包装印刷行业及电子行业低（无）VOCs含量原辅材料替代力度。室外构筑物防护和城市道路交通标志推广使用低（无）VOCs含量涂料。严格执行VOCs含量限值标准，确保生产、销售、进口、使用符合标准的产品</w:t>
                  </w:r>
                </w:p>
              </w:tc>
              <w:tc>
                <w:tcPr>
                  <w:tcW w:w="2221" w:type="dxa"/>
                  <w:vMerge w:val="continue"/>
                  <w:noWrap w:val="0"/>
                  <w:vAlign w:val="center"/>
                </w:tcPr>
                <w:p w14:paraId="689430E1">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p>
              </w:tc>
              <w:tc>
                <w:tcPr>
                  <w:tcW w:w="946" w:type="dxa"/>
                  <w:noWrap w:val="0"/>
                  <w:vAlign w:val="center"/>
                </w:tcPr>
                <w:p w14:paraId="240BE1AC">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符合</w:t>
                  </w:r>
                </w:p>
              </w:tc>
            </w:tr>
            <w:tr w14:paraId="37C2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36" w:type="dxa"/>
                  <w:vMerge w:val="continue"/>
                  <w:noWrap w:val="0"/>
                  <w:vAlign w:val="center"/>
                </w:tcPr>
                <w:p w14:paraId="637D3530">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p>
              </w:tc>
              <w:tc>
                <w:tcPr>
                  <w:tcW w:w="3375" w:type="dxa"/>
                  <w:noWrap w:val="0"/>
                  <w:vAlign w:val="center"/>
                </w:tcPr>
                <w:p w14:paraId="13695DC0">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严格落实法律法规和标准。加强大气污染防治法治保障，严格实施大气污染防治法、清洁生产促进法和移动源污染防治管理办法，依法惩戒环境污染责任主体。落实VOCs含量限值强制性国家标准、低（无）VOCs含量产品标识制度、有机废气治理用活性炭技术要求。严格落实国家环境空气质量标准、铁路内燃机车污染物排放等强制性国家标准。加快出台大气污染物排放标准，及时开展相关法规、标准培训和宣传解读</w:t>
                  </w:r>
                </w:p>
              </w:tc>
              <w:tc>
                <w:tcPr>
                  <w:tcW w:w="2221" w:type="dxa"/>
                  <w:noWrap w:val="0"/>
                  <w:vAlign w:val="center"/>
                </w:tcPr>
                <w:p w14:paraId="518105F5">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lang w:val="en-US" w:eastAsia="zh-CN" w:bidi="en-US"/>
                    </w:rPr>
                  </w:pPr>
                  <w:r>
                    <w:rPr>
                      <w:rFonts w:hint="default" w:ascii="Times New Roman" w:hAnsi="Times New Roman" w:cs="Times New Roman"/>
                      <w:color w:val="auto"/>
                      <w:spacing w:val="-1"/>
                      <w:position w:val="1"/>
                      <w:sz w:val="21"/>
                      <w:szCs w:val="21"/>
                      <w:u w:val="none"/>
                      <w:lang w:eastAsia="zh-CN"/>
                    </w:rPr>
                    <w:t>喷漆、晾干工艺废气</w:t>
                  </w:r>
                  <w:r>
                    <w:rPr>
                      <w:rFonts w:hint="default" w:ascii="Times New Roman" w:hAnsi="Times New Roman" w:cs="Times New Roman"/>
                      <w:color w:val="000000"/>
                      <w:szCs w:val="21"/>
                    </w:rPr>
                    <w:t>采用密闭负压收集+过滤棉+二级活性炭吸附（TA00</w:t>
                  </w:r>
                  <w:r>
                    <w:rPr>
                      <w:rFonts w:hint="eastAsia" w:cs="Times New Roman"/>
                      <w:color w:val="000000"/>
                      <w:szCs w:val="21"/>
                      <w:lang w:val="en-US" w:eastAsia="zh-CN"/>
                    </w:rPr>
                    <w:t>3</w:t>
                  </w:r>
                  <w:r>
                    <w:rPr>
                      <w:rFonts w:hint="default" w:ascii="Times New Roman" w:hAnsi="Times New Roman" w:cs="Times New Roman"/>
                      <w:color w:val="000000"/>
                      <w:szCs w:val="21"/>
                    </w:rPr>
                    <w:t>）+20米高排气筒DA00</w:t>
                  </w:r>
                  <w:r>
                    <w:rPr>
                      <w:rFonts w:hint="eastAsia" w:cs="Times New Roman"/>
                      <w:color w:val="000000"/>
                      <w:szCs w:val="21"/>
                      <w:lang w:val="en-US" w:eastAsia="zh-CN"/>
                    </w:rPr>
                    <w:t>3</w:t>
                  </w:r>
                </w:p>
              </w:tc>
              <w:tc>
                <w:tcPr>
                  <w:tcW w:w="946" w:type="dxa"/>
                  <w:noWrap w:val="0"/>
                  <w:vAlign w:val="center"/>
                </w:tcPr>
                <w:p w14:paraId="480D3E4C">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符合</w:t>
                  </w:r>
                </w:p>
              </w:tc>
            </w:tr>
          </w:tbl>
          <w:p w14:paraId="301F148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（3）与安徽省人民政府办公厅《关于印发皖北六市空气质量提升攻坚行动方案的通知》（皖政办秘〔2023〕58号，2023年12月8日）相符性分析</w:t>
            </w:r>
          </w:p>
          <w:p w14:paraId="537A83D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表1-</w:t>
            </w:r>
            <w:r>
              <w:rPr>
                <w:rFonts w:hint="eastAsia" w:cs="Times New Roman"/>
                <w:b/>
                <w:bCs/>
                <w:color w:val="auto"/>
                <w:sz w:val="24"/>
                <w:lang w:val="en-US" w:eastAsia="zh-CN"/>
              </w:rPr>
              <w:t>5</w:t>
            </w:r>
            <w:r>
              <w:rPr>
                <w:rFonts w:hint="default" w:ascii="Times New Roman" w:hAnsi="Times New Roman" w:eastAsia="宋体" w:cs="Times New Roman"/>
                <w:b/>
                <w:bCs/>
                <w:color w:val="auto"/>
                <w:sz w:val="24"/>
                <w:lang w:val="en-US" w:eastAsia="zh-CN"/>
              </w:rPr>
              <w:t>与皖政办秘〔2023〕58号文件相符性分析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4108"/>
              <w:gridCol w:w="1787"/>
              <w:gridCol w:w="965"/>
            </w:tblGrid>
            <w:tr w14:paraId="6F8C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Align w:val="center"/>
                </w:tcPr>
                <w:p w14:paraId="0F3121FD">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序号</w:t>
                  </w:r>
                </w:p>
              </w:tc>
              <w:tc>
                <w:tcPr>
                  <w:tcW w:w="2770" w:type="pct"/>
                  <w:vAlign w:val="center"/>
                </w:tcPr>
                <w:p w14:paraId="5567A7EE">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文件要求</w:t>
                  </w:r>
                </w:p>
              </w:tc>
              <w:tc>
                <w:tcPr>
                  <w:tcW w:w="1205" w:type="pct"/>
                  <w:vAlign w:val="center"/>
                </w:tcPr>
                <w:p w14:paraId="7BFBBE8E">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项目情况</w:t>
                  </w:r>
                </w:p>
              </w:tc>
              <w:tc>
                <w:tcPr>
                  <w:tcW w:w="651" w:type="pct"/>
                  <w:vAlign w:val="center"/>
                </w:tcPr>
                <w:p w14:paraId="7DCA4D3A">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相符性</w:t>
                  </w:r>
                </w:p>
              </w:tc>
            </w:tr>
            <w:tr w14:paraId="3899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Align w:val="center"/>
                </w:tcPr>
                <w:p w14:paraId="1512CD16">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1</w:t>
                  </w:r>
                </w:p>
              </w:tc>
              <w:tc>
                <w:tcPr>
                  <w:tcW w:w="2770" w:type="pct"/>
                  <w:vAlign w:val="center"/>
                </w:tcPr>
                <w:p w14:paraId="28744F69">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深化扬尘污染综合治理。加强扬尘管控的监测巡查，推进扬尘管控精细化、规范化、长效化。加大建筑施工扬尘管控力度，全面落实建成区建筑施工工地围挡及喷淋、物料堆放覆盖、土方开挖湿法作业、施工便道硬化、出入车辆清洗、渣土车辆密闭运输“六个百分之百”；严格落实交通、水利等线性工程扬尘控制措施。</w:t>
                  </w:r>
                </w:p>
              </w:tc>
              <w:tc>
                <w:tcPr>
                  <w:tcW w:w="1205" w:type="pct"/>
                  <w:vAlign w:val="center"/>
                </w:tcPr>
                <w:p w14:paraId="68A17919">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厂内非道路移动机械和吸排车等特种运输机械全部达到国六及以上</w:t>
                  </w:r>
                </w:p>
              </w:tc>
              <w:tc>
                <w:tcPr>
                  <w:tcW w:w="651" w:type="pct"/>
                  <w:vAlign w:val="center"/>
                </w:tcPr>
                <w:p w14:paraId="27BBB3DC">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相符</w:t>
                  </w:r>
                </w:p>
              </w:tc>
            </w:tr>
            <w:tr w14:paraId="7A02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Align w:val="center"/>
                </w:tcPr>
                <w:p w14:paraId="5A315D36">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2</w:t>
                  </w:r>
                </w:p>
              </w:tc>
              <w:tc>
                <w:tcPr>
                  <w:tcW w:w="2770" w:type="pct"/>
                  <w:vAlign w:val="center"/>
                </w:tcPr>
                <w:p w14:paraId="6D8F228C">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强化移动源污染综合治理。全面实施机动车排放检验与维护制度，定期进行排放情况抽测。加快推进企业单位使用以新能源为动力的内部作业车辆和机械，全面推广使用新能源非道路移动机械。2025年底前基本淘汰国Ⅰ及以下排放标准的工程机械。深化非法加油站点整治，加大自备加油站点监管，严厉打击不合格油品。开展油气回收专项排查整治。</w:t>
                  </w:r>
                </w:p>
              </w:tc>
              <w:tc>
                <w:tcPr>
                  <w:tcW w:w="1205" w:type="pct"/>
                  <w:vAlign w:val="center"/>
                </w:tcPr>
                <w:p w14:paraId="3C923D85">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生活垃圾</w:t>
                  </w:r>
                  <w:r>
                    <w:rPr>
                      <w:rFonts w:hint="default" w:ascii="Times New Roman" w:hAnsi="Times New Roman" w:cs="Times New Roman"/>
                      <w:color w:val="auto"/>
                      <w:kern w:val="2"/>
                      <w:sz w:val="21"/>
                      <w:szCs w:val="21"/>
                      <w:lang w:val="en-US" w:eastAsia="zh-CN" w:bidi="en-US"/>
                    </w:rPr>
                    <w:t>、</w:t>
                  </w:r>
                  <w:r>
                    <w:rPr>
                      <w:rFonts w:hint="default" w:ascii="Times New Roman" w:hAnsi="Times New Roman" w:eastAsia="宋体" w:cs="Times New Roman"/>
                      <w:color w:val="auto"/>
                      <w:kern w:val="2"/>
                      <w:sz w:val="21"/>
                      <w:szCs w:val="21"/>
                      <w:lang w:val="en-US" w:eastAsia="zh-CN" w:bidi="en-US"/>
                    </w:rPr>
                    <w:t>垃圾桶收集后，委托环卫部收集转运，严防垃圾及渗滤液抛洒滴漏</w:t>
                  </w:r>
                </w:p>
              </w:tc>
              <w:tc>
                <w:tcPr>
                  <w:tcW w:w="651" w:type="pct"/>
                  <w:vAlign w:val="center"/>
                </w:tcPr>
                <w:p w14:paraId="03784D18">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相符</w:t>
                  </w:r>
                </w:p>
              </w:tc>
            </w:tr>
          </w:tbl>
          <w:p w14:paraId="581F05C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（4）与淮北市人民政府办公室《关于印发淮北市空气质量提升攻坚行动方案的通知》（淮政办秘〔2024〕8号，2024年2月12日）通知相符性分析</w:t>
            </w:r>
          </w:p>
          <w:p w14:paraId="0AA7980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表1-</w:t>
            </w:r>
            <w:r>
              <w:rPr>
                <w:rFonts w:hint="eastAsia" w:cs="Times New Roman"/>
                <w:b/>
                <w:bCs/>
                <w:color w:val="auto"/>
                <w:sz w:val="24"/>
                <w:lang w:val="en-US" w:eastAsia="zh-CN"/>
              </w:rPr>
              <w:t>6</w:t>
            </w:r>
            <w:r>
              <w:rPr>
                <w:rFonts w:hint="default" w:ascii="Times New Roman" w:hAnsi="Times New Roman" w:eastAsia="宋体" w:cs="Times New Roman"/>
                <w:b/>
                <w:bCs/>
                <w:color w:val="auto"/>
                <w:sz w:val="24"/>
                <w:lang w:val="en-US" w:eastAsia="zh-CN"/>
              </w:rPr>
              <w:t>与淮政办秘〔2024〕8号文件相符性分析</w:t>
            </w:r>
          </w:p>
          <w:tbl>
            <w:tblPr>
              <w:tblStyle w:val="28"/>
              <w:tblW w:w="7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3383"/>
              <w:gridCol w:w="2221"/>
              <w:gridCol w:w="436"/>
            </w:tblGrid>
            <w:tr w14:paraId="1438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6" w:type="dxa"/>
                  <w:noWrap w:val="0"/>
                  <w:vAlign w:val="center"/>
                </w:tcPr>
                <w:p w14:paraId="09024E53">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序号</w:t>
                  </w:r>
                </w:p>
              </w:tc>
              <w:tc>
                <w:tcPr>
                  <w:tcW w:w="3383" w:type="dxa"/>
                  <w:noWrap w:val="0"/>
                  <w:vAlign w:val="center"/>
                </w:tcPr>
                <w:p w14:paraId="4690F5BA">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淮政办秘〔2024〕8号</w:t>
                  </w:r>
                </w:p>
              </w:tc>
              <w:tc>
                <w:tcPr>
                  <w:tcW w:w="2221" w:type="dxa"/>
                  <w:noWrap w:val="0"/>
                  <w:vAlign w:val="center"/>
                </w:tcPr>
                <w:p w14:paraId="2E9FEDAE">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本项目建设内容</w:t>
                  </w:r>
                </w:p>
              </w:tc>
              <w:tc>
                <w:tcPr>
                  <w:tcW w:w="436" w:type="dxa"/>
                  <w:noWrap w:val="0"/>
                  <w:vAlign w:val="center"/>
                </w:tcPr>
                <w:p w14:paraId="3696C401">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相符性</w:t>
                  </w:r>
                </w:p>
              </w:tc>
            </w:tr>
            <w:tr w14:paraId="001C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6" w:type="dxa"/>
                  <w:vMerge w:val="restart"/>
                  <w:noWrap w:val="0"/>
                  <w:vAlign w:val="center"/>
                </w:tcPr>
                <w:p w14:paraId="60B176A6">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1</w:t>
                  </w:r>
                </w:p>
              </w:tc>
              <w:tc>
                <w:tcPr>
                  <w:tcW w:w="3383" w:type="dxa"/>
                  <w:vMerge w:val="restart"/>
                  <w:noWrap w:val="0"/>
                  <w:vAlign w:val="center"/>
                </w:tcPr>
                <w:p w14:paraId="34C1DA97">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坚决遏制“两高”项目盲目发展。新改扩建项目严格落实国家产业规划、产业政策、产能置换、重点污染物总量控制、污染物排放区域削减、碳排放达峰目标等相关要求，采用清洁运输方式运输。严格火电、焦化行业监管，对火电、焦化、建材、水泥、化工、陶瓷等项目，实施清单管理、动态监控，严格落实省地方污染物排放标准和绩效分级差异管控，实施错峰生产和重污染天气应急管理措施；新建“两高”项目按照重污染天气A级绩效指标建设。</w:t>
                  </w:r>
                </w:p>
              </w:tc>
              <w:tc>
                <w:tcPr>
                  <w:tcW w:w="2221" w:type="dxa"/>
                  <w:vMerge w:val="restart"/>
                  <w:noWrap w:val="0"/>
                  <w:vAlign w:val="center"/>
                </w:tcPr>
                <w:p w14:paraId="3482FC07">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本项目〔C</w:t>
                  </w:r>
                  <w:r>
                    <w:rPr>
                      <w:rFonts w:hint="default" w:ascii="Times New Roman" w:hAnsi="Times New Roman" w:cs="Times New Roman"/>
                      <w:color w:val="auto"/>
                      <w:kern w:val="2"/>
                      <w:sz w:val="21"/>
                      <w:szCs w:val="21"/>
                      <w:lang w:val="en-US" w:eastAsia="zh-CN" w:bidi="en-US"/>
                    </w:rPr>
                    <w:t>3511</w:t>
                  </w:r>
                  <w:r>
                    <w:rPr>
                      <w:rFonts w:hint="default" w:ascii="Times New Roman" w:hAnsi="Times New Roman" w:eastAsia="宋体" w:cs="Times New Roman"/>
                      <w:color w:val="auto"/>
                      <w:kern w:val="2"/>
                      <w:sz w:val="21"/>
                      <w:szCs w:val="21"/>
                      <w:lang w:val="en-US" w:eastAsia="zh-CN" w:bidi="en-US"/>
                    </w:rPr>
                    <w:t>〕</w:t>
                  </w:r>
                  <w:r>
                    <w:rPr>
                      <w:rFonts w:hint="default" w:ascii="Times New Roman" w:hAnsi="Times New Roman" w:cs="Times New Roman"/>
                      <w:color w:val="auto"/>
                      <w:kern w:val="2"/>
                      <w:sz w:val="21"/>
                      <w:szCs w:val="21"/>
                      <w:lang w:val="en-US" w:eastAsia="zh-CN" w:bidi="en-US"/>
                    </w:rPr>
                    <w:t>矿山机械</w:t>
                  </w:r>
                  <w:r>
                    <w:rPr>
                      <w:rFonts w:hint="default" w:ascii="Times New Roman" w:hAnsi="Times New Roman" w:eastAsia="宋体" w:cs="Times New Roman"/>
                      <w:color w:val="auto"/>
                      <w:kern w:val="2"/>
                      <w:sz w:val="21"/>
                      <w:szCs w:val="21"/>
                      <w:lang w:val="en-US" w:eastAsia="zh-CN" w:bidi="en-US"/>
                    </w:rPr>
                    <w:t>制造，不属于高耗能、高排放项目；对照《产业结构调整目录（2024年本）》，本项目不属于其中淘汰和限制类项目；</w:t>
                  </w:r>
                </w:p>
              </w:tc>
              <w:tc>
                <w:tcPr>
                  <w:tcW w:w="436" w:type="dxa"/>
                  <w:noWrap w:val="0"/>
                  <w:vAlign w:val="center"/>
                </w:tcPr>
                <w:p w14:paraId="052E0CE0">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符合</w:t>
                  </w:r>
                </w:p>
              </w:tc>
            </w:tr>
            <w:tr w14:paraId="3BFE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6" w:type="dxa"/>
                  <w:vMerge w:val="continue"/>
                  <w:noWrap w:val="0"/>
                  <w:vAlign w:val="center"/>
                </w:tcPr>
                <w:p w14:paraId="4DDDA9E1">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p>
              </w:tc>
              <w:tc>
                <w:tcPr>
                  <w:tcW w:w="3383" w:type="dxa"/>
                  <w:vMerge w:val="continue"/>
                  <w:noWrap w:val="0"/>
                  <w:vAlign w:val="center"/>
                </w:tcPr>
                <w:p w14:paraId="05A8CAF8">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p>
              </w:tc>
              <w:tc>
                <w:tcPr>
                  <w:tcW w:w="2221" w:type="dxa"/>
                  <w:vMerge w:val="continue"/>
                  <w:noWrap w:val="0"/>
                  <w:vAlign w:val="center"/>
                </w:tcPr>
                <w:p w14:paraId="55D9B180">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p>
              </w:tc>
              <w:tc>
                <w:tcPr>
                  <w:tcW w:w="436" w:type="dxa"/>
                  <w:noWrap w:val="0"/>
                  <w:vAlign w:val="center"/>
                </w:tcPr>
                <w:p w14:paraId="5E571B65">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符合</w:t>
                  </w:r>
                </w:p>
              </w:tc>
            </w:tr>
            <w:tr w14:paraId="5357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6" w:type="dxa"/>
                  <w:noWrap w:val="0"/>
                  <w:vAlign w:val="center"/>
                </w:tcPr>
                <w:p w14:paraId="18F032A2">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2</w:t>
                  </w:r>
                </w:p>
              </w:tc>
              <w:tc>
                <w:tcPr>
                  <w:tcW w:w="3383" w:type="dxa"/>
                  <w:noWrap w:val="0"/>
                  <w:vAlign w:val="center"/>
                </w:tcPr>
                <w:p w14:paraId="507ECC75">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加快传统产业改造提升。加快退出重点行业落后产能，对照《产业结构调整指导目录(2024年本)》，逐步退出限制类涉气行业工艺和装备。全面推进众城水泥、临涣焦化等重点行业企业及燃煤锅炉超低排放改造，加大氨排放管控。加快推进建成区重污染企业搬迁改造，持续加强砖瓦、陶瓷、石灰、高岭土、玻璃等涉工业炉窑行业环境治理，扎实推进砖瓦企业转型发展三年提升行动。</w:t>
                  </w:r>
                </w:p>
              </w:tc>
              <w:tc>
                <w:tcPr>
                  <w:tcW w:w="2221" w:type="dxa"/>
                  <w:noWrap w:val="0"/>
                  <w:vAlign w:val="center"/>
                </w:tcPr>
                <w:p w14:paraId="490E2E8F">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对照《产业结构调整目录（2024年本）》，本项目不属于其中淘汰和限制类；本项目不使用污染物和温室气体排放明细高出行业平均水平、能效和清洁生产水平低的工艺和装备；本项目不属于限制类行业，且不属于涉气行业；本项目不涉及烧结机和球团竖炉，不属于钢铁、焦化、电解炉产业</w:t>
                  </w:r>
                </w:p>
              </w:tc>
              <w:tc>
                <w:tcPr>
                  <w:tcW w:w="436" w:type="dxa"/>
                  <w:noWrap w:val="0"/>
                  <w:vAlign w:val="center"/>
                </w:tcPr>
                <w:p w14:paraId="44DBF743">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符合</w:t>
                  </w:r>
                </w:p>
              </w:tc>
            </w:tr>
            <w:tr w14:paraId="39DE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6" w:type="dxa"/>
                  <w:noWrap w:val="0"/>
                  <w:vAlign w:val="center"/>
                </w:tcPr>
                <w:p w14:paraId="55E7E4A1">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3</w:t>
                  </w:r>
                </w:p>
              </w:tc>
              <w:tc>
                <w:tcPr>
                  <w:tcW w:w="3383" w:type="dxa"/>
                  <w:noWrap w:val="0"/>
                  <w:vAlign w:val="center"/>
                </w:tcPr>
                <w:p w14:paraId="3C870F96">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强化“散乱污”企业综合整治。全面排查塑料加工、人造板、木材加工、家具制造、合成革、包装印刷、石材(石料)加工、煤和矸石破碎加工(含煤球等)、粮食饲料加工、不规范搅拌站、汽车维修(抛光、打)、黑色和有色金属熔炼加工、陶瓷烧制、砖瓦窑、散状物料堆场等涉气“散乱污”企业，实施清单管理，建立动态管理台账，明确时限、责任、措施，依法依规限期退出，推动相关产业转型升级。</w:t>
                  </w:r>
                </w:p>
              </w:tc>
              <w:tc>
                <w:tcPr>
                  <w:tcW w:w="2221" w:type="dxa"/>
                  <w:noWrap w:val="0"/>
                  <w:vAlign w:val="center"/>
                </w:tcPr>
                <w:p w14:paraId="3E98A46D">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r>
                    <w:rPr>
                      <w:rFonts w:hint="default" w:ascii="Times New Roman" w:hAnsi="Times New Roman" w:eastAsia="宋体" w:cs="Times New Roman"/>
                      <w:color w:val="auto"/>
                      <w:kern w:val="2"/>
                      <w:sz w:val="21"/>
                      <w:szCs w:val="21"/>
                      <w:lang w:val="en-US" w:eastAsia="zh-CN" w:bidi="en-US"/>
                    </w:rPr>
                    <w:t>项目不属于“散乱污”企业，实施清单管理，建立动态管理台账</w:t>
                  </w:r>
                </w:p>
              </w:tc>
              <w:tc>
                <w:tcPr>
                  <w:tcW w:w="436" w:type="dxa"/>
                  <w:noWrap w:val="0"/>
                  <w:vAlign w:val="center"/>
                </w:tcPr>
                <w:p w14:paraId="474C78AD">
                  <w:pPr>
                    <w:pStyle w:val="5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en-US"/>
                    </w:rPr>
                  </w:pPr>
                </w:p>
              </w:tc>
            </w:tr>
          </w:tbl>
          <w:p w14:paraId="59853D70">
            <w:pPr>
              <w:numPr>
                <w:ilvl w:val="0"/>
                <w:numId w:val="0"/>
              </w:numPr>
              <w:bidi w:val="0"/>
              <w:spacing w:line="360" w:lineRule="auto"/>
              <w:jc w:val="left"/>
              <w:rPr>
                <w:rFonts w:hint="default" w:ascii="Times New Roman" w:hAnsi="Times New Roman" w:eastAsia="宋体" w:cs="Times New Roman"/>
                <w:color w:val="auto"/>
                <w:szCs w:val="21"/>
                <w:lang w:val="en-US" w:eastAsia="zh-CN"/>
              </w:rPr>
            </w:pPr>
          </w:p>
        </w:tc>
      </w:tr>
    </w:tbl>
    <w:p w14:paraId="4F85468B">
      <w:pPr>
        <w:pStyle w:val="25"/>
        <w:jc w:val="center"/>
        <w:outlineLvl w:val="0"/>
        <w:rPr>
          <w:color w:val="auto"/>
        </w:rPr>
      </w:pPr>
      <w:r>
        <w:rPr>
          <w:rFonts w:hint="eastAsia" w:ascii="黑体" w:hAnsi="黑体" w:eastAsia="黑体"/>
          <w:snapToGrid w:val="0"/>
          <w:color w:val="auto"/>
          <w:sz w:val="30"/>
          <w:szCs w:val="30"/>
        </w:rPr>
        <w:t>二、建设项目工程分析</w:t>
      </w:r>
    </w:p>
    <w:tbl>
      <w:tblPr>
        <w:tblStyle w:val="28"/>
        <w:tblW w:w="91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8586"/>
      </w:tblGrid>
      <w:tr w14:paraId="67A53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19" w:hRule="atLeast"/>
          <w:jc w:val="center"/>
        </w:trPr>
        <w:tc>
          <w:tcPr>
            <w:tcW w:w="600" w:type="dxa"/>
            <w:vAlign w:val="center"/>
          </w:tcPr>
          <w:p w14:paraId="6F450C53">
            <w:pPr>
              <w:pStyle w:val="25"/>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562" w:type="dxa"/>
            <w:shd w:val="clear" w:color="auto" w:fill="auto"/>
          </w:tcPr>
          <w:p w14:paraId="686FF325">
            <w:pPr>
              <w:numPr>
                <w:ilvl w:val="0"/>
                <w:numId w:val="3"/>
              </w:numPr>
              <w:spacing w:line="360" w:lineRule="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项目基本情况</w:t>
            </w:r>
          </w:p>
          <w:p w14:paraId="1B1F512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现有项目回顾</w:t>
            </w:r>
            <w:r>
              <w:rPr>
                <w:rFonts w:hint="eastAsia" w:ascii="Times New Roman" w:hAnsi="Times New Roman" w:cs="Times New Roman"/>
                <w:b/>
                <w:bCs/>
                <w:sz w:val="24"/>
                <w:lang w:val="en-US" w:eastAsia="zh-CN"/>
              </w:rPr>
              <w:t>：</w:t>
            </w:r>
          </w:p>
          <w:p w14:paraId="75EC17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color w:val="auto"/>
                <w:sz w:val="24"/>
                <w:lang w:val="en-US" w:eastAsia="zh-CN"/>
              </w:rPr>
            </w:pPr>
            <w:r>
              <w:rPr>
                <w:rFonts w:hint="eastAsia" w:ascii="Times New Roman" w:hAnsi="Times New Roman" w:cs="Times New Roman"/>
                <w:b w:val="0"/>
                <w:color w:val="auto"/>
                <w:sz w:val="24"/>
                <w:lang w:val="en-US" w:eastAsia="zh-CN"/>
              </w:rPr>
              <w:t>淮北科力机电设备有限责任公司，原址坐落于安徽省淮北市杜集区开发区腾飞中路，专注于液压装备支架配件的生产，其年生产能力达到年产7000吨液压装备支架配件。该公司采用的生产工艺包括分割、焊接、组装，属于环境影响评价豁免范围。该公司已于2022年3月完成排污许可登记，登记编号为91340600MA2NAM890B001W。鉴于租赁合同到期，该公司</w:t>
            </w:r>
            <w:r>
              <w:rPr>
                <w:rFonts w:hint="eastAsia" w:cs="Times New Roman"/>
                <w:b w:val="0"/>
                <w:color w:val="auto"/>
                <w:sz w:val="24"/>
                <w:lang w:val="en-US" w:eastAsia="zh-CN"/>
              </w:rPr>
              <w:t>已</w:t>
            </w:r>
            <w:r>
              <w:rPr>
                <w:rFonts w:hint="eastAsia" w:ascii="Times New Roman" w:hAnsi="Times New Roman" w:cs="Times New Roman"/>
                <w:b w:val="0"/>
                <w:color w:val="auto"/>
                <w:sz w:val="24"/>
                <w:lang w:val="en-US" w:eastAsia="zh-CN"/>
              </w:rPr>
              <w:t>于2025年5月迁至新的地址，即安徽省淮北市杜集区杜集经济开发区紫昱路16号。迁址后，其生产规模及工艺</w:t>
            </w:r>
            <w:r>
              <w:rPr>
                <w:rFonts w:hint="eastAsia" w:cs="Times New Roman"/>
                <w:b w:val="0"/>
                <w:color w:val="auto"/>
                <w:sz w:val="24"/>
                <w:lang w:val="en-US" w:eastAsia="zh-CN"/>
              </w:rPr>
              <w:t>等</w:t>
            </w:r>
            <w:r>
              <w:rPr>
                <w:rFonts w:hint="eastAsia" w:ascii="Times New Roman" w:hAnsi="Times New Roman" w:cs="Times New Roman"/>
                <w:b w:val="0"/>
                <w:color w:val="auto"/>
                <w:sz w:val="24"/>
                <w:lang w:val="en-US" w:eastAsia="zh-CN"/>
              </w:rPr>
              <w:t>保持不变。同时，排污许可证已进行</w:t>
            </w:r>
            <w:r>
              <w:rPr>
                <w:rFonts w:hint="eastAsia" w:cs="Times New Roman"/>
                <w:b w:val="0"/>
                <w:color w:val="auto"/>
                <w:sz w:val="24"/>
                <w:lang w:val="en-US" w:eastAsia="zh-CN"/>
              </w:rPr>
              <w:t>变更</w:t>
            </w:r>
            <w:r>
              <w:rPr>
                <w:rFonts w:hint="eastAsia" w:ascii="Times New Roman" w:hAnsi="Times New Roman" w:cs="Times New Roman"/>
                <w:b w:val="0"/>
                <w:color w:val="auto"/>
                <w:sz w:val="24"/>
                <w:lang w:val="en-US" w:eastAsia="zh-CN"/>
              </w:rPr>
              <w:t>，登记编号为91340600MA2NAM890B001W，有效期自2025年5月21日起至2030年5月20日止。目前，公司</w:t>
            </w:r>
            <w:r>
              <w:rPr>
                <w:rFonts w:hint="eastAsia" w:cs="Times New Roman"/>
                <w:b w:val="0"/>
                <w:color w:val="auto"/>
                <w:sz w:val="24"/>
                <w:lang w:val="en-US" w:eastAsia="zh-CN"/>
              </w:rPr>
              <w:t>具备</w:t>
            </w:r>
            <w:r>
              <w:rPr>
                <w:rFonts w:hint="eastAsia" w:ascii="Times New Roman" w:hAnsi="Times New Roman" w:cs="Times New Roman"/>
                <w:b w:val="0"/>
                <w:color w:val="auto"/>
                <w:sz w:val="24"/>
                <w:lang w:val="en-US" w:eastAsia="zh-CN"/>
              </w:rPr>
              <w:t>年产7000吨液压装备支架配件的生产能力。</w:t>
            </w:r>
          </w:p>
          <w:p w14:paraId="04445C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本项目情况</w:t>
            </w:r>
            <w:r>
              <w:rPr>
                <w:rFonts w:hint="eastAsia" w:cs="Times New Roman"/>
                <w:b/>
                <w:bCs/>
                <w:color w:val="auto"/>
                <w:sz w:val="24"/>
                <w:szCs w:val="24"/>
                <w:lang w:val="en-US" w:eastAsia="zh-CN"/>
              </w:rPr>
              <w:t>：</w:t>
            </w:r>
          </w:p>
          <w:p w14:paraId="35A0D6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val="0"/>
                <w:sz w:val="24"/>
              </w:rPr>
              <w:t>为提升产品品质，提高市场竞争力，拟实施以下</w:t>
            </w:r>
            <w:r>
              <w:rPr>
                <w:rFonts w:hint="eastAsia" w:cs="Times New Roman"/>
                <w:b w:val="0"/>
                <w:sz w:val="24"/>
                <w:lang w:eastAsia="zh-CN"/>
              </w:rPr>
              <w:t>扩建</w:t>
            </w:r>
            <w:r>
              <w:rPr>
                <w:rFonts w:hint="default" w:ascii="Times New Roman" w:hAnsi="Times New Roman" w:cs="Times New Roman"/>
                <w:b w:val="0"/>
                <w:sz w:val="24"/>
              </w:rPr>
              <w:t>：</w:t>
            </w:r>
            <w:r>
              <w:rPr>
                <w:rFonts w:hint="eastAsia" w:cs="Times New Roman"/>
                <w:b w:val="0"/>
                <w:sz w:val="24"/>
                <w:lang w:eastAsia="zh-CN"/>
              </w:rPr>
              <w:t>在现有厂址扩大生产，</w:t>
            </w:r>
            <w:r>
              <w:rPr>
                <w:rFonts w:hint="default" w:ascii="Times New Roman" w:hAnsi="Times New Roman" w:cs="Times New Roman"/>
                <w:b w:val="0"/>
                <w:sz w:val="24"/>
                <w:lang w:eastAsia="zh-CN"/>
              </w:rPr>
              <w:t>租用钢结构厂房</w:t>
            </w:r>
            <w:r>
              <w:rPr>
                <w:rFonts w:hint="eastAsia" w:cs="Times New Roman"/>
                <w:b w:val="0"/>
                <w:sz w:val="24"/>
                <w:lang w:eastAsia="zh-CN"/>
              </w:rPr>
              <w:t>面积</w:t>
            </w:r>
            <w:r>
              <w:rPr>
                <w:rFonts w:hint="default" w:ascii="Times New Roman" w:hAnsi="Times New Roman" w:cs="Times New Roman"/>
                <w:b w:val="0"/>
                <w:sz w:val="24"/>
                <w:lang w:eastAsia="zh-CN"/>
              </w:rPr>
              <w:t>约</w:t>
            </w:r>
            <w:r>
              <w:rPr>
                <w:rFonts w:hint="default" w:ascii="Times New Roman" w:hAnsi="Times New Roman" w:cs="Times New Roman"/>
                <w:b w:val="0"/>
                <w:sz w:val="24"/>
                <w:lang w:val="en-US" w:eastAsia="zh-CN"/>
              </w:rPr>
              <w:t>10000平方米，新增2822通过式抛丸清理机、</w:t>
            </w:r>
            <w:r>
              <w:rPr>
                <w:rFonts w:hint="eastAsia" w:cs="Times New Roman"/>
                <w:b w:val="0"/>
                <w:sz w:val="24"/>
                <w:lang w:val="en-US" w:eastAsia="zh-CN"/>
              </w:rPr>
              <w:t>密闭负压</w:t>
            </w:r>
            <w:r>
              <w:rPr>
                <w:rFonts w:hint="default" w:ascii="Times New Roman" w:hAnsi="Times New Roman" w:cs="Times New Roman"/>
                <w:b w:val="0"/>
                <w:sz w:val="24"/>
                <w:lang w:val="en-US" w:eastAsia="zh-CN"/>
              </w:rPr>
              <w:t>式喷漆房、3吨闭式单点压力机、50吨闭式单点压力机、10吨电动螺旋压力机、半龙门吊、电焊机、平板车等配套加工设备，年增产1000吨的液压装备支架配件</w:t>
            </w:r>
            <w:r>
              <w:rPr>
                <w:rFonts w:hint="eastAsia" w:cs="Times New Roman"/>
                <w:b w:val="0"/>
                <w:sz w:val="24"/>
                <w:lang w:val="en-US" w:eastAsia="zh-CN"/>
              </w:rPr>
              <w:t>，</w:t>
            </w:r>
            <w:r>
              <w:rPr>
                <w:rFonts w:hint="default" w:ascii="Times New Roman" w:hAnsi="Times New Roman" w:cs="Times New Roman"/>
                <w:b w:val="0"/>
                <w:sz w:val="24"/>
                <w:lang w:val="en-US" w:eastAsia="zh-CN"/>
              </w:rPr>
              <w:t>项目建成后</w:t>
            </w:r>
            <w:r>
              <w:rPr>
                <w:rFonts w:hint="eastAsia" w:cs="Times New Roman"/>
                <w:b w:val="0"/>
                <w:sz w:val="24"/>
                <w:lang w:val="en-US" w:eastAsia="zh-CN"/>
              </w:rPr>
              <w:t>全厂</w:t>
            </w:r>
            <w:r>
              <w:rPr>
                <w:rFonts w:hint="default" w:ascii="Times New Roman" w:hAnsi="Times New Roman" w:cs="Times New Roman"/>
                <w:b w:val="0"/>
                <w:sz w:val="24"/>
                <w:lang w:val="en-US" w:eastAsia="zh-CN"/>
              </w:rPr>
              <w:t>年产</w:t>
            </w:r>
            <w:r>
              <w:rPr>
                <w:rFonts w:hint="eastAsia" w:cs="Times New Roman"/>
                <w:b w:val="0"/>
                <w:sz w:val="24"/>
                <w:lang w:val="en-US" w:eastAsia="zh-CN"/>
              </w:rPr>
              <w:t>80</w:t>
            </w:r>
            <w:r>
              <w:rPr>
                <w:rFonts w:hint="default" w:ascii="Times New Roman" w:hAnsi="Times New Roman" w:cs="Times New Roman"/>
                <w:b w:val="0"/>
                <w:sz w:val="24"/>
                <w:lang w:val="en-US" w:eastAsia="zh-CN"/>
              </w:rPr>
              <w:t>00吨的液压装备支架配件</w:t>
            </w:r>
            <w:r>
              <w:rPr>
                <w:rFonts w:hint="eastAsia" w:cs="Times New Roman"/>
                <w:b w:val="0"/>
                <w:sz w:val="24"/>
                <w:lang w:val="en-US" w:eastAsia="zh-CN"/>
              </w:rPr>
              <w:t>。</w:t>
            </w:r>
          </w:p>
          <w:p w14:paraId="4E853E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本项目属于</w:t>
            </w:r>
            <w:r>
              <w:rPr>
                <w:rFonts w:hint="default" w:ascii="Times New Roman" w:hAnsi="Times New Roman" w:cs="Times New Roman"/>
                <w:color w:val="auto"/>
                <w:sz w:val="24"/>
                <w:szCs w:val="24"/>
                <w:lang w:val="en-US" w:eastAsia="zh-CN"/>
              </w:rPr>
              <w:t>专用设备</w:t>
            </w:r>
            <w:r>
              <w:rPr>
                <w:rFonts w:hint="default" w:ascii="Times New Roman" w:hAnsi="Times New Roman" w:eastAsia="宋体" w:cs="Times New Roman"/>
                <w:color w:val="auto"/>
                <w:sz w:val="24"/>
                <w:szCs w:val="24"/>
                <w:lang w:val="en-US" w:eastAsia="zh-CN"/>
              </w:rPr>
              <w:t>制造，对照《建设项目环境影响评价分类管理名录》（2021年版），本项目为</w:t>
            </w:r>
            <w:r>
              <w:rPr>
                <w:rFonts w:hint="default" w:ascii="Times New Roman" w:hAnsi="Times New Roman" w:cs="Times New Roman"/>
                <w:color w:val="auto"/>
                <w:sz w:val="24"/>
                <w:lang w:val="en-US" w:eastAsia="zh-CN"/>
              </w:rPr>
              <w:t>三十二、专用设备制造业3570采矿、冶金、建筑专用设备制造351</w:t>
            </w:r>
            <w:r>
              <w:rPr>
                <w:rFonts w:hint="default" w:ascii="Times New Roman" w:hAnsi="Times New Roman" w:cs="Times New Roman"/>
                <w:color w:val="auto"/>
                <w:sz w:val="24"/>
                <w:lang w:eastAsia="zh-CN"/>
              </w:rPr>
              <w:t>其他（年用非溶剂型低VOCs含量涂料10吨以下的除外）</w:t>
            </w:r>
            <w:r>
              <w:rPr>
                <w:rFonts w:hint="default" w:ascii="Times New Roman" w:hAnsi="Times New Roman" w:eastAsia="宋体" w:cs="Times New Roman"/>
                <w:color w:val="auto"/>
                <w:sz w:val="24"/>
                <w:szCs w:val="24"/>
                <w:lang w:val="en-US" w:eastAsia="zh-CN"/>
              </w:rPr>
              <w:t>，环境影响评价类别为报告表。</w:t>
            </w:r>
          </w:p>
          <w:p w14:paraId="215155E2">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项目建设内容及规模</w:t>
            </w:r>
          </w:p>
          <w:p w14:paraId="612E7DC8">
            <w:pPr>
              <w:spacing w:line="360" w:lineRule="auto"/>
              <w:ind w:firstLine="480" w:firstLineChars="200"/>
              <w:rPr>
                <w:rFonts w:hint="eastAsia" w:ascii="宋体" w:hAnsi="宋体" w:eastAsia="宋体" w:cs="宋体"/>
                <w:color w:val="auto"/>
                <w:sz w:val="24"/>
                <w:szCs w:val="24"/>
              </w:rPr>
            </w:pPr>
            <w:r>
              <w:rPr>
                <w:b w:val="0"/>
                <w:sz w:val="24"/>
              </w:rPr>
              <w:t>本项目主体工程、公用及辅助工程见</w:t>
            </w:r>
            <w:r>
              <w:rPr>
                <w:rFonts w:hint="eastAsia"/>
                <w:b w:val="0"/>
                <w:sz w:val="24"/>
                <w:lang w:eastAsia="zh-CN"/>
              </w:rPr>
              <w:t>下</w:t>
            </w:r>
            <w:r>
              <w:rPr>
                <w:b w:val="0"/>
                <w:sz w:val="24"/>
              </w:rPr>
              <w:t>表</w:t>
            </w:r>
            <w:r>
              <w:rPr>
                <w:rFonts w:hint="eastAsia" w:ascii="宋体" w:hAnsi="宋体" w:eastAsia="宋体" w:cs="宋体"/>
                <w:color w:val="auto"/>
                <w:sz w:val="24"/>
                <w:szCs w:val="24"/>
              </w:rPr>
              <w:t>。</w:t>
            </w:r>
          </w:p>
          <w:p w14:paraId="288600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4"/>
                <w:szCs w:val="24"/>
                <w:highlight w:val="none"/>
              </w:rPr>
            </w:pPr>
            <w:r>
              <w:rPr>
                <w:rFonts w:hint="eastAsia" w:ascii="宋体" w:hAnsi="宋体" w:eastAsia="宋体" w:cs="宋体"/>
                <w:b/>
                <w:bCs/>
                <w:color w:val="auto"/>
                <w:sz w:val="24"/>
                <w:szCs w:val="24"/>
                <w:highlight w:val="none"/>
              </w:rPr>
              <w:t>表</w:t>
            </w:r>
            <w:r>
              <w:rPr>
                <w:rFonts w:hint="default" w:ascii="Times New Roman" w:hAnsi="Times New Roman" w:eastAsia="宋体" w:cs="Times New Roman"/>
                <w:b/>
                <w:bCs/>
                <w:color w:val="auto"/>
                <w:sz w:val="24"/>
                <w:szCs w:val="24"/>
                <w:highlight w:val="none"/>
              </w:rPr>
              <w:t>2-1</w:t>
            </w:r>
            <w:r>
              <w:rPr>
                <w:rFonts w:hint="eastAsia" w:ascii="宋体" w:hAnsi="宋体" w:eastAsia="宋体" w:cs="宋体"/>
                <w:b/>
                <w:bCs/>
                <w:color w:val="auto"/>
                <w:sz w:val="24"/>
                <w:szCs w:val="24"/>
                <w:highlight w:val="none"/>
              </w:rPr>
              <w:t>项目主要建设内容及组成情况一览表</w:t>
            </w:r>
          </w:p>
          <w:tbl>
            <w:tblPr>
              <w:tblStyle w:val="29"/>
              <w:tblW w:w="8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06"/>
              <w:gridCol w:w="2247"/>
              <w:gridCol w:w="1615"/>
              <w:gridCol w:w="2333"/>
              <w:gridCol w:w="916"/>
            </w:tblGrid>
            <w:tr w14:paraId="3A30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627E4F90">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eastAsia"/>
                      <w:b/>
                      <w:snapToGrid w:val="0"/>
                      <w:color w:val="000000" w:themeColor="text1"/>
                      <w:spacing w:val="-6"/>
                      <w:sz w:val="21"/>
                      <w:szCs w:val="21"/>
                      <w:lang w:val="en-US" w:eastAsia="zh-CN"/>
                      <w14:textFill>
                        <w14:solidFill>
                          <w14:schemeClr w14:val="tx1"/>
                        </w14:solidFill>
                      </w14:textFill>
                    </w:rPr>
                  </w:pPr>
                  <w:r>
                    <w:rPr>
                      <w:rFonts w:hint="eastAsia"/>
                      <w:b/>
                      <w:snapToGrid w:val="0"/>
                      <w:color w:val="000000" w:themeColor="text1"/>
                      <w:spacing w:val="-6"/>
                      <w:sz w:val="21"/>
                      <w:szCs w:val="21"/>
                      <w:lang w:val="en-US" w:eastAsia="zh-CN"/>
                      <w14:textFill>
                        <w14:solidFill>
                          <w14:schemeClr w14:val="tx1"/>
                        </w14:solidFill>
                      </w14:textFill>
                    </w:rPr>
                    <w:t>工程</w:t>
                  </w:r>
                </w:p>
                <w:p w14:paraId="0D7A4C39">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eastAsia"/>
                      <w:b/>
                      <w:snapToGrid w:val="0"/>
                      <w:color w:val="000000" w:themeColor="text1"/>
                      <w:spacing w:val="-6"/>
                      <w:sz w:val="21"/>
                      <w:szCs w:val="21"/>
                      <w14:textFill>
                        <w14:solidFill>
                          <w14:schemeClr w14:val="tx1"/>
                        </w14:solidFill>
                      </w14:textFill>
                    </w:rPr>
                  </w:pPr>
                  <w:r>
                    <w:rPr>
                      <w:rFonts w:hint="eastAsia"/>
                      <w:b/>
                      <w:snapToGrid w:val="0"/>
                      <w:color w:val="000000" w:themeColor="text1"/>
                      <w:spacing w:val="-6"/>
                      <w:sz w:val="21"/>
                      <w:szCs w:val="21"/>
                      <w:lang w:val="en-US" w:eastAsia="zh-CN"/>
                      <w14:textFill>
                        <w14:solidFill>
                          <w14:schemeClr w14:val="tx1"/>
                        </w14:solidFill>
                      </w14:textFill>
                    </w:rPr>
                    <w:t>类别</w:t>
                  </w:r>
                </w:p>
              </w:tc>
              <w:tc>
                <w:tcPr>
                  <w:tcW w:w="806" w:type="dxa"/>
                  <w:vAlign w:val="center"/>
                </w:tcPr>
                <w:p w14:paraId="7BFE2CC1">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eastAsia"/>
                      <w:b/>
                      <w:snapToGrid w:val="0"/>
                      <w:color w:val="000000" w:themeColor="text1"/>
                      <w:spacing w:val="-6"/>
                      <w:sz w:val="21"/>
                      <w:szCs w:val="21"/>
                      <w:lang w:val="en-US" w:eastAsia="zh-CN"/>
                      <w14:textFill>
                        <w14:solidFill>
                          <w14:schemeClr w14:val="tx1"/>
                        </w14:solidFill>
                      </w14:textFill>
                    </w:rPr>
                  </w:pPr>
                  <w:r>
                    <w:rPr>
                      <w:rFonts w:hint="eastAsia"/>
                      <w:b/>
                      <w:snapToGrid w:val="0"/>
                      <w:color w:val="000000" w:themeColor="text1"/>
                      <w:spacing w:val="-6"/>
                      <w:sz w:val="21"/>
                      <w:szCs w:val="21"/>
                      <w:lang w:val="en-US" w:eastAsia="zh-CN"/>
                      <w14:textFill>
                        <w14:solidFill>
                          <w14:schemeClr w14:val="tx1"/>
                        </w14:solidFill>
                      </w14:textFill>
                    </w:rPr>
                    <w:t>工程</w:t>
                  </w:r>
                </w:p>
                <w:p w14:paraId="703F79C9">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eastAsia"/>
                      <w:b/>
                      <w:snapToGrid w:val="0"/>
                      <w:color w:val="000000" w:themeColor="text1"/>
                      <w:spacing w:val="-6"/>
                      <w:sz w:val="21"/>
                      <w:szCs w:val="21"/>
                      <w14:textFill>
                        <w14:solidFill>
                          <w14:schemeClr w14:val="tx1"/>
                        </w14:solidFill>
                      </w14:textFill>
                    </w:rPr>
                  </w:pPr>
                  <w:r>
                    <w:rPr>
                      <w:rFonts w:hint="eastAsia"/>
                      <w:b/>
                      <w:snapToGrid w:val="0"/>
                      <w:color w:val="000000" w:themeColor="text1"/>
                      <w:spacing w:val="-6"/>
                      <w:sz w:val="21"/>
                      <w:szCs w:val="21"/>
                      <w:lang w:val="en-US" w:eastAsia="zh-CN"/>
                      <w14:textFill>
                        <w14:solidFill>
                          <w14:schemeClr w14:val="tx1"/>
                        </w14:solidFill>
                      </w14:textFill>
                    </w:rPr>
                    <w:t>名称</w:t>
                  </w:r>
                </w:p>
              </w:tc>
              <w:tc>
                <w:tcPr>
                  <w:tcW w:w="2247" w:type="dxa"/>
                  <w:vAlign w:val="center"/>
                </w:tcPr>
                <w:p w14:paraId="53164ACC">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eastAsia"/>
                      <w:b/>
                      <w:snapToGrid w:val="0"/>
                      <w:color w:val="000000" w:themeColor="text1"/>
                      <w:spacing w:val="-6"/>
                      <w:sz w:val="21"/>
                      <w:szCs w:val="21"/>
                      <w14:textFill>
                        <w14:solidFill>
                          <w14:schemeClr w14:val="tx1"/>
                        </w14:solidFill>
                      </w14:textFill>
                    </w:rPr>
                  </w:pPr>
                  <w:r>
                    <w:rPr>
                      <w:b/>
                      <w:snapToGrid w:val="0"/>
                      <w:color w:val="000000" w:themeColor="text1"/>
                      <w:spacing w:val="-6"/>
                      <w:sz w:val="21"/>
                      <w:szCs w:val="21"/>
                      <w14:textFill>
                        <w14:solidFill>
                          <w14:schemeClr w14:val="tx1"/>
                        </w14:solidFill>
                      </w14:textFill>
                    </w:rPr>
                    <w:t>现有工程内容及规模</w:t>
                  </w:r>
                </w:p>
              </w:tc>
              <w:tc>
                <w:tcPr>
                  <w:tcW w:w="1615" w:type="dxa"/>
                  <w:vAlign w:val="center"/>
                </w:tcPr>
                <w:p w14:paraId="0F107C4B">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eastAsia"/>
                      <w:b/>
                      <w:snapToGrid w:val="0"/>
                      <w:color w:val="000000" w:themeColor="text1"/>
                      <w:spacing w:val="-6"/>
                      <w:sz w:val="21"/>
                      <w:szCs w:val="21"/>
                      <w14:textFill>
                        <w14:solidFill>
                          <w14:schemeClr w14:val="tx1"/>
                        </w14:solidFill>
                      </w14:textFill>
                    </w:rPr>
                  </w:pPr>
                  <w:r>
                    <w:rPr>
                      <w:b/>
                      <w:snapToGrid w:val="0"/>
                      <w:color w:val="000000" w:themeColor="text1"/>
                      <w:spacing w:val="-6"/>
                      <w:sz w:val="21"/>
                      <w:szCs w:val="21"/>
                      <w14:textFill>
                        <w14:solidFill>
                          <w14:schemeClr w14:val="tx1"/>
                        </w14:solidFill>
                      </w14:textFill>
                    </w:rPr>
                    <w:t>本次</w:t>
                  </w:r>
                  <w:r>
                    <w:rPr>
                      <w:rFonts w:hint="eastAsia"/>
                      <w:b/>
                      <w:snapToGrid w:val="0"/>
                      <w:color w:val="000000" w:themeColor="text1"/>
                      <w:spacing w:val="-6"/>
                      <w:sz w:val="21"/>
                      <w:szCs w:val="21"/>
                      <w:lang w:eastAsia="zh-CN"/>
                      <w14:textFill>
                        <w14:solidFill>
                          <w14:schemeClr w14:val="tx1"/>
                        </w14:solidFill>
                      </w14:textFill>
                    </w:rPr>
                    <w:t>扩建</w:t>
                  </w:r>
                  <w:r>
                    <w:rPr>
                      <w:b/>
                      <w:snapToGrid w:val="0"/>
                      <w:color w:val="000000" w:themeColor="text1"/>
                      <w:spacing w:val="-6"/>
                      <w:sz w:val="21"/>
                      <w:szCs w:val="21"/>
                      <w14:textFill>
                        <w14:solidFill>
                          <w14:schemeClr w14:val="tx1"/>
                        </w14:solidFill>
                      </w14:textFill>
                    </w:rPr>
                    <w:t>内容及规模</w:t>
                  </w:r>
                </w:p>
              </w:tc>
              <w:tc>
                <w:tcPr>
                  <w:tcW w:w="2333" w:type="dxa"/>
                  <w:vAlign w:val="center"/>
                </w:tcPr>
                <w:p w14:paraId="409E1270">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eastAsia"/>
                      <w:b/>
                      <w:snapToGrid w:val="0"/>
                      <w:color w:val="000000" w:themeColor="text1"/>
                      <w:spacing w:val="-6"/>
                      <w:sz w:val="21"/>
                      <w:szCs w:val="21"/>
                      <w14:textFill>
                        <w14:solidFill>
                          <w14:schemeClr w14:val="tx1"/>
                        </w14:solidFill>
                      </w14:textFill>
                    </w:rPr>
                  </w:pPr>
                  <w:r>
                    <w:rPr>
                      <w:rFonts w:hint="eastAsia"/>
                      <w:b/>
                      <w:snapToGrid w:val="0"/>
                      <w:color w:val="000000" w:themeColor="text1"/>
                      <w:spacing w:val="-6"/>
                      <w:sz w:val="21"/>
                      <w:szCs w:val="21"/>
                      <w:lang w:eastAsia="zh-CN"/>
                      <w14:textFill>
                        <w14:solidFill>
                          <w14:schemeClr w14:val="tx1"/>
                        </w14:solidFill>
                      </w14:textFill>
                    </w:rPr>
                    <w:t>扩建</w:t>
                  </w:r>
                  <w:r>
                    <w:rPr>
                      <w:b/>
                      <w:snapToGrid w:val="0"/>
                      <w:color w:val="000000" w:themeColor="text1"/>
                      <w:spacing w:val="-6"/>
                      <w:sz w:val="21"/>
                      <w:szCs w:val="21"/>
                      <w14:textFill>
                        <w14:solidFill>
                          <w14:schemeClr w14:val="tx1"/>
                        </w14:solidFill>
                      </w14:textFill>
                    </w:rPr>
                    <w:t>后全厂工程内容及规模</w:t>
                  </w:r>
                </w:p>
              </w:tc>
              <w:tc>
                <w:tcPr>
                  <w:tcW w:w="916" w:type="dxa"/>
                  <w:vAlign w:val="center"/>
                </w:tcPr>
                <w:p w14:paraId="542FE25B">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eastAsia"/>
                      <w:b/>
                      <w:snapToGrid w:val="0"/>
                      <w:color w:val="000000" w:themeColor="text1"/>
                      <w:spacing w:val="-6"/>
                      <w:sz w:val="21"/>
                      <w:szCs w:val="21"/>
                      <w14:textFill>
                        <w14:solidFill>
                          <w14:schemeClr w14:val="tx1"/>
                        </w14:solidFill>
                      </w14:textFill>
                    </w:rPr>
                  </w:pPr>
                  <w:r>
                    <w:rPr>
                      <w:rFonts w:hint="eastAsia"/>
                      <w:b/>
                      <w:snapToGrid w:val="0"/>
                      <w:color w:val="000000" w:themeColor="text1"/>
                      <w:spacing w:val="-6"/>
                      <w:sz w:val="21"/>
                      <w:szCs w:val="21"/>
                      <w:lang w:eastAsia="zh-CN"/>
                      <w14:textFill>
                        <w14:solidFill>
                          <w14:schemeClr w14:val="tx1"/>
                        </w14:solidFill>
                      </w14:textFill>
                    </w:rPr>
                    <w:t>备注</w:t>
                  </w:r>
                </w:p>
              </w:tc>
            </w:tr>
            <w:tr w14:paraId="2E77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426" w:type="dxa"/>
                  <w:vMerge w:val="restart"/>
                  <w:vAlign w:val="center"/>
                </w:tcPr>
                <w:p w14:paraId="7BC17E1C">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bCs/>
                      <w:color w:val="000000" w:themeColor="text1"/>
                      <w:sz w:val="21"/>
                      <w:szCs w:val="21"/>
                      <w14:textFill>
                        <w14:solidFill>
                          <w14:schemeClr w14:val="tx1"/>
                        </w14:solidFill>
                      </w14:textFill>
                    </w:rPr>
                    <w:t>主体工程</w:t>
                  </w:r>
                </w:p>
              </w:tc>
              <w:tc>
                <w:tcPr>
                  <w:tcW w:w="806" w:type="dxa"/>
                  <w:vAlign w:val="center"/>
                </w:tcPr>
                <w:p w14:paraId="6DE15644">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vertAlign w:val="baseline"/>
                      <w:lang w:eastAsia="zh-CN"/>
                      <w14:textFill>
                        <w14:solidFill>
                          <w14:schemeClr w14:val="tx1"/>
                        </w14:solidFill>
                      </w14:textFill>
                    </w:rPr>
                  </w:pPr>
                  <w:r>
                    <w:rPr>
                      <w:rFonts w:hint="eastAsia" w:ascii="宋体" w:hAnsi="宋体" w:cs="宋体"/>
                      <w:color w:val="000000" w:themeColor="text1"/>
                      <w:spacing w:val="-1"/>
                      <w:position w:val="0"/>
                      <w:sz w:val="21"/>
                      <w:szCs w:val="21"/>
                      <w:u w:val="none"/>
                      <w:lang w:eastAsia="zh-CN"/>
                      <w14:textFill>
                        <w14:solidFill>
                          <w14:schemeClr w14:val="tx1"/>
                        </w14:solidFill>
                      </w14:textFill>
                    </w:rPr>
                    <w:t>机加工区</w:t>
                  </w:r>
                </w:p>
              </w:tc>
              <w:tc>
                <w:tcPr>
                  <w:tcW w:w="2247" w:type="dxa"/>
                  <w:vAlign w:val="center"/>
                </w:tcPr>
                <w:p w14:paraId="4D70F326">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vertAlign w:val="baseline"/>
                      <w:lang w:val="en-US" w:eastAsia="zh-CN"/>
                      <w14:textFill>
                        <w14:solidFill>
                          <w14:schemeClr w14:val="tx1"/>
                        </w14:solidFill>
                      </w14:textFill>
                    </w:rPr>
                  </w:pPr>
                  <w:r>
                    <w:rPr>
                      <w:color w:val="000000" w:themeColor="text1"/>
                      <w:kern w:val="0"/>
                      <w:szCs w:val="21"/>
                      <w14:textFill>
                        <w14:solidFill>
                          <w14:schemeClr w14:val="tx1"/>
                        </w14:solidFill>
                      </w14:textFill>
                    </w:rPr>
                    <w:t>1F，</w:t>
                  </w:r>
                  <w:r>
                    <w:rPr>
                      <w:rFonts w:hint="eastAsia"/>
                      <w:color w:val="000000" w:themeColor="text1"/>
                      <w:kern w:val="0"/>
                      <w:szCs w:val="21"/>
                      <w:lang w:eastAsia="zh-CN"/>
                      <w14:textFill>
                        <w14:solidFill>
                          <w14:schemeClr w14:val="tx1"/>
                        </w14:solidFill>
                      </w14:textFill>
                    </w:rPr>
                    <w:t>厂房高度</w:t>
                  </w:r>
                  <w:r>
                    <w:rPr>
                      <w:rFonts w:hint="eastAsia"/>
                      <w:color w:val="000000" w:themeColor="text1"/>
                      <w:kern w:val="0"/>
                      <w:szCs w:val="21"/>
                      <w:lang w:val="en-US" w:eastAsia="zh-CN"/>
                      <w14:textFill>
                        <w14:solidFill>
                          <w14:schemeClr w14:val="tx1"/>
                        </w14:solidFill>
                      </w14:textFill>
                    </w:rPr>
                    <w:t>12m，建筑面积约6000m</w:t>
                  </w:r>
                  <w:r>
                    <w:rPr>
                      <w:rFonts w:hint="eastAsia"/>
                      <w:color w:val="000000" w:themeColor="text1"/>
                      <w:kern w:val="0"/>
                      <w:szCs w:val="21"/>
                      <w:vertAlign w:val="superscript"/>
                      <w:lang w:val="en-US" w:eastAsia="zh-CN"/>
                      <w14:textFill>
                        <w14:solidFill>
                          <w14:schemeClr w14:val="tx1"/>
                        </w14:solidFill>
                      </w14:textFill>
                    </w:rPr>
                    <w:t>2</w:t>
                  </w:r>
                  <w:r>
                    <w:rPr>
                      <w:rFonts w:hint="eastAsia"/>
                      <w:color w:val="000000" w:themeColor="text1"/>
                      <w:kern w:val="0"/>
                      <w:szCs w:val="21"/>
                      <w:lang w:val="en-US" w:eastAsia="zh-CN"/>
                      <w14:textFill>
                        <w14:solidFill>
                          <w14:schemeClr w14:val="tx1"/>
                        </w14:solidFill>
                      </w14:textFill>
                    </w:rPr>
                    <w:t>，</w:t>
                  </w:r>
                  <w:r>
                    <w:rPr>
                      <w:color w:val="000000" w:themeColor="text1"/>
                      <w:kern w:val="0"/>
                      <w:szCs w:val="21"/>
                      <w14:textFill>
                        <w14:solidFill>
                          <w14:schemeClr w14:val="tx1"/>
                        </w14:solidFill>
                      </w14:textFill>
                    </w:rPr>
                    <w:t>位于厂区</w:t>
                  </w:r>
                  <w:r>
                    <w:rPr>
                      <w:rFonts w:hint="eastAsia"/>
                      <w:color w:val="000000" w:themeColor="text1"/>
                      <w:kern w:val="0"/>
                      <w:szCs w:val="21"/>
                      <w:lang w:eastAsia="zh-CN"/>
                      <w14:textFill>
                        <w14:solidFill>
                          <w14:schemeClr w14:val="tx1"/>
                        </w14:solidFill>
                      </w14:textFill>
                    </w:rPr>
                    <w:t>中间区域</w:t>
                  </w:r>
                  <w:r>
                    <w:rPr>
                      <w:rFonts w:hint="eastAsia"/>
                      <w:color w:val="000000" w:themeColor="text1"/>
                      <w:kern w:val="0"/>
                      <w:szCs w:val="21"/>
                      <w14:textFill>
                        <w14:solidFill>
                          <w14:schemeClr w14:val="tx1"/>
                        </w14:solidFill>
                      </w14:textFill>
                    </w:rPr>
                    <w:t>，</w:t>
                  </w:r>
                  <w:r>
                    <w:rPr>
                      <w:rFonts w:hint="eastAsia"/>
                      <w:color w:val="000000" w:themeColor="text1"/>
                      <w:kern w:val="0"/>
                      <w:szCs w:val="21"/>
                      <w:lang w:eastAsia="zh-CN"/>
                      <w14:textFill>
                        <w14:solidFill>
                          <w14:schemeClr w14:val="tx1"/>
                        </w14:solidFill>
                      </w14:textFill>
                    </w:rPr>
                    <w:t>包括切割区、焊接区等，配备电焊机、切割机</w:t>
                  </w:r>
                </w:p>
              </w:tc>
              <w:tc>
                <w:tcPr>
                  <w:tcW w:w="1615" w:type="dxa"/>
                  <w:vAlign w:val="center"/>
                </w:tcPr>
                <w:p w14:paraId="714EB713">
                  <w:pPr>
                    <w:pStyle w:val="10"/>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kern w:val="0"/>
                      <w:szCs w:val="21"/>
                      <w:vertAlign w:val="baseline"/>
                      <w14:textFill>
                        <w14:solidFill>
                          <w14:schemeClr w14:val="tx1"/>
                        </w14:solidFill>
                      </w14:textFill>
                    </w:rPr>
                  </w:pPr>
                  <w:r>
                    <w:rPr>
                      <w:rFonts w:hint="eastAsia" w:ascii="Times New Roman" w:hAnsi="Times New Roman" w:cs="Times New Roman"/>
                      <w:b w:val="0"/>
                      <w:color w:val="000000" w:themeColor="text1"/>
                      <w:kern w:val="0"/>
                      <w:sz w:val="21"/>
                      <w:szCs w:val="21"/>
                      <w:lang w:val="en-US" w:eastAsia="zh-CN"/>
                      <w14:textFill>
                        <w14:solidFill>
                          <w14:schemeClr w14:val="tx1"/>
                        </w14:solidFill>
                      </w14:textFill>
                    </w:rPr>
                    <w:t>新增2822通过式抛丸清理机、3吨闭式单点压力机、50吨闭式单点压力机、10吨电动螺旋压力机、半龙门吊、电焊机、平板车等配套加工设备</w:t>
                  </w:r>
                </w:p>
              </w:tc>
              <w:tc>
                <w:tcPr>
                  <w:tcW w:w="2333" w:type="dxa"/>
                  <w:vAlign w:val="center"/>
                </w:tcPr>
                <w:p w14:paraId="22AF816F">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color w:val="000000" w:themeColor="text1"/>
                      <w:kern w:val="0"/>
                      <w:szCs w:val="21"/>
                      <w14:textFill>
                        <w14:solidFill>
                          <w14:schemeClr w14:val="tx1"/>
                        </w14:solidFill>
                      </w14:textFill>
                    </w:rPr>
                    <w:t>1F，</w:t>
                  </w:r>
                  <w:r>
                    <w:rPr>
                      <w:rFonts w:hint="eastAsia"/>
                      <w:color w:val="000000" w:themeColor="text1"/>
                      <w:kern w:val="0"/>
                      <w:szCs w:val="21"/>
                      <w:lang w:eastAsia="zh-CN"/>
                      <w14:textFill>
                        <w14:solidFill>
                          <w14:schemeClr w14:val="tx1"/>
                        </w14:solidFill>
                      </w14:textFill>
                    </w:rPr>
                    <w:t>厂房高度</w:t>
                  </w:r>
                  <w:r>
                    <w:rPr>
                      <w:rFonts w:hint="eastAsia"/>
                      <w:color w:val="000000" w:themeColor="text1"/>
                      <w:kern w:val="0"/>
                      <w:szCs w:val="21"/>
                      <w:lang w:val="en-US" w:eastAsia="zh-CN"/>
                      <w14:textFill>
                        <w14:solidFill>
                          <w14:schemeClr w14:val="tx1"/>
                        </w14:solidFill>
                      </w14:textFill>
                    </w:rPr>
                    <w:t>12m，建筑面积约6000m</w:t>
                  </w:r>
                  <w:r>
                    <w:rPr>
                      <w:rFonts w:hint="eastAsia"/>
                      <w:color w:val="000000" w:themeColor="text1"/>
                      <w:kern w:val="0"/>
                      <w:szCs w:val="21"/>
                      <w:vertAlign w:val="superscript"/>
                      <w:lang w:val="en-US" w:eastAsia="zh-CN"/>
                      <w14:textFill>
                        <w14:solidFill>
                          <w14:schemeClr w14:val="tx1"/>
                        </w14:solidFill>
                      </w14:textFill>
                    </w:rPr>
                    <w:t>2</w:t>
                  </w:r>
                  <w:r>
                    <w:rPr>
                      <w:rFonts w:hint="eastAsia"/>
                      <w:color w:val="000000" w:themeColor="text1"/>
                      <w:kern w:val="0"/>
                      <w:szCs w:val="21"/>
                      <w:lang w:val="en-US" w:eastAsia="zh-CN"/>
                      <w14:textFill>
                        <w14:solidFill>
                          <w14:schemeClr w14:val="tx1"/>
                        </w14:solidFill>
                      </w14:textFill>
                    </w:rPr>
                    <w:t>，</w:t>
                  </w:r>
                  <w:r>
                    <w:rPr>
                      <w:color w:val="000000" w:themeColor="text1"/>
                      <w:kern w:val="0"/>
                      <w:szCs w:val="21"/>
                      <w14:textFill>
                        <w14:solidFill>
                          <w14:schemeClr w14:val="tx1"/>
                        </w14:solidFill>
                      </w14:textFill>
                    </w:rPr>
                    <w:t>位于厂区</w:t>
                  </w:r>
                  <w:r>
                    <w:rPr>
                      <w:rFonts w:hint="eastAsia"/>
                      <w:color w:val="000000" w:themeColor="text1"/>
                      <w:kern w:val="0"/>
                      <w:szCs w:val="21"/>
                      <w:lang w:eastAsia="zh-CN"/>
                      <w14:textFill>
                        <w14:solidFill>
                          <w14:schemeClr w14:val="tx1"/>
                        </w14:solidFill>
                      </w14:textFill>
                    </w:rPr>
                    <w:t>中间区域</w:t>
                  </w:r>
                  <w:r>
                    <w:rPr>
                      <w:rFonts w:hint="eastAsia"/>
                      <w:color w:val="000000" w:themeColor="text1"/>
                      <w:kern w:val="0"/>
                      <w:szCs w:val="21"/>
                      <w14:textFill>
                        <w14:solidFill>
                          <w14:schemeClr w14:val="tx1"/>
                        </w14:solidFill>
                      </w14:textFill>
                    </w:rPr>
                    <w:t>，</w:t>
                  </w:r>
                  <w:r>
                    <w:rPr>
                      <w:rFonts w:hint="eastAsia"/>
                      <w:color w:val="000000" w:themeColor="text1"/>
                      <w:kern w:val="0"/>
                      <w:szCs w:val="21"/>
                      <w:lang w:eastAsia="zh-CN"/>
                      <w14:textFill>
                        <w14:solidFill>
                          <w14:schemeClr w14:val="tx1"/>
                        </w14:solidFill>
                      </w14:textFill>
                    </w:rPr>
                    <w:t>包括切割区、焊接区、抛丸区等，配备压力机、电焊机、切割机</w:t>
                  </w:r>
                </w:p>
              </w:tc>
              <w:tc>
                <w:tcPr>
                  <w:tcW w:w="916" w:type="dxa"/>
                  <w:vAlign w:val="center"/>
                </w:tcPr>
                <w:p w14:paraId="7E48849D">
                  <w:pPr>
                    <w:keepNext w:val="0"/>
                    <w:keepLines w:val="0"/>
                    <w:pageBreakBefore w:val="0"/>
                    <w:kinsoku/>
                    <w:wordWrap/>
                    <w:overflowPunct/>
                    <w:topLinePunct w:val="0"/>
                    <w:autoSpaceDE/>
                    <w:autoSpaceDN/>
                    <w:bidi w:val="0"/>
                    <w:adjustRightInd/>
                    <w:snapToGrid/>
                    <w:ind w:left="0"/>
                    <w:jc w:val="center"/>
                    <w:textAlignment w:val="auto"/>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利用现有厂房，新增设备</w:t>
                  </w:r>
                </w:p>
              </w:tc>
            </w:tr>
            <w:tr w14:paraId="7E35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C571B09">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p>
              </w:tc>
              <w:tc>
                <w:tcPr>
                  <w:tcW w:w="806" w:type="dxa"/>
                  <w:vAlign w:val="center"/>
                </w:tcPr>
                <w:p w14:paraId="02D12333">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cs="宋体"/>
                      <w:color w:val="000000" w:themeColor="text1"/>
                      <w:spacing w:val="-1"/>
                      <w:position w:val="0"/>
                      <w:sz w:val="21"/>
                      <w:szCs w:val="21"/>
                      <w:u w:val="none"/>
                      <w:lang w:eastAsia="zh-CN"/>
                      <w14:textFill>
                        <w14:solidFill>
                          <w14:schemeClr w14:val="tx1"/>
                        </w14:solidFill>
                      </w14:textFill>
                    </w:rPr>
                    <w:t>喷漆房</w:t>
                  </w:r>
                </w:p>
              </w:tc>
              <w:tc>
                <w:tcPr>
                  <w:tcW w:w="2247" w:type="dxa"/>
                  <w:vAlign w:val="center"/>
                </w:tcPr>
                <w:p w14:paraId="59CF0DD5">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cs="宋体"/>
                      <w:color w:val="000000" w:themeColor="text1"/>
                      <w:spacing w:val="-1"/>
                      <w:position w:val="0"/>
                      <w:sz w:val="21"/>
                      <w:szCs w:val="21"/>
                      <w:u w:val="none"/>
                      <w:lang w:val="en-US" w:eastAsia="zh-CN"/>
                      <w14:textFill>
                        <w14:solidFill>
                          <w14:schemeClr w14:val="tx1"/>
                        </w14:solidFill>
                      </w14:textFill>
                    </w:rPr>
                    <w:t>无</w:t>
                  </w:r>
                </w:p>
              </w:tc>
              <w:tc>
                <w:tcPr>
                  <w:tcW w:w="1615" w:type="dxa"/>
                  <w:vAlign w:val="center"/>
                </w:tcPr>
                <w:p w14:paraId="5FA1E130">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rFonts w:hint="eastAsia"/>
                      <w:color w:val="000000" w:themeColor="text1"/>
                      <w:szCs w:val="21"/>
                      <w:lang w:val="en-US" w:eastAsia="zh-CN"/>
                      <w14:textFill>
                        <w14:solidFill>
                          <w14:schemeClr w14:val="tx1"/>
                        </w14:solidFill>
                      </w14:textFill>
                    </w:rPr>
                    <w:t>车间西南侧，新建1座喷漆房，用于喷漆、晾干，喷漆房尺寸：长18m，宽6米，高4米。</w:t>
                  </w:r>
                </w:p>
              </w:tc>
              <w:tc>
                <w:tcPr>
                  <w:tcW w:w="2333" w:type="dxa"/>
                  <w:vAlign w:val="center"/>
                </w:tcPr>
                <w:p w14:paraId="3819E1B7">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rFonts w:hint="eastAsia"/>
                      <w:color w:val="000000" w:themeColor="text1"/>
                      <w:szCs w:val="21"/>
                      <w:lang w:val="en-US" w:eastAsia="zh-CN"/>
                      <w14:textFill>
                        <w14:solidFill>
                          <w14:schemeClr w14:val="tx1"/>
                        </w14:solidFill>
                      </w14:textFill>
                    </w:rPr>
                    <w:t>车间西南侧，新建1座喷漆房，用于喷漆、晾干，喷漆房尺寸：长18m，宽6米，高4米。</w:t>
                  </w:r>
                </w:p>
              </w:tc>
              <w:tc>
                <w:tcPr>
                  <w:tcW w:w="916" w:type="dxa"/>
                  <w:vAlign w:val="center"/>
                </w:tcPr>
                <w:p w14:paraId="716EAC2F">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cs="宋体"/>
                      <w:color w:val="000000" w:themeColor="text1"/>
                      <w:spacing w:val="-1"/>
                      <w:position w:val="1"/>
                      <w:sz w:val="21"/>
                      <w:szCs w:val="21"/>
                      <w:u w:val="none"/>
                      <w:lang w:val="en-US" w:eastAsia="zh-CN"/>
                      <w14:textFill>
                        <w14:solidFill>
                          <w14:schemeClr w14:val="tx1"/>
                        </w14:solidFill>
                      </w14:textFill>
                    </w:rPr>
                  </w:pPr>
                  <w:r>
                    <w:rPr>
                      <w:rFonts w:hint="eastAsia" w:ascii="宋体" w:hAnsi="宋体" w:cs="宋体"/>
                      <w:color w:val="000000" w:themeColor="text1"/>
                      <w:spacing w:val="-1"/>
                      <w:position w:val="1"/>
                      <w:sz w:val="21"/>
                      <w:szCs w:val="21"/>
                      <w:u w:val="none"/>
                      <w:lang w:val="en-US" w:eastAsia="zh-CN"/>
                      <w14:textFill>
                        <w14:solidFill>
                          <w14:schemeClr w14:val="tx1"/>
                        </w14:solidFill>
                      </w14:textFill>
                    </w:rPr>
                    <w:t>在现有厂房闲置区域</w:t>
                  </w:r>
                  <w:r>
                    <w:rPr>
                      <w:rFonts w:hint="eastAsia" w:ascii="宋体" w:hAnsi="宋体" w:cs="宋体"/>
                      <w:color w:val="000000" w:themeColor="text1"/>
                      <w:spacing w:val="-1"/>
                      <w:position w:val="1"/>
                      <w:sz w:val="21"/>
                      <w:szCs w:val="21"/>
                      <w:u w:val="none"/>
                      <w:lang w:eastAsia="zh-CN"/>
                      <w14:textFill>
                        <w14:solidFill>
                          <w14:schemeClr w14:val="tx1"/>
                        </w14:solidFill>
                      </w14:textFill>
                    </w:rPr>
                    <w:t>新</w:t>
                  </w:r>
                  <w:r>
                    <w:rPr>
                      <w:rFonts w:hint="eastAsia" w:ascii="宋体" w:hAnsi="宋体" w:cs="宋体"/>
                      <w:color w:val="000000" w:themeColor="text1"/>
                      <w:spacing w:val="-1"/>
                      <w:position w:val="1"/>
                      <w:sz w:val="21"/>
                      <w:szCs w:val="21"/>
                      <w:u w:val="none"/>
                      <w:lang w:val="en-US" w:eastAsia="zh-CN"/>
                      <w14:textFill>
                        <w14:solidFill>
                          <w14:schemeClr w14:val="tx1"/>
                        </w14:solidFill>
                      </w14:textFill>
                    </w:rPr>
                    <w:t>建喷</w:t>
                  </w:r>
                </w:p>
                <w:p w14:paraId="769EC044">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cs="宋体"/>
                      <w:color w:val="000000" w:themeColor="text1"/>
                      <w:spacing w:val="-1"/>
                      <w:position w:val="1"/>
                      <w:sz w:val="21"/>
                      <w:szCs w:val="21"/>
                      <w:u w:val="none"/>
                      <w:lang w:val="en-US" w:eastAsia="zh-CN"/>
                      <w14:textFill>
                        <w14:solidFill>
                          <w14:schemeClr w14:val="tx1"/>
                        </w14:solidFill>
                      </w14:textFill>
                    </w:rPr>
                    <w:t>漆房</w:t>
                  </w:r>
                </w:p>
              </w:tc>
            </w:tr>
            <w:tr w14:paraId="1933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26" w:type="dxa"/>
                  <w:vMerge w:val="restart"/>
                  <w:vAlign w:val="center"/>
                </w:tcPr>
                <w:p w14:paraId="51B10C11">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储运工程</w:t>
                  </w:r>
                </w:p>
              </w:tc>
              <w:tc>
                <w:tcPr>
                  <w:tcW w:w="806" w:type="dxa"/>
                  <w:vAlign w:val="center"/>
                </w:tcPr>
                <w:p w14:paraId="19AB0317">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lang w:val="en-US" w:eastAsia="zh-CN"/>
                      <w14:textFill>
                        <w14:solidFill>
                          <w14:schemeClr w14:val="tx1"/>
                        </w14:solidFill>
                      </w14:textFill>
                    </w:rPr>
                  </w:pPr>
                  <w:r>
                    <w:rPr>
                      <w:rFonts w:hint="default" w:eastAsia="宋体"/>
                      <w:color w:val="000000" w:themeColor="text1"/>
                      <w:szCs w:val="21"/>
                      <w:lang w:val="en-US" w:eastAsia="zh-CN"/>
                      <w14:textFill>
                        <w14:solidFill>
                          <w14:schemeClr w14:val="tx1"/>
                        </w14:solidFill>
                      </w14:textFill>
                    </w:rPr>
                    <w:t>原料</w:t>
                  </w:r>
                  <w:r>
                    <w:rPr>
                      <w:rFonts w:hint="eastAsia" w:eastAsia="宋体"/>
                      <w:color w:val="000000" w:themeColor="text1"/>
                      <w:szCs w:val="21"/>
                      <w:lang w:val="en-US" w:eastAsia="zh-CN"/>
                      <w14:textFill>
                        <w14:solidFill>
                          <w14:schemeClr w14:val="tx1"/>
                        </w14:solidFill>
                      </w14:textFill>
                    </w:rPr>
                    <w:t>区</w:t>
                  </w:r>
                </w:p>
              </w:tc>
              <w:tc>
                <w:tcPr>
                  <w:tcW w:w="2247" w:type="dxa"/>
                  <w:vAlign w:val="center"/>
                </w:tcPr>
                <w:p w14:paraId="25E3C4B6">
                  <w:pPr>
                    <w:keepNext w:val="0"/>
                    <w:keepLines w:val="0"/>
                    <w:pageBreakBefore w:val="0"/>
                    <w:kinsoku/>
                    <w:wordWrap/>
                    <w:overflowPunct/>
                    <w:topLinePunct w:val="0"/>
                    <w:autoSpaceDE/>
                    <w:autoSpaceDN/>
                    <w:bidi w:val="0"/>
                    <w:adjustRightInd/>
                    <w:snapToGrid/>
                    <w:ind w:left="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位于车间东侧及西侧区域,占地面积400m</w:t>
                  </w:r>
                  <w:r>
                    <w:rPr>
                      <w:rFonts w:hint="eastAsia"/>
                      <w:color w:val="000000" w:themeColor="text1"/>
                      <w:szCs w:val="21"/>
                      <w:vertAlign w:val="superscript"/>
                      <w:lang w:val="en-US" w:eastAsia="zh-CN"/>
                      <w14:textFill>
                        <w14:solidFill>
                          <w14:schemeClr w14:val="tx1"/>
                        </w14:solidFill>
                      </w14:textFill>
                    </w:rPr>
                    <w:t>2</w:t>
                  </w:r>
                </w:p>
              </w:tc>
              <w:tc>
                <w:tcPr>
                  <w:tcW w:w="1615" w:type="dxa"/>
                  <w:vAlign w:val="center"/>
                </w:tcPr>
                <w:p w14:paraId="31973A98">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w:t>
                  </w:r>
                </w:p>
              </w:tc>
              <w:tc>
                <w:tcPr>
                  <w:tcW w:w="2333" w:type="dxa"/>
                  <w:vAlign w:val="center"/>
                </w:tcPr>
                <w:p w14:paraId="35ECB72D">
                  <w:pPr>
                    <w:keepNext w:val="0"/>
                    <w:keepLines w:val="0"/>
                    <w:pageBreakBefore w:val="0"/>
                    <w:kinsoku/>
                    <w:wordWrap/>
                    <w:overflowPunct/>
                    <w:topLinePunct w:val="0"/>
                    <w:autoSpaceDE/>
                    <w:autoSpaceDN/>
                    <w:bidi w:val="0"/>
                    <w:adjustRightInd/>
                    <w:snapToGrid/>
                    <w:ind w:left="0" w:leftChars="0"/>
                    <w:jc w:val="center"/>
                    <w:textAlignment w:val="auto"/>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位于车间东侧及西侧区域,占地面积400m</w:t>
                  </w:r>
                  <w:r>
                    <w:rPr>
                      <w:rFonts w:hint="eastAsia"/>
                      <w:color w:val="000000" w:themeColor="text1"/>
                      <w:szCs w:val="21"/>
                      <w:vertAlign w:val="superscript"/>
                      <w:lang w:val="en-US" w:eastAsia="zh-CN"/>
                      <w14:textFill>
                        <w14:solidFill>
                          <w14:schemeClr w14:val="tx1"/>
                        </w14:solidFill>
                      </w14:textFill>
                    </w:rPr>
                    <w:t>2</w:t>
                  </w:r>
                </w:p>
              </w:tc>
              <w:tc>
                <w:tcPr>
                  <w:tcW w:w="916" w:type="dxa"/>
                  <w:vMerge w:val="restart"/>
                  <w:vAlign w:val="center"/>
                </w:tcPr>
                <w:p w14:paraId="3BABA78E">
                  <w:pPr>
                    <w:keepNext w:val="0"/>
                    <w:keepLines w:val="0"/>
                    <w:pageBreakBefore w:val="0"/>
                    <w:kinsoku/>
                    <w:wordWrap/>
                    <w:overflowPunct/>
                    <w:topLinePunct w:val="0"/>
                    <w:autoSpaceDE/>
                    <w:autoSpaceDN/>
                    <w:bidi w:val="0"/>
                    <w:adjustRightInd/>
                    <w:snapToGrid/>
                    <w:ind w:left="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依托现有</w:t>
                  </w:r>
                </w:p>
              </w:tc>
            </w:tr>
            <w:tr w14:paraId="78F0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26" w:type="dxa"/>
                  <w:vMerge w:val="continue"/>
                  <w:vAlign w:val="center"/>
                </w:tcPr>
                <w:p w14:paraId="6A137245">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lang w:val="en-US" w:eastAsia="zh-CN"/>
                      <w14:textFill>
                        <w14:solidFill>
                          <w14:schemeClr w14:val="tx1"/>
                        </w14:solidFill>
                      </w14:textFill>
                    </w:rPr>
                  </w:pPr>
                </w:p>
              </w:tc>
              <w:tc>
                <w:tcPr>
                  <w:tcW w:w="806" w:type="dxa"/>
                  <w:vAlign w:val="center"/>
                </w:tcPr>
                <w:p w14:paraId="3523A266">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lang w:val="en-US" w:eastAsia="zh-CN"/>
                      <w14:textFill>
                        <w14:solidFill>
                          <w14:schemeClr w14:val="tx1"/>
                        </w14:solidFill>
                      </w14:textFill>
                    </w:rPr>
                  </w:pPr>
                  <w:r>
                    <w:rPr>
                      <w:rFonts w:hint="default" w:eastAsia="宋体"/>
                      <w:color w:val="000000" w:themeColor="text1"/>
                      <w:szCs w:val="21"/>
                      <w:lang w:val="en-US" w:eastAsia="zh-CN"/>
                      <w14:textFill>
                        <w14:solidFill>
                          <w14:schemeClr w14:val="tx1"/>
                        </w14:solidFill>
                      </w14:textFill>
                    </w:rPr>
                    <w:t>成品</w:t>
                  </w:r>
                  <w:r>
                    <w:rPr>
                      <w:rFonts w:hint="eastAsia" w:eastAsia="宋体"/>
                      <w:color w:val="000000" w:themeColor="text1"/>
                      <w:szCs w:val="21"/>
                      <w:lang w:val="en-US" w:eastAsia="zh-CN"/>
                      <w14:textFill>
                        <w14:solidFill>
                          <w14:schemeClr w14:val="tx1"/>
                        </w14:solidFill>
                      </w14:textFill>
                    </w:rPr>
                    <w:t>区</w:t>
                  </w:r>
                </w:p>
              </w:tc>
              <w:tc>
                <w:tcPr>
                  <w:tcW w:w="2247" w:type="dxa"/>
                  <w:vAlign w:val="center"/>
                </w:tcPr>
                <w:p w14:paraId="66DE093C">
                  <w:pPr>
                    <w:keepNext w:val="0"/>
                    <w:keepLines w:val="0"/>
                    <w:pageBreakBefore w:val="0"/>
                    <w:kinsoku/>
                    <w:wordWrap/>
                    <w:overflowPunct/>
                    <w:topLinePunct w:val="0"/>
                    <w:autoSpaceDE/>
                    <w:autoSpaceDN/>
                    <w:bidi w:val="0"/>
                    <w:adjustRightInd/>
                    <w:snapToGrid/>
                    <w:ind w:left="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位于车间南侧，占地面积600m</w:t>
                  </w:r>
                  <w:r>
                    <w:rPr>
                      <w:rFonts w:hint="eastAsia"/>
                      <w:color w:val="000000" w:themeColor="text1"/>
                      <w:szCs w:val="21"/>
                      <w:vertAlign w:val="superscript"/>
                      <w:lang w:val="en-US" w:eastAsia="zh-CN"/>
                      <w14:textFill>
                        <w14:solidFill>
                          <w14:schemeClr w14:val="tx1"/>
                        </w14:solidFill>
                      </w14:textFill>
                    </w:rPr>
                    <w:t>2</w:t>
                  </w:r>
                </w:p>
              </w:tc>
              <w:tc>
                <w:tcPr>
                  <w:tcW w:w="1615" w:type="dxa"/>
                  <w:vAlign w:val="center"/>
                </w:tcPr>
                <w:p w14:paraId="25F3668D">
                  <w:pPr>
                    <w:keepNext w:val="0"/>
                    <w:keepLines w:val="0"/>
                    <w:pageBreakBefore w:val="0"/>
                    <w:kinsoku/>
                    <w:wordWrap/>
                    <w:overflowPunct/>
                    <w:topLinePunct w:val="0"/>
                    <w:autoSpaceDE/>
                    <w:autoSpaceDN/>
                    <w:bidi w:val="0"/>
                    <w:adjustRightInd/>
                    <w:snapToGrid/>
                    <w:ind w:left="0"/>
                    <w:jc w:val="center"/>
                    <w:textAlignment w:val="auto"/>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w:t>
                  </w:r>
                </w:p>
              </w:tc>
              <w:tc>
                <w:tcPr>
                  <w:tcW w:w="2333" w:type="dxa"/>
                  <w:vAlign w:val="center"/>
                </w:tcPr>
                <w:p w14:paraId="36085C95">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位于车间南侧，占地面积600m</w:t>
                  </w:r>
                  <w:r>
                    <w:rPr>
                      <w:rFonts w:hint="eastAsia"/>
                      <w:color w:val="000000" w:themeColor="text1"/>
                      <w:szCs w:val="21"/>
                      <w:vertAlign w:val="superscript"/>
                      <w:lang w:val="en-US" w:eastAsia="zh-CN"/>
                      <w14:textFill>
                        <w14:solidFill>
                          <w14:schemeClr w14:val="tx1"/>
                        </w14:solidFill>
                      </w14:textFill>
                    </w:rPr>
                    <w:t>2</w:t>
                  </w:r>
                </w:p>
              </w:tc>
              <w:tc>
                <w:tcPr>
                  <w:tcW w:w="916" w:type="dxa"/>
                  <w:vMerge w:val="continue"/>
                  <w:vAlign w:val="center"/>
                </w:tcPr>
                <w:p w14:paraId="42A2444E">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lang w:val="en-US" w:eastAsia="zh-CN"/>
                      <w14:textFill>
                        <w14:solidFill>
                          <w14:schemeClr w14:val="tx1"/>
                        </w14:solidFill>
                      </w14:textFill>
                    </w:rPr>
                  </w:pPr>
                </w:p>
              </w:tc>
            </w:tr>
            <w:tr w14:paraId="2321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426" w:type="dxa"/>
                  <w:vAlign w:val="center"/>
                </w:tcPr>
                <w:p w14:paraId="085FFCCC">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eastAsia"/>
                      <w:color w:val="000000" w:themeColor="text1"/>
                      <w:szCs w:val="21"/>
                      <w:vertAlign w:val="baseline"/>
                      <w14:textFill>
                        <w14:solidFill>
                          <w14:schemeClr w14:val="tx1"/>
                        </w14:solidFill>
                      </w14:textFill>
                    </w:rPr>
                  </w:pPr>
                  <w:r>
                    <w:rPr>
                      <w:rFonts w:hint="eastAsia"/>
                      <w:color w:val="000000" w:themeColor="text1"/>
                      <w:sz w:val="21"/>
                      <w:szCs w:val="21"/>
                      <w:lang w:eastAsia="zh-CN"/>
                      <w14:textFill>
                        <w14:solidFill>
                          <w14:schemeClr w14:val="tx1"/>
                        </w14:solidFill>
                      </w14:textFill>
                    </w:rPr>
                    <w:t>辅助工程</w:t>
                  </w:r>
                </w:p>
              </w:tc>
              <w:tc>
                <w:tcPr>
                  <w:tcW w:w="806" w:type="dxa"/>
                  <w:vAlign w:val="center"/>
                </w:tcPr>
                <w:p w14:paraId="7DBF7620">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办公</w:t>
                  </w:r>
                  <w:r>
                    <w:rPr>
                      <w:rFonts w:hint="eastAsia" w:ascii="宋体" w:hAnsi="宋体" w:cs="宋体"/>
                      <w:color w:val="000000" w:themeColor="text1"/>
                      <w:kern w:val="0"/>
                      <w:sz w:val="21"/>
                      <w:szCs w:val="21"/>
                      <w:lang w:val="en-US" w:eastAsia="zh-CN" w:bidi="ar"/>
                      <w14:textFill>
                        <w14:solidFill>
                          <w14:schemeClr w14:val="tx1"/>
                        </w14:solidFill>
                      </w14:textFill>
                    </w:rPr>
                    <w:t>区</w:t>
                  </w:r>
                </w:p>
              </w:tc>
              <w:tc>
                <w:tcPr>
                  <w:tcW w:w="2247" w:type="dxa"/>
                  <w:vAlign w:val="center"/>
                </w:tcPr>
                <w:p w14:paraId="5C895BB1">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color w:val="000000" w:themeColor="text1"/>
                      <w:szCs w:val="21"/>
                      <w14:textFill>
                        <w14:solidFill>
                          <w14:schemeClr w14:val="tx1"/>
                        </w14:solidFill>
                      </w14:textFill>
                    </w:rPr>
                    <w:t>有</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处，</w:t>
                  </w: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车间</w:t>
                  </w:r>
                  <w:r>
                    <w:rPr>
                      <w:rFonts w:hint="eastAsia"/>
                      <w:color w:val="000000" w:themeColor="text1"/>
                      <w:szCs w:val="21"/>
                      <w:lang w:eastAsia="zh-CN"/>
                      <w14:textFill>
                        <w14:solidFill>
                          <w14:schemeClr w14:val="tx1"/>
                        </w14:solidFill>
                      </w14:textFill>
                    </w:rPr>
                    <w:t>西</w:t>
                  </w:r>
                  <w:r>
                    <w:rPr>
                      <w:rFonts w:hint="eastAsia"/>
                      <w:color w:val="000000" w:themeColor="text1"/>
                      <w:szCs w:val="21"/>
                      <w14:textFill>
                        <w14:solidFill>
                          <w14:schemeClr w14:val="tx1"/>
                        </w14:solidFill>
                      </w14:textFill>
                    </w:rPr>
                    <w:t>南侧</w:t>
                  </w:r>
                  <w:r>
                    <w:rPr>
                      <w:color w:val="000000" w:themeColor="text1"/>
                      <w:szCs w:val="21"/>
                      <w14:textFill>
                        <w14:solidFill>
                          <w14:schemeClr w14:val="tx1"/>
                        </w14:solidFill>
                      </w14:textFill>
                    </w:rPr>
                    <w:t>1F，主要用于</w:t>
                  </w:r>
                  <w:r>
                    <w:rPr>
                      <w:rFonts w:hint="eastAsia"/>
                      <w:color w:val="000000" w:themeColor="text1"/>
                      <w:szCs w:val="21"/>
                      <w14:textFill>
                        <w14:solidFill>
                          <w14:schemeClr w14:val="tx1"/>
                        </w14:solidFill>
                      </w14:textFill>
                    </w:rPr>
                    <w:t>日常办公、会议</w:t>
                  </w:r>
                </w:p>
              </w:tc>
              <w:tc>
                <w:tcPr>
                  <w:tcW w:w="1615" w:type="dxa"/>
                  <w:vAlign w:val="center"/>
                </w:tcPr>
                <w:p w14:paraId="6C55A40E">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2333" w:type="dxa"/>
                  <w:vAlign w:val="center"/>
                </w:tcPr>
                <w:p w14:paraId="71E0AF18">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color w:val="000000" w:themeColor="text1"/>
                      <w:szCs w:val="21"/>
                      <w14:textFill>
                        <w14:solidFill>
                          <w14:schemeClr w14:val="tx1"/>
                        </w14:solidFill>
                      </w14:textFill>
                    </w:rPr>
                    <w:t>有</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处，</w:t>
                  </w: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车间</w:t>
                  </w:r>
                  <w:r>
                    <w:rPr>
                      <w:rFonts w:hint="eastAsia"/>
                      <w:color w:val="000000" w:themeColor="text1"/>
                      <w:szCs w:val="21"/>
                      <w:lang w:eastAsia="zh-CN"/>
                      <w14:textFill>
                        <w14:solidFill>
                          <w14:schemeClr w14:val="tx1"/>
                        </w14:solidFill>
                      </w14:textFill>
                    </w:rPr>
                    <w:t>西</w:t>
                  </w:r>
                  <w:r>
                    <w:rPr>
                      <w:rFonts w:hint="eastAsia"/>
                      <w:color w:val="000000" w:themeColor="text1"/>
                      <w:szCs w:val="21"/>
                      <w14:textFill>
                        <w14:solidFill>
                          <w14:schemeClr w14:val="tx1"/>
                        </w14:solidFill>
                      </w14:textFill>
                    </w:rPr>
                    <w:t>南侧</w:t>
                  </w:r>
                  <w:r>
                    <w:rPr>
                      <w:color w:val="000000" w:themeColor="text1"/>
                      <w:szCs w:val="21"/>
                      <w14:textFill>
                        <w14:solidFill>
                          <w14:schemeClr w14:val="tx1"/>
                        </w14:solidFill>
                      </w14:textFill>
                    </w:rPr>
                    <w:t>1F，主要用于</w:t>
                  </w:r>
                  <w:r>
                    <w:rPr>
                      <w:rFonts w:hint="eastAsia"/>
                      <w:color w:val="000000" w:themeColor="text1"/>
                      <w:szCs w:val="21"/>
                      <w14:textFill>
                        <w14:solidFill>
                          <w14:schemeClr w14:val="tx1"/>
                        </w14:solidFill>
                      </w14:textFill>
                    </w:rPr>
                    <w:t>日常办公、会议</w:t>
                  </w:r>
                </w:p>
              </w:tc>
              <w:tc>
                <w:tcPr>
                  <w:tcW w:w="916" w:type="dxa"/>
                  <w:vAlign w:val="center"/>
                </w:tcPr>
                <w:p w14:paraId="29D92DC0">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vertAlign w:val="baseline"/>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依托现有</w:t>
                  </w:r>
                </w:p>
              </w:tc>
            </w:tr>
            <w:tr w14:paraId="426A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26" w:type="dxa"/>
                  <w:vMerge w:val="restart"/>
                  <w:tcBorders>
                    <w:left w:val="single" w:color="auto" w:sz="4" w:space="0"/>
                    <w:bottom w:val="single" w:color="auto" w:sz="4" w:space="0"/>
                  </w:tcBorders>
                  <w:vAlign w:val="center"/>
                </w:tcPr>
                <w:p w14:paraId="3C86C985">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rFonts w:hint="eastAsia"/>
                      <w:color w:val="000000" w:themeColor="text1"/>
                      <w:sz w:val="21"/>
                      <w:szCs w:val="21"/>
                      <w:lang w:eastAsia="zh-CN"/>
                      <w14:textFill>
                        <w14:solidFill>
                          <w14:schemeClr w14:val="tx1"/>
                        </w14:solidFill>
                      </w14:textFill>
                    </w:rPr>
                    <w:t>公用工程</w:t>
                  </w:r>
                </w:p>
              </w:tc>
              <w:tc>
                <w:tcPr>
                  <w:tcW w:w="806" w:type="dxa"/>
                  <w:tcBorders>
                    <w:bottom w:val="single" w:color="auto" w:sz="4" w:space="0"/>
                  </w:tcBorders>
                  <w:vAlign w:val="center"/>
                </w:tcPr>
                <w:p w14:paraId="2273B522">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eastAsia"/>
                      <w:color w:val="000000" w:themeColor="text1"/>
                      <w:szCs w:val="21"/>
                      <w:vertAlign w:val="baseline"/>
                      <w14:textFill>
                        <w14:solidFill>
                          <w14:schemeClr w14:val="tx1"/>
                        </w14:solidFill>
                      </w14:textFill>
                    </w:rPr>
                  </w:pPr>
                  <w:r>
                    <w:rPr>
                      <w:rFonts w:hint="eastAsia"/>
                      <w:bCs/>
                      <w:color w:val="000000" w:themeColor="text1"/>
                      <w:sz w:val="21"/>
                      <w:szCs w:val="21"/>
                      <w:lang w:eastAsia="zh-CN"/>
                      <w14:textFill>
                        <w14:solidFill>
                          <w14:schemeClr w14:val="tx1"/>
                        </w14:solidFill>
                      </w14:textFill>
                    </w:rPr>
                    <w:t>给</w:t>
                  </w:r>
                  <w:r>
                    <w:rPr>
                      <w:bCs/>
                      <w:color w:val="000000" w:themeColor="text1"/>
                      <w:sz w:val="21"/>
                      <w:szCs w:val="21"/>
                      <w14:textFill>
                        <w14:solidFill>
                          <w14:schemeClr w14:val="tx1"/>
                        </w14:solidFill>
                      </w14:textFill>
                    </w:rPr>
                    <w:t>水</w:t>
                  </w:r>
                </w:p>
              </w:tc>
              <w:tc>
                <w:tcPr>
                  <w:tcW w:w="2247" w:type="dxa"/>
                  <w:tcBorders>
                    <w:bottom w:val="single" w:color="auto" w:sz="4" w:space="0"/>
                  </w:tcBorders>
                  <w:vAlign w:val="center"/>
                </w:tcPr>
                <w:p w14:paraId="19D95E6B">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color w:val="000000" w:themeColor="text1"/>
                      <w:kern w:val="0"/>
                      <w:szCs w:val="21"/>
                      <w14:textFill>
                        <w14:solidFill>
                          <w14:schemeClr w14:val="tx1"/>
                        </w14:solidFill>
                      </w14:textFill>
                    </w:rPr>
                    <w:t>市政供水管网</w:t>
                  </w:r>
                </w:p>
              </w:tc>
              <w:tc>
                <w:tcPr>
                  <w:tcW w:w="1615" w:type="dxa"/>
                  <w:tcBorders>
                    <w:bottom w:val="single" w:color="auto" w:sz="4" w:space="0"/>
                  </w:tcBorders>
                  <w:vAlign w:val="center"/>
                </w:tcPr>
                <w:p w14:paraId="17AAB9FD">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新增生活用水</w:t>
                  </w:r>
                  <w:r>
                    <w:rPr>
                      <w:rFonts w:hint="default" w:ascii="Times New Roman" w:hAnsi="Times New Roman" w:cs="Times New Roman"/>
                      <w:color w:val="000000"/>
                      <w:sz w:val="21"/>
                      <w:szCs w:val="21"/>
                      <w:lang w:val="en-US" w:eastAsia="zh-CN"/>
                    </w:rPr>
                    <w:t>180t/a</w:t>
                  </w:r>
                </w:p>
              </w:tc>
              <w:tc>
                <w:tcPr>
                  <w:tcW w:w="2333" w:type="dxa"/>
                  <w:tcBorders>
                    <w:bottom w:val="single" w:color="auto" w:sz="4" w:space="0"/>
                  </w:tcBorders>
                  <w:vAlign w:val="center"/>
                </w:tcPr>
                <w:p w14:paraId="711FC35E">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color w:val="000000" w:themeColor="text1"/>
                      <w:kern w:val="0"/>
                      <w:szCs w:val="21"/>
                      <w14:textFill>
                        <w14:solidFill>
                          <w14:schemeClr w14:val="tx1"/>
                        </w14:solidFill>
                      </w14:textFill>
                    </w:rPr>
                    <w:t>市政供水管网</w:t>
                  </w:r>
                </w:p>
              </w:tc>
              <w:tc>
                <w:tcPr>
                  <w:tcW w:w="916" w:type="dxa"/>
                  <w:vMerge w:val="restart"/>
                  <w:tcBorders>
                    <w:bottom w:val="single" w:color="auto" w:sz="4" w:space="0"/>
                    <w:right w:val="single" w:color="auto" w:sz="4" w:space="0"/>
                  </w:tcBorders>
                  <w:vAlign w:val="center"/>
                </w:tcPr>
                <w:p w14:paraId="3A3DCA60">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依托现有</w:t>
                  </w:r>
                </w:p>
              </w:tc>
            </w:tr>
            <w:tr w14:paraId="2A25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426" w:type="dxa"/>
                  <w:vMerge w:val="continue"/>
                  <w:tcBorders>
                    <w:top w:val="single" w:color="auto" w:sz="4" w:space="0"/>
                    <w:left w:val="single" w:color="auto" w:sz="4" w:space="0"/>
                    <w:bottom w:val="single" w:color="auto" w:sz="4" w:space="0"/>
                  </w:tcBorders>
                  <w:vAlign w:val="center"/>
                </w:tcPr>
                <w:p w14:paraId="3F74258D">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p>
              </w:tc>
              <w:tc>
                <w:tcPr>
                  <w:tcW w:w="806" w:type="dxa"/>
                  <w:tcBorders>
                    <w:top w:val="single" w:color="auto" w:sz="4" w:space="0"/>
                    <w:bottom w:val="single" w:color="auto" w:sz="4" w:space="0"/>
                  </w:tcBorders>
                  <w:vAlign w:val="center"/>
                </w:tcPr>
                <w:p w14:paraId="3CA19C2B">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eastAsia"/>
                      <w:color w:val="000000" w:themeColor="text1"/>
                      <w:szCs w:val="21"/>
                      <w:vertAlign w:val="baseline"/>
                      <w14:textFill>
                        <w14:solidFill>
                          <w14:schemeClr w14:val="tx1"/>
                        </w14:solidFill>
                      </w14:textFill>
                    </w:rPr>
                  </w:pPr>
                  <w:r>
                    <w:rPr>
                      <w:rFonts w:hint="eastAsia"/>
                      <w:bCs/>
                      <w:color w:val="000000" w:themeColor="text1"/>
                      <w:sz w:val="21"/>
                      <w:szCs w:val="21"/>
                      <w:lang w:eastAsia="zh-CN"/>
                      <w14:textFill>
                        <w14:solidFill>
                          <w14:schemeClr w14:val="tx1"/>
                        </w14:solidFill>
                      </w14:textFill>
                    </w:rPr>
                    <w:t>排</w:t>
                  </w:r>
                  <w:r>
                    <w:rPr>
                      <w:bCs/>
                      <w:color w:val="000000" w:themeColor="text1"/>
                      <w:sz w:val="21"/>
                      <w:szCs w:val="21"/>
                      <w14:textFill>
                        <w14:solidFill>
                          <w14:schemeClr w14:val="tx1"/>
                        </w14:solidFill>
                      </w14:textFill>
                    </w:rPr>
                    <w:t>水</w:t>
                  </w:r>
                </w:p>
              </w:tc>
              <w:tc>
                <w:tcPr>
                  <w:tcW w:w="2247" w:type="dxa"/>
                  <w:tcBorders>
                    <w:top w:val="single" w:color="auto" w:sz="4" w:space="0"/>
                    <w:bottom w:val="single" w:color="auto" w:sz="4" w:space="0"/>
                  </w:tcBorders>
                  <w:vAlign w:val="center"/>
                </w:tcPr>
                <w:p w14:paraId="7994E799">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生活污水经化粪池预处理后，接管网进入龙湖污水处理厂进一步深度处理，达标后排入龙河</w:t>
                  </w:r>
                </w:p>
              </w:tc>
              <w:tc>
                <w:tcPr>
                  <w:tcW w:w="1615" w:type="dxa"/>
                  <w:tcBorders>
                    <w:top w:val="single" w:color="auto" w:sz="4" w:space="0"/>
                    <w:bottom w:val="single" w:color="auto" w:sz="4" w:space="0"/>
                  </w:tcBorders>
                  <w:vAlign w:val="center"/>
                </w:tcPr>
                <w:p w14:paraId="50E3A70E">
                  <w:pPr>
                    <w:keepNext w:val="0"/>
                    <w:keepLines w:val="0"/>
                    <w:pageBreakBefore w:val="0"/>
                    <w:kinsoku/>
                    <w:wordWrap/>
                    <w:overflowPunct/>
                    <w:topLinePunct w:val="0"/>
                    <w:autoSpaceDE/>
                    <w:autoSpaceDN/>
                    <w:bidi w:val="0"/>
                    <w:adjustRightInd/>
                    <w:snapToGrid/>
                    <w:ind w:left="0"/>
                    <w:jc w:val="center"/>
                    <w:textAlignment w:val="auto"/>
                    <w:rPr>
                      <w:rFonts w:hint="default"/>
                      <w:color w:val="000000" w:themeColor="text1"/>
                      <w:szCs w:val="21"/>
                      <w:vertAlign w:val="baseline"/>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新增生活污水</w:t>
                  </w:r>
                </w:p>
              </w:tc>
              <w:tc>
                <w:tcPr>
                  <w:tcW w:w="2333" w:type="dxa"/>
                  <w:tcBorders>
                    <w:top w:val="single" w:color="auto" w:sz="4" w:space="0"/>
                    <w:bottom w:val="single" w:color="auto" w:sz="4" w:space="0"/>
                  </w:tcBorders>
                  <w:vAlign w:val="center"/>
                </w:tcPr>
                <w:p w14:paraId="2E1EF5E6">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color w:val="000000" w:themeColor="text1"/>
                      <w:kern w:val="0"/>
                      <w:szCs w:val="21"/>
                      <w14:textFill>
                        <w14:solidFill>
                          <w14:schemeClr w14:val="tx1"/>
                        </w14:solidFill>
                      </w14:textFill>
                    </w:rPr>
                    <w:t>生活污水经化粪池预处理后，接管网进入龙湖污水处理厂进一步深度处理，达标后排入龙河</w:t>
                  </w:r>
                </w:p>
              </w:tc>
              <w:tc>
                <w:tcPr>
                  <w:tcW w:w="916" w:type="dxa"/>
                  <w:vMerge w:val="continue"/>
                  <w:tcBorders>
                    <w:top w:val="single" w:color="auto" w:sz="4" w:space="0"/>
                    <w:bottom w:val="single" w:color="auto" w:sz="4" w:space="0"/>
                    <w:right w:val="single" w:color="auto" w:sz="4" w:space="0"/>
                  </w:tcBorders>
                  <w:vAlign w:val="center"/>
                </w:tcPr>
                <w:p w14:paraId="56867C0F">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eastAsia"/>
                      <w:color w:val="000000" w:themeColor="text1"/>
                      <w:szCs w:val="21"/>
                      <w:vertAlign w:val="baseline"/>
                      <w14:textFill>
                        <w14:solidFill>
                          <w14:schemeClr w14:val="tx1"/>
                        </w14:solidFill>
                      </w14:textFill>
                    </w:rPr>
                  </w:pPr>
                </w:p>
              </w:tc>
            </w:tr>
            <w:tr w14:paraId="31EF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26" w:type="dxa"/>
                  <w:vMerge w:val="continue"/>
                  <w:tcBorders>
                    <w:top w:val="single" w:color="auto" w:sz="4" w:space="0"/>
                    <w:left w:val="single" w:color="auto" w:sz="4" w:space="0"/>
                  </w:tcBorders>
                  <w:vAlign w:val="center"/>
                </w:tcPr>
                <w:p w14:paraId="3FA1124A">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p>
              </w:tc>
              <w:tc>
                <w:tcPr>
                  <w:tcW w:w="806" w:type="dxa"/>
                  <w:tcBorders>
                    <w:top w:val="single" w:color="auto" w:sz="4" w:space="0"/>
                  </w:tcBorders>
                  <w:vAlign w:val="center"/>
                </w:tcPr>
                <w:p w14:paraId="581F67C3">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vertAlign w:val="baseline"/>
                      <w14:textFill>
                        <w14:solidFill>
                          <w14:schemeClr w14:val="tx1"/>
                        </w14:solidFill>
                      </w14:textFill>
                    </w:rPr>
                  </w:pPr>
                  <w:r>
                    <w:rPr>
                      <w:rFonts w:ascii="宋体" w:hAnsi="宋体" w:cs="宋体"/>
                      <w:color w:val="000000" w:themeColor="text1"/>
                      <w:spacing w:val="-1"/>
                      <w:position w:val="0"/>
                      <w:sz w:val="21"/>
                      <w:szCs w:val="21"/>
                      <w:u w:val="none"/>
                      <w14:textFill>
                        <w14:solidFill>
                          <w14:schemeClr w14:val="tx1"/>
                        </w14:solidFill>
                      </w14:textFill>
                    </w:rPr>
                    <w:t>供电</w:t>
                  </w:r>
                </w:p>
              </w:tc>
              <w:tc>
                <w:tcPr>
                  <w:tcW w:w="2247" w:type="dxa"/>
                  <w:tcBorders>
                    <w:top w:val="single" w:color="auto" w:sz="4" w:space="0"/>
                  </w:tcBorders>
                  <w:vAlign w:val="center"/>
                </w:tcPr>
                <w:p w14:paraId="7BDE1B62">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color w:val="000000" w:themeColor="text1"/>
                      <w:kern w:val="0"/>
                      <w:szCs w:val="21"/>
                      <w14:textFill>
                        <w14:solidFill>
                          <w14:schemeClr w14:val="tx1"/>
                        </w14:solidFill>
                      </w14:textFill>
                    </w:rPr>
                    <w:t>来自市政供电</w:t>
                  </w:r>
                </w:p>
              </w:tc>
              <w:tc>
                <w:tcPr>
                  <w:tcW w:w="1615" w:type="dxa"/>
                  <w:tcBorders>
                    <w:top w:val="single" w:color="auto" w:sz="4" w:space="0"/>
                  </w:tcBorders>
                  <w:vAlign w:val="center"/>
                </w:tcPr>
                <w:p w14:paraId="6B7B4E10">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default"/>
                      <w:color w:val="000000" w:themeColor="text1"/>
                      <w:szCs w:val="21"/>
                      <w:vertAlign w:val="baseline"/>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新增用电50</w:t>
                  </w:r>
                  <w:r>
                    <w:rPr>
                      <w:rFonts w:hint="default" w:ascii="Times New Roman" w:hAnsi="Times New Roman" w:eastAsia="宋体" w:cs="Times New Roman"/>
                      <w:sz w:val="21"/>
                      <w:szCs w:val="21"/>
                    </w:rPr>
                    <w:t>万千瓦时/年</w:t>
                  </w:r>
                </w:p>
              </w:tc>
              <w:tc>
                <w:tcPr>
                  <w:tcW w:w="2333" w:type="dxa"/>
                  <w:tcBorders>
                    <w:top w:val="single" w:color="auto" w:sz="4" w:space="0"/>
                  </w:tcBorders>
                  <w:vAlign w:val="center"/>
                </w:tcPr>
                <w:p w14:paraId="5779734C">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来自市政供电</w:t>
                  </w:r>
                </w:p>
              </w:tc>
              <w:tc>
                <w:tcPr>
                  <w:tcW w:w="916" w:type="dxa"/>
                  <w:tcBorders>
                    <w:top w:val="single" w:color="auto" w:sz="4" w:space="0"/>
                  </w:tcBorders>
                  <w:vAlign w:val="center"/>
                </w:tcPr>
                <w:p w14:paraId="24D6B179">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ascii="Times New Roman" w:hAnsi="Times New Roman" w:eastAsia="宋体" w:cs="Times New Roman"/>
                      <w:color w:val="000000" w:themeColor="text1"/>
                      <w:kern w:val="0"/>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依托现有</w:t>
                  </w:r>
                </w:p>
              </w:tc>
            </w:tr>
            <w:tr w14:paraId="784C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0DCA6B3B">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vertAlign w:val="baseline"/>
                      <w:lang w:eastAsia="zh-CN"/>
                      <w14:textFill>
                        <w14:solidFill>
                          <w14:schemeClr w14:val="tx1"/>
                        </w14:solidFill>
                      </w14:textFill>
                    </w:rPr>
                  </w:pPr>
                  <w:r>
                    <w:rPr>
                      <w:rFonts w:hint="eastAsia"/>
                      <w:color w:val="000000" w:themeColor="text1"/>
                      <w:szCs w:val="21"/>
                      <w:vertAlign w:val="baseline"/>
                      <w:lang w:eastAsia="zh-CN"/>
                      <w14:textFill>
                        <w14:solidFill>
                          <w14:schemeClr w14:val="tx1"/>
                        </w14:solidFill>
                      </w14:textFill>
                    </w:rPr>
                    <w:t>环保工程</w:t>
                  </w:r>
                </w:p>
              </w:tc>
              <w:tc>
                <w:tcPr>
                  <w:tcW w:w="806" w:type="dxa"/>
                  <w:vAlign w:val="center"/>
                </w:tcPr>
                <w:p w14:paraId="193F512D">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ascii="宋体" w:hAnsi="宋体" w:cs="宋体"/>
                      <w:color w:val="000000" w:themeColor="text1"/>
                      <w:spacing w:val="-1"/>
                      <w:position w:val="0"/>
                      <w:sz w:val="21"/>
                      <w:szCs w:val="21"/>
                      <w:u w:val="none"/>
                      <w14:textFill>
                        <w14:solidFill>
                          <w14:schemeClr w14:val="tx1"/>
                        </w14:solidFill>
                      </w14:textFill>
                    </w:rPr>
                  </w:pPr>
                  <w:r>
                    <w:rPr>
                      <w:rFonts w:ascii="宋体" w:hAnsi="宋体" w:cs="宋体"/>
                      <w:color w:val="000000" w:themeColor="text1"/>
                      <w:spacing w:val="-1"/>
                      <w:position w:val="0"/>
                      <w:sz w:val="21"/>
                      <w:szCs w:val="21"/>
                      <w:u w:val="none"/>
                      <w14:textFill>
                        <w14:solidFill>
                          <w14:schemeClr w14:val="tx1"/>
                        </w14:solidFill>
                      </w14:textFill>
                    </w:rPr>
                    <w:t>废水</w:t>
                  </w:r>
                </w:p>
                <w:p w14:paraId="6B25D4F7">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ascii="宋体" w:hAnsi="宋体" w:cs="宋体"/>
                      <w:color w:val="000000" w:themeColor="text1"/>
                      <w:spacing w:val="-1"/>
                      <w:position w:val="0"/>
                      <w:sz w:val="21"/>
                      <w:szCs w:val="21"/>
                      <w:u w:val="none"/>
                      <w14:textFill>
                        <w14:solidFill>
                          <w14:schemeClr w14:val="tx1"/>
                        </w14:solidFill>
                      </w14:textFill>
                    </w:rPr>
                    <w:t>治理</w:t>
                  </w:r>
                </w:p>
              </w:tc>
              <w:tc>
                <w:tcPr>
                  <w:tcW w:w="2247" w:type="dxa"/>
                  <w:vAlign w:val="center"/>
                </w:tcPr>
                <w:p w14:paraId="5422DBA8">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vertAlign w:val="baseline"/>
                      <w14:textFill>
                        <w14:solidFill>
                          <w14:schemeClr w14:val="tx1"/>
                        </w14:solidFill>
                      </w14:textFill>
                    </w:rPr>
                  </w:pPr>
                  <w:r>
                    <w:rPr>
                      <w:color w:val="000000" w:themeColor="text1"/>
                      <w:kern w:val="0"/>
                      <w:szCs w:val="21"/>
                      <w14:textFill>
                        <w14:solidFill>
                          <w14:schemeClr w14:val="tx1"/>
                        </w14:solidFill>
                      </w14:textFill>
                    </w:rPr>
                    <w:t>生活污水经化粪池预处理后，接管网进入龙湖污水处理厂进一步深度处理，达标后排入龙河</w:t>
                  </w:r>
                </w:p>
              </w:tc>
              <w:tc>
                <w:tcPr>
                  <w:tcW w:w="1615" w:type="dxa"/>
                  <w:vAlign w:val="center"/>
                </w:tcPr>
                <w:p w14:paraId="5C459A4E">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vertAlign w:val="baseline"/>
                      <w14:textFill>
                        <w14:solidFill>
                          <w14:schemeClr w14:val="tx1"/>
                        </w14:solidFill>
                      </w14:textFill>
                    </w:rPr>
                  </w:pPr>
                  <w:r>
                    <w:rPr>
                      <w:rFonts w:hint="eastAsia"/>
                      <w:color w:val="000000" w:themeColor="text1"/>
                      <w:szCs w:val="21"/>
                      <w:lang w:val="en-US" w:eastAsia="zh-CN"/>
                      <w14:textFill>
                        <w14:solidFill>
                          <w14:schemeClr w14:val="tx1"/>
                        </w14:solidFill>
                      </w14:textFill>
                    </w:rPr>
                    <w:t>新增生活污水</w:t>
                  </w:r>
                  <w:r>
                    <w:rPr>
                      <w:rFonts w:hint="eastAsia" w:cs="Times New Roman"/>
                      <w:color w:val="auto"/>
                      <w:lang w:val="en-US" w:eastAsia="zh-CN"/>
                    </w:rPr>
                    <w:t>144</w:t>
                  </w:r>
                  <w:r>
                    <w:rPr>
                      <w:rFonts w:hint="default" w:ascii="Times New Roman" w:hAnsi="Times New Roman" w:cs="Times New Roman"/>
                      <w:color w:val="auto"/>
                    </w:rPr>
                    <w:t>t/a</w:t>
                  </w:r>
                </w:p>
              </w:tc>
              <w:tc>
                <w:tcPr>
                  <w:tcW w:w="2333" w:type="dxa"/>
                  <w:vAlign w:val="center"/>
                </w:tcPr>
                <w:p w14:paraId="2A12F51D">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b/>
                      <w:bCs/>
                      <w:color w:val="000000" w:themeColor="text1"/>
                      <w:szCs w:val="21"/>
                      <w:vertAlign w:val="baseline"/>
                      <w14:textFill>
                        <w14:solidFill>
                          <w14:schemeClr w14:val="tx1"/>
                        </w14:solidFill>
                      </w14:textFill>
                    </w:rPr>
                  </w:pPr>
                  <w:r>
                    <w:rPr>
                      <w:color w:val="000000" w:themeColor="text1"/>
                      <w:kern w:val="0"/>
                      <w:szCs w:val="21"/>
                      <w14:textFill>
                        <w14:solidFill>
                          <w14:schemeClr w14:val="tx1"/>
                        </w14:solidFill>
                      </w14:textFill>
                    </w:rPr>
                    <w:t>生活污水经化粪池预处理后，接管网进入龙湖污水处理厂进一步深度处理，达标后排入龙河</w:t>
                  </w:r>
                </w:p>
              </w:tc>
              <w:tc>
                <w:tcPr>
                  <w:tcW w:w="916" w:type="dxa"/>
                  <w:vAlign w:val="center"/>
                </w:tcPr>
                <w:p w14:paraId="7273BFDD">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vertAlign w:val="baseline"/>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依托现有</w:t>
                  </w:r>
                </w:p>
              </w:tc>
            </w:tr>
            <w:tr w14:paraId="4019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426" w:type="dxa"/>
                  <w:vMerge w:val="continue"/>
                  <w:vAlign w:val="center"/>
                </w:tcPr>
                <w:p w14:paraId="3EED3A26">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p>
              </w:tc>
              <w:tc>
                <w:tcPr>
                  <w:tcW w:w="806" w:type="dxa"/>
                  <w:vMerge w:val="restart"/>
                  <w:vAlign w:val="center"/>
                </w:tcPr>
                <w:p w14:paraId="1777997F">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000000" w:themeColor="text1"/>
                      <w:spacing w:val="-1"/>
                      <w:position w:val="0"/>
                      <w:sz w:val="21"/>
                      <w:szCs w:val="21"/>
                      <w:u w:val="no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废气</w:t>
                  </w:r>
                </w:p>
                <w:p w14:paraId="24AB75A2">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治理</w:t>
                  </w:r>
                </w:p>
              </w:tc>
              <w:tc>
                <w:tcPr>
                  <w:tcW w:w="2247" w:type="dxa"/>
                  <w:vAlign w:val="center"/>
                </w:tcPr>
                <w:p w14:paraId="26C38280">
                  <w:pPr>
                    <w:keepNext w:val="0"/>
                    <w:keepLines w:val="0"/>
                    <w:pageBreakBefore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eastAsia="宋体"/>
                      <w:color w:val="000000" w:themeColor="text1"/>
                      <w:szCs w:val="21"/>
                      <w:vertAlign w:val="baseline"/>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激光切割</w:t>
                  </w:r>
                  <w:r>
                    <w:rPr>
                      <w:rFonts w:ascii="Times New Roman" w:hAnsi="Times New Roman"/>
                      <w:color w:val="000000" w:themeColor="text1"/>
                      <w:szCs w:val="21"/>
                      <w14:textFill>
                        <w14:solidFill>
                          <w14:schemeClr w14:val="tx1"/>
                        </w14:solidFill>
                      </w14:textFill>
                    </w:rPr>
                    <w:t>（颗粒物）</w:t>
                  </w:r>
                  <w:r>
                    <w:rPr>
                      <w:rFonts w:hint="eastAsia"/>
                      <w:color w:val="000000" w:themeColor="text1"/>
                      <w:szCs w:val="21"/>
                      <w:lang w:eastAsia="zh-CN"/>
                      <w14:textFill>
                        <w14:solidFill>
                          <w14:schemeClr w14:val="tx1"/>
                        </w14:solidFill>
                      </w14:textFill>
                    </w:rPr>
                    <w:t>：</w:t>
                  </w:r>
                  <w:r>
                    <w:rPr>
                      <w:rFonts w:eastAsia="宋体"/>
                      <w:bCs/>
                      <w:snapToGrid w:val="0"/>
                      <w:color w:val="000000" w:themeColor="text1"/>
                      <w:spacing w:val="-6"/>
                      <w:kern w:val="2"/>
                      <w:sz w:val="21"/>
                      <w:szCs w:val="21"/>
                      <w14:textFill>
                        <w14:solidFill>
                          <w14:schemeClr w14:val="tx1"/>
                        </w14:solidFill>
                      </w14:textFill>
                    </w:rPr>
                    <w:t>采用设备自带收集系统收集后</w:t>
                  </w:r>
                  <w:r>
                    <w:rPr>
                      <w:rFonts w:hint="eastAsia"/>
                      <w:bCs/>
                      <w:snapToGrid w:val="0"/>
                      <w:color w:val="000000" w:themeColor="text1"/>
                      <w:spacing w:val="-6"/>
                      <w:kern w:val="2"/>
                      <w:sz w:val="21"/>
                      <w:szCs w:val="21"/>
                      <w:lang w:eastAsia="zh-CN"/>
                      <w14:textFill>
                        <w14:solidFill>
                          <w14:schemeClr w14:val="tx1"/>
                        </w14:solidFill>
                      </w14:textFill>
                    </w:rPr>
                    <w:t>无组织排放</w:t>
                  </w:r>
                </w:p>
              </w:tc>
              <w:tc>
                <w:tcPr>
                  <w:tcW w:w="1615" w:type="dxa"/>
                  <w:vAlign w:val="center"/>
                </w:tcPr>
                <w:p w14:paraId="6E3E0260">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激光切割</w:t>
                  </w:r>
                  <w:r>
                    <w:rPr>
                      <w:rFonts w:ascii="Times New Roman" w:hAnsi="Times New Roman"/>
                      <w:color w:val="000000" w:themeColor="text1"/>
                      <w:szCs w:val="21"/>
                      <w14:textFill>
                        <w14:solidFill>
                          <w14:schemeClr w14:val="tx1"/>
                        </w14:solidFill>
                      </w14:textFill>
                    </w:rPr>
                    <w:t>（颗粒物）</w:t>
                  </w:r>
                  <w:r>
                    <w:rPr>
                      <w:rFonts w:hint="eastAsia"/>
                      <w:color w:val="000000" w:themeColor="text1"/>
                      <w:szCs w:val="21"/>
                      <w:lang w:eastAsia="zh-CN"/>
                      <w14:textFill>
                        <w14:solidFill>
                          <w14:schemeClr w14:val="tx1"/>
                        </w14:solidFill>
                      </w14:textFill>
                    </w:rPr>
                    <w:t>：</w:t>
                  </w:r>
                  <w:r>
                    <w:rPr>
                      <w:rFonts w:eastAsia="宋体"/>
                      <w:bCs/>
                      <w:snapToGrid w:val="0"/>
                      <w:color w:val="000000" w:themeColor="text1"/>
                      <w:spacing w:val="-6"/>
                      <w:kern w:val="2"/>
                      <w:sz w:val="21"/>
                      <w:szCs w:val="21"/>
                      <w14:textFill>
                        <w14:solidFill>
                          <w14:schemeClr w14:val="tx1"/>
                        </w14:solidFill>
                      </w14:textFill>
                    </w:rPr>
                    <w:t>采用设备自带收集系统收集后通过滤筒除尘器</w:t>
                  </w:r>
                  <w:r>
                    <w:rPr>
                      <w:rFonts w:hint="eastAsia" w:eastAsia="宋体"/>
                      <w:bCs/>
                      <w:snapToGrid w:val="0"/>
                      <w:color w:val="000000" w:themeColor="text1"/>
                      <w:spacing w:val="-6"/>
                      <w:kern w:val="2"/>
                      <w:sz w:val="21"/>
                      <w:szCs w:val="21"/>
                      <w:lang w:eastAsia="zh-CN"/>
                      <w14:textFill>
                        <w14:solidFill>
                          <w14:schemeClr w14:val="tx1"/>
                        </w14:solidFill>
                      </w14:textFill>
                    </w:rPr>
                    <w:t>（</w:t>
                  </w:r>
                  <w:r>
                    <w:rPr>
                      <w:rFonts w:hint="eastAsia" w:eastAsia="宋体"/>
                      <w:bCs/>
                      <w:snapToGrid w:val="0"/>
                      <w:color w:val="000000" w:themeColor="text1"/>
                      <w:spacing w:val="-6"/>
                      <w:kern w:val="2"/>
                      <w:sz w:val="21"/>
                      <w:szCs w:val="21"/>
                      <w:lang w:val="en-US" w:eastAsia="zh-CN"/>
                      <w14:textFill>
                        <w14:solidFill>
                          <w14:schemeClr w14:val="tx1"/>
                        </w14:solidFill>
                      </w14:textFill>
                    </w:rPr>
                    <w:t>TA001</w:t>
                  </w:r>
                  <w:r>
                    <w:rPr>
                      <w:rFonts w:hint="eastAsia" w:eastAsia="宋体"/>
                      <w:bCs/>
                      <w:snapToGrid w:val="0"/>
                      <w:color w:val="000000" w:themeColor="text1"/>
                      <w:spacing w:val="-6"/>
                      <w:kern w:val="2"/>
                      <w:sz w:val="21"/>
                      <w:szCs w:val="21"/>
                      <w:lang w:eastAsia="zh-CN"/>
                      <w14:textFill>
                        <w14:solidFill>
                          <w14:schemeClr w14:val="tx1"/>
                        </w14:solidFill>
                      </w14:textFill>
                    </w:rPr>
                    <w:t>）</w:t>
                  </w:r>
                  <w:r>
                    <w:rPr>
                      <w:rFonts w:eastAsia="宋体"/>
                      <w:bCs/>
                      <w:snapToGrid w:val="0"/>
                      <w:color w:val="000000" w:themeColor="text1"/>
                      <w:spacing w:val="-6"/>
                      <w:kern w:val="2"/>
                      <w:sz w:val="21"/>
                      <w:szCs w:val="21"/>
                      <w14:textFill>
                        <w14:solidFill>
                          <w14:schemeClr w14:val="tx1"/>
                        </w14:solidFill>
                      </w14:textFill>
                    </w:rPr>
                    <w:t>处理</w:t>
                  </w:r>
                  <w:r>
                    <w:rPr>
                      <w:rFonts w:hint="eastAsia"/>
                      <w:bCs/>
                      <w:snapToGrid w:val="0"/>
                      <w:color w:val="000000" w:themeColor="text1"/>
                      <w:spacing w:val="-6"/>
                      <w:kern w:val="2"/>
                      <w:sz w:val="21"/>
                      <w:szCs w:val="21"/>
                      <w:lang w:eastAsia="zh-CN"/>
                      <w14:textFill>
                        <w14:solidFill>
                          <w14:schemeClr w14:val="tx1"/>
                        </w14:solidFill>
                      </w14:textFill>
                    </w:rPr>
                    <w:t>后</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1</w:t>
                  </w:r>
                </w:p>
              </w:tc>
              <w:tc>
                <w:tcPr>
                  <w:tcW w:w="2333" w:type="dxa"/>
                  <w:vAlign w:val="center"/>
                </w:tcPr>
                <w:p w14:paraId="50FE0FEF">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color w:val="000000" w:themeColor="text1"/>
                      <w:szCs w:val="21"/>
                      <w:lang w:eastAsia="zh-CN"/>
                      <w14:textFill>
                        <w14:solidFill>
                          <w14:schemeClr w14:val="tx1"/>
                        </w14:solidFill>
                      </w14:textFill>
                    </w:rPr>
                    <w:t>激光切割</w:t>
                  </w:r>
                  <w:r>
                    <w:rPr>
                      <w:rFonts w:ascii="Times New Roman" w:hAnsi="Times New Roman"/>
                      <w:color w:val="000000" w:themeColor="text1"/>
                      <w:szCs w:val="21"/>
                      <w14:textFill>
                        <w14:solidFill>
                          <w14:schemeClr w14:val="tx1"/>
                        </w14:solidFill>
                      </w14:textFill>
                    </w:rPr>
                    <w:t>（颗粒物）</w:t>
                  </w:r>
                  <w:r>
                    <w:rPr>
                      <w:rFonts w:hint="eastAsia"/>
                      <w:color w:val="000000" w:themeColor="text1"/>
                      <w:szCs w:val="21"/>
                      <w:lang w:eastAsia="zh-CN"/>
                      <w14:textFill>
                        <w14:solidFill>
                          <w14:schemeClr w14:val="tx1"/>
                        </w14:solidFill>
                      </w14:textFill>
                    </w:rPr>
                    <w:t>：</w:t>
                  </w:r>
                  <w:r>
                    <w:rPr>
                      <w:rFonts w:eastAsia="宋体"/>
                      <w:bCs/>
                      <w:snapToGrid w:val="0"/>
                      <w:color w:val="000000" w:themeColor="text1"/>
                      <w:spacing w:val="-6"/>
                      <w:kern w:val="2"/>
                      <w:sz w:val="21"/>
                      <w:szCs w:val="21"/>
                      <w14:textFill>
                        <w14:solidFill>
                          <w14:schemeClr w14:val="tx1"/>
                        </w14:solidFill>
                      </w14:textFill>
                    </w:rPr>
                    <w:t>采用设备自带收集系统收集后通过滤筒除尘器</w:t>
                  </w:r>
                  <w:r>
                    <w:rPr>
                      <w:rFonts w:hint="eastAsia" w:eastAsia="宋体"/>
                      <w:bCs/>
                      <w:snapToGrid w:val="0"/>
                      <w:color w:val="000000" w:themeColor="text1"/>
                      <w:spacing w:val="-6"/>
                      <w:kern w:val="2"/>
                      <w:sz w:val="21"/>
                      <w:szCs w:val="21"/>
                      <w:lang w:eastAsia="zh-CN"/>
                      <w14:textFill>
                        <w14:solidFill>
                          <w14:schemeClr w14:val="tx1"/>
                        </w14:solidFill>
                      </w14:textFill>
                    </w:rPr>
                    <w:t>（</w:t>
                  </w:r>
                  <w:r>
                    <w:rPr>
                      <w:rFonts w:hint="eastAsia" w:eastAsia="宋体"/>
                      <w:bCs/>
                      <w:snapToGrid w:val="0"/>
                      <w:color w:val="000000" w:themeColor="text1"/>
                      <w:spacing w:val="-6"/>
                      <w:kern w:val="2"/>
                      <w:sz w:val="21"/>
                      <w:szCs w:val="21"/>
                      <w:lang w:val="en-US" w:eastAsia="zh-CN"/>
                      <w14:textFill>
                        <w14:solidFill>
                          <w14:schemeClr w14:val="tx1"/>
                        </w14:solidFill>
                      </w14:textFill>
                    </w:rPr>
                    <w:t>TA001</w:t>
                  </w:r>
                  <w:r>
                    <w:rPr>
                      <w:rFonts w:hint="eastAsia" w:eastAsia="宋体"/>
                      <w:bCs/>
                      <w:snapToGrid w:val="0"/>
                      <w:color w:val="000000" w:themeColor="text1"/>
                      <w:spacing w:val="-6"/>
                      <w:kern w:val="2"/>
                      <w:sz w:val="21"/>
                      <w:szCs w:val="21"/>
                      <w:lang w:eastAsia="zh-CN"/>
                      <w14:textFill>
                        <w14:solidFill>
                          <w14:schemeClr w14:val="tx1"/>
                        </w14:solidFill>
                      </w14:textFill>
                    </w:rPr>
                    <w:t>）</w:t>
                  </w:r>
                  <w:r>
                    <w:rPr>
                      <w:rFonts w:eastAsia="宋体"/>
                      <w:bCs/>
                      <w:snapToGrid w:val="0"/>
                      <w:color w:val="000000" w:themeColor="text1"/>
                      <w:spacing w:val="-6"/>
                      <w:kern w:val="2"/>
                      <w:sz w:val="21"/>
                      <w:szCs w:val="21"/>
                      <w14:textFill>
                        <w14:solidFill>
                          <w14:schemeClr w14:val="tx1"/>
                        </w14:solidFill>
                      </w14:textFill>
                    </w:rPr>
                    <w:t>处理</w:t>
                  </w:r>
                  <w:r>
                    <w:rPr>
                      <w:rFonts w:hint="eastAsia"/>
                      <w:bCs/>
                      <w:snapToGrid w:val="0"/>
                      <w:color w:val="000000" w:themeColor="text1"/>
                      <w:spacing w:val="-6"/>
                      <w:kern w:val="2"/>
                      <w:sz w:val="21"/>
                      <w:szCs w:val="21"/>
                      <w:lang w:eastAsia="zh-CN"/>
                      <w14:textFill>
                        <w14:solidFill>
                          <w14:schemeClr w14:val="tx1"/>
                        </w14:solidFill>
                      </w14:textFill>
                    </w:rPr>
                    <w:t>后</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1</w:t>
                  </w:r>
                </w:p>
              </w:tc>
              <w:tc>
                <w:tcPr>
                  <w:tcW w:w="916" w:type="dxa"/>
                  <w:vAlign w:val="center"/>
                </w:tcPr>
                <w:p w14:paraId="48DC76EE">
                  <w:pPr>
                    <w:pStyle w:val="10"/>
                    <w:rPr>
                      <w:rFonts w:hint="eastAsia"/>
                      <w:color w:val="000000" w:themeColor="text1"/>
                      <w:szCs w:val="21"/>
                      <w:vertAlign w:val="baseline"/>
                      <w14:textFill>
                        <w14:solidFill>
                          <w14:schemeClr w14:val="tx1"/>
                        </w14:solidFill>
                      </w14:textFill>
                    </w:rPr>
                  </w:pPr>
                  <w:r>
                    <w:rPr>
                      <w:rFonts w:hint="eastAsia"/>
                      <w:szCs w:val="21"/>
                      <w:lang w:eastAsia="zh-CN"/>
                    </w:rPr>
                    <w:t>废气处理设施升级</w:t>
                  </w:r>
                </w:p>
              </w:tc>
            </w:tr>
            <w:tr w14:paraId="624B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426" w:type="dxa"/>
                  <w:vMerge w:val="continue"/>
                  <w:vAlign w:val="center"/>
                </w:tcPr>
                <w:p w14:paraId="6FE32A03">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color w:val="000000" w:themeColor="text1"/>
                      <w:szCs w:val="21"/>
                      <w14:textFill>
                        <w14:solidFill>
                          <w14:schemeClr w14:val="tx1"/>
                        </w14:solidFill>
                      </w14:textFill>
                    </w:rPr>
                  </w:pPr>
                </w:p>
              </w:tc>
              <w:tc>
                <w:tcPr>
                  <w:tcW w:w="806" w:type="dxa"/>
                  <w:vMerge w:val="continue"/>
                  <w:vAlign w:val="center"/>
                </w:tcPr>
                <w:p w14:paraId="51288DAC">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color w:val="000000" w:themeColor="text1"/>
                      <w:szCs w:val="21"/>
                      <w14:textFill>
                        <w14:solidFill>
                          <w14:schemeClr w14:val="tx1"/>
                        </w14:solidFill>
                      </w14:textFill>
                    </w:rPr>
                  </w:pPr>
                </w:p>
              </w:tc>
              <w:tc>
                <w:tcPr>
                  <w:tcW w:w="2247" w:type="dxa"/>
                  <w:vAlign w:val="center"/>
                </w:tcPr>
                <w:p w14:paraId="3EABB593">
                  <w:pPr>
                    <w:keepNext w:val="0"/>
                    <w:keepLines w:val="0"/>
                    <w:pageBreakBefore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宋体" w:hAnsi="宋体" w:cs="宋体"/>
                      <w:color w:val="000000" w:themeColor="text1"/>
                      <w:spacing w:val="-1"/>
                      <w:position w:val="0"/>
                      <w:sz w:val="21"/>
                      <w:szCs w:val="21"/>
                      <w:u w:val="none"/>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焊接</w:t>
                  </w:r>
                  <w:r>
                    <w:rPr>
                      <w:rFonts w:ascii="Times New Roman" w:hAnsi="Times New Roman"/>
                      <w:color w:val="000000" w:themeColor="text1"/>
                      <w:szCs w:val="21"/>
                      <w14:textFill>
                        <w14:solidFill>
                          <w14:schemeClr w14:val="tx1"/>
                        </w14:solidFill>
                      </w14:textFill>
                    </w:rPr>
                    <w:t>烟尘（颗粒物）</w:t>
                  </w:r>
                  <w:r>
                    <w:rPr>
                      <w:rFonts w:hint="eastAsia"/>
                      <w:color w:val="000000" w:themeColor="text1"/>
                      <w:szCs w:val="21"/>
                      <w:lang w:eastAsia="zh-CN"/>
                      <w14:textFill>
                        <w14:solidFill>
                          <w14:schemeClr w14:val="tx1"/>
                        </w14:solidFill>
                      </w14:textFill>
                    </w:rPr>
                    <w:t>：</w:t>
                  </w:r>
                  <w:bookmarkStart w:id="1" w:name="OLE_LINK54"/>
                  <w:r>
                    <w:rPr>
                      <w:rFonts w:ascii="Times New Roman" w:hAnsi="Times New Roman"/>
                      <w:color w:val="000000" w:themeColor="text1"/>
                      <w:szCs w:val="21"/>
                      <w14:textFill>
                        <w14:solidFill>
                          <w14:schemeClr w14:val="tx1"/>
                        </w14:solidFill>
                      </w14:textFill>
                    </w:rPr>
                    <w:t>移动式焊接净化器</w:t>
                  </w:r>
                  <w:bookmarkEnd w:id="1"/>
                  <w:r>
                    <w:rPr>
                      <w:rFonts w:ascii="Times New Roman" w:hAnsi="Times New Roman"/>
                      <w:color w:val="000000" w:themeColor="text1"/>
                      <w:szCs w:val="21"/>
                      <w14:textFill>
                        <w14:solidFill>
                          <w14:schemeClr w14:val="tx1"/>
                        </w14:solidFill>
                      </w14:textFill>
                    </w:rPr>
                    <w:t>处理后</w:t>
                  </w:r>
                  <w:r>
                    <w:rPr>
                      <w:rFonts w:hint="eastAsia"/>
                      <w:color w:val="000000" w:themeColor="text1"/>
                      <w:szCs w:val="21"/>
                      <w:lang w:eastAsia="zh-CN"/>
                      <w14:textFill>
                        <w14:solidFill>
                          <w14:schemeClr w14:val="tx1"/>
                        </w14:solidFill>
                      </w14:textFill>
                    </w:rPr>
                    <w:t>无组织</w:t>
                  </w:r>
                  <w:r>
                    <w:rPr>
                      <w:rFonts w:ascii="Times New Roman" w:hAnsi="Times New Roman"/>
                      <w:color w:val="000000" w:themeColor="text1"/>
                      <w:szCs w:val="21"/>
                      <w14:textFill>
                        <w14:solidFill>
                          <w14:schemeClr w14:val="tx1"/>
                        </w14:solidFill>
                      </w14:textFill>
                    </w:rPr>
                    <w:t>排放</w:t>
                  </w:r>
                </w:p>
              </w:tc>
              <w:tc>
                <w:tcPr>
                  <w:tcW w:w="1615" w:type="dxa"/>
                  <w:vAlign w:val="center"/>
                </w:tcPr>
                <w:p w14:paraId="65CEF802">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cs="宋体"/>
                      <w:color w:val="000000" w:themeColor="text1"/>
                      <w:spacing w:val="-1"/>
                      <w:position w:val="0"/>
                      <w:sz w:val="21"/>
                      <w:szCs w:val="21"/>
                      <w:u w:val="none"/>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焊接</w:t>
                  </w:r>
                  <w:r>
                    <w:rPr>
                      <w:rFonts w:ascii="Times New Roman" w:hAnsi="Times New Roman"/>
                      <w:color w:val="000000" w:themeColor="text1"/>
                      <w:szCs w:val="21"/>
                      <w14:textFill>
                        <w14:solidFill>
                          <w14:schemeClr w14:val="tx1"/>
                        </w14:solidFill>
                      </w14:textFill>
                    </w:rPr>
                    <w:t>烟尘（颗粒物）</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移动式焊接净化器处理后</w:t>
                  </w:r>
                  <w:r>
                    <w:rPr>
                      <w:rFonts w:hint="eastAsia"/>
                      <w:color w:val="000000" w:themeColor="text1"/>
                      <w:szCs w:val="21"/>
                      <w:lang w:eastAsia="zh-CN"/>
                      <w14:textFill>
                        <w14:solidFill>
                          <w14:schemeClr w14:val="tx1"/>
                        </w14:solidFill>
                      </w14:textFill>
                    </w:rPr>
                    <w:t>无组织</w:t>
                  </w:r>
                  <w:r>
                    <w:rPr>
                      <w:rFonts w:ascii="Times New Roman" w:hAnsi="Times New Roman"/>
                      <w:color w:val="000000" w:themeColor="text1"/>
                      <w:szCs w:val="21"/>
                      <w14:textFill>
                        <w14:solidFill>
                          <w14:schemeClr w14:val="tx1"/>
                        </w14:solidFill>
                      </w14:textFill>
                    </w:rPr>
                    <w:t>排放</w:t>
                  </w:r>
                </w:p>
              </w:tc>
              <w:tc>
                <w:tcPr>
                  <w:tcW w:w="2333" w:type="dxa"/>
                  <w:vAlign w:val="center"/>
                </w:tcPr>
                <w:p w14:paraId="73FF6AA1">
                  <w:pPr>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eastAsia" w:ascii="宋体" w:hAnsi="宋体" w:cs="宋体"/>
                      <w:color w:val="000000" w:themeColor="text1"/>
                      <w:spacing w:val="-1"/>
                      <w:position w:val="0"/>
                      <w:sz w:val="21"/>
                      <w:szCs w:val="21"/>
                      <w:u w:val="none"/>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焊接</w:t>
                  </w:r>
                  <w:r>
                    <w:rPr>
                      <w:rFonts w:ascii="Times New Roman" w:hAnsi="Times New Roman"/>
                      <w:color w:val="000000" w:themeColor="text1"/>
                      <w:szCs w:val="21"/>
                      <w14:textFill>
                        <w14:solidFill>
                          <w14:schemeClr w14:val="tx1"/>
                        </w14:solidFill>
                      </w14:textFill>
                    </w:rPr>
                    <w:t>烟尘（颗粒物）</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移动式焊接净化器处理后</w:t>
                  </w:r>
                  <w:r>
                    <w:rPr>
                      <w:rFonts w:hint="eastAsia"/>
                      <w:color w:val="000000" w:themeColor="text1"/>
                      <w:szCs w:val="21"/>
                      <w:lang w:eastAsia="zh-CN"/>
                      <w14:textFill>
                        <w14:solidFill>
                          <w14:schemeClr w14:val="tx1"/>
                        </w14:solidFill>
                      </w14:textFill>
                    </w:rPr>
                    <w:t>无组织</w:t>
                  </w:r>
                  <w:r>
                    <w:rPr>
                      <w:rFonts w:ascii="Times New Roman" w:hAnsi="Times New Roman"/>
                      <w:color w:val="000000" w:themeColor="text1"/>
                      <w:szCs w:val="21"/>
                      <w14:textFill>
                        <w14:solidFill>
                          <w14:schemeClr w14:val="tx1"/>
                        </w14:solidFill>
                      </w14:textFill>
                    </w:rPr>
                    <w:t>排放</w:t>
                  </w:r>
                </w:p>
              </w:tc>
              <w:tc>
                <w:tcPr>
                  <w:tcW w:w="916" w:type="dxa"/>
                  <w:vAlign w:val="center"/>
                </w:tcPr>
                <w:p w14:paraId="7D141FD1">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cs="宋体"/>
                      <w:color w:val="000000" w:themeColor="text1"/>
                      <w:spacing w:val="-1"/>
                      <w:position w:val="0"/>
                      <w:sz w:val="21"/>
                      <w:szCs w:val="21"/>
                      <w:u w:val="none"/>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新增焊机</w:t>
                  </w:r>
                </w:p>
              </w:tc>
            </w:tr>
            <w:tr w14:paraId="40F8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jc w:val="center"/>
              </w:trPr>
              <w:tc>
                <w:tcPr>
                  <w:tcW w:w="426" w:type="dxa"/>
                  <w:vMerge w:val="continue"/>
                  <w:vAlign w:val="center"/>
                </w:tcPr>
                <w:p w14:paraId="00E0B83D">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cs="宋体"/>
                      <w:color w:val="000000" w:themeColor="text1"/>
                      <w:spacing w:val="-1"/>
                      <w:position w:val="0"/>
                      <w:sz w:val="21"/>
                      <w:szCs w:val="21"/>
                      <w:u w:val="none"/>
                      <w:lang w:val="en-US" w:eastAsia="zh-CN"/>
                      <w14:textFill>
                        <w14:solidFill>
                          <w14:schemeClr w14:val="tx1"/>
                        </w14:solidFill>
                      </w14:textFill>
                    </w:rPr>
                  </w:pPr>
                </w:p>
              </w:tc>
              <w:tc>
                <w:tcPr>
                  <w:tcW w:w="806" w:type="dxa"/>
                  <w:vMerge w:val="continue"/>
                  <w:vAlign w:val="center"/>
                </w:tcPr>
                <w:p w14:paraId="64730E37">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cs="宋体"/>
                      <w:color w:val="000000" w:themeColor="text1"/>
                      <w:spacing w:val="-1"/>
                      <w:position w:val="0"/>
                      <w:sz w:val="21"/>
                      <w:szCs w:val="21"/>
                      <w:u w:val="none"/>
                      <w:lang w:val="en-US" w:eastAsia="zh-CN"/>
                      <w14:textFill>
                        <w14:solidFill>
                          <w14:schemeClr w14:val="tx1"/>
                        </w14:solidFill>
                      </w14:textFill>
                    </w:rPr>
                  </w:pPr>
                </w:p>
              </w:tc>
              <w:tc>
                <w:tcPr>
                  <w:tcW w:w="2247" w:type="dxa"/>
                  <w:vAlign w:val="center"/>
                </w:tcPr>
                <w:p w14:paraId="3F1DF44A">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cs="宋体"/>
                      <w:color w:val="000000" w:themeColor="text1"/>
                      <w:spacing w:val="-1"/>
                      <w:position w:val="0"/>
                      <w:sz w:val="21"/>
                      <w:szCs w:val="21"/>
                      <w:u w:val="none"/>
                      <w:lang w:val="en-US" w:eastAsia="zh-CN"/>
                      <w14:textFill>
                        <w14:solidFill>
                          <w14:schemeClr w14:val="tx1"/>
                        </w14:solidFill>
                      </w14:textFill>
                    </w:rPr>
                  </w:pPr>
                  <w:r>
                    <w:rPr>
                      <w:rFonts w:hint="eastAsia" w:ascii="宋体" w:hAnsi="宋体" w:cs="宋体"/>
                      <w:color w:val="000000" w:themeColor="text1"/>
                      <w:spacing w:val="-1"/>
                      <w:position w:val="0"/>
                      <w:sz w:val="21"/>
                      <w:szCs w:val="21"/>
                      <w:u w:val="none"/>
                      <w:lang w:val="en-US" w:eastAsia="zh-CN"/>
                      <w14:textFill>
                        <w14:solidFill>
                          <w14:schemeClr w14:val="tx1"/>
                        </w14:solidFill>
                      </w14:textFill>
                    </w:rPr>
                    <w:t>/</w:t>
                  </w:r>
                </w:p>
              </w:tc>
              <w:tc>
                <w:tcPr>
                  <w:tcW w:w="1615" w:type="dxa"/>
                  <w:vAlign w:val="center"/>
                </w:tcPr>
                <w:p w14:paraId="3BC82AF8">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000000" w:themeColor="text1"/>
                      <w:spacing w:val="-1"/>
                      <w:position w:val="0"/>
                      <w:sz w:val="21"/>
                      <w:szCs w:val="21"/>
                      <w:u w:val="none"/>
                      <w:lang w:val="en-US" w:eastAsia="zh-CN"/>
                      <w14:textFill>
                        <w14:solidFill>
                          <w14:schemeClr w14:val="tx1"/>
                        </w14:solidFill>
                      </w14:textFill>
                    </w:rPr>
                  </w:pPr>
                  <w:r>
                    <w:rPr>
                      <w:rFonts w:hint="eastAsia" w:ascii="宋体" w:hAnsi="宋体" w:cs="宋体"/>
                      <w:color w:val="000000" w:themeColor="text1"/>
                      <w:spacing w:val="-1"/>
                      <w:position w:val="0"/>
                      <w:sz w:val="21"/>
                      <w:szCs w:val="21"/>
                      <w:u w:val="none"/>
                      <w:lang w:val="en-US" w:eastAsia="zh-CN"/>
                      <w14:textFill>
                        <w14:solidFill>
                          <w14:schemeClr w14:val="tx1"/>
                        </w14:solidFill>
                      </w14:textFill>
                    </w:rPr>
                    <w:t>抛丸粉尘（颗粒物）：</w:t>
                  </w:r>
                  <w:bookmarkStart w:id="2" w:name="OLE_LINK16"/>
                  <w:r>
                    <w:rPr>
                      <w:rFonts w:ascii="Times New Roman" w:hAnsi="Times New Roman"/>
                      <w:color w:val="000000" w:themeColor="text1"/>
                      <w:szCs w:val="21"/>
                      <w14:textFill>
                        <w14:solidFill>
                          <w14:schemeClr w14:val="tx1"/>
                        </w14:solidFill>
                      </w14:textFill>
                    </w:rPr>
                    <w:t>设备自带粉尘收集系统+布袋除尘器</w:t>
                  </w:r>
                  <w:bookmarkEnd w:id="2"/>
                  <w:r>
                    <w:rPr>
                      <w:rFonts w:ascii="Times New Roman" w:hAnsi="Times New Roman"/>
                      <w:color w:val="000000" w:themeColor="text1"/>
                      <w:szCs w:val="21"/>
                      <w14:textFill>
                        <w14:solidFill>
                          <w14:schemeClr w14:val="tx1"/>
                        </w14:solidFill>
                      </w14:textFill>
                    </w:rPr>
                    <w:t>（TA00</w:t>
                  </w:r>
                  <w:r>
                    <w:rPr>
                      <w:rFonts w:hint="eastAsia"/>
                      <w:color w:val="000000" w:themeColor="text1"/>
                      <w:szCs w:val="21"/>
                      <w:lang w:val="en-US" w:eastAsia="zh-CN"/>
                      <w14:textFill>
                        <w14:solidFill>
                          <w14:schemeClr w14:val="tx1"/>
                        </w14:solidFill>
                      </w14:textFill>
                    </w:rPr>
                    <w:t>2</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2</w:t>
                  </w:r>
                </w:p>
              </w:tc>
              <w:tc>
                <w:tcPr>
                  <w:tcW w:w="2333" w:type="dxa"/>
                  <w:vAlign w:val="center"/>
                </w:tcPr>
                <w:p w14:paraId="77070F3E">
                  <w:pPr>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eastAsia" w:ascii="宋体" w:hAnsi="宋体" w:eastAsia="宋体" w:cs="宋体"/>
                      <w:color w:val="000000" w:themeColor="text1"/>
                      <w:spacing w:val="-1"/>
                      <w:position w:val="0"/>
                      <w:sz w:val="21"/>
                      <w:szCs w:val="21"/>
                      <w:u w:val="none"/>
                      <w:lang w:val="en-US" w:eastAsia="zh-CN"/>
                      <w14:textFill>
                        <w14:solidFill>
                          <w14:schemeClr w14:val="tx1"/>
                        </w14:solidFill>
                      </w14:textFill>
                    </w:rPr>
                  </w:pPr>
                  <w:r>
                    <w:rPr>
                      <w:rFonts w:hint="eastAsia" w:ascii="宋体" w:hAnsi="宋体" w:cs="宋体"/>
                      <w:color w:val="000000" w:themeColor="text1"/>
                      <w:spacing w:val="-1"/>
                      <w:position w:val="0"/>
                      <w:sz w:val="21"/>
                      <w:szCs w:val="21"/>
                      <w:u w:val="none"/>
                      <w:lang w:val="en-US" w:eastAsia="zh-CN"/>
                      <w14:textFill>
                        <w14:solidFill>
                          <w14:schemeClr w14:val="tx1"/>
                        </w14:solidFill>
                      </w14:textFill>
                    </w:rPr>
                    <w:t>抛丸粉尘（颗粒物）：</w:t>
                  </w:r>
                  <w:r>
                    <w:rPr>
                      <w:rFonts w:ascii="Times New Roman" w:hAnsi="Times New Roman"/>
                      <w:color w:val="000000" w:themeColor="text1"/>
                      <w:szCs w:val="21"/>
                      <w14:textFill>
                        <w14:solidFill>
                          <w14:schemeClr w14:val="tx1"/>
                        </w14:solidFill>
                      </w14:textFill>
                    </w:rPr>
                    <w:t>设备自带粉尘收集系统+布袋除尘器（TA00</w:t>
                  </w:r>
                  <w:r>
                    <w:rPr>
                      <w:rFonts w:hint="eastAsia"/>
                      <w:color w:val="000000" w:themeColor="text1"/>
                      <w:szCs w:val="21"/>
                      <w:lang w:val="en-US" w:eastAsia="zh-CN"/>
                      <w14:textFill>
                        <w14:solidFill>
                          <w14:schemeClr w14:val="tx1"/>
                        </w14:solidFill>
                      </w14:textFill>
                    </w:rPr>
                    <w:t>2</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2</w:t>
                  </w:r>
                </w:p>
              </w:tc>
              <w:tc>
                <w:tcPr>
                  <w:tcW w:w="916" w:type="dxa"/>
                  <w:vAlign w:val="center"/>
                </w:tcPr>
                <w:p w14:paraId="13F8B8BA">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cs="宋体"/>
                      <w:color w:val="000000" w:themeColor="text1"/>
                      <w:spacing w:val="-1"/>
                      <w:position w:val="0"/>
                      <w:sz w:val="21"/>
                      <w:szCs w:val="21"/>
                      <w:u w:val="none"/>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新建</w:t>
                  </w:r>
                </w:p>
              </w:tc>
            </w:tr>
            <w:tr w14:paraId="7B75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jc w:val="center"/>
              </w:trPr>
              <w:tc>
                <w:tcPr>
                  <w:tcW w:w="426" w:type="dxa"/>
                  <w:vMerge w:val="continue"/>
                  <w:vAlign w:val="center"/>
                </w:tcPr>
                <w:p w14:paraId="75FACFAD">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cs="宋体"/>
                      <w:color w:val="000000" w:themeColor="text1"/>
                      <w:spacing w:val="-1"/>
                      <w:position w:val="0"/>
                      <w:sz w:val="21"/>
                      <w:szCs w:val="21"/>
                      <w:u w:val="none"/>
                      <w:lang w:val="en-US" w:eastAsia="zh-CN"/>
                      <w14:textFill>
                        <w14:solidFill>
                          <w14:schemeClr w14:val="tx1"/>
                        </w14:solidFill>
                      </w14:textFill>
                    </w:rPr>
                  </w:pPr>
                </w:p>
              </w:tc>
              <w:tc>
                <w:tcPr>
                  <w:tcW w:w="806" w:type="dxa"/>
                  <w:vMerge w:val="continue"/>
                  <w:vAlign w:val="center"/>
                </w:tcPr>
                <w:p w14:paraId="01D470C8">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cs="宋体"/>
                      <w:color w:val="000000" w:themeColor="text1"/>
                      <w:spacing w:val="-1"/>
                      <w:position w:val="0"/>
                      <w:sz w:val="21"/>
                      <w:szCs w:val="21"/>
                      <w:u w:val="none"/>
                      <w:lang w:val="en-US" w:eastAsia="zh-CN"/>
                      <w14:textFill>
                        <w14:solidFill>
                          <w14:schemeClr w14:val="tx1"/>
                        </w14:solidFill>
                      </w14:textFill>
                    </w:rPr>
                  </w:pPr>
                </w:p>
              </w:tc>
              <w:tc>
                <w:tcPr>
                  <w:tcW w:w="2247" w:type="dxa"/>
                  <w:vAlign w:val="center"/>
                </w:tcPr>
                <w:p w14:paraId="09992702">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cs="宋体"/>
                      <w:color w:val="000000" w:themeColor="text1"/>
                      <w:spacing w:val="-1"/>
                      <w:position w:val="0"/>
                      <w:sz w:val="21"/>
                      <w:szCs w:val="21"/>
                      <w:u w:val="none"/>
                      <w:lang w:val="en-US" w:eastAsia="zh-CN"/>
                      <w14:textFill>
                        <w14:solidFill>
                          <w14:schemeClr w14:val="tx1"/>
                        </w14:solidFill>
                      </w14:textFill>
                    </w:rPr>
                  </w:pPr>
                  <w:r>
                    <w:rPr>
                      <w:rFonts w:hint="eastAsia" w:ascii="宋体" w:hAnsi="宋体" w:cs="宋体"/>
                      <w:color w:val="000000" w:themeColor="text1"/>
                      <w:spacing w:val="-1"/>
                      <w:position w:val="0"/>
                      <w:sz w:val="21"/>
                      <w:szCs w:val="21"/>
                      <w:u w:val="none"/>
                      <w:lang w:val="en-US" w:eastAsia="zh-CN"/>
                      <w14:textFill>
                        <w14:solidFill>
                          <w14:schemeClr w14:val="tx1"/>
                        </w14:solidFill>
                      </w14:textFill>
                    </w:rPr>
                    <w:t>/</w:t>
                  </w:r>
                </w:p>
              </w:tc>
              <w:tc>
                <w:tcPr>
                  <w:tcW w:w="1615" w:type="dxa"/>
                  <w:vAlign w:val="center"/>
                </w:tcPr>
                <w:p w14:paraId="6AD486A8">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cs="宋体"/>
                      <w:color w:val="000000" w:themeColor="text1"/>
                      <w:spacing w:val="-1"/>
                      <w:position w:val="0"/>
                      <w:sz w:val="21"/>
                      <w:szCs w:val="21"/>
                      <w:u w:val="none"/>
                      <w:lang w:val="en-US" w:eastAsia="zh-CN"/>
                      <w14:textFill>
                        <w14:solidFill>
                          <w14:schemeClr w14:val="tx1"/>
                        </w14:solidFill>
                      </w14:textFill>
                    </w:rPr>
                  </w:pPr>
                  <w:r>
                    <w:rPr>
                      <w:rFonts w:hint="eastAsia" w:ascii="宋体" w:hAnsi="宋体" w:cs="宋体"/>
                      <w:color w:val="000000" w:themeColor="text1"/>
                      <w:spacing w:val="-1"/>
                      <w:position w:val="1"/>
                      <w:sz w:val="21"/>
                      <w:szCs w:val="21"/>
                      <w:u w:val="none"/>
                      <w:lang w:eastAsia="zh-CN"/>
                      <w14:textFill>
                        <w14:solidFill>
                          <w14:schemeClr w14:val="tx1"/>
                        </w14:solidFill>
                      </w14:textFill>
                    </w:rPr>
                    <w:t>喷漆、晾干工艺废气治理：</w:t>
                  </w:r>
                  <w:r>
                    <w:rPr>
                      <w:rFonts w:ascii="Times New Roman" w:hAnsi="Times New Roman"/>
                      <w:color w:val="000000" w:themeColor="text1"/>
                      <w:szCs w:val="21"/>
                      <w14:textFill>
                        <w14:solidFill>
                          <w14:schemeClr w14:val="tx1"/>
                        </w14:solidFill>
                      </w14:textFill>
                    </w:rPr>
                    <w:t>采用密闭负压收集+</w:t>
                  </w:r>
                  <w:r>
                    <w:rPr>
                      <w:rFonts w:hint="eastAsia" w:ascii="Times New Roman" w:hAnsi="Times New Roman"/>
                      <w:color w:val="000000" w:themeColor="text1"/>
                      <w:szCs w:val="21"/>
                      <w14:textFill>
                        <w14:solidFill>
                          <w14:schemeClr w14:val="tx1"/>
                        </w14:solidFill>
                      </w14:textFill>
                    </w:rPr>
                    <w:t>过滤棉+</w:t>
                  </w:r>
                  <w:bookmarkStart w:id="3" w:name="OLE_LINK53"/>
                  <w:r>
                    <w:rPr>
                      <w:rFonts w:ascii="Times New Roman" w:hAnsi="Times New Roman"/>
                      <w:color w:val="000000" w:themeColor="text1"/>
                      <w:szCs w:val="21"/>
                      <w14:textFill>
                        <w14:solidFill>
                          <w14:schemeClr w14:val="tx1"/>
                        </w14:solidFill>
                      </w14:textFill>
                    </w:rPr>
                    <w:t>二级活性炭</w:t>
                  </w:r>
                  <w:bookmarkEnd w:id="3"/>
                  <w:r>
                    <w:rPr>
                      <w:rFonts w:ascii="Times New Roman" w:hAnsi="Times New Roman"/>
                      <w:color w:val="000000" w:themeColor="text1"/>
                      <w:szCs w:val="21"/>
                      <w14:textFill>
                        <w14:solidFill>
                          <w14:schemeClr w14:val="tx1"/>
                        </w14:solidFill>
                      </w14:textFill>
                    </w:rPr>
                    <w:t>吸附（TA00</w:t>
                  </w:r>
                  <w:r>
                    <w:rPr>
                      <w:rFonts w:hint="eastAsia"/>
                      <w:color w:val="000000" w:themeColor="text1"/>
                      <w:szCs w:val="21"/>
                      <w:lang w:val="en-US" w:eastAsia="zh-CN"/>
                      <w14:textFill>
                        <w14:solidFill>
                          <w14:schemeClr w14:val="tx1"/>
                        </w14:solidFill>
                      </w14:textFill>
                    </w:rPr>
                    <w:t>3</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3</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c>
                <w:tcPr>
                  <w:tcW w:w="2333" w:type="dxa"/>
                  <w:vAlign w:val="center"/>
                </w:tcPr>
                <w:p w14:paraId="1D032B97">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cs="宋体"/>
                      <w:color w:val="000000" w:themeColor="text1"/>
                      <w:spacing w:val="-1"/>
                      <w:position w:val="0"/>
                      <w:sz w:val="21"/>
                      <w:szCs w:val="21"/>
                      <w:u w:val="none"/>
                      <w:lang w:val="en-US" w:eastAsia="zh-CN"/>
                      <w14:textFill>
                        <w14:solidFill>
                          <w14:schemeClr w14:val="tx1"/>
                        </w14:solidFill>
                      </w14:textFill>
                    </w:rPr>
                  </w:pPr>
                  <w:r>
                    <w:rPr>
                      <w:rFonts w:hint="eastAsia" w:ascii="宋体" w:hAnsi="宋体" w:cs="宋体"/>
                      <w:color w:val="000000" w:themeColor="text1"/>
                      <w:spacing w:val="-1"/>
                      <w:position w:val="1"/>
                      <w:sz w:val="21"/>
                      <w:szCs w:val="21"/>
                      <w:u w:val="none"/>
                      <w:lang w:eastAsia="zh-CN"/>
                      <w14:textFill>
                        <w14:solidFill>
                          <w14:schemeClr w14:val="tx1"/>
                        </w14:solidFill>
                      </w14:textFill>
                    </w:rPr>
                    <w:t>喷漆、晾干工艺废气治理：</w:t>
                  </w:r>
                  <w:r>
                    <w:rPr>
                      <w:rFonts w:ascii="Times New Roman" w:hAnsi="Times New Roman"/>
                      <w:color w:val="000000" w:themeColor="text1"/>
                      <w:szCs w:val="21"/>
                      <w14:textFill>
                        <w14:solidFill>
                          <w14:schemeClr w14:val="tx1"/>
                        </w14:solidFill>
                      </w14:textFill>
                    </w:rPr>
                    <w:t>采用密闭负压收集+</w:t>
                  </w:r>
                  <w:r>
                    <w:rPr>
                      <w:rFonts w:hint="eastAsia" w:ascii="Times New Roman" w:hAnsi="Times New Roman"/>
                      <w:color w:val="000000" w:themeColor="text1"/>
                      <w:szCs w:val="21"/>
                      <w14:textFill>
                        <w14:solidFill>
                          <w14:schemeClr w14:val="tx1"/>
                        </w14:solidFill>
                      </w14:textFill>
                    </w:rPr>
                    <w:t>过滤棉+</w:t>
                  </w:r>
                  <w:r>
                    <w:rPr>
                      <w:rFonts w:ascii="Times New Roman" w:hAnsi="Times New Roman"/>
                      <w:color w:val="000000" w:themeColor="text1"/>
                      <w:szCs w:val="21"/>
                      <w14:textFill>
                        <w14:solidFill>
                          <w14:schemeClr w14:val="tx1"/>
                        </w14:solidFill>
                      </w14:textFill>
                    </w:rPr>
                    <w:t>二级活性炭吸附（TA00</w:t>
                  </w:r>
                  <w:r>
                    <w:rPr>
                      <w:rFonts w:hint="eastAsia"/>
                      <w:color w:val="000000" w:themeColor="text1"/>
                      <w:szCs w:val="21"/>
                      <w:lang w:val="en-US" w:eastAsia="zh-CN"/>
                      <w14:textFill>
                        <w14:solidFill>
                          <w14:schemeClr w14:val="tx1"/>
                        </w14:solidFill>
                      </w14:textFill>
                    </w:rPr>
                    <w:t>3</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3</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c>
                <w:tcPr>
                  <w:tcW w:w="916" w:type="dxa"/>
                  <w:vAlign w:val="center"/>
                </w:tcPr>
                <w:p w14:paraId="095E7D23">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cs="宋体"/>
                      <w:color w:val="000000" w:themeColor="text1"/>
                      <w:spacing w:val="-1"/>
                      <w:position w:val="0"/>
                      <w:sz w:val="21"/>
                      <w:szCs w:val="21"/>
                      <w:u w:val="none"/>
                      <w:lang w:val="en-US" w:eastAsia="zh-CN"/>
                      <w14:textFill>
                        <w14:solidFill>
                          <w14:schemeClr w14:val="tx1"/>
                        </w14:solidFill>
                      </w14:textFill>
                    </w:rPr>
                  </w:pPr>
                  <w:r>
                    <w:rPr>
                      <w:rFonts w:hint="eastAsia" w:ascii="宋体" w:hAnsi="宋体" w:cs="宋体"/>
                      <w:color w:val="000000" w:themeColor="text1"/>
                      <w:spacing w:val="-1"/>
                      <w:position w:val="0"/>
                      <w:sz w:val="21"/>
                      <w:szCs w:val="21"/>
                      <w:u w:val="none"/>
                      <w:lang w:val="en-US" w:eastAsia="zh-CN"/>
                      <w14:textFill>
                        <w14:solidFill>
                          <w14:schemeClr w14:val="tx1"/>
                        </w14:solidFill>
                      </w14:textFill>
                    </w:rPr>
                    <w:t>新建</w:t>
                  </w:r>
                </w:p>
              </w:tc>
            </w:tr>
            <w:tr w14:paraId="18C7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4758F10">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p>
              </w:tc>
              <w:tc>
                <w:tcPr>
                  <w:tcW w:w="806" w:type="dxa"/>
                  <w:vAlign w:val="center"/>
                </w:tcPr>
                <w:p w14:paraId="45F7ADD2">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000000" w:themeColor="text1"/>
                      <w:spacing w:val="-1"/>
                      <w:position w:val="0"/>
                      <w:sz w:val="21"/>
                      <w:szCs w:val="21"/>
                      <w:u w:val="no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噪声</w:t>
                  </w:r>
                </w:p>
                <w:p w14:paraId="4B816A11">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治理</w:t>
                  </w:r>
                </w:p>
              </w:tc>
              <w:tc>
                <w:tcPr>
                  <w:tcW w:w="2247" w:type="dxa"/>
                  <w:vAlign w:val="center"/>
                </w:tcPr>
                <w:p w14:paraId="46BF910E">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color w:val="000000" w:themeColor="text1"/>
                      <w:szCs w:val="21"/>
                      <w14:textFill>
                        <w14:solidFill>
                          <w14:schemeClr w14:val="tx1"/>
                        </w14:solidFill>
                      </w14:textFill>
                    </w:rPr>
                    <w:t>采取减振、隔声措施；选用低噪声设备</w:t>
                  </w:r>
                </w:p>
              </w:tc>
              <w:tc>
                <w:tcPr>
                  <w:tcW w:w="1615" w:type="dxa"/>
                  <w:vAlign w:val="center"/>
                </w:tcPr>
                <w:p w14:paraId="0A823389">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rFonts w:hint="eastAsia"/>
                      <w:color w:val="000000" w:themeColor="text1"/>
                      <w:szCs w:val="21"/>
                      <w:lang w:val="en-US" w:eastAsia="zh-CN"/>
                      <w14:textFill>
                        <w14:solidFill>
                          <w14:schemeClr w14:val="tx1"/>
                        </w14:solidFill>
                      </w14:textFill>
                    </w:rPr>
                    <w:t>新增设备设置隔声、减振等措施</w:t>
                  </w:r>
                </w:p>
              </w:tc>
              <w:tc>
                <w:tcPr>
                  <w:tcW w:w="2333" w:type="dxa"/>
                  <w:vAlign w:val="center"/>
                </w:tcPr>
                <w:p w14:paraId="26C17DB3">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rFonts w:hint="eastAsia"/>
                      <w:color w:val="000000" w:themeColor="text1"/>
                      <w:szCs w:val="21"/>
                      <w:lang w:eastAsia="zh-CN"/>
                      <w14:textFill>
                        <w14:solidFill>
                          <w14:schemeClr w14:val="tx1"/>
                        </w14:solidFill>
                      </w14:textFill>
                    </w:rPr>
                    <w:t>厂区生产</w:t>
                  </w:r>
                  <w:r>
                    <w:rPr>
                      <w:rFonts w:hint="eastAsia"/>
                      <w:color w:val="000000" w:themeColor="text1"/>
                      <w:szCs w:val="21"/>
                      <w:lang w:val="en-US" w:eastAsia="zh-CN"/>
                      <w14:textFill>
                        <w14:solidFill>
                          <w14:schemeClr w14:val="tx1"/>
                        </w14:solidFill>
                      </w14:textFill>
                    </w:rPr>
                    <w:t>置</w:t>
                  </w:r>
                  <w:r>
                    <w:rPr>
                      <w:color w:val="000000" w:themeColor="text1"/>
                      <w:szCs w:val="21"/>
                      <w14:textFill>
                        <w14:solidFill>
                          <w14:schemeClr w14:val="tx1"/>
                        </w14:solidFill>
                      </w14:textFill>
                    </w:rPr>
                    <w:t>采取减振、隔声措施；选用低噪声设备</w:t>
                  </w:r>
                </w:p>
              </w:tc>
              <w:tc>
                <w:tcPr>
                  <w:tcW w:w="916" w:type="dxa"/>
                  <w:vAlign w:val="center"/>
                </w:tcPr>
                <w:p w14:paraId="7FEF62B5">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default"/>
                      <w:color w:val="000000" w:themeColor="text1"/>
                      <w:szCs w:val="21"/>
                      <w:vertAlign w:val="baseline"/>
                      <w:lang w:val="en-US"/>
                      <w14:textFill>
                        <w14:solidFill>
                          <w14:schemeClr w14:val="tx1"/>
                        </w14:solidFill>
                      </w14:textFill>
                    </w:rPr>
                  </w:pPr>
                  <w:r>
                    <w:rPr>
                      <w:rFonts w:hint="eastAsia" w:ascii="宋体" w:hAnsi="宋体" w:cs="宋体"/>
                      <w:color w:val="000000" w:themeColor="text1"/>
                      <w:spacing w:val="-1"/>
                      <w:position w:val="1"/>
                      <w:sz w:val="21"/>
                      <w:szCs w:val="21"/>
                      <w:u w:val="none"/>
                      <w:lang w:val="en-US" w:eastAsia="zh-CN"/>
                      <w14:textFill>
                        <w14:solidFill>
                          <w14:schemeClr w14:val="tx1"/>
                        </w14:solidFill>
                      </w14:textFill>
                    </w:rPr>
                    <w:t>新增设备采用隔声、降噪措施</w:t>
                  </w:r>
                </w:p>
              </w:tc>
            </w:tr>
            <w:tr w14:paraId="17F0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426" w:type="dxa"/>
                  <w:vMerge w:val="continue"/>
                  <w:vAlign w:val="center"/>
                </w:tcPr>
                <w:p w14:paraId="0A929971">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p>
              </w:tc>
              <w:tc>
                <w:tcPr>
                  <w:tcW w:w="806" w:type="dxa"/>
                  <w:vMerge w:val="restart"/>
                  <w:vAlign w:val="center"/>
                </w:tcPr>
                <w:p w14:paraId="0FF8C9AB">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000000" w:themeColor="text1"/>
                      <w:spacing w:val="-1"/>
                      <w:position w:val="0"/>
                      <w:sz w:val="21"/>
                      <w:szCs w:val="21"/>
                      <w:u w:val="no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固废</w:t>
                  </w:r>
                </w:p>
                <w:p w14:paraId="603A5628">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治理</w:t>
                  </w:r>
                </w:p>
              </w:tc>
              <w:tc>
                <w:tcPr>
                  <w:tcW w:w="2247" w:type="dxa"/>
                  <w:vAlign w:val="center"/>
                </w:tcPr>
                <w:p w14:paraId="122CE375">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一般工业固体废物：</w:t>
                  </w:r>
                  <w:r>
                    <w:rPr>
                      <w:rFonts w:hint="eastAsia"/>
                      <w:color w:val="000000" w:themeColor="text1"/>
                      <w:szCs w:val="21"/>
                      <w14:textFill>
                        <w14:solidFill>
                          <w14:schemeClr w14:val="tx1"/>
                        </w14:solidFill>
                      </w14:textFill>
                    </w:rPr>
                    <w:t>废边角料集中收集后，暂存于一般固废暂存间，综合利用；</w:t>
                  </w:r>
                </w:p>
              </w:tc>
              <w:tc>
                <w:tcPr>
                  <w:tcW w:w="1615" w:type="dxa"/>
                  <w:vAlign w:val="center"/>
                </w:tcPr>
                <w:p w14:paraId="7A975503">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新增废布袋、废钢丸</w:t>
                  </w:r>
                  <w:r>
                    <w:rPr>
                      <w:rFonts w:hint="eastAsia"/>
                      <w:color w:val="000000" w:themeColor="text1"/>
                      <w:szCs w:val="21"/>
                      <w14:textFill>
                        <w14:solidFill>
                          <w14:schemeClr w14:val="tx1"/>
                        </w14:solidFill>
                      </w14:textFill>
                    </w:rPr>
                    <w:t>暂存于一般固废暂存间</w:t>
                  </w:r>
                  <w:r>
                    <w:rPr>
                      <w:rFonts w:hint="eastAsia"/>
                      <w:color w:val="000000" w:themeColor="text1"/>
                      <w:szCs w:val="21"/>
                      <w:lang w:eastAsia="zh-CN"/>
                      <w14:textFill>
                        <w14:solidFill>
                          <w14:schemeClr w14:val="tx1"/>
                        </w14:solidFill>
                      </w14:textFill>
                    </w:rPr>
                    <w:t>；</w:t>
                  </w:r>
                </w:p>
              </w:tc>
              <w:tc>
                <w:tcPr>
                  <w:tcW w:w="2333" w:type="dxa"/>
                  <w:vAlign w:val="center"/>
                </w:tcPr>
                <w:p w14:paraId="40CD51CD">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一般工业固体废物：</w:t>
                  </w:r>
                  <w:r>
                    <w:rPr>
                      <w:rFonts w:hint="eastAsia"/>
                      <w:color w:val="000000" w:themeColor="text1"/>
                      <w:szCs w:val="21"/>
                      <w14:textFill>
                        <w14:solidFill>
                          <w14:schemeClr w14:val="tx1"/>
                        </w14:solidFill>
                      </w14:textFill>
                    </w:rPr>
                    <w:t>废边角料</w:t>
                  </w:r>
                  <w:r>
                    <w:rPr>
                      <w:rFonts w:hint="eastAsia"/>
                      <w:color w:val="000000" w:themeColor="text1"/>
                      <w:szCs w:val="21"/>
                      <w:lang w:eastAsia="zh-CN"/>
                      <w14:textFill>
                        <w14:solidFill>
                          <w14:schemeClr w14:val="tx1"/>
                        </w14:solidFill>
                      </w14:textFill>
                    </w:rPr>
                    <w:t>、废布袋、废钢丸</w:t>
                  </w:r>
                  <w:r>
                    <w:rPr>
                      <w:rFonts w:hint="eastAsia"/>
                      <w:color w:val="000000" w:themeColor="text1"/>
                      <w:szCs w:val="21"/>
                      <w14:textFill>
                        <w14:solidFill>
                          <w14:schemeClr w14:val="tx1"/>
                        </w14:solidFill>
                      </w14:textFill>
                    </w:rPr>
                    <w:t>集中收集后，暂存于一般固废暂存间，综合利用</w:t>
                  </w:r>
                </w:p>
              </w:tc>
              <w:tc>
                <w:tcPr>
                  <w:tcW w:w="916" w:type="dxa"/>
                  <w:vAlign w:val="center"/>
                </w:tcPr>
                <w:p w14:paraId="2E27E077">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依托现有固废间</w:t>
                  </w:r>
                </w:p>
              </w:tc>
            </w:tr>
            <w:tr w14:paraId="34AE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426" w:type="dxa"/>
                  <w:vMerge w:val="continue"/>
                  <w:vAlign w:val="center"/>
                </w:tcPr>
                <w:p w14:paraId="412E2DC6">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szCs w:val="21"/>
                    </w:rPr>
                  </w:pPr>
                </w:p>
              </w:tc>
              <w:tc>
                <w:tcPr>
                  <w:tcW w:w="806" w:type="dxa"/>
                  <w:vMerge w:val="continue"/>
                  <w:vAlign w:val="center"/>
                </w:tcPr>
                <w:p w14:paraId="7BF5DA0C">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szCs w:val="21"/>
                    </w:rPr>
                  </w:pPr>
                </w:p>
              </w:tc>
              <w:tc>
                <w:tcPr>
                  <w:tcW w:w="2247" w:type="dxa"/>
                  <w:vAlign w:val="center"/>
                </w:tcPr>
                <w:p w14:paraId="530F8340">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危险废物：废机油、废液压油、废乳化液、废油桶</w:t>
                  </w:r>
                  <w:r>
                    <w:rPr>
                      <w:rFonts w:hint="eastAsia"/>
                      <w:color w:val="000000" w:themeColor="text1"/>
                      <w:szCs w:val="21"/>
                      <w14:textFill>
                        <w14:solidFill>
                          <w14:schemeClr w14:val="tx1"/>
                        </w14:solidFill>
                      </w14:textFill>
                    </w:rPr>
                    <w:t>集中收集后暂存于危废暂存间定期</w:t>
                  </w:r>
                  <w:r>
                    <w:rPr>
                      <w:rFonts w:hint="eastAsia"/>
                      <w:color w:val="000000" w:themeColor="text1"/>
                      <w:szCs w:val="21"/>
                      <w:lang w:val="en-US" w:eastAsia="zh-CN"/>
                      <w14:textFill>
                        <w14:solidFill>
                          <w14:schemeClr w14:val="tx1"/>
                        </w14:solidFill>
                      </w14:textFill>
                    </w:rPr>
                    <w:t>交由有资质单位处置</w:t>
                  </w:r>
                </w:p>
              </w:tc>
              <w:tc>
                <w:tcPr>
                  <w:tcW w:w="1615" w:type="dxa"/>
                  <w:vAlign w:val="center"/>
                </w:tcPr>
                <w:p w14:paraId="776FC9B9">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新增废活性炭、废过滤棉、漆渣、废油漆桶、含油抹布及手套</w:t>
                  </w:r>
                  <w:r>
                    <w:rPr>
                      <w:rFonts w:hint="eastAsia"/>
                      <w:color w:val="000000" w:themeColor="text1"/>
                      <w:szCs w:val="21"/>
                      <w14:textFill>
                        <w14:solidFill>
                          <w14:schemeClr w14:val="tx1"/>
                        </w14:solidFill>
                      </w14:textFill>
                    </w:rPr>
                    <w:t>集中收集后暂存于危废暂存间定期</w:t>
                  </w:r>
                  <w:r>
                    <w:rPr>
                      <w:rFonts w:hint="eastAsia"/>
                      <w:color w:val="000000" w:themeColor="text1"/>
                      <w:szCs w:val="21"/>
                      <w:lang w:val="en-US" w:eastAsia="zh-CN"/>
                      <w14:textFill>
                        <w14:solidFill>
                          <w14:schemeClr w14:val="tx1"/>
                        </w14:solidFill>
                      </w14:textFill>
                    </w:rPr>
                    <w:t>交由有资质单位处置</w:t>
                  </w:r>
                </w:p>
              </w:tc>
              <w:tc>
                <w:tcPr>
                  <w:tcW w:w="2333" w:type="dxa"/>
                  <w:vAlign w:val="center"/>
                </w:tcPr>
                <w:p w14:paraId="71CC385C">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危险废物：废活性炭、废过滤棉、废机油、废液压油、废乳化液、废油桶、漆渣、废油漆桶、含油抹布及手套</w:t>
                  </w:r>
                  <w:r>
                    <w:rPr>
                      <w:rFonts w:hint="eastAsia"/>
                      <w:color w:val="000000" w:themeColor="text1"/>
                      <w:szCs w:val="21"/>
                      <w14:textFill>
                        <w14:solidFill>
                          <w14:schemeClr w14:val="tx1"/>
                        </w14:solidFill>
                      </w14:textFill>
                    </w:rPr>
                    <w:t>集中收集后暂存于危废暂存间定期</w:t>
                  </w:r>
                  <w:r>
                    <w:rPr>
                      <w:rFonts w:hint="eastAsia"/>
                      <w:color w:val="000000" w:themeColor="text1"/>
                      <w:szCs w:val="21"/>
                      <w:lang w:val="en-US" w:eastAsia="zh-CN"/>
                      <w14:textFill>
                        <w14:solidFill>
                          <w14:schemeClr w14:val="tx1"/>
                        </w14:solidFill>
                      </w14:textFill>
                    </w:rPr>
                    <w:t>交由有资质单位处置</w:t>
                  </w:r>
                </w:p>
              </w:tc>
              <w:tc>
                <w:tcPr>
                  <w:tcW w:w="916" w:type="dxa"/>
                  <w:vAlign w:val="center"/>
                </w:tcPr>
                <w:p w14:paraId="27321117">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依托现有危废间</w:t>
                  </w:r>
                </w:p>
              </w:tc>
            </w:tr>
            <w:tr w14:paraId="5F8F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426" w:type="dxa"/>
                  <w:vMerge w:val="continue"/>
                  <w:vAlign w:val="center"/>
                </w:tcPr>
                <w:p w14:paraId="0A1D7728">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lang w:val="en-US" w:eastAsia="zh-CN"/>
                      <w14:textFill>
                        <w14:solidFill>
                          <w14:schemeClr w14:val="tx1"/>
                        </w14:solidFill>
                      </w14:textFill>
                    </w:rPr>
                  </w:pPr>
                </w:p>
              </w:tc>
              <w:tc>
                <w:tcPr>
                  <w:tcW w:w="806" w:type="dxa"/>
                  <w:vMerge w:val="continue"/>
                  <w:vAlign w:val="center"/>
                </w:tcPr>
                <w:p w14:paraId="73AB46C1">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lang w:val="en-US" w:eastAsia="zh-CN"/>
                      <w14:textFill>
                        <w14:solidFill>
                          <w14:schemeClr w14:val="tx1"/>
                        </w14:solidFill>
                      </w14:textFill>
                    </w:rPr>
                  </w:pPr>
                </w:p>
              </w:tc>
              <w:tc>
                <w:tcPr>
                  <w:tcW w:w="2247" w:type="dxa"/>
                  <w:vAlign w:val="center"/>
                </w:tcPr>
                <w:p w14:paraId="7519A8C9">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生活垃圾</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集中收集后，由环卫部门定期清运处理</w:t>
                  </w:r>
                </w:p>
              </w:tc>
              <w:tc>
                <w:tcPr>
                  <w:tcW w:w="1615" w:type="dxa"/>
                  <w:vAlign w:val="center"/>
                </w:tcPr>
                <w:p w14:paraId="5CCD9476">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新增生活垃圾</w:t>
                  </w:r>
                </w:p>
              </w:tc>
              <w:tc>
                <w:tcPr>
                  <w:tcW w:w="2333" w:type="dxa"/>
                  <w:vAlign w:val="center"/>
                </w:tcPr>
                <w:p w14:paraId="7D44C6A1">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生活垃圾</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集中收集后，由环卫部门定期清运处理</w:t>
                  </w:r>
                </w:p>
              </w:tc>
              <w:tc>
                <w:tcPr>
                  <w:tcW w:w="916" w:type="dxa"/>
                  <w:vAlign w:val="center"/>
                </w:tcPr>
                <w:p w14:paraId="527E20A5">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依托现有</w:t>
                  </w:r>
                </w:p>
              </w:tc>
            </w:tr>
            <w:tr w14:paraId="771D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809D565">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p>
              </w:tc>
              <w:tc>
                <w:tcPr>
                  <w:tcW w:w="806" w:type="dxa"/>
                  <w:vAlign w:val="center"/>
                </w:tcPr>
                <w:p w14:paraId="0E36A76D">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000000" w:themeColor="text1"/>
                      <w:spacing w:val="-1"/>
                      <w:position w:val="0"/>
                      <w:sz w:val="21"/>
                      <w:szCs w:val="21"/>
                      <w:u w:val="no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生态</w:t>
                  </w:r>
                </w:p>
                <w:p w14:paraId="775786EB">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环境</w:t>
                  </w:r>
                </w:p>
              </w:tc>
              <w:tc>
                <w:tcPr>
                  <w:tcW w:w="2247" w:type="dxa"/>
                  <w:vAlign w:val="center"/>
                </w:tcPr>
                <w:p w14:paraId="35065D70">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cs="宋体"/>
                      <w:color w:val="000000" w:themeColor="text1"/>
                      <w:spacing w:val="-1"/>
                      <w:position w:val="0"/>
                      <w:sz w:val="21"/>
                      <w:szCs w:val="21"/>
                      <w:u w:val="none"/>
                      <w:lang w:eastAsia="zh-CN"/>
                      <w14:textFill>
                        <w14:solidFill>
                          <w14:schemeClr w14:val="tx1"/>
                        </w14:solidFill>
                      </w14:textFill>
                    </w:rPr>
                    <w:t>厂界周围</w:t>
                  </w:r>
                  <w:r>
                    <w:rPr>
                      <w:rFonts w:hint="eastAsia" w:ascii="宋体" w:hAnsi="宋体" w:eastAsia="宋体" w:cs="宋体"/>
                      <w:color w:val="000000" w:themeColor="text1"/>
                      <w:spacing w:val="-1"/>
                      <w:position w:val="0"/>
                      <w:sz w:val="21"/>
                      <w:szCs w:val="21"/>
                      <w:u w:val="none"/>
                      <w14:textFill>
                        <w14:solidFill>
                          <w14:schemeClr w14:val="tx1"/>
                        </w14:solidFill>
                      </w14:textFill>
                    </w:rPr>
                    <w:t>绿化</w:t>
                  </w:r>
                </w:p>
              </w:tc>
              <w:tc>
                <w:tcPr>
                  <w:tcW w:w="1615" w:type="dxa"/>
                  <w:vAlign w:val="center"/>
                </w:tcPr>
                <w:p w14:paraId="18AAAE64">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cs="宋体"/>
                      <w:color w:val="000000" w:themeColor="text1"/>
                      <w:spacing w:val="-1"/>
                      <w:position w:val="0"/>
                      <w:sz w:val="21"/>
                      <w:szCs w:val="21"/>
                      <w:u w:val="none"/>
                      <w:lang w:val="en-US" w:eastAsia="zh-CN"/>
                      <w14:textFill>
                        <w14:solidFill>
                          <w14:schemeClr w14:val="tx1"/>
                        </w14:solidFill>
                      </w14:textFill>
                    </w:rPr>
                    <w:t>/</w:t>
                  </w:r>
                </w:p>
              </w:tc>
              <w:tc>
                <w:tcPr>
                  <w:tcW w:w="2333" w:type="dxa"/>
                  <w:vAlign w:val="center"/>
                </w:tcPr>
                <w:p w14:paraId="390D681C">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cs="宋体"/>
                      <w:color w:val="000000" w:themeColor="text1"/>
                      <w:spacing w:val="-1"/>
                      <w:position w:val="0"/>
                      <w:sz w:val="21"/>
                      <w:szCs w:val="21"/>
                      <w:u w:val="none"/>
                      <w:lang w:eastAsia="zh-CN"/>
                      <w14:textFill>
                        <w14:solidFill>
                          <w14:schemeClr w14:val="tx1"/>
                        </w14:solidFill>
                      </w14:textFill>
                    </w:rPr>
                    <w:t>厂界周围</w:t>
                  </w:r>
                  <w:r>
                    <w:rPr>
                      <w:rFonts w:hint="eastAsia" w:ascii="宋体" w:hAnsi="宋体" w:eastAsia="宋体" w:cs="宋体"/>
                      <w:color w:val="000000" w:themeColor="text1"/>
                      <w:spacing w:val="-1"/>
                      <w:position w:val="0"/>
                      <w:sz w:val="21"/>
                      <w:szCs w:val="21"/>
                      <w:u w:val="none"/>
                      <w14:textFill>
                        <w14:solidFill>
                          <w14:schemeClr w14:val="tx1"/>
                        </w14:solidFill>
                      </w14:textFill>
                    </w:rPr>
                    <w:t>绿化</w:t>
                  </w:r>
                </w:p>
              </w:tc>
              <w:tc>
                <w:tcPr>
                  <w:tcW w:w="916" w:type="dxa"/>
                  <w:vAlign w:val="center"/>
                </w:tcPr>
                <w:p w14:paraId="27109E8B">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vertAlign w:val="baseline"/>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依托现有</w:t>
                  </w:r>
                </w:p>
              </w:tc>
            </w:tr>
            <w:tr w14:paraId="58B2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426" w:type="dxa"/>
                  <w:vMerge w:val="continue"/>
                  <w:vAlign w:val="center"/>
                </w:tcPr>
                <w:p w14:paraId="0212AA43">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p>
              </w:tc>
              <w:tc>
                <w:tcPr>
                  <w:tcW w:w="806" w:type="dxa"/>
                  <w:vAlign w:val="center"/>
                </w:tcPr>
                <w:p w14:paraId="0D8DE12A">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000000" w:themeColor="text1"/>
                      <w:spacing w:val="-1"/>
                      <w:position w:val="0"/>
                      <w:sz w:val="21"/>
                      <w:szCs w:val="21"/>
                      <w:u w:val="no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地下</w:t>
                  </w:r>
                  <w:r>
                    <w:rPr>
                      <w:rFonts w:hint="eastAsia" w:ascii="宋体" w:hAnsi="宋体" w:cs="宋体"/>
                      <w:color w:val="000000" w:themeColor="text1"/>
                      <w:spacing w:val="-1"/>
                      <w:position w:val="0"/>
                      <w:sz w:val="21"/>
                      <w:szCs w:val="21"/>
                      <w:u w:val="none"/>
                      <w:lang w:eastAsia="zh-CN"/>
                      <w14:textFill>
                        <w14:solidFill>
                          <w14:schemeClr w14:val="tx1"/>
                        </w14:solidFill>
                      </w14:textFill>
                    </w:rPr>
                    <w:t>水</w:t>
                  </w:r>
                  <w:r>
                    <w:rPr>
                      <w:rFonts w:hint="eastAsia" w:ascii="宋体" w:hAnsi="宋体" w:eastAsia="宋体" w:cs="宋体"/>
                      <w:color w:val="000000" w:themeColor="text1"/>
                      <w:spacing w:val="-1"/>
                      <w:position w:val="0"/>
                      <w:sz w:val="21"/>
                      <w:szCs w:val="21"/>
                      <w:u w:val="none"/>
                      <w14:textFill>
                        <w14:solidFill>
                          <w14:schemeClr w14:val="tx1"/>
                        </w14:solidFill>
                      </w14:textFill>
                    </w:rPr>
                    <w:t>防</w:t>
                  </w:r>
                </w:p>
                <w:p w14:paraId="46400B83">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治</w:t>
                  </w:r>
                </w:p>
              </w:tc>
              <w:tc>
                <w:tcPr>
                  <w:tcW w:w="2247" w:type="dxa"/>
                  <w:vAlign w:val="center"/>
                </w:tcPr>
                <w:p w14:paraId="1CDCB035">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color w:val="000000" w:themeColor="text1"/>
                      <w:szCs w:val="21"/>
                      <w14:textFill>
                        <w14:solidFill>
                          <w14:schemeClr w14:val="tx1"/>
                        </w14:solidFill>
                      </w14:textFill>
                    </w:rPr>
                    <w:t>采取分区防渗措施，设置重点防渗区和一般防渗区</w:t>
                  </w:r>
                  <w:r>
                    <w:rPr>
                      <w:rFonts w:hint="eastAsia"/>
                      <w:color w:val="000000" w:themeColor="text1"/>
                      <w:szCs w:val="21"/>
                      <w14:textFill>
                        <w14:solidFill>
                          <w14:schemeClr w14:val="tx1"/>
                        </w14:solidFill>
                      </w14:textFill>
                    </w:rPr>
                    <w:t>。危废暂存间</w:t>
                  </w:r>
                  <w:r>
                    <w:rPr>
                      <w:color w:val="000000" w:themeColor="text1"/>
                      <w:szCs w:val="21"/>
                      <w14:textFill>
                        <w14:solidFill>
                          <w14:schemeClr w14:val="tx1"/>
                        </w14:solidFill>
                      </w14:textFill>
                    </w:rPr>
                    <w:t>设置为重点防渗区；</w:t>
                  </w:r>
                  <w:r>
                    <w:rPr>
                      <w:rFonts w:hint="eastAsia"/>
                      <w:color w:val="000000" w:themeColor="text1"/>
                      <w:szCs w:val="21"/>
                      <w14:textFill>
                        <w14:solidFill>
                          <w14:schemeClr w14:val="tx1"/>
                        </w14:solidFill>
                      </w14:textFill>
                    </w:rPr>
                    <w:t>生产车间</w:t>
                  </w:r>
                  <w:r>
                    <w:rPr>
                      <w:color w:val="000000" w:themeColor="text1"/>
                      <w:szCs w:val="21"/>
                      <w14:textFill>
                        <w14:solidFill>
                          <w14:schemeClr w14:val="tx1"/>
                        </w14:solidFill>
                      </w14:textFill>
                    </w:rPr>
                    <w:t>等设置为一般防渗区</w:t>
                  </w:r>
                  <w:r>
                    <w:rPr>
                      <w:rFonts w:hint="eastAsia"/>
                      <w:color w:val="000000" w:themeColor="text1"/>
                      <w:szCs w:val="21"/>
                      <w14:textFill>
                        <w14:solidFill>
                          <w14:schemeClr w14:val="tx1"/>
                        </w14:solidFill>
                      </w14:textFill>
                    </w:rPr>
                    <w:t>。</w:t>
                  </w:r>
                </w:p>
              </w:tc>
              <w:tc>
                <w:tcPr>
                  <w:tcW w:w="1615" w:type="dxa"/>
                  <w:vAlign w:val="center"/>
                </w:tcPr>
                <w:p w14:paraId="68CE262E">
                  <w:pPr>
                    <w:keepNext w:val="0"/>
                    <w:keepLines w:val="0"/>
                    <w:pageBreakBefore w:val="0"/>
                    <w:kinsoku/>
                    <w:wordWrap/>
                    <w:overflowPunct/>
                    <w:topLinePunct w:val="0"/>
                    <w:autoSpaceDE/>
                    <w:autoSpaceDN/>
                    <w:bidi w:val="0"/>
                    <w:adjustRightInd/>
                    <w:snapToGrid/>
                    <w:ind w:left="0"/>
                    <w:jc w:val="center"/>
                    <w:textAlignment w:val="auto"/>
                    <w:rPr>
                      <w:rFonts w:hint="eastAsia" w:eastAsia="宋体"/>
                      <w:color w:val="000000" w:themeColor="text1"/>
                      <w:szCs w:val="21"/>
                      <w:vertAlign w:val="baseline"/>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新建喷漆房、油漆库进行重点防渗</w:t>
                  </w:r>
                </w:p>
              </w:tc>
              <w:tc>
                <w:tcPr>
                  <w:tcW w:w="2333" w:type="dxa"/>
                  <w:vAlign w:val="center"/>
                </w:tcPr>
                <w:p w14:paraId="1ABEC87E">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r>
                    <w:rPr>
                      <w:color w:val="000000" w:themeColor="text1"/>
                      <w:szCs w:val="21"/>
                      <w14:textFill>
                        <w14:solidFill>
                          <w14:schemeClr w14:val="tx1"/>
                        </w14:solidFill>
                      </w14:textFill>
                    </w:rPr>
                    <w:t>采取分区防渗措施，设置重点防渗区和一般防渗区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喷漆房、油漆库、</w:t>
                  </w:r>
                  <w:r>
                    <w:rPr>
                      <w:rFonts w:hint="eastAsia"/>
                      <w:color w:val="000000" w:themeColor="text1"/>
                      <w:szCs w:val="21"/>
                      <w14:textFill>
                        <w14:solidFill>
                          <w14:schemeClr w14:val="tx1"/>
                        </w14:solidFill>
                      </w14:textFill>
                    </w:rPr>
                    <w:t>危废暂存间</w:t>
                  </w:r>
                  <w:r>
                    <w:rPr>
                      <w:color w:val="000000" w:themeColor="text1"/>
                      <w:szCs w:val="21"/>
                      <w14:textFill>
                        <w14:solidFill>
                          <w14:schemeClr w14:val="tx1"/>
                        </w14:solidFill>
                      </w14:textFill>
                    </w:rPr>
                    <w:t>设置为重点防渗区；</w:t>
                  </w:r>
                  <w:r>
                    <w:rPr>
                      <w:rFonts w:hint="eastAsia"/>
                      <w:color w:val="000000" w:themeColor="text1"/>
                      <w:szCs w:val="21"/>
                      <w14:textFill>
                        <w14:solidFill>
                          <w14:schemeClr w14:val="tx1"/>
                        </w14:solidFill>
                      </w14:textFill>
                    </w:rPr>
                    <w:t>生产车间</w:t>
                  </w:r>
                  <w:r>
                    <w:rPr>
                      <w:color w:val="000000" w:themeColor="text1"/>
                      <w:szCs w:val="21"/>
                      <w14:textFill>
                        <w14:solidFill>
                          <w14:schemeClr w14:val="tx1"/>
                        </w14:solidFill>
                      </w14:textFill>
                    </w:rPr>
                    <w:t>等设置为一般防渗区</w:t>
                  </w:r>
                  <w:r>
                    <w:rPr>
                      <w:rFonts w:hint="eastAsia"/>
                      <w:color w:val="000000" w:themeColor="text1"/>
                      <w:szCs w:val="21"/>
                      <w14:textFill>
                        <w14:solidFill>
                          <w14:schemeClr w14:val="tx1"/>
                        </w14:solidFill>
                      </w14:textFill>
                    </w:rPr>
                    <w:t>。</w:t>
                  </w:r>
                </w:p>
              </w:tc>
              <w:tc>
                <w:tcPr>
                  <w:tcW w:w="916" w:type="dxa"/>
                  <w:vAlign w:val="center"/>
                </w:tcPr>
                <w:p w14:paraId="008837AC">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eastAsia="宋体"/>
                      <w:color w:val="000000" w:themeColor="text1"/>
                      <w:szCs w:val="21"/>
                      <w:vertAlign w:val="baseline"/>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依托现有</w:t>
                  </w:r>
                </w:p>
              </w:tc>
            </w:tr>
            <w:tr w14:paraId="5F00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845D45D">
                  <w:pPr>
                    <w:keepNext w:val="0"/>
                    <w:keepLines w:val="0"/>
                    <w:pageBreakBefore w:val="0"/>
                    <w:kinsoku/>
                    <w:wordWrap/>
                    <w:overflowPunct/>
                    <w:topLinePunct w:val="0"/>
                    <w:autoSpaceDE/>
                    <w:autoSpaceDN/>
                    <w:bidi w:val="0"/>
                    <w:adjustRightInd/>
                    <w:snapToGrid/>
                    <w:ind w:left="0"/>
                    <w:jc w:val="center"/>
                    <w:textAlignment w:val="auto"/>
                    <w:rPr>
                      <w:rFonts w:hint="eastAsia"/>
                      <w:color w:val="000000" w:themeColor="text1"/>
                      <w:szCs w:val="21"/>
                      <w:vertAlign w:val="baseline"/>
                      <w14:textFill>
                        <w14:solidFill>
                          <w14:schemeClr w14:val="tx1"/>
                        </w14:solidFill>
                      </w14:textFill>
                    </w:rPr>
                  </w:pPr>
                </w:p>
              </w:tc>
              <w:tc>
                <w:tcPr>
                  <w:tcW w:w="806" w:type="dxa"/>
                  <w:vAlign w:val="center"/>
                </w:tcPr>
                <w:p w14:paraId="7A1684D5">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000000" w:themeColor="text1"/>
                      <w:spacing w:val="-1"/>
                      <w:position w:val="0"/>
                      <w:sz w:val="21"/>
                      <w:szCs w:val="21"/>
                      <w:u w:val="no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环境</w:t>
                  </w:r>
                </w:p>
                <w:p w14:paraId="6C44DA91">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eastAsia="宋体" w:cs="宋体"/>
                      <w:color w:val="000000" w:themeColor="text1"/>
                      <w:spacing w:val="-1"/>
                      <w:position w:val="0"/>
                      <w:sz w:val="21"/>
                      <w:szCs w:val="21"/>
                      <w:u w:val="none"/>
                      <w14:textFill>
                        <w14:solidFill>
                          <w14:schemeClr w14:val="tx1"/>
                        </w14:solidFill>
                      </w14:textFill>
                    </w:rPr>
                    <w:t>风险</w:t>
                  </w:r>
                </w:p>
              </w:tc>
              <w:tc>
                <w:tcPr>
                  <w:tcW w:w="2247" w:type="dxa"/>
                  <w:vAlign w:val="center"/>
                </w:tcPr>
                <w:p w14:paraId="5C862BA8">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eastAsia="宋体" w:cs="宋体"/>
                      <w:color w:val="000000" w:themeColor="text1"/>
                      <w:spacing w:val="-1"/>
                      <w:position w:val="0"/>
                      <w:sz w:val="21"/>
                      <w:szCs w:val="21"/>
                      <w:u w:val="none"/>
                      <w:lang w:eastAsia="zh-CN"/>
                      <w14:textFill>
                        <w14:solidFill>
                          <w14:schemeClr w14:val="tx1"/>
                        </w14:solidFill>
                      </w14:textFill>
                    </w:rPr>
                    <w:t>已</w:t>
                  </w:r>
                  <w:r>
                    <w:rPr>
                      <w:rFonts w:hint="eastAsia" w:ascii="宋体" w:hAnsi="宋体" w:eastAsia="宋体" w:cs="宋体"/>
                      <w:color w:val="000000" w:themeColor="text1"/>
                      <w:spacing w:val="-1"/>
                      <w:position w:val="0"/>
                      <w:sz w:val="21"/>
                      <w:szCs w:val="21"/>
                      <w:u w:val="none"/>
                      <w14:textFill>
                        <w14:solidFill>
                          <w14:schemeClr w14:val="tx1"/>
                        </w14:solidFill>
                      </w14:textFill>
                    </w:rPr>
                    <w:t>制定详细的应急预案；消防系统</w:t>
                  </w:r>
                </w:p>
              </w:tc>
              <w:tc>
                <w:tcPr>
                  <w:tcW w:w="1615" w:type="dxa"/>
                  <w:vAlign w:val="center"/>
                </w:tcPr>
                <w:p w14:paraId="681500A4">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eastAsia="宋体"/>
                      <w:color w:val="000000" w:themeColor="text1"/>
                      <w:szCs w:val="21"/>
                      <w:vertAlign w:val="baseline"/>
                      <w:lang w:eastAsia="zh-CN"/>
                      <w14:textFill>
                        <w14:solidFill>
                          <w14:schemeClr w14:val="tx1"/>
                        </w14:solidFill>
                      </w14:textFill>
                    </w:rPr>
                  </w:pPr>
                  <w:r>
                    <w:rPr>
                      <w:rFonts w:hint="eastAsia" w:ascii="宋体" w:hAnsi="宋体" w:cs="宋体"/>
                      <w:color w:val="000000" w:themeColor="text1"/>
                      <w:spacing w:val="-1"/>
                      <w:position w:val="0"/>
                      <w:sz w:val="21"/>
                      <w:szCs w:val="21"/>
                      <w:u w:val="none"/>
                      <w:lang w:val="en-US" w:eastAsia="zh-CN"/>
                      <w14:textFill>
                        <w14:solidFill>
                          <w14:schemeClr w14:val="tx1"/>
                        </w14:solidFill>
                      </w14:textFill>
                    </w:rPr>
                    <w:t>结合喷漆工序修编</w:t>
                  </w:r>
                  <w:r>
                    <w:rPr>
                      <w:rFonts w:hint="eastAsia" w:ascii="宋体" w:hAnsi="宋体" w:eastAsia="宋体" w:cs="宋体"/>
                      <w:color w:val="000000" w:themeColor="text1"/>
                      <w:spacing w:val="-1"/>
                      <w:position w:val="0"/>
                      <w:sz w:val="21"/>
                      <w:szCs w:val="21"/>
                      <w:u w:val="none"/>
                      <w14:textFill>
                        <w14:solidFill>
                          <w14:schemeClr w14:val="tx1"/>
                        </w14:solidFill>
                      </w14:textFill>
                    </w:rPr>
                    <w:t>详细的应急预案</w:t>
                  </w:r>
                  <w:r>
                    <w:rPr>
                      <w:rFonts w:hint="eastAsia" w:ascii="宋体" w:hAnsi="宋体" w:cs="宋体"/>
                      <w:color w:val="000000" w:themeColor="text1"/>
                      <w:spacing w:val="-1"/>
                      <w:position w:val="0"/>
                      <w:sz w:val="21"/>
                      <w:szCs w:val="21"/>
                      <w:u w:val="none"/>
                      <w:lang w:eastAsia="zh-CN"/>
                      <w14:textFill>
                        <w14:solidFill>
                          <w14:schemeClr w14:val="tx1"/>
                        </w14:solidFill>
                      </w14:textFill>
                    </w:rPr>
                    <w:t>，并备案；新增</w:t>
                  </w:r>
                  <w:r>
                    <w:rPr>
                      <w:rFonts w:ascii="Times New Roman" w:hAnsi="Times New Roman"/>
                      <w:color w:val="000000"/>
                      <w:szCs w:val="21"/>
                    </w:rPr>
                    <w:t>有效容积</w:t>
                  </w:r>
                  <w:r>
                    <w:rPr>
                      <w:rFonts w:hint="eastAsia" w:ascii="Times New Roman" w:hAnsi="Times New Roman"/>
                      <w:color w:val="000000"/>
                      <w:szCs w:val="21"/>
                    </w:rPr>
                    <w:t>7</w:t>
                  </w:r>
                  <w:r>
                    <w:rPr>
                      <w:rFonts w:ascii="Times New Roman" w:hAnsi="Times New Roman"/>
                      <w:color w:val="000000"/>
                      <w:szCs w:val="21"/>
                    </w:rPr>
                    <w:t>0m</w:t>
                  </w:r>
                  <w:r>
                    <w:rPr>
                      <w:rFonts w:ascii="Times New Roman" w:hAnsi="Times New Roman"/>
                      <w:color w:val="000000"/>
                      <w:szCs w:val="21"/>
                      <w:vertAlign w:val="superscript"/>
                    </w:rPr>
                    <w:t>3</w:t>
                  </w:r>
                  <w:r>
                    <w:rPr>
                      <w:rFonts w:ascii="Times New Roman" w:hAnsi="Times New Roman"/>
                      <w:color w:val="000000"/>
                      <w:szCs w:val="21"/>
                    </w:rPr>
                    <w:t>事故池</w:t>
                  </w:r>
                </w:p>
              </w:tc>
              <w:tc>
                <w:tcPr>
                  <w:tcW w:w="2333" w:type="dxa"/>
                  <w:vAlign w:val="center"/>
                </w:tcPr>
                <w:p w14:paraId="1F4CFFBA">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eastAsia="宋体"/>
                      <w:color w:val="000000" w:themeColor="text1"/>
                      <w:szCs w:val="21"/>
                      <w:vertAlign w:val="baseline"/>
                      <w:lang w:eastAsia="zh-CN"/>
                      <w14:textFill>
                        <w14:solidFill>
                          <w14:schemeClr w14:val="tx1"/>
                        </w14:solidFill>
                      </w14:textFill>
                    </w:rPr>
                  </w:pPr>
                  <w:r>
                    <w:rPr>
                      <w:rFonts w:hint="eastAsia" w:ascii="宋体" w:hAnsi="宋体" w:cs="宋体"/>
                      <w:color w:val="000000" w:themeColor="text1"/>
                      <w:spacing w:val="-1"/>
                      <w:position w:val="0"/>
                      <w:sz w:val="21"/>
                      <w:szCs w:val="21"/>
                      <w:u w:val="none"/>
                      <w:lang w:val="en-US" w:eastAsia="zh-CN"/>
                      <w14:textFill>
                        <w14:solidFill>
                          <w14:schemeClr w14:val="tx1"/>
                        </w14:solidFill>
                      </w14:textFill>
                    </w:rPr>
                    <w:t>结合喷漆工序</w:t>
                  </w:r>
                  <w:r>
                    <w:rPr>
                      <w:rFonts w:hint="eastAsia" w:ascii="宋体" w:hAnsi="宋体" w:eastAsia="宋体" w:cs="宋体"/>
                      <w:color w:val="000000" w:themeColor="text1"/>
                      <w:spacing w:val="-1"/>
                      <w:position w:val="0"/>
                      <w:sz w:val="21"/>
                      <w:szCs w:val="21"/>
                      <w:u w:val="none"/>
                      <w14:textFill>
                        <w14:solidFill>
                          <w14:schemeClr w14:val="tx1"/>
                        </w14:solidFill>
                      </w14:textFill>
                    </w:rPr>
                    <w:t>制定详细的应急预案</w:t>
                  </w:r>
                  <w:r>
                    <w:rPr>
                      <w:rFonts w:hint="eastAsia" w:ascii="宋体" w:hAnsi="宋体" w:eastAsia="宋体" w:cs="宋体"/>
                      <w:color w:val="000000" w:themeColor="text1"/>
                      <w:spacing w:val="-1"/>
                      <w:position w:val="0"/>
                      <w:sz w:val="21"/>
                      <w:szCs w:val="21"/>
                      <w:u w:val="none"/>
                      <w:lang w:eastAsia="zh-CN"/>
                      <w14:textFill>
                        <w14:solidFill>
                          <w14:schemeClr w14:val="tx1"/>
                        </w14:solidFill>
                      </w14:textFill>
                    </w:rPr>
                    <w:t>并备案</w:t>
                  </w:r>
                  <w:r>
                    <w:rPr>
                      <w:rFonts w:hint="eastAsia" w:ascii="宋体" w:hAnsi="宋体" w:eastAsia="宋体" w:cs="宋体"/>
                      <w:color w:val="000000" w:themeColor="text1"/>
                      <w:spacing w:val="-1"/>
                      <w:position w:val="0"/>
                      <w:sz w:val="21"/>
                      <w:szCs w:val="21"/>
                      <w:u w:val="none"/>
                      <w14:textFill>
                        <w14:solidFill>
                          <w14:schemeClr w14:val="tx1"/>
                        </w14:solidFill>
                      </w14:textFill>
                    </w:rPr>
                    <w:t>；</w:t>
                  </w:r>
                  <w:r>
                    <w:rPr>
                      <w:rFonts w:hint="eastAsia" w:ascii="宋体" w:hAnsi="宋体" w:cs="宋体"/>
                      <w:color w:val="000000" w:themeColor="text1"/>
                      <w:spacing w:val="-1"/>
                      <w:position w:val="0"/>
                      <w:sz w:val="21"/>
                      <w:szCs w:val="21"/>
                      <w:u w:val="none"/>
                      <w:lang w:eastAsia="zh-CN"/>
                      <w14:textFill>
                        <w14:solidFill>
                          <w14:schemeClr w14:val="tx1"/>
                        </w14:solidFill>
                      </w14:textFill>
                    </w:rPr>
                    <w:t>完善</w:t>
                  </w:r>
                  <w:r>
                    <w:rPr>
                      <w:rFonts w:hint="eastAsia" w:ascii="宋体" w:hAnsi="宋体" w:eastAsia="宋体" w:cs="宋体"/>
                      <w:color w:val="000000" w:themeColor="text1"/>
                      <w:spacing w:val="-1"/>
                      <w:position w:val="0"/>
                      <w:sz w:val="21"/>
                      <w:szCs w:val="21"/>
                      <w:u w:val="none"/>
                      <w14:textFill>
                        <w14:solidFill>
                          <w14:schemeClr w14:val="tx1"/>
                        </w14:solidFill>
                      </w14:textFill>
                    </w:rPr>
                    <w:t>消防系统</w:t>
                  </w:r>
                  <w:r>
                    <w:rPr>
                      <w:rFonts w:hint="eastAsia" w:ascii="宋体" w:hAnsi="宋体" w:cs="宋体"/>
                      <w:color w:val="000000" w:themeColor="text1"/>
                      <w:spacing w:val="-1"/>
                      <w:position w:val="0"/>
                      <w:sz w:val="21"/>
                      <w:szCs w:val="21"/>
                      <w:u w:val="none"/>
                      <w:lang w:eastAsia="zh-CN"/>
                      <w14:textFill>
                        <w14:solidFill>
                          <w14:schemeClr w14:val="tx1"/>
                        </w14:solidFill>
                      </w14:textFill>
                    </w:rPr>
                    <w:t>，</w:t>
                  </w:r>
                  <w:r>
                    <w:rPr>
                      <w:rFonts w:ascii="Times New Roman" w:hAnsi="Times New Roman"/>
                      <w:color w:val="000000"/>
                      <w:szCs w:val="21"/>
                    </w:rPr>
                    <w:t>设置有效容积</w:t>
                  </w:r>
                  <w:r>
                    <w:rPr>
                      <w:rFonts w:hint="eastAsia" w:ascii="Times New Roman" w:hAnsi="Times New Roman"/>
                      <w:color w:val="000000"/>
                      <w:szCs w:val="21"/>
                    </w:rPr>
                    <w:t>7</w:t>
                  </w:r>
                  <w:r>
                    <w:rPr>
                      <w:rFonts w:ascii="Times New Roman" w:hAnsi="Times New Roman"/>
                      <w:color w:val="000000"/>
                      <w:szCs w:val="21"/>
                    </w:rPr>
                    <w:t>0m</w:t>
                  </w:r>
                  <w:r>
                    <w:rPr>
                      <w:rFonts w:ascii="Times New Roman" w:hAnsi="Times New Roman"/>
                      <w:color w:val="000000"/>
                      <w:szCs w:val="21"/>
                      <w:vertAlign w:val="superscript"/>
                    </w:rPr>
                    <w:t>3</w:t>
                  </w:r>
                  <w:r>
                    <w:rPr>
                      <w:rFonts w:ascii="Times New Roman" w:hAnsi="Times New Roman"/>
                      <w:color w:val="000000"/>
                      <w:szCs w:val="21"/>
                    </w:rPr>
                    <w:t>事故池</w:t>
                  </w:r>
                </w:p>
              </w:tc>
              <w:tc>
                <w:tcPr>
                  <w:tcW w:w="916" w:type="dxa"/>
                  <w:vAlign w:val="center"/>
                </w:tcPr>
                <w:p w14:paraId="1E906B2F">
                  <w:pPr>
                    <w:keepNext w:val="0"/>
                    <w:keepLines w:val="0"/>
                    <w:pageBreakBefore w:val="0"/>
                    <w:kinsoku/>
                    <w:wordWrap/>
                    <w:overflowPunct/>
                    <w:topLinePunct w:val="0"/>
                    <w:autoSpaceDE/>
                    <w:autoSpaceDN/>
                    <w:bidi w:val="0"/>
                    <w:adjustRightInd/>
                    <w:snapToGrid/>
                    <w:spacing w:before="0" w:after="0" w:line="240" w:lineRule="auto"/>
                    <w:ind w:left="0"/>
                    <w:jc w:val="center"/>
                    <w:textAlignment w:val="auto"/>
                    <w:rPr>
                      <w:rFonts w:hint="eastAsia"/>
                      <w:color w:val="000000" w:themeColor="text1"/>
                      <w:szCs w:val="21"/>
                      <w:vertAlign w:val="baseline"/>
                      <w14:textFill>
                        <w14:solidFill>
                          <w14:schemeClr w14:val="tx1"/>
                        </w14:solidFill>
                      </w14:textFill>
                    </w:rPr>
                  </w:pPr>
                  <w:r>
                    <w:rPr>
                      <w:rFonts w:hint="eastAsia" w:ascii="宋体" w:hAnsi="宋体" w:cs="宋体"/>
                      <w:color w:val="000000" w:themeColor="text1"/>
                      <w:spacing w:val="-1"/>
                      <w:position w:val="1"/>
                      <w:sz w:val="21"/>
                      <w:szCs w:val="21"/>
                      <w:u w:val="none"/>
                      <w:lang w:val="en-US" w:eastAsia="zh-CN"/>
                      <w14:textFill>
                        <w14:solidFill>
                          <w14:schemeClr w14:val="tx1"/>
                        </w14:solidFill>
                      </w14:textFill>
                    </w:rPr>
                    <w:t>/</w:t>
                  </w:r>
                </w:p>
              </w:tc>
            </w:tr>
          </w:tbl>
          <w:p w14:paraId="67CFD0FD">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b w:val="0"/>
                <w:bCs w:val="0"/>
                <w:sz w:val="24"/>
              </w:rPr>
            </w:pPr>
            <w:r>
              <w:rPr>
                <w:rFonts w:hint="eastAsia"/>
                <w:b/>
                <w:bCs/>
                <w:color w:val="auto"/>
                <w:sz w:val="24"/>
                <w:lang w:val="en-US" w:eastAsia="zh-CN"/>
              </w:rPr>
              <w:t>3</w:t>
            </w:r>
            <w:r>
              <w:rPr>
                <w:rFonts w:hint="eastAsia"/>
                <w:b/>
                <w:bCs/>
                <w:color w:val="auto"/>
                <w:sz w:val="24"/>
              </w:rPr>
              <w:t>、</w:t>
            </w:r>
            <w:r>
              <w:rPr>
                <w:rFonts w:ascii="Times New Roman" w:hAnsi="Times New Roman"/>
                <w:b/>
                <w:sz w:val="24"/>
              </w:rPr>
              <w:t>产品方案</w:t>
            </w:r>
          </w:p>
          <w:p w14:paraId="0E8C1D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ascii="Times New Roman" w:hAnsi="Times New Roman"/>
                <w:sz w:val="24"/>
              </w:rPr>
            </w:pPr>
            <w:r>
              <w:rPr>
                <w:rFonts w:hint="default"/>
                <w:sz w:val="24"/>
                <w:lang w:eastAsia="zh-CN"/>
              </w:rPr>
              <w:t>本项目</w:t>
            </w:r>
            <w:r>
              <w:rPr>
                <w:rFonts w:hint="default" w:ascii="Times New Roman" w:hAnsi="Times New Roman" w:cs="Times New Roman"/>
                <w:b w:val="0"/>
                <w:sz w:val="24"/>
                <w:lang w:val="en-US" w:eastAsia="zh-CN"/>
              </w:rPr>
              <w:t>年增产1000吨的液压装备支架配件</w:t>
            </w:r>
            <w:r>
              <w:rPr>
                <w:rFonts w:hint="eastAsia"/>
                <w:sz w:val="24"/>
                <w:lang w:val="en-US" w:eastAsia="zh-CN"/>
              </w:rPr>
              <w:t>，</w:t>
            </w:r>
            <w:r>
              <w:rPr>
                <w:rFonts w:ascii="Times New Roman" w:hAnsi="Times New Roman"/>
                <w:sz w:val="24"/>
              </w:rPr>
              <w:t>具体见下表：</w:t>
            </w:r>
          </w:p>
          <w:p w14:paraId="03FD0532">
            <w:pPr>
              <w:adjustRightInd w:val="0"/>
              <w:snapToGrid w:val="0"/>
              <w:spacing w:line="360" w:lineRule="auto"/>
              <w:ind w:left="105" w:leftChars="50" w:right="105" w:rightChars="50"/>
              <w:jc w:val="center"/>
              <w:rPr>
                <w:rFonts w:hint="eastAsia" w:ascii="Times New Roman" w:hAnsi="Times New Roman" w:eastAsia="宋体"/>
                <w:b/>
                <w:bCs/>
                <w:sz w:val="24"/>
                <w:lang w:eastAsia="zh-CN"/>
              </w:rPr>
            </w:pPr>
            <w:r>
              <w:rPr>
                <w:rFonts w:ascii="Times New Roman" w:hAnsi="Times New Roman"/>
                <w:b/>
                <w:bCs/>
                <w:sz w:val="24"/>
              </w:rPr>
              <w:t xml:space="preserve">表2-2  </w:t>
            </w:r>
            <w:r>
              <w:rPr>
                <w:rFonts w:hint="eastAsia"/>
                <w:b/>
                <w:bCs/>
                <w:sz w:val="24"/>
                <w:lang w:eastAsia="zh-CN"/>
              </w:rPr>
              <w:t>项目主要产品一览表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1549"/>
              <w:gridCol w:w="1328"/>
              <w:gridCol w:w="1672"/>
              <w:gridCol w:w="1672"/>
            </w:tblGrid>
            <w:tr w14:paraId="1CCD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pct"/>
                  <w:noWrap w:val="0"/>
                  <w:vAlign w:val="center"/>
                </w:tcPr>
                <w:p w14:paraId="0C3A6585">
                  <w:pPr>
                    <w:spacing w:line="240" w:lineRule="auto"/>
                    <w:ind w:firstLine="0" w:firstLineChars="0"/>
                    <w:jc w:val="center"/>
                    <w:rPr>
                      <w:b/>
                      <w:bCs/>
                      <w:sz w:val="21"/>
                      <w:szCs w:val="21"/>
                    </w:rPr>
                  </w:pPr>
                  <w:r>
                    <w:rPr>
                      <w:b/>
                      <w:bCs/>
                      <w:sz w:val="21"/>
                      <w:szCs w:val="21"/>
                    </w:rPr>
                    <w:t>产品名称</w:t>
                  </w:r>
                </w:p>
              </w:tc>
              <w:tc>
                <w:tcPr>
                  <w:tcW w:w="926" w:type="pct"/>
                  <w:noWrap w:val="0"/>
                  <w:vAlign w:val="center"/>
                </w:tcPr>
                <w:p w14:paraId="3C7232ED">
                  <w:pPr>
                    <w:spacing w:line="240" w:lineRule="auto"/>
                    <w:ind w:firstLine="0" w:firstLineChars="0"/>
                    <w:jc w:val="center"/>
                    <w:rPr>
                      <w:b/>
                      <w:bCs/>
                      <w:sz w:val="21"/>
                      <w:szCs w:val="21"/>
                    </w:rPr>
                  </w:pPr>
                  <w:r>
                    <w:rPr>
                      <w:b/>
                      <w:bCs/>
                      <w:sz w:val="21"/>
                      <w:szCs w:val="21"/>
                    </w:rPr>
                    <w:t>现有项目生产能力</w:t>
                  </w:r>
                </w:p>
              </w:tc>
              <w:tc>
                <w:tcPr>
                  <w:tcW w:w="794" w:type="pct"/>
                  <w:noWrap w:val="0"/>
                  <w:vAlign w:val="center"/>
                </w:tcPr>
                <w:p w14:paraId="1749F3B1">
                  <w:pPr>
                    <w:spacing w:line="240" w:lineRule="auto"/>
                    <w:ind w:firstLine="0" w:firstLineChars="0"/>
                    <w:jc w:val="center"/>
                    <w:rPr>
                      <w:b/>
                      <w:bCs/>
                      <w:sz w:val="21"/>
                      <w:szCs w:val="21"/>
                    </w:rPr>
                  </w:pPr>
                  <w:r>
                    <w:rPr>
                      <w:b/>
                      <w:bCs/>
                      <w:sz w:val="21"/>
                      <w:szCs w:val="21"/>
                    </w:rPr>
                    <w:t>本项目生产能力</w:t>
                  </w:r>
                </w:p>
              </w:tc>
              <w:tc>
                <w:tcPr>
                  <w:tcW w:w="1000" w:type="pct"/>
                  <w:noWrap w:val="0"/>
                  <w:vAlign w:val="center"/>
                </w:tcPr>
                <w:p w14:paraId="26EC2E5D">
                  <w:pPr>
                    <w:spacing w:line="240" w:lineRule="auto"/>
                    <w:ind w:firstLine="0" w:firstLineChars="0"/>
                    <w:jc w:val="center"/>
                    <w:rPr>
                      <w:b/>
                      <w:bCs/>
                      <w:sz w:val="21"/>
                      <w:szCs w:val="21"/>
                    </w:rPr>
                  </w:pPr>
                  <w:r>
                    <w:rPr>
                      <w:rFonts w:hint="eastAsia"/>
                      <w:b/>
                      <w:bCs/>
                      <w:sz w:val="21"/>
                      <w:szCs w:val="21"/>
                      <w:lang w:eastAsia="zh-CN"/>
                    </w:rPr>
                    <w:t>扩建</w:t>
                  </w:r>
                  <w:r>
                    <w:rPr>
                      <w:b/>
                      <w:bCs/>
                      <w:sz w:val="21"/>
                      <w:szCs w:val="21"/>
                    </w:rPr>
                    <w:t>后全厂生产能力</w:t>
                  </w:r>
                </w:p>
              </w:tc>
              <w:tc>
                <w:tcPr>
                  <w:tcW w:w="1000" w:type="pct"/>
                  <w:noWrap w:val="0"/>
                  <w:vAlign w:val="center"/>
                </w:tcPr>
                <w:p w14:paraId="28153D37">
                  <w:pPr>
                    <w:spacing w:line="240" w:lineRule="auto"/>
                    <w:ind w:firstLine="0" w:firstLineChars="0"/>
                    <w:jc w:val="center"/>
                    <w:rPr>
                      <w:rFonts w:hint="eastAsia" w:eastAsia="宋体"/>
                      <w:b/>
                      <w:bCs/>
                      <w:sz w:val="21"/>
                      <w:szCs w:val="21"/>
                      <w:lang w:eastAsia="zh-CN"/>
                    </w:rPr>
                  </w:pPr>
                  <w:r>
                    <w:rPr>
                      <w:rFonts w:hint="eastAsia"/>
                      <w:b/>
                      <w:bCs/>
                      <w:sz w:val="21"/>
                      <w:szCs w:val="21"/>
                      <w:lang w:eastAsia="zh-CN"/>
                    </w:rPr>
                    <w:t>备注</w:t>
                  </w:r>
                </w:p>
              </w:tc>
            </w:tr>
            <w:tr w14:paraId="654B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pct"/>
                  <w:noWrap w:val="0"/>
                  <w:vAlign w:val="center"/>
                </w:tcPr>
                <w:p w14:paraId="54523D87">
                  <w:pPr>
                    <w:spacing w:line="240" w:lineRule="auto"/>
                    <w:ind w:firstLine="0" w:firstLineChars="0"/>
                    <w:jc w:val="center"/>
                    <w:rPr>
                      <w:sz w:val="21"/>
                      <w:szCs w:val="21"/>
                    </w:rPr>
                  </w:pPr>
                  <w:r>
                    <w:rPr>
                      <w:rFonts w:hint="eastAsia"/>
                      <w:sz w:val="21"/>
                      <w:szCs w:val="21"/>
                      <w:lang w:val="en-US" w:eastAsia="zh-CN"/>
                    </w:rPr>
                    <w:t>大型液压装备支架配件</w:t>
                  </w:r>
                </w:p>
              </w:tc>
              <w:tc>
                <w:tcPr>
                  <w:tcW w:w="926" w:type="pct"/>
                  <w:noWrap w:val="0"/>
                  <w:vAlign w:val="center"/>
                </w:tcPr>
                <w:p w14:paraId="43ED0047">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7</w:t>
                  </w:r>
                  <w:r>
                    <w:rPr>
                      <w:sz w:val="21"/>
                      <w:szCs w:val="21"/>
                    </w:rPr>
                    <w:t>00</w:t>
                  </w:r>
                  <w:r>
                    <w:rPr>
                      <w:rFonts w:hint="eastAsia"/>
                      <w:sz w:val="21"/>
                      <w:szCs w:val="21"/>
                      <w:lang w:val="en-US" w:eastAsia="zh-CN"/>
                    </w:rPr>
                    <w:t>0</w:t>
                  </w:r>
                  <w:r>
                    <w:rPr>
                      <w:rFonts w:hint="eastAsia"/>
                      <w:lang w:eastAsia="zh-CN"/>
                    </w:rPr>
                    <w:t>吨</w:t>
                  </w:r>
                  <w:r>
                    <w:rPr>
                      <w:rFonts w:hint="eastAsia"/>
                      <w:lang w:val="en-US" w:eastAsia="zh-CN"/>
                    </w:rPr>
                    <w:t>/年</w:t>
                  </w:r>
                </w:p>
              </w:tc>
              <w:tc>
                <w:tcPr>
                  <w:tcW w:w="794" w:type="pct"/>
                  <w:noWrap w:val="0"/>
                  <w:vAlign w:val="center"/>
                </w:tcPr>
                <w:p w14:paraId="600F5A2C">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1000</w:t>
                  </w:r>
                  <w:r>
                    <w:rPr>
                      <w:rFonts w:hint="eastAsia"/>
                      <w:lang w:eastAsia="zh-CN"/>
                    </w:rPr>
                    <w:t>吨</w:t>
                  </w:r>
                  <w:r>
                    <w:rPr>
                      <w:rFonts w:hint="eastAsia"/>
                      <w:lang w:val="en-US" w:eastAsia="zh-CN"/>
                    </w:rPr>
                    <w:t>/年</w:t>
                  </w:r>
                </w:p>
              </w:tc>
              <w:tc>
                <w:tcPr>
                  <w:tcW w:w="1000" w:type="pct"/>
                  <w:noWrap w:val="0"/>
                  <w:vAlign w:val="center"/>
                </w:tcPr>
                <w:p w14:paraId="5D5D59D0">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8000</w:t>
                  </w:r>
                  <w:r>
                    <w:rPr>
                      <w:rFonts w:hint="eastAsia"/>
                      <w:lang w:eastAsia="zh-CN"/>
                    </w:rPr>
                    <w:t>吨</w:t>
                  </w:r>
                  <w:r>
                    <w:rPr>
                      <w:rFonts w:hint="eastAsia"/>
                      <w:lang w:val="en-US" w:eastAsia="zh-CN"/>
                    </w:rPr>
                    <w:t>/年</w:t>
                  </w:r>
                </w:p>
              </w:tc>
              <w:tc>
                <w:tcPr>
                  <w:tcW w:w="1000" w:type="pct"/>
                  <w:noWrap w:val="0"/>
                  <w:vAlign w:val="center"/>
                </w:tcPr>
                <w:p w14:paraId="5D1C9EA9">
                  <w:pPr>
                    <w:spacing w:line="240" w:lineRule="auto"/>
                    <w:ind w:firstLine="0" w:firstLineChars="0"/>
                    <w:jc w:val="center"/>
                    <w:rPr>
                      <w:rFonts w:hint="eastAsia"/>
                      <w:sz w:val="21"/>
                      <w:szCs w:val="21"/>
                      <w:lang w:val="en-US" w:eastAsia="zh-CN"/>
                    </w:rPr>
                  </w:pPr>
                  <w:r>
                    <w:rPr>
                      <w:rFonts w:hint="eastAsia"/>
                      <w:sz w:val="21"/>
                      <w:szCs w:val="21"/>
                      <w:lang w:val="en-US" w:eastAsia="zh-CN"/>
                    </w:rPr>
                    <w:t>配件主要包括结构件、液压元件、控制元件、辅助装置等</w:t>
                  </w:r>
                </w:p>
              </w:tc>
            </w:tr>
          </w:tbl>
          <w:p w14:paraId="4C3D1ADA">
            <w:pPr>
              <w:keepNext w:val="0"/>
              <w:keepLines w:val="0"/>
              <w:pageBreakBefore w:val="0"/>
              <w:widowControl w:val="0"/>
              <w:tabs>
                <w:tab w:val="left" w:pos="511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4"/>
                <w:lang w:val="en-US" w:eastAsia="zh-CN"/>
              </w:rPr>
            </w:pPr>
            <w:r>
              <w:rPr>
                <w:rFonts w:hint="default" w:cs="Times New Roman"/>
                <w:b w:val="0"/>
                <w:bCs w:val="0"/>
                <w:sz w:val="24"/>
                <w:lang w:val="en-US" w:eastAsia="zh-CN"/>
              </w:rPr>
              <w:t>说明：该项目为扩建项目，只针对</w:t>
            </w:r>
            <w:r>
              <w:rPr>
                <w:rFonts w:hint="default" w:ascii="Times New Roman" w:hAnsi="Times New Roman" w:cs="Times New Roman"/>
                <w:b w:val="0"/>
                <w:sz w:val="24"/>
                <w:lang w:val="en-US" w:eastAsia="zh-CN"/>
              </w:rPr>
              <w:t>增产1000吨的液压装备支架配件</w:t>
            </w:r>
            <w:r>
              <w:rPr>
                <w:rFonts w:hint="eastAsia" w:cs="Times New Roman"/>
                <w:b w:val="0"/>
                <w:sz w:val="24"/>
                <w:lang w:val="en-US" w:eastAsia="zh-CN"/>
              </w:rPr>
              <w:t>抛丸、喷漆，不包括现有产品7000吨。</w:t>
            </w:r>
          </w:p>
          <w:p w14:paraId="7D3491F4">
            <w:pPr>
              <w:keepNext w:val="0"/>
              <w:keepLines w:val="0"/>
              <w:pageBreakBefore w:val="0"/>
              <w:widowControl w:val="0"/>
              <w:tabs>
                <w:tab w:val="left" w:pos="511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lang w:eastAsia="zh-CN"/>
              </w:rPr>
              <w:t>设备情况</w:t>
            </w:r>
          </w:p>
          <w:p w14:paraId="2F72A4FB">
            <w:pPr>
              <w:keepNext w:val="0"/>
              <w:keepLines w:val="0"/>
              <w:pageBreakBefore w:val="0"/>
              <w:widowControl w:val="0"/>
              <w:tabs>
                <w:tab w:val="left" w:pos="5115"/>
              </w:tabs>
              <w:kinsoku/>
              <w:wordWrap/>
              <w:overflowPunct/>
              <w:topLinePunct w:val="0"/>
              <w:autoSpaceDE/>
              <w:autoSpaceDN/>
              <w:bidi w:val="0"/>
              <w:adjustRightInd/>
              <w:snapToGrid/>
              <w:spacing w:line="240" w:lineRule="auto"/>
              <w:jc w:val="center"/>
              <w:textAlignment w:val="auto"/>
              <w:rPr>
                <w:rFonts w:hint="default" w:ascii="Times New Roman" w:hAnsi="Times New Roman"/>
                <w:b/>
                <w:bCs/>
                <w:sz w:val="24"/>
              </w:rPr>
            </w:pPr>
            <w:r>
              <w:rPr>
                <w:rFonts w:hint="default" w:ascii="Times New Roman" w:hAnsi="Times New Roman" w:eastAsia="宋体" w:cs="Times New Roman"/>
                <w:b/>
                <w:bCs/>
                <w:color w:val="auto"/>
                <w:sz w:val="24"/>
              </w:rPr>
              <w:t>表2-</w:t>
            </w:r>
            <w:r>
              <w:rPr>
                <w:rFonts w:hint="eastAsia" w:cs="Times New Roman"/>
                <w:b/>
                <w:bCs/>
                <w:color w:val="auto"/>
                <w:sz w:val="24"/>
                <w:lang w:val="en-US" w:eastAsia="zh-CN"/>
              </w:rPr>
              <w:t>3</w:t>
            </w:r>
            <w:r>
              <w:rPr>
                <w:rFonts w:hint="default" w:ascii="Times New Roman" w:hAnsi="Times New Roman" w:eastAsia="宋体" w:cs="Times New Roman"/>
                <w:b/>
                <w:bCs/>
                <w:color w:val="auto"/>
                <w:sz w:val="24"/>
              </w:rPr>
              <w:t xml:space="preserve"> </w:t>
            </w:r>
            <w:r>
              <w:rPr>
                <w:rFonts w:ascii="Times New Roman" w:hAnsi="Times New Roman"/>
                <w:b/>
                <w:bCs/>
                <w:sz w:val="24"/>
              </w:rPr>
              <w:t>项目主要设备一览表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2065"/>
              <w:gridCol w:w="1796"/>
              <w:gridCol w:w="962"/>
              <w:gridCol w:w="1045"/>
              <w:gridCol w:w="962"/>
              <w:gridCol w:w="754"/>
            </w:tblGrid>
            <w:tr w14:paraId="710B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DCF01E0">
                  <w:pPr>
                    <w:ind w:firstLine="0" w:firstLineChars="0"/>
                    <w:jc w:val="center"/>
                    <w:rPr>
                      <w:rFonts w:hint="default" w:ascii="Times New Roman" w:hAnsi="Times New Roman" w:cs="Times New Roman"/>
                      <w:b/>
                      <w:bCs/>
                      <w:sz w:val="21"/>
                      <w:szCs w:val="21"/>
                    </w:rPr>
                  </w:pPr>
                  <w:bookmarkStart w:id="4" w:name="_Toc130368699"/>
                  <w:r>
                    <w:rPr>
                      <w:rFonts w:hint="default" w:ascii="Times New Roman" w:hAnsi="Times New Roman" w:cs="Times New Roman"/>
                      <w:b/>
                      <w:bCs/>
                      <w:sz w:val="21"/>
                      <w:szCs w:val="21"/>
                    </w:rPr>
                    <w:t>序号</w:t>
                  </w:r>
                  <w:bookmarkEnd w:id="4"/>
                </w:p>
              </w:tc>
              <w:tc>
                <w:tcPr>
                  <w:tcW w:w="1235" w:type="pct"/>
                  <w:noWrap w:val="0"/>
                  <w:vAlign w:val="center"/>
                </w:tcPr>
                <w:p w14:paraId="659B8FCD">
                  <w:pPr>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设备名称</w:t>
                  </w:r>
                </w:p>
              </w:tc>
              <w:tc>
                <w:tcPr>
                  <w:tcW w:w="1074" w:type="pct"/>
                  <w:noWrap w:val="0"/>
                  <w:vAlign w:val="center"/>
                </w:tcPr>
                <w:p w14:paraId="3C88ADB3">
                  <w:pPr>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设备型号</w:t>
                  </w:r>
                </w:p>
              </w:tc>
              <w:tc>
                <w:tcPr>
                  <w:tcW w:w="575" w:type="pct"/>
                  <w:noWrap w:val="0"/>
                  <w:vAlign w:val="center"/>
                </w:tcPr>
                <w:p w14:paraId="45C20DBD">
                  <w:pPr>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现有数量（台）</w:t>
                  </w:r>
                </w:p>
              </w:tc>
              <w:tc>
                <w:tcPr>
                  <w:tcW w:w="625" w:type="pct"/>
                  <w:noWrap w:val="0"/>
                  <w:vAlign w:val="center"/>
                </w:tcPr>
                <w:p w14:paraId="1CDBCAB3">
                  <w:pPr>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本次新增（台）</w:t>
                  </w:r>
                </w:p>
              </w:tc>
              <w:tc>
                <w:tcPr>
                  <w:tcW w:w="575" w:type="pct"/>
                  <w:noWrap w:val="0"/>
                  <w:vAlign w:val="center"/>
                </w:tcPr>
                <w:p w14:paraId="6AFC0CF1">
                  <w:pPr>
                    <w:spacing w:line="240" w:lineRule="auto"/>
                    <w:ind w:firstLine="0" w:firstLineChars="0"/>
                    <w:jc w:val="center"/>
                    <w:rPr>
                      <w:rFonts w:hint="default" w:ascii="Times New Roman" w:hAnsi="Times New Roman" w:cs="Times New Roman"/>
                      <w:b/>
                      <w:bCs/>
                      <w:sz w:val="21"/>
                      <w:szCs w:val="21"/>
                    </w:rPr>
                  </w:pPr>
                  <w:r>
                    <w:rPr>
                      <w:rFonts w:hint="eastAsia" w:cs="Times New Roman"/>
                      <w:b/>
                      <w:bCs/>
                      <w:sz w:val="21"/>
                      <w:szCs w:val="21"/>
                      <w:lang w:eastAsia="zh-CN"/>
                    </w:rPr>
                    <w:t>扩建</w:t>
                  </w:r>
                  <w:r>
                    <w:rPr>
                      <w:rFonts w:hint="default" w:ascii="Times New Roman" w:hAnsi="Times New Roman" w:cs="Times New Roman"/>
                      <w:b/>
                      <w:bCs/>
                      <w:sz w:val="21"/>
                      <w:szCs w:val="21"/>
                    </w:rPr>
                    <w:t>后全厂（台）</w:t>
                  </w:r>
                </w:p>
              </w:tc>
              <w:tc>
                <w:tcPr>
                  <w:tcW w:w="451" w:type="pct"/>
                  <w:noWrap w:val="0"/>
                  <w:vAlign w:val="center"/>
                </w:tcPr>
                <w:p w14:paraId="04EE0FE9">
                  <w:pPr>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备注</w:t>
                  </w:r>
                </w:p>
              </w:tc>
            </w:tr>
            <w:tr w14:paraId="4EF6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39476F5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35" w:type="pct"/>
                  <w:noWrap w:val="0"/>
                  <w:vAlign w:val="center"/>
                </w:tcPr>
                <w:p w14:paraId="5ECD6276">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电动平板车</w:t>
                  </w:r>
                </w:p>
              </w:tc>
              <w:tc>
                <w:tcPr>
                  <w:tcW w:w="1074" w:type="pct"/>
                  <w:noWrap w:val="0"/>
                  <w:vAlign w:val="center"/>
                </w:tcPr>
                <w:p w14:paraId="4CA324E0">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8T</w:t>
                  </w:r>
                </w:p>
              </w:tc>
              <w:tc>
                <w:tcPr>
                  <w:tcW w:w="575" w:type="pct"/>
                  <w:noWrap w:val="0"/>
                  <w:vAlign w:val="center"/>
                </w:tcPr>
                <w:p w14:paraId="23AB703F">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0</w:t>
                  </w:r>
                </w:p>
              </w:tc>
              <w:tc>
                <w:tcPr>
                  <w:tcW w:w="625" w:type="pct"/>
                  <w:noWrap w:val="0"/>
                  <w:vAlign w:val="center"/>
                </w:tcPr>
                <w:p w14:paraId="2D99C2B6">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75" w:type="pct"/>
                  <w:noWrap w:val="0"/>
                  <w:vAlign w:val="center"/>
                </w:tcPr>
                <w:p w14:paraId="2A608A66">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5E61D27F">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新增</w:t>
                  </w:r>
                </w:p>
              </w:tc>
            </w:tr>
            <w:tr w14:paraId="6CAC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5D54635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235" w:type="pct"/>
                  <w:noWrap w:val="0"/>
                  <w:vAlign w:val="center"/>
                </w:tcPr>
                <w:p w14:paraId="1B838D6D">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电动平板车</w:t>
                  </w:r>
                </w:p>
              </w:tc>
              <w:tc>
                <w:tcPr>
                  <w:tcW w:w="1074" w:type="pct"/>
                  <w:noWrap w:val="0"/>
                  <w:vAlign w:val="center"/>
                </w:tcPr>
                <w:p w14:paraId="6AF0CF25">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20T</w:t>
                  </w:r>
                </w:p>
              </w:tc>
              <w:tc>
                <w:tcPr>
                  <w:tcW w:w="575" w:type="pct"/>
                  <w:noWrap w:val="0"/>
                  <w:vAlign w:val="center"/>
                </w:tcPr>
                <w:p w14:paraId="5DB6BA50">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w:t>
                  </w:r>
                </w:p>
              </w:tc>
              <w:tc>
                <w:tcPr>
                  <w:tcW w:w="625" w:type="pct"/>
                  <w:noWrap w:val="0"/>
                  <w:vAlign w:val="center"/>
                </w:tcPr>
                <w:p w14:paraId="09748145">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75" w:type="pct"/>
                  <w:noWrap w:val="0"/>
                  <w:vAlign w:val="center"/>
                </w:tcPr>
                <w:p w14:paraId="7314234C">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32DF8DD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新增</w:t>
                  </w:r>
                </w:p>
              </w:tc>
            </w:tr>
            <w:tr w14:paraId="7058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11E440A">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235" w:type="pct"/>
                  <w:noWrap w:val="0"/>
                  <w:vAlign w:val="center"/>
                </w:tcPr>
                <w:p w14:paraId="6DCB2D51">
                  <w:pPr>
                    <w:keepNext w:val="0"/>
                    <w:keepLines w:val="0"/>
                    <w:widowControl/>
                    <w:suppressLineNumbers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气体保护焊机</w:t>
                  </w:r>
                </w:p>
              </w:tc>
              <w:tc>
                <w:tcPr>
                  <w:tcW w:w="1074" w:type="pct"/>
                  <w:noWrap w:val="0"/>
                  <w:vAlign w:val="center"/>
                </w:tcPr>
                <w:p w14:paraId="6218075F">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575" w:type="pct"/>
                  <w:noWrap w:val="0"/>
                  <w:vAlign w:val="center"/>
                </w:tcPr>
                <w:p w14:paraId="3A5283D1">
                  <w:pPr>
                    <w:spacing w:line="240" w:lineRule="auto"/>
                    <w:ind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1</w:t>
                  </w:r>
                  <w:r>
                    <w:rPr>
                      <w:rFonts w:hint="eastAsia" w:ascii="Times New Roman" w:hAnsi="Times New Roman" w:cs="Times New Roman"/>
                      <w:sz w:val="21"/>
                      <w:szCs w:val="21"/>
                      <w:lang w:val="en-US" w:eastAsia="zh-CN"/>
                    </w:rPr>
                    <w:t>8</w:t>
                  </w:r>
                </w:p>
              </w:tc>
              <w:tc>
                <w:tcPr>
                  <w:tcW w:w="625" w:type="pct"/>
                  <w:noWrap w:val="0"/>
                  <w:vAlign w:val="center"/>
                </w:tcPr>
                <w:p w14:paraId="233B3C0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75B29618">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51" w:type="pct"/>
                  <w:noWrap w:val="0"/>
                  <w:vAlign w:val="center"/>
                </w:tcPr>
                <w:p w14:paraId="5212A9D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1F7F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44531CAD">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235" w:type="pct"/>
                  <w:noWrap w:val="0"/>
                  <w:vAlign w:val="center"/>
                </w:tcPr>
                <w:p w14:paraId="44F4FCAC">
                  <w:pPr>
                    <w:keepNext w:val="0"/>
                    <w:keepLines w:val="0"/>
                    <w:widowControl/>
                    <w:suppressLineNumbers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氩弧焊机</w:t>
                  </w:r>
                </w:p>
              </w:tc>
              <w:tc>
                <w:tcPr>
                  <w:tcW w:w="1074" w:type="pct"/>
                  <w:noWrap w:val="0"/>
                  <w:vAlign w:val="center"/>
                </w:tcPr>
                <w:p w14:paraId="722AD7B7">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3E64F7CA">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25" w:type="pct"/>
                  <w:noWrap w:val="0"/>
                  <w:vAlign w:val="center"/>
                </w:tcPr>
                <w:p w14:paraId="02C0DC26">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5</w:t>
                  </w:r>
                </w:p>
              </w:tc>
              <w:tc>
                <w:tcPr>
                  <w:tcW w:w="575" w:type="pct"/>
                  <w:noWrap w:val="0"/>
                  <w:vAlign w:val="center"/>
                </w:tcPr>
                <w:p w14:paraId="07C770D4">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10</w:t>
                  </w:r>
                </w:p>
              </w:tc>
              <w:tc>
                <w:tcPr>
                  <w:tcW w:w="451" w:type="pct"/>
                  <w:noWrap w:val="0"/>
                  <w:vAlign w:val="center"/>
                </w:tcPr>
                <w:p w14:paraId="1DD7A58C">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720A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7F31B4F">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235" w:type="pct"/>
                  <w:noWrap w:val="0"/>
                  <w:vAlign w:val="center"/>
                </w:tcPr>
                <w:p w14:paraId="20B6D2DE">
                  <w:pPr>
                    <w:keepNext w:val="0"/>
                    <w:keepLines w:val="0"/>
                    <w:widowControl/>
                    <w:suppressLineNumbers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电焊机</w:t>
                  </w:r>
                </w:p>
              </w:tc>
              <w:tc>
                <w:tcPr>
                  <w:tcW w:w="1074" w:type="pct"/>
                  <w:noWrap w:val="0"/>
                  <w:vAlign w:val="center"/>
                </w:tcPr>
                <w:p w14:paraId="5FBED0AA">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1D0CE139">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15</w:t>
                  </w:r>
                </w:p>
              </w:tc>
              <w:tc>
                <w:tcPr>
                  <w:tcW w:w="625" w:type="pct"/>
                  <w:noWrap w:val="0"/>
                  <w:vAlign w:val="center"/>
                </w:tcPr>
                <w:p w14:paraId="2DE6BD3F">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1C44CF1B">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15</w:t>
                  </w:r>
                </w:p>
              </w:tc>
              <w:tc>
                <w:tcPr>
                  <w:tcW w:w="451" w:type="pct"/>
                  <w:noWrap w:val="0"/>
                  <w:vAlign w:val="center"/>
                </w:tcPr>
                <w:p w14:paraId="5CED098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786B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5060B403">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235" w:type="pct"/>
                  <w:noWrap w:val="0"/>
                  <w:vAlign w:val="center"/>
                </w:tcPr>
                <w:p w14:paraId="748D4F51">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移动烟尘净化器</w:t>
                  </w:r>
                </w:p>
              </w:tc>
              <w:tc>
                <w:tcPr>
                  <w:tcW w:w="1074" w:type="pct"/>
                  <w:noWrap w:val="0"/>
                  <w:vAlign w:val="center"/>
                </w:tcPr>
                <w:p w14:paraId="7686596B">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19B1ED1D">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38</w:t>
                  </w:r>
                </w:p>
              </w:tc>
              <w:tc>
                <w:tcPr>
                  <w:tcW w:w="625" w:type="pct"/>
                  <w:noWrap w:val="0"/>
                  <w:vAlign w:val="center"/>
                </w:tcPr>
                <w:p w14:paraId="67010BE3">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5</w:t>
                  </w:r>
                </w:p>
              </w:tc>
              <w:tc>
                <w:tcPr>
                  <w:tcW w:w="575" w:type="pct"/>
                  <w:noWrap w:val="0"/>
                  <w:vAlign w:val="center"/>
                </w:tcPr>
                <w:p w14:paraId="14502DDA">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43</w:t>
                  </w:r>
                </w:p>
              </w:tc>
              <w:tc>
                <w:tcPr>
                  <w:tcW w:w="451" w:type="pct"/>
                  <w:noWrap w:val="0"/>
                  <w:vAlign w:val="center"/>
                </w:tcPr>
                <w:p w14:paraId="2B04E742">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新增</w:t>
                  </w:r>
                </w:p>
              </w:tc>
            </w:tr>
            <w:tr w14:paraId="6F90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noWrap w:val="0"/>
                  <w:vAlign w:val="center"/>
                </w:tcPr>
                <w:p w14:paraId="6E1D2F15">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235" w:type="pct"/>
                  <w:noWrap w:val="0"/>
                  <w:vAlign w:val="center"/>
                </w:tcPr>
                <w:p w14:paraId="0545A0A9">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通过式抛丸清理机</w:t>
                  </w:r>
                </w:p>
              </w:tc>
              <w:tc>
                <w:tcPr>
                  <w:tcW w:w="1074" w:type="pct"/>
                  <w:noWrap w:val="0"/>
                  <w:vAlign w:val="center"/>
                </w:tcPr>
                <w:p w14:paraId="4487F1E2">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2822</w:t>
                  </w:r>
                </w:p>
              </w:tc>
              <w:tc>
                <w:tcPr>
                  <w:tcW w:w="575" w:type="pct"/>
                  <w:noWrap w:val="0"/>
                  <w:vAlign w:val="center"/>
                </w:tcPr>
                <w:p w14:paraId="40D81B4B">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0</w:t>
                  </w:r>
                </w:p>
              </w:tc>
              <w:tc>
                <w:tcPr>
                  <w:tcW w:w="625" w:type="pct"/>
                  <w:noWrap w:val="0"/>
                  <w:vAlign w:val="center"/>
                </w:tcPr>
                <w:p w14:paraId="5DE48F29">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75" w:type="pct"/>
                  <w:noWrap w:val="0"/>
                  <w:vAlign w:val="center"/>
                </w:tcPr>
                <w:p w14:paraId="798CAA34">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37E57696">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新增</w:t>
                  </w:r>
                </w:p>
              </w:tc>
            </w:tr>
            <w:tr w14:paraId="737A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DB828A0">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1235" w:type="pct"/>
                  <w:noWrap w:val="0"/>
                  <w:vAlign w:val="center"/>
                </w:tcPr>
                <w:p w14:paraId="699904C7">
                  <w:pPr>
                    <w:keepNext w:val="0"/>
                    <w:keepLines w:val="0"/>
                    <w:widowControl/>
                    <w:suppressLineNumbers w:val="0"/>
                    <w:jc w:val="center"/>
                    <w:textAlignment w:val="center"/>
                    <w:rPr>
                      <w:rFonts w:hint="default" w:ascii="Times New Roman" w:hAnsi="Times New Roman" w:cs="Times New Roman"/>
                      <w:sz w:val="21"/>
                      <w:szCs w:val="21"/>
                    </w:rPr>
                  </w:pPr>
                  <w:r>
                    <w:rPr>
                      <w:rFonts w:hint="eastAsia" w:cs="Times New Roman"/>
                      <w:i w:val="0"/>
                      <w:iCs w:val="0"/>
                      <w:color w:val="000000"/>
                      <w:kern w:val="0"/>
                      <w:sz w:val="21"/>
                      <w:szCs w:val="21"/>
                      <w:u w:val="none"/>
                      <w:lang w:val="en-US" w:eastAsia="zh-CN" w:bidi="ar"/>
                    </w:rPr>
                    <w:t>密闭负压式</w:t>
                  </w:r>
                  <w:r>
                    <w:rPr>
                      <w:rFonts w:hint="default" w:ascii="Times New Roman" w:hAnsi="Times New Roman" w:eastAsia="宋体" w:cs="Times New Roman"/>
                      <w:i w:val="0"/>
                      <w:iCs w:val="0"/>
                      <w:color w:val="000000"/>
                      <w:kern w:val="0"/>
                      <w:sz w:val="21"/>
                      <w:szCs w:val="21"/>
                      <w:u w:val="none"/>
                      <w:lang w:val="en-US" w:eastAsia="zh-CN" w:bidi="ar"/>
                    </w:rPr>
                    <w:t>喷漆房</w:t>
                  </w:r>
                </w:p>
              </w:tc>
              <w:tc>
                <w:tcPr>
                  <w:tcW w:w="1074" w:type="pct"/>
                  <w:noWrap w:val="0"/>
                  <w:vAlign w:val="center"/>
                </w:tcPr>
                <w:p w14:paraId="0F4A5B5D">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18M*6M*4M</w:t>
                  </w:r>
                </w:p>
              </w:tc>
              <w:tc>
                <w:tcPr>
                  <w:tcW w:w="575" w:type="pct"/>
                  <w:noWrap w:val="0"/>
                  <w:vAlign w:val="center"/>
                </w:tcPr>
                <w:p w14:paraId="4631F562">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0</w:t>
                  </w:r>
                </w:p>
              </w:tc>
              <w:tc>
                <w:tcPr>
                  <w:tcW w:w="625" w:type="pct"/>
                  <w:noWrap w:val="0"/>
                  <w:vAlign w:val="center"/>
                </w:tcPr>
                <w:p w14:paraId="6523689F">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75" w:type="pct"/>
                  <w:noWrap w:val="0"/>
                  <w:vAlign w:val="center"/>
                </w:tcPr>
                <w:p w14:paraId="02E98633">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3E2B314E">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新增</w:t>
                  </w:r>
                </w:p>
              </w:tc>
            </w:tr>
            <w:tr w14:paraId="3C61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77AFF61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1235" w:type="pct"/>
                  <w:noWrap w:val="0"/>
                  <w:vAlign w:val="center"/>
                </w:tcPr>
                <w:p w14:paraId="09041D12">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3吨闭式单点压力机</w:t>
                  </w:r>
                </w:p>
              </w:tc>
              <w:tc>
                <w:tcPr>
                  <w:tcW w:w="1074" w:type="pct"/>
                  <w:noWrap w:val="0"/>
                  <w:vAlign w:val="center"/>
                </w:tcPr>
                <w:p w14:paraId="28DCF4C7">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0FC8725E">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w:t>
                  </w:r>
                </w:p>
              </w:tc>
              <w:tc>
                <w:tcPr>
                  <w:tcW w:w="625" w:type="pct"/>
                  <w:noWrap w:val="0"/>
                  <w:vAlign w:val="center"/>
                </w:tcPr>
                <w:p w14:paraId="39692E28">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75" w:type="pct"/>
                  <w:noWrap w:val="0"/>
                  <w:vAlign w:val="center"/>
                </w:tcPr>
                <w:p w14:paraId="0BF15BF3">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283C25C5">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新增</w:t>
                  </w:r>
                </w:p>
              </w:tc>
            </w:tr>
            <w:tr w14:paraId="0002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3D1F244C">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235" w:type="pct"/>
                  <w:noWrap w:val="0"/>
                  <w:vAlign w:val="center"/>
                </w:tcPr>
                <w:p w14:paraId="41E035D4">
                  <w:pPr>
                    <w:keepNext w:val="0"/>
                    <w:keepLines w:val="0"/>
                    <w:widowControl/>
                    <w:suppressLineNumbers w:val="0"/>
                    <w:jc w:val="center"/>
                    <w:textAlignment w:val="center"/>
                    <w:rPr>
                      <w:rFonts w:hint="default" w:ascii="Times New Roman" w:hAnsi="Times New Roman" w:cs="Times New Roman"/>
                      <w:sz w:val="21"/>
                      <w:szCs w:val="21"/>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0吨电动螺旋压力机</w:t>
                  </w:r>
                </w:p>
              </w:tc>
              <w:tc>
                <w:tcPr>
                  <w:tcW w:w="1074" w:type="pct"/>
                  <w:noWrap w:val="0"/>
                  <w:vAlign w:val="center"/>
                </w:tcPr>
                <w:p w14:paraId="0D8E3436">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78E077C9">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0</w:t>
                  </w:r>
                </w:p>
              </w:tc>
              <w:tc>
                <w:tcPr>
                  <w:tcW w:w="625" w:type="pct"/>
                  <w:noWrap w:val="0"/>
                  <w:vAlign w:val="center"/>
                </w:tcPr>
                <w:p w14:paraId="07370BAA">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75" w:type="pct"/>
                  <w:noWrap w:val="0"/>
                  <w:vAlign w:val="center"/>
                </w:tcPr>
                <w:p w14:paraId="1DFF63D8">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55ACAC4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新增</w:t>
                  </w:r>
                </w:p>
              </w:tc>
            </w:tr>
            <w:tr w14:paraId="1F03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7E3FFFFC">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1235" w:type="pct"/>
                  <w:noWrap w:val="0"/>
                  <w:vAlign w:val="center"/>
                </w:tcPr>
                <w:p w14:paraId="131BAAA6">
                  <w:pPr>
                    <w:keepNext w:val="0"/>
                    <w:keepLines w:val="0"/>
                    <w:widowControl/>
                    <w:suppressLineNumbers w:val="0"/>
                    <w:jc w:val="center"/>
                    <w:textAlignment w:val="center"/>
                    <w:rPr>
                      <w:rFonts w:hint="default" w:ascii="Times New Roman" w:hAnsi="Times New Roman" w:cs="Times New Roman"/>
                      <w:sz w:val="21"/>
                      <w:szCs w:val="21"/>
                    </w:rPr>
                  </w:pPr>
                  <w:r>
                    <w:rPr>
                      <w:rFonts w:hint="eastAsia"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0吨闭式单点压力机</w:t>
                  </w:r>
                </w:p>
              </w:tc>
              <w:tc>
                <w:tcPr>
                  <w:tcW w:w="1074" w:type="pct"/>
                  <w:noWrap w:val="0"/>
                  <w:vAlign w:val="center"/>
                </w:tcPr>
                <w:p w14:paraId="054C3D98">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2AD93B2B">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w:t>
                  </w:r>
                </w:p>
              </w:tc>
              <w:tc>
                <w:tcPr>
                  <w:tcW w:w="625" w:type="pct"/>
                  <w:noWrap w:val="0"/>
                  <w:vAlign w:val="center"/>
                </w:tcPr>
                <w:p w14:paraId="3786BA87">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75" w:type="pct"/>
                  <w:noWrap w:val="0"/>
                  <w:vAlign w:val="center"/>
                </w:tcPr>
                <w:p w14:paraId="6C26A7DB">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6E1AD27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新增</w:t>
                  </w:r>
                </w:p>
              </w:tc>
            </w:tr>
            <w:tr w14:paraId="33E9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1A7F25F">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235" w:type="pct"/>
                  <w:noWrap w:val="0"/>
                  <w:vAlign w:val="center"/>
                </w:tcPr>
                <w:p w14:paraId="55DE34E2">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单梁起重机</w:t>
                  </w:r>
                </w:p>
              </w:tc>
              <w:tc>
                <w:tcPr>
                  <w:tcW w:w="1074" w:type="pct"/>
                  <w:noWrap w:val="0"/>
                  <w:vAlign w:val="center"/>
                </w:tcPr>
                <w:p w14:paraId="3862A90B">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10T</w:t>
                  </w:r>
                </w:p>
              </w:tc>
              <w:tc>
                <w:tcPr>
                  <w:tcW w:w="575" w:type="pct"/>
                  <w:noWrap w:val="0"/>
                  <w:vAlign w:val="center"/>
                </w:tcPr>
                <w:p w14:paraId="0C2C24BC">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25" w:type="pct"/>
                  <w:noWrap w:val="0"/>
                  <w:vAlign w:val="center"/>
                </w:tcPr>
                <w:p w14:paraId="3CAB555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4C8F2111">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1" w:type="pct"/>
                  <w:noWrap w:val="0"/>
                  <w:vAlign w:val="center"/>
                </w:tcPr>
                <w:p w14:paraId="388BDA0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12BD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BC933B6">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13</w:t>
                  </w:r>
                </w:p>
              </w:tc>
              <w:tc>
                <w:tcPr>
                  <w:tcW w:w="1235" w:type="pct"/>
                  <w:noWrap w:val="0"/>
                  <w:vAlign w:val="center"/>
                </w:tcPr>
                <w:p w14:paraId="2CDF9232">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单梁起重机</w:t>
                  </w:r>
                </w:p>
              </w:tc>
              <w:tc>
                <w:tcPr>
                  <w:tcW w:w="1074" w:type="pct"/>
                  <w:noWrap w:val="0"/>
                  <w:vAlign w:val="center"/>
                </w:tcPr>
                <w:p w14:paraId="1501D352">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5T</w:t>
                  </w:r>
                </w:p>
              </w:tc>
              <w:tc>
                <w:tcPr>
                  <w:tcW w:w="575" w:type="pct"/>
                  <w:noWrap w:val="0"/>
                  <w:vAlign w:val="center"/>
                </w:tcPr>
                <w:p w14:paraId="004DC2F1">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25" w:type="pct"/>
                  <w:noWrap w:val="0"/>
                  <w:vAlign w:val="center"/>
                </w:tcPr>
                <w:p w14:paraId="0B996E7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67BDD7BA">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1" w:type="pct"/>
                  <w:noWrap w:val="0"/>
                  <w:vAlign w:val="center"/>
                </w:tcPr>
                <w:p w14:paraId="724B6A3A">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4BEE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6219223C">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1235" w:type="pct"/>
                  <w:noWrap w:val="0"/>
                  <w:vAlign w:val="center"/>
                </w:tcPr>
                <w:p w14:paraId="177166DD">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单梁起重机</w:t>
                  </w:r>
                </w:p>
              </w:tc>
              <w:tc>
                <w:tcPr>
                  <w:tcW w:w="1074" w:type="pct"/>
                  <w:noWrap w:val="0"/>
                  <w:vAlign w:val="center"/>
                </w:tcPr>
                <w:p w14:paraId="003D8E8D">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2T</w:t>
                  </w:r>
                </w:p>
              </w:tc>
              <w:tc>
                <w:tcPr>
                  <w:tcW w:w="575" w:type="pct"/>
                  <w:noWrap w:val="0"/>
                  <w:vAlign w:val="center"/>
                </w:tcPr>
                <w:p w14:paraId="65238592">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shd w:val="clear" w:color="auto" w:fill="auto"/>
                  <w:noWrap w:val="0"/>
                  <w:vAlign w:val="center"/>
                </w:tcPr>
                <w:p w14:paraId="49F2C1B5">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w:t>
                  </w:r>
                </w:p>
              </w:tc>
              <w:tc>
                <w:tcPr>
                  <w:tcW w:w="575" w:type="pct"/>
                  <w:noWrap w:val="0"/>
                  <w:vAlign w:val="center"/>
                </w:tcPr>
                <w:p w14:paraId="1D1D3C12">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64033570">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7D41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7AAE0FB">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235" w:type="pct"/>
                  <w:noWrap w:val="0"/>
                  <w:vAlign w:val="center"/>
                </w:tcPr>
                <w:p w14:paraId="4D95BFD3">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半龙门吊</w:t>
                  </w:r>
                </w:p>
              </w:tc>
              <w:tc>
                <w:tcPr>
                  <w:tcW w:w="1074" w:type="pct"/>
                  <w:noWrap w:val="0"/>
                  <w:vAlign w:val="center"/>
                </w:tcPr>
                <w:p w14:paraId="3AFEBC65">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2T</w:t>
                  </w:r>
                </w:p>
              </w:tc>
              <w:tc>
                <w:tcPr>
                  <w:tcW w:w="575" w:type="pct"/>
                  <w:noWrap w:val="0"/>
                  <w:vAlign w:val="center"/>
                </w:tcPr>
                <w:p w14:paraId="772E893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625" w:type="pct"/>
                  <w:shd w:val="clear" w:color="auto" w:fill="auto"/>
                  <w:noWrap w:val="0"/>
                  <w:vAlign w:val="center"/>
                </w:tcPr>
                <w:p w14:paraId="77919A5D">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4</w:t>
                  </w:r>
                </w:p>
              </w:tc>
              <w:tc>
                <w:tcPr>
                  <w:tcW w:w="575" w:type="pct"/>
                  <w:noWrap w:val="0"/>
                  <w:vAlign w:val="center"/>
                </w:tcPr>
                <w:p w14:paraId="43B7A58F">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1" w:type="pct"/>
                  <w:noWrap w:val="0"/>
                  <w:vAlign w:val="center"/>
                </w:tcPr>
                <w:p w14:paraId="3426DD5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新增</w:t>
                  </w:r>
                </w:p>
              </w:tc>
            </w:tr>
            <w:tr w14:paraId="209E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3D03EE02">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16</w:t>
                  </w:r>
                </w:p>
              </w:tc>
              <w:tc>
                <w:tcPr>
                  <w:tcW w:w="1235" w:type="pct"/>
                  <w:noWrap w:val="0"/>
                  <w:vAlign w:val="center"/>
                </w:tcPr>
                <w:p w14:paraId="717D7EF9">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平衡吊</w:t>
                  </w:r>
                </w:p>
              </w:tc>
              <w:tc>
                <w:tcPr>
                  <w:tcW w:w="1074" w:type="pct"/>
                  <w:noWrap w:val="0"/>
                  <w:vAlign w:val="center"/>
                </w:tcPr>
                <w:p w14:paraId="76177A55">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600KG</w:t>
                  </w:r>
                </w:p>
              </w:tc>
              <w:tc>
                <w:tcPr>
                  <w:tcW w:w="575" w:type="pct"/>
                  <w:noWrap w:val="0"/>
                  <w:vAlign w:val="center"/>
                </w:tcPr>
                <w:p w14:paraId="0845883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625" w:type="pct"/>
                  <w:noWrap w:val="0"/>
                  <w:vAlign w:val="center"/>
                </w:tcPr>
                <w:p w14:paraId="5CE6BE90">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5</w:t>
                  </w:r>
                </w:p>
              </w:tc>
              <w:tc>
                <w:tcPr>
                  <w:tcW w:w="575" w:type="pct"/>
                  <w:noWrap w:val="0"/>
                  <w:vAlign w:val="center"/>
                </w:tcPr>
                <w:p w14:paraId="44B894C4">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1" w:type="pct"/>
                  <w:noWrap w:val="0"/>
                  <w:vAlign w:val="center"/>
                </w:tcPr>
                <w:p w14:paraId="09E1CDF0">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新增</w:t>
                  </w:r>
                </w:p>
              </w:tc>
            </w:tr>
            <w:tr w14:paraId="20D6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475B0B7D">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17</w:t>
                  </w:r>
                </w:p>
              </w:tc>
              <w:tc>
                <w:tcPr>
                  <w:tcW w:w="1235" w:type="pct"/>
                  <w:noWrap w:val="0"/>
                  <w:vAlign w:val="center"/>
                </w:tcPr>
                <w:p w14:paraId="3C998387">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激光管切机</w:t>
                  </w:r>
                </w:p>
              </w:tc>
              <w:tc>
                <w:tcPr>
                  <w:tcW w:w="1074" w:type="pct"/>
                  <w:noWrap w:val="0"/>
                  <w:vAlign w:val="center"/>
                </w:tcPr>
                <w:p w14:paraId="4775060B">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5F2E3915">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015BC48D">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1A172415">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0223BAD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3EE4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6D00E01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18</w:t>
                  </w:r>
                </w:p>
              </w:tc>
              <w:tc>
                <w:tcPr>
                  <w:tcW w:w="1235" w:type="pct"/>
                  <w:noWrap w:val="0"/>
                  <w:vAlign w:val="center"/>
                </w:tcPr>
                <w:p w14:paraId="749B2AAE">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数控光纤激光切割机</w:t>
                  </w:r>
                </w:p>
              </w:tc>
              <w:tc>
                <w:tcPr>
                  <w:tcW w:w="1074" w:type="pct"/>
                  <w:noWrap w:val="0"/>
                  <w:vAlign w:val="center"/>
                </w:tcPr>
                <w:p w14:paraId="7CFD39E5">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20000W</w:t>
                  </w:r>
                </w:p>
              </w:tc>
              <w:tc>
                <w:tcPr>
                  <w:tcW w:w="575" w:type="pct"/>
                  <w:noWrap w:val="0"/>
                  <w:vAlign w:val="center"/>
                </w:tcPr>
                <w:p w14:paraId="7A39122D">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32F2272C">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1</w:t>
                  </w:r>
                </w:p>
              </w:tc>
              <w:tc>
                <w:tcPr>
                  <w:tcW w:w="575" w:type="pct"/>
                  <w:noWrap w:val="0"/>
                  <w:vAlign w:val="center"/>
                </w:tcPr>
                <w:p w14:paraId="54A9D0D7">
                  <w:pPr>
                    <w:keepNext w:val="0"/>
                    <w:keepLines w:val="0"/>
                    <w:widowControl/>
                    <w:suppressLineNumbers w:val="0"/>
                    <w:jc w:val="center"/>
                    <w:textAlignment w:val="center"/>
                    <w:rPr>
                      <w:rFonts w:hint="default" w:ascii="Times New Roman" w:hAnsi="Times New Roman" w:cs="Times New Roman"/>
                      <w:sz w:val="21"/>
                      <w:szCs w:val="21"/>
                    </w:rPr>
                  </w:pPr>
                  <w:r>
                    <w:rPr>
                      <w:rFonts w:hint="eastAsia" w:cs="Times New Roman"/>
                      <w:i w:val="0"/>
                      <w:iCs w:val="0"/>
                      <w:color w:val="000000"/>
                      <w:kern w:val="0"/>
                      <w:sz w:val="21"/>
                      <w:szCs w:val="21"/>
                      <w:u w:val="none"/>
                      <w:lang w:val="en-US" w:eastAsia="zh-CN" w:bidi="ar"/>
                    </w:rPr>
                    <w:t>2</w:t>
                  </w:r>
                </w:p>
              </w:tc>
              <w:tc>
                <w:tcPr>
                  <w:tcW w:w="451" w:type="pct"/>
                  <w:noWrap w:val="0"/>
                  <w:vAlign w:val="center"/>
                </w:tcPr>
                <w:p w14:paraId="67813115">
                  <w:pPr>
                    <w:spacing w:line="240" w:lineRule="auto"/>
                    <w:ind w:firstLine="0" w:firstLineChars="0"/>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新增</w:t>
                  </w:r>
                </w:p>
              </w:tc>
            </w:tr>
            <w:tr w14:paraId="69E9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1B9A514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19</w:t>
                  </w:r>
                </w:p>
              </w:tc>
              <w:tc>
                <w:tcPr>
                  <w:tcW w:w="1235" w:type="pct"/>
                  <w:noWrap w:val="0"/>
                  <w:vAlign w:val="center"/>
                </w:tcPr>
                <w:p w14:paraId="38A3CD84">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数控坐标式切割机</w:t>
                  </w:r>
                </w:p>
              </w:tc>
              <w:tc>
                <w:tcPr>
                  <w:tcW w:w="1074" w:type="pct"/>
                  <w:noWrap w:val="0"/>
                  <w:vAlign w:val="center"/>
                </w:tcPr>
                <w:p w14:paraId="196D3DF0">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03E36364">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25" w:type="pct"/>
                  <w:noWrap w:val="0"/>
                  <w:vAlign w:val="center"/>
                </w:tcPr>
                <w:p w14:paraId="067A618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12484422">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51" w:type="pct"/>
                  <w:noWrap w:val="0"/>
                  <w:vAlign w:val="center"/>
                </w:tcPr>
                <w:p w14:paraId="3756687A">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2E07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7D634D8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235" w:type="pct"/>
                  <w:noWrap w:val="0"/>
                  <w:vAlign w:val="center"/>
                </w:tcPr>
                <w:p w14:paraId="4CD8AAD7">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油压机</w:t>
                  </w:r>
                </w:p>
              </w:tc>
              <w:tc>
                <w:tcPr>
                  <w:tcW w:w="1074" w:type="pct"/>
                  <w:noWrap w:val="0"/>
                  <w:vAlign w:val="center"/>
                </w:tcPr>
                <w:p w14:paraId="0E3484DB">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400T</w:t>
                  </w:r>
                </w:p>
              </w:tc>
              <w:tc>
                <w:tcPr>
                  <w:tcW w:w="575" w:type="pct"/>
                  <w:noWrap w:val="0"/>
                  <w:vAlign w:val="center"/>
                </w:tcPr>
                <w:p w14:paraId="3BB8866F">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5B157205">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6C073A45">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100EB7C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2F97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88ED4E2">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235" w:type="pct"/>
                  <w:noWrap w:val="0"/>
                  <w:vAlign w:val="center"/>
                </w:tcPr>
                <w:p w14:paraId="5CAFD119">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油压机</w:t>
                  </w:r>
                </w:p>
              </w:tc>
              <w:tc>
                <w:tcPr>
                  <w:tcW w:w="1074" w:type="pct"/>
                  <w:noWrap w:val="0"/>
                  <w:vAlign w:val="center"/>
                </w:tcPr>
                <w:p w14:paraId="41B5D6A8">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600T</w:t>
                  </w:r>
                </w:p>
              </w:tc>
              <w:tc>
                <w:tcPr>
                  <w:tcW w:w="575" w:type="pct"/>
                  <w:noWrap w:val="0"/>
                  <w:vAlign w:val="center"/>
                </w:tcPr>
                <w:p w14:paraId="6C692CAB">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4F18DE50">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74F1D2E4">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0B6EBD2C">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04A3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36779DAB">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22</w:t>
                  </w:r>
                </w:p>
              </w:tc>
              <w:tc>
                <w:tcPr>
                  <w:tcW w:w="1235" w:type="pct"/>
                  <w:noWrap w:val="0"/>
                  <w:vAlign w:val="center"/>
                </w:tcPr>
                <w:p w14:paraId="38D9C06F">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台车式电阻炉</w:t>
                  </w:r>
                  <w:r>
                    <w:rPr>
                      <w:rFonts w:hint="eastAsia" w:cs="Times New Roman"/>
                      <w:i w:val="0"/>
                      <w:iCs w:val="0"/>
                      <w:color w:val="000000"/>
                      <w:kern w:val="0"/>
                      <w:sz w:val="21"/>
                      <w:szCs w:val="21"/>
                      <w:u w:val="none"/>
                      <w:lang w:val="en-US" w:eastAsia="zh-CN" w:bidi="ar"/>
                    </w:rPr>
                    <w:t>（压力机配套）</w:t>
                  </w:r>
                </w:p>
              </w:tc>
              <w:tc>
                <w:tcPr>
                  <w:tcW w:w="1074" w:type="pct"/>
                  <w:noWrap w:val="0"/>
                  <w:vAlign w:val="center"/>
                </w:tcPr>
                <w:p w14:paraId="2288A35B">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3671A694">
                  <w:pPr>
                    <w:keepNext w:val="0"/>
                    <w:keepLines w:val="0"/>
                    <w:widowControl/>
                    <w:suppressLineNumbers w:val="0"/>
                    <w:jc w:val="center"/>
                    <w:textAlignment w:val="center"/>
                    <w:rPr>
                      <w:rFonts w:hint="default" w:ascii="Times New Roman" w:hAnsi="Times New Roman" w:cs="Times New Roman"/>
                      <w:sz w:val="21"/>
                      <w:szCs w:val="21"/>
                    </w:rPr>
                  </w:pPr>
                  <w:r>
                    <w:rPr>
                      <w:rFonts w:hint="eastAsia" w:cs="Times New Roman"/>
                      <w:i w:val="0"/>
                      <w:iCs w:val="0"/>
                      <w:color w:val="000000"/>
                      <w:kern w:val="0"/>
                      <w:sz w:val="21"/>
                      <w:szCs w:val="21"/>
                      <w:u w:val="none"/>
                      <w:lang w:val="en-US" w:eastAsia="zh-CN" w:bidi="ar"/>
                    </w:rPr>
                    <w:t>0</w:t>
                  </w:r>
                </w:p>
              </w:tc>
              <w:tc>
                <w:tcPr>
                  <w:tcW w:w="625" w:type="pct"/>
                  <w:noWrap w:val="0"/>
                  <w:vAlign w:val="center"/>
                </w:tcPr>
                <w:p w14:paraId="25376D86">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2</w:t>
                  </w:r>
                </w:p>
              </w:tc>
              <w:tc>
                <w:tcPr>
                  <w:tcW w:w="575" w:type="pct"/>
                  <w:noWrap w:val="0"/>
                  <w:vAlign w:val="center"/>
                </w:tcPr>
                <w:p w14:paraId="49F6C243">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51" w:type="pct"/>
                  <w:noWrap w:val="0"/>
                  <w:vAlign w:val="center"/>
                </w:tcPr>
                <w:p w14:paraId="2383A29A">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0C9D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BD2AA86">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23</w:t>
                  </w:r>
                </w:p>
              </w:tc>
              <w:tc>
                <w:tcPr>
                  <w:tcW w:w="1235" w:type="pct"/>
                  <w:noWrap w:val="0"/>
                  <w:vAlign w:val="center"/>
                </w:tcPr>
                <w:p w14:paraId="2F51EC74">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数显卧式双面铣镗床</w:t>
                  </w:r>
                </w:p>
              </w:tc>
              <w:tc>
                <w:tcPr>
                  <w:tcW w:w="1074" w:type="pct"/>
                  <w:noWrap w:val="0"/>
                  <w:vAlign w:val="center"/>
                </w:tcPr>
                <w:p w14:paraId="553165CC">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3A0EA614">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323F33DD">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2EA57DA0">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28C5192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6196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648143C">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24</w:t>
                  </w:r>
                </w:p>
              </w:tc>
              <w:tc>
                <w:tcPr>
                  <w:tcW w:w="1235" w:type="pct"/>
                  <w:noWrap w:val="0"/>
                  <w:vAlign w:val="center"/>
                </w:tcPr>
                <w:p w14:paraId="3B7E62D9">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数显卧式铣镗床</w:t>
                  </w:r>
                </w:p>
              </w:tc>
              <w:tc>
                <w:tcPr>
                  <w:tcW w:w="1074" w:type="pct"/>
                  <w:noWrap w:val="0"/>
                  <w:vAlign w:val="center"/>
                </w:tcPr>
                <w:p w14:paraId="38452914">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0E5CA187">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6A58A8F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42BFD876">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48E75F4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5EA3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4EEA536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25</w:t>
                  </w:r>
                </w:p>
              </w:tc>
              <w:tc>
                <w:tcPr>
                  <w:tcW w:w="1235" w:type="pct"/>
                  <w:noWrap w:val="0"/>
                  <w:vAlign w:val="center"/>
                </w:tcPr>
                <w:p w14:paraId="635BE1D9">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开式可倾压力机</w:t>
                  </w:r>
                </w:p>
              </w:tc>
              <w:tc>
                <w:tcPr>
                  <w:tcW w:w="1074" w:type="pct"/>
                  <w:noWrap w:val="0"/>
                  <w:vAlign w:val="center"/>
                </w:tcPr>
                <w:p w14:paraId="0DB99FCA">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5589C162">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4A9C786E">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575" w:type="pct"/>
                  <w:noWrap w:val="0"/>
                  <w:vAlign w:val="center"/>
                </w:tcPr>
                <w:p w14:paraId="62B4AE6C">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6E7D0D93">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19CB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35DB190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26</w:t>
                  </w:r>
                </w:p>
              </w:tc>
              <w:tc>
                <w:tcPr>
                  <w:tcW w:w="1235" w:type="pct"/>
                  <w:noWrap w:val="0"/>
                  <w:vAlign w:val="center"/>
                </w:tcPr>
                <w:p w14:paraId="7B34F4F5">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80钻床</w:t>
                  </w:r>
                </w:p>
              </w:tc>
              <w:tc>
                <w:tcPr>
                  <w:tcW w:w="1074" w:type="pct"/>
                  <w:noWrap w:val="0"/>
                  <w:vAlign w:val="center"/>
                </w:tcPr>
                <w:p w14:paraId="59A035ED">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3390F43A">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03F411F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575" w:type="pct"/>
                  <w:noWrap w:val="0"/>
                  <w:vAlign w:val="center"/>
                </w:tcPr>
                <w:p w14:paraId="75F2AC26">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39548315">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185B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FCCF885">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27</w:t>
                  </w:r>
                </w:p>
              </w:tc>
              <w:tc>
                <w:tcPr>
                  <w:tcW w:w="1235" w:type="pct"/>
                  <w:noWrap w:val="0"/>
                  <w:vAlign w:val="center"/>
                </w:tcPr>
                <w:p w14:paraId="59ED9053">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50钻床</w:t>
                  </w:r>
                </w:p>
              </w:tc>
              <w:tc>
                <w:tcPr>
                  <w:tcW w:w="1074" w:type="pct"/>
                  <w:noWrap w:val="0"/>
                  <w:vAlign w:val="center"/>
                </w:tcPr>
                <w:p w14:paraId="75D7E8D7">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6DD28908">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25" w:type="pct"/>
                  <w:noWrap w:val="0"/>
                  <w:vAlign w:val="center"/>
                </w:tcPr>
                <w:p w14:paraId="06991786">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575" w:type="pct"/>
                  <w:noWrap w:val="0"/>
                  <w:vAlign w:val="center"/>
                </w:tcPr>
                <w:p w14:paraId="4D5CC674">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1" w:type="pct"/>
                  <w:noWrap w:val="0"/>
                  <w:vAlign w:val="center"/>
                </w:tcPr>
                <w:p w14:paraId="59B9B78F">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不变</w:t>
                  </w:r>
                </w:p>
              </w:tc>
            </w:tr>
            <w:tr w14:paraId="3200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0A9361E">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28</w:t>
                  </w:r>
                </w:p>
              </w:tc>
              <w:tc>
                <w:tcPr>
                  <w:tcW w:w="1235" w:type="pct"/>
                  <w:noWrap w:val="0"/>
                  <w:vAlign w:val="center"/>
                </w:tcPr>
                <w:p w14:paraId="0FB3D94A">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普通车床</w:t>
                  </w:r>
                </w:p>
              </w:tc>
              <w:tc>
                <w:tcPr>
                  <w:tcW w:w="1074" w:type="pct"/>
                  <w:noWrap w:val="0"/>
                  <w:vAlign w:val="center"/>
                </w:tcPr>
                <w:p w14:paraId="5A25D9B6">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12BEBB27">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44A0C858">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0</w:t>
                  </w:r>
                </w:p>
              </w:tc>
              <w:tc>
                <w:tcPr>
                  <w:tcW w:w="575" w:type="pct"/>
                  <w:noWrap w:val="0"/>
                  <w:vAlign w:val="center"/>
                </w:tcPr>
                <w:p w14:paraId="20A4AC04">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5F37F442">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不变</w:t>
                  </w:r>
                </w:p>
              </w:tc>
            </w:tr>
            <w:tr w14:paraId="32AE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36A9B72A">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29</w:t>
                  </w:r>
                </w:p>
              </w:tc>
              <w:tc>
                <w:tcPr>
                  <w:tcW w:w="1235" w:type="pct"/>
                  <w:noWrap w:val="0"/>
                  <w:vAlign w:val="center"/>
                </w:tcPr>
                <w:p w14:paraId="4D38B4F5">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锯床</w:t>
                  </w:r>
                </w:p>
              </w:tc>
              <w:tc>
                <w:tcPr>
                  <w:tcW w:w="1074" w:type="pct"/>
                  <w:noWrap w:val="0"/>
                  <w:vAlign w:val="center"/>
                </w:tcPr>
                <w:p w14:paraId="08BEF8C1">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68060BD6">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10A8FBC2">
                  <w:pPr>
                    <w:spacing w:line="240" w:lineRule="auto"/>
                    <w:ind w:firstLine="0" w:firstLineChars="0"/>
                    <w:jc w:val="center"/>
                    <w:rPr>
                      <w:rFonts w:hint="default" w:ascii="Times New Roman" w:hAnsi="Times New Roman" w:cs="Times New Roman"/>
                      <w:color w:val="000000"/>
                      <w:sz w:val="21"/>
                      <w:szCs w:val="21"/>
                    </w:rPr>
                  </w:pPr>
                  <w:r>
                    <w:rPr>
                      <w:rFonts w:hint="eastAsia" w:cs="Times New Roman"/>
                      <w:color w:val="000000"/>
                      <w:sz w:val="21"/>
                      <w:szCs w:val="21"/>
                      <w:lang w:val="en-US" w:eastAsia="zh-CN"/>
                    </w:rPr>
                    <w:t>0</w:t>
                  </w:r>
                </w:p>
              </w:tc>
              <w:tc>
                <w:tcPr>
                  <w:tcW w:w="575" w:type="pct"/>
                  <w:noWrap w:val="0"/>
                  <w:vAlign w:val="center"/>
                </w:tcPr>
                <w:p w14:paraId="74603F15">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42373681">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不变</w:t>
                  </w:r>
                </w:p>
              </w:tc>
            </w:tr>
            <w:tr w14:paraId="18F0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73A18214">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30</w:t>
                  </w:r>
                </w:p>
              </w:tc>
              <w:tc>
                <w:tcPr>
                  <w:tcW w:w="1235" w:type="pct"/>
                  <w:noWrap w:val="0"/>
                  <w:vAlign w:val="center"/>
                </w:tcPr>
                <w:p w14:paraId="706387A1">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折弯机</w:t>
                  </w:r>
                </w:p>
              </w:tc>
              <w:tc>
                <w:tcPr>
                  <w:tcW w:w="1074" w:type="pct"/>
                  <w:noWrap w:val="0"/>
                  <w:vAlign w:val="center"/>
                </w:tcPr>
                <w:p w14:paraId="6D3210EA">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16945A90">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25EB4FD8">
                  <w:pPr>
                    <w:spacing w:line="240" w:lineRule="auto"/>
                    <w:ind w:firstLine="0" w:firstLineChars="0"/>
                    <w:jc w:val="center"/>
                    <w:rPr>
                      <w:rFonts w:hint="default" w:ascii="Times New Roman" w:hAnsi="Times New Roman" w:cs="Times New Roman"/>
                      <w:color w:val="000000"/>
                      <w:sz w:val="21"/>
                      <w:szCs w:val="21"/>
                    </w:rPr>
                  </w:pPr>
                  <w:r>
                    <w:rPr>
                      <w:rFonts w:hint="eastAsia" w:cs="Times New Roman"/>
                      <w:color w:val="000000"/>
                      <w:sz w:val="21"/>
                      <w:szCs w:val="21"/>
                      <w:lang w:val="en-US" w:eastAsia="zh-CN"/>
                    </w:rPr>
                    <w:t>0</w:t>
                  </w:r>
                </w:p>
              </w:tc>
              <w:tc>
                <w:tcPr>
                  <w:tcW w:w="575" w:type="pct"/>
                  <w:noWrap w:val="0"/>
                  <w:vAlign w:val="center"/>
                </w:tcPr>
                <w:p w14:paraId="28FAC57B">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3B719DFA">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不变</w:t>
                  </w:r>
                </w:p>
              </w:tc>
            </w:tr>
            <w:tr w14:paraId="5293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1D03CE51">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31</w:t>
                  </w:r>
                </w:p>
              </w:tc>
              <w:tc>
                <w:tcPr>
                  <w:tcW w:w="1235" w:type="pct"/>
                  <w:noWrap w:val="0"/>
                  <w:vAlign w:val="center"/>
                </w:tcPr>
                <w:p w14:paraId="16533B39">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打磨室</w:t>
                  </w:r>
                </w:p>
              </w:tc>
              <w:tc>
                <w:tcPr>
                  <w:tcW w:w="1074" w:type="pct"/>
                  <w:noWrap w:val="0"/>
                  <w:vAlign w:val="center"/>
                </w:tcPr>
                <w:p w14:paraId="18530FE5">
                  <w:pPr>
                    <w:jc w:val="center"/>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w:t>
                  </w:r>
                </w:p>
              </w:tc>
              <w:tc>
                <w:tcPr>
                  <w:tcW w:w="575" w:type="pct"/>
                  <w:noWrap w:val="0"/>
                  <w:vAlign w:val="center"/>
                </w:tcPr>
                <w:p w14:paraId="74E6563A">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5" w:type="pct"/>
                  <w:noWrap w:val="0"/>
                  <w:vAlign w:val="center"/>
                </w:tcPr>
                <w:p w14:paraId="6E569A8C">
                  <w:pPr>
                    <w:spacing w:line="240" w:lineRule="auto"/>
                    <w:ind w:firstLine="0" w:firstLineChars="0"/>
                    <w:jc w:val="center"/>
                    <w:rPr>
                      <w:rFonts w:hint="default" w:ascii="Times New Roman" w:hAnsi="Times New Roman" w:cs="Times New Roman"/>
                      <w:color w:val="000000"/>
                      <w:sz w:val="21"/>
                      <w:szCs w:val="21"/>
                    </w:rPr>
                  </w:pPr>
                  <w:r>
                    <w:rPr>
                      <w:rFonts w:hint="eastAsia" w:cs="Times New Roman"/>
                      <w:color w:val="000000"/>
                      <w:sz w:val="21"/>
                      <w:szCs w:val="21"/>
                      <w:lang w:val="en-US" w:eastAsia="zh-CN"/>
                    </w:rPr>
                    <w:t>0</w:t>
                  </w:r>
                </w:p>
              </w:tc>
              <w:tc>
                <w:tcPr>
                  <w:tcW w:w="575" w:type="pct"/>
                  <w:noWrap w:val="0"/>
                  <w:vAlign w:val="center"/>
                </w:tcPr>
                <w:p w14:paraId="7B9AD83C">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1" w:type="pct"/>
                  <w:noWrap w:val="0"/>
                  <w:vAlign w:val="center"/>
                </w:tcPr>
                <w:p w14:paraId="5DB79A48">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不变</w:t>
                  </w:r>
                </w:p>
              </w:tc>
            </w:tr>
            <w:tr w14:paraId="7425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1AA79E69">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3</w:t>
                  </w:r>
                  <w:r>
                    <w:rPr>
                      <w:rFonts w:hint="eastAsia" w:cs="Times New Roman"/>
                      <w:color w:val="000000"/>
                      <w:sz w:val="21"/>
                      <w:szCs w:val="21"/>
                      <w:lang w:val="en-US" w:eastAsia="zh-CN"/>
                    </w:rPr>
                    <w:t>2</w:t>
                  </w:r>
                </w:p>
              </w:tc>
              <w:tc>
                <w:tcPr>
                  <w:tcW w:w="1235" w:type="pct"/>
                  <w:noWrap w:val="0"/>
                  <w:vAlign w:val="center"/>
                </w:tcPr>
                <w:p w14:paraId="2EED4278">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气刨机</w:t>
                  </w:r>
                </w:p>
              </w:tc>
              <w:tc>
                <w:tcPr>
                  <w:tcW w:w="1074" w:type="pct"/>
                  <w:noWrap w:val="0"/>
                  <w:vAlign w:val="center"/>
                </w:tcPr>
                <w:p w14:paraId="0B7BA3FD">
                  <w:pPr>
                    <w:jc w:val="center"/>
                    <w:rPr>
                      <w:rFonts w:hint="default" w:ascii="Times New Roman" w:hAnsi="Times New Roman" w:cs="Times New Roman"/>
                      <w:color w:val="000000"/>
                      <w:sz w:val="21"/>
                      <w:szCs w:val="21"/>
                    </w:rPr>
                  </w:pPr>
                </w:p>
              </w:tc>
              <w:tc>
                <w:tcPr>
                  <w:tcW w:w="575" w:type="pct"/>
                  <w:noWrap w:val="0"/>
                  <w:vAlign w:val="center"/>
                </w:tcPr>
                <w:p w14:paraId="2D697472">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25" w:type="pct"/>
                  <w:noWrap w:val="0"/>
                  <w:vAlign w:val="center"/>
                </w:tcPr>
                <w:p w14:paraId="7A701870">
                  <w:pPr>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0</w:t>
                  </w:r>
                </w:p>
              </w:tc>
              <w:tc>
                <w:tcPr>
                  <w:tcW w:w="575" w:type="pct"/>
                  <w:noWrap w:val="0"/>
                  <w:vAlign w:val="center"/>
                </w:tcPr>
                <w:p w14:paraId="399DCD1C">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51" w:type="pct"/>
                  <w:noWrap w:val="0"/>
                  <w:vAlign w:val="center"/>
                </w:tcPr>
                <w:p w14:paraId="1E711A27">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不变</w:t>
                  </w:r>
                </w:p>
              </w:tc>
            </w:tr>
          </w:tbl>
          <w:p w14:paraId="37C835BE">
            <w:pPr>
              <w:keepNext w:val="0"/>
              <w:keepLines w:val="0"/>
              <w:pageBreakBefore w:val="0"/>
              <w:widowControl w:val="0"/>
              <w:numPr>
                <w:ilvl w:val="0"/>
                <w:numId w:val="0"/>
              </w:numPr>
              <w:kinsoku/>
              <w:wordWrap/>
              <w:overflowPunct/>
              <w:topLinePunct w:val="0"/>
              <w:autoSpaceDE/>
              <w:autoSpaceDN/>
              <w:bidi w:val="0"/>
              <w:adjustRightInd/>
              <w:snapToGrid/>
              <w:spacing w:before="313" w:beforeLines="100" w:line="360" w:lineRule="auto"/>
              <w:ind w:leftChars="0"/>
              <w:textAlignment w:val="auto"/>
              <w:rPr>
                <w:rFonts w:hint="eastAsia"/>
                <w:b/>
                <w:bCs w:val="0"/>
                <w:color w:val="auto"/>
                <w:sz w:val="24"/>
                <w:highlight w:val="none"/>
              </w:rPr>
            </w:pPr>
            <w:r>
              <w:rPr>
                <w:rFonts w:hint="eastAsia"/>
                <w:b/>
                <w:bCs w:val="0"/>
                <w:color w:val="auto"/>
                <w:sz w:val="24"/>
                <w:highlight w:val="none"/>
                <w:lang w:val="en-US" w:eastAsia="zh-CN"/>
              </w:rPr>
              <w:t>5、</w:t>
            </w:r>
            <w:r>
              <w:rPr>
                <w:rFonts w:hint="eastAsia"/>
                <w:b/>
                <w:bCs w:val="0"/>
                <w:color w:val="auto"/>
                <w:sz w:val="24"/>
                <w:highlight w:val="none"/>
              </w:rPr>
              <w:t>本项目原辅材料及能源消耗情况</w:t>
            </w:r>
          </w:p>
          <w:p w14:paraId="4A7F4431">
            <w:pPr>
              <w:pStyle w:val="39"/>
              <w:numPr>
                <w:ilvl w:val="0"/>
                <w:numId w:val="0"/>
              </w:numPr>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（1）原辅材料</w:t>
            </w:r>
          </w:p>
          <w:p w14:paraId="394F456D">
            <w:pPr>
              <w:spacing w:line="240" w:lineRule="auto"/>
              <w:ind w:firstLine="0" w:firstLineChars="0"/>
              <w:jc w:val="center"/>
              <w:rPr>
                <w:rFonts w:hint="eastAsia"/>
                <w:sz w:val="24"/>
                <w:szCs w:val="24"/>
                <w:highlight w:val="none"/>
                <w:lang w:val="en-US" w:eastAsia="zh-CN"/>
              </w:rPr>
            </w:pPr>
            <w:r>
              <w:rPr>
                <w:b/>
                <w:bCs/>
                <w:sz w:val="24"/>
                <w:szCs w:val="24"/>
                <w:highlight w:val="none"/>
              </w:rPr>
              <w:t>表2-4原辅材料与能耗情况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433"/>
              <w:gridCol w:w="1261"/>
              <w:gridCol w:w="1107"/>
              <w:gridCol w:w="1020"/>
              <w:gridCol w:w="1476"/>
              <w:gridCol w:w="1226"/>
            </w:tblGrid>
            <w:tr w14:paraId="525A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4EC5D960">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857" w:type="pct"/>
                  <w:noWrap w:val="0"/>
                  <w:vAlign w:val="center"/>
                </w:tcPr>
                <w:p w14:paraId="4F190637">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原辅料名称</w:t>
                  </w:r>
                </w:p>
              </w:tc>
              <w:tc>
                <w:tcPr>
                  <w:tcW w:w="754" w:type="pct"/>
                  <w:noWrap w:val="0"/>
                  <w:vAlign w:val="center"/>
                </w:tcPr>
                <w:p w14:paraId="525F3435">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单位</w:t>
                  </w:r>
                </w:p>
              </w:tc>
              <w:tc>
                <w:tcPr>
                  <w:tcW w:w="662" w:type="pct"/>
                  <w:noWrap w:val="0"/>
                  <w:vAlign w:val="center"/>
                </w:tcPr>
                <w:p w14:paraId="273D51CF">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现有项目用量</w:t>
                  </w:r>
                </w:p>
              </w:tc>
              <w:tc>
                <w:tcPr>
                  <w:tcW w:w="610" w:type="pct"/>
                  <w:noWrap w:val="0"/>
                  <w:vAlign w:val="center"/>
                </w:tcPr>
                <w:p w14:paraId="6280A00F">
                  <w:pPr>
                    <w:spacing w:line="240" w:lineRule="auto"/>
                    <w:ind w:firstLine="0" w:firstLineChars="0"/>
                    <w:jc w:val="center"/>
                    <w:rPr>
                      <w:rFonts w:hint="default" w:ascii="Times New Roman" w:hAnsi="Times New Roman" w:eastAsia="宋体" w:cs="Times New Roman"/>
                      <w:b/>
                      <w:bCs/>
                      <w:sz w:val="21"/>
                      <w:szCs w:val="21"/>
                    </w:rPr>
                  </w:pPr>
                  <w:r>
                    <w:rPr>
                      <w:rFonts w:hint="eastAsia" w:cs="Times New Roman"/>
                      <w:b/>
                      <w:bCs/>
                      <w:sz w:val="21"/>
                      <w:szCs w:val="21"/>
                      <w:lang w:eastAsia="zh-CN"/>
                    </w:rPr>
                    <w:t>扩建</w:t>
                  </w:r>
                  <w:r>
                    <w:rPr>
                      <w:rFonts w:hint="default" w:ascii="Times New Roman" w:hAnsi="Times New Roman" w:eastAsia="宋体" w:cs="Times New Roman"/>
                      <w:b/>
                      <w:bCs/>
                      <w:sz w:val="21"/>
                      <w:szCs w:val="21"/>
                    </w:rPr>
                    <w:t>项目用量</w:t>
                  </w:r>
                </w:p>
              </w:tc>
              <w:tc>
                <w:tcPr>
                  <w:tcW w:w="883" w:type="pct"/>
                  <w:noWrap w:val="0"/>
                  <w:vAlign w:val="center"/>
                </w:tcPr>
                <w:p w14:paraId="4BAE3A5B">
                  <w:pPr>
                    <w:spacing w:line="240" w:lineRule="auto"/>
                    <w:ind w:firstLine="0" w:firstLineChars="0"/>
                    <w:jc w:val="center"/>
                    <w:rPr>
                      <w:rFonts w:hint="default" w:ascii="Times New Roman" w:hAnsi="Times New Roman" w:eastAsia="宋体" w:cs="Times New Roman"/>
                      <w:b/>
                      <w:bCs/>
                      <w:sz w:val="21"/>
                      <w:szCs w:val="21"/>
                    </w:rPr>
                  </w:pPr>
                  <w:r>
                    <w:rPr>
                      <w:rFonts w:hint="eastAsia" w:cs="Times New Roman"/>
                      <w:b/>
                      <w:bCs/>
                      <w:sz w:val="21"/>
                      <w:szCs w:val="21"/>
                      <w:lang w:eastAsia="zh-CN"/>
                    </w:rPr>
                    <w:t>扩建</w:t>
                  </w:r>
                  <w:r>
                    <w:rPr>
                      <w:rFonts w:hint="default" w:ascii="Times New Roman" w:hAnsi="Times New Roman" w:eastAsia="宋体" w:cs="Times New Roman"/>
                      <w:b/>
                      <w:bCs/>
                      <w:sz w:val="21"/>
                      <w:szCs w:val="21"/>
                    </w:rPr>
                    <w:t>后全厂消耗量</w:t>
                  </w:r>
                </w:p>
              </w:tc>
              <w:tc>
                <w:tcPr>
                  <w:tcW w:w="730" w:type="pct"/>
                  <w:noWrap w:val="0"/>
                  <w:vAlign w:val="center"/>
                </w:tcPr>
                <w:p w14:paraId="3E0628CB">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最大贮存量t</w:t>
                  </w:r>
                </w:p>
              </w:tc>
            </w:tr>
            <w:tr w14:paraId="6F13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14:paraId="5D29E161">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原辅材料</w:t>
                  </w:r>
                </w:p>
              </w:tc>
            </w:tr>
            <w:tr w14:paraId="2FE0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70C881E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57" w:type="pct"/>
                  <w:noWrap w:val="0"/>
                  <w:vAlign w:val="center"/>
                </w:tcPr>
                <w:p w14:paraId="26989588">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钢板</w:t>
                  </w:r>
                </w:p>
              </w:tc>
              <w:tc>
                <w:tcPr>
                  <w:tcW w:w="754" w:type="pct"/>
                  <w:noWrap w:val="0"/>
                  <w:vAlign w:val="center"/>
                </w:tcPr>
                <w:p w14:paraId="111A5DD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662" w:type="pct"/>
                  <w:noWrap w:val="0"/>
                  <w:vAlign w:val="center"/>
                </w:tcPr>
                <w:p w14:paraId="26FB6A53">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6900</w:t>
                  </w:r>
                </w:p>
              </w:tc>
              <w:tc>
                <w:tcPr>
                  <w:tcW w:w="610" w:type="pct"/>
                  <w:noWrap w:val="0"/>
                  <w:vAlign w:val="center"/>
                </w:tcPr>
                <w:p w14:paraId="5747F2D1">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990</w:t>
                  </w:r>
                </w:p>
              </w:tc>
              <w:tc>
                <w:tcPr>
                  <w:tcW w:w="883" w:type="pct"/>
                  <w:noWrap w:val="0"/>
                  <w:vAlign w:val="center"/>
                </w:tcPr>
                <w:p w14:paraId="70D475A9">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7890</w:t>
                  </w:r>
                </w:p>
              </w:tc>
              <w:tc>
                <w:tcPr>
                  <w:tcW w:w="730" w:type="pct"/>
                  <w:noWrap w:val="0"/>
                  <w:vAlign w:val="center"/>
                </w:tcPr>
                <w:p w14:paraId="25CFE160">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100</w:t>
                  </w:r>
                </w:p>
              </w:tc>
            </w:tr>
            <w:tr w14:paraId="7E8F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14:paraId="7B6F2ADF">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7" w:type="pct"/>
                  <w:noWrap w:val="0"/>
                  <w:vAlign w:val="center"/>
                </w:tcPr>
                <w:p w14:paraId="00C40813">
                  <w:pPr>
                    <w:spacing w:line="240" w:lineRule="auto"/>
                    <w:ind w:firstLine="0" w:firstLineChars="0"/>
                    <w:jc w:val="center"/>
                    <w:rPr>
                      <w:rFonts w:hint="default" w:ascii="Times New Roman" w:hAnsi="Times New Roman" w:eastAsia="宋体" w:cs="Times New Roman"/>
                      <w:sz w:val="21"/>
                      <w:szCs w:val="21"/>
                      <w:lang w:eastAsia="zh-CN"/>
                    </w:rPr>
                  </w:pPr>
                  <w:r>
                    <w:rPr>
                      <w:rFonts w:hint="eastAsia" w:cs="Times New Roman"/>
                      <w:sz w:val="21"/>
                      <w:szCs w:val="21"/>
                      <w:lang w:eastAsia="zh-CN"/>
                    </w:rPr>
                    <w:t>钢丸</w:t>
                  </w:r>
                </w:p>
              </w:tc>
              <w:tc>
                <w:tcPr>
                  <w:tcW w:w="754" w:type="pct"/>
                  <w:noWrap w:val="0"/>
                  <w:vAlign w:val="center"/>
                </w:tcPr>
                <w:p w14:paraId="648C45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662" w:type="pct"/>
                  <w:noWrap w:val="0"/>
                  <w:vAlign w:val="center"/>
                </w:tcPr>
                <w:p w14:paraId="28F7B3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p>
              </w:tc>
              <w:tc>
                <w:tcPr>
                  <w:tcW w:w="610" w:type="pct"/>
                  <w:noWrap w:val="0"/>
                  <w:vAlign w:val="center"/>
                </w:tcPr>
                <w:p w14:paraId="0F9812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883" w:type="pct"/>
                  <w:noWrap w:val="0"/>
                  <w:vAlign w:val="center"/>
                </w:tcPr>
                <w:p w14:paraId="67510C4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730" w:type="pct"/>
                  <w:noWrap w:val="0"/>
                  <w:vAlign w:val="center"/>
                </w:tcPr>
                <w:p w14:paraId="1289BE0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w:t>
                  </w:r>
                </w:p>
              </w:tc>
            </w:tr>
            <w:tr w14:paraId="4379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14:paraId="49E70B50">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57" w:type="pct"/>
                  <w:noWrap w:val="0"/>
                  <w:vAlign w:val="center"/>
                </w:tcPr>
                <w:p w14:paraId="56E6FA05">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钢管型材</w:t>
                  </w:r>
                </w:p>
              </w:tc>
              <w:tc>
                <w:tcPr>
                  <w:tcW w:w="754" w:type="pct"/>
                  <w:noWrap w:val="0"/>
                  <w:vAlign w:val="center"/>
                </w:tcPr>
                <w:p w14:paraId="5222B3E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662" w:type="pct"/>
                  <w:noWrap w:val="0"/>
                  <w:vAlign w:val="center"/>
                </w:tcPr>
                <w:p w14:paraId="74E16BED">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70</w:t>
                  </w:r>
                </w:p>
              </w:tc>
              <w:tc>
                <w:tcPr>
                  <w:tcW w:w="610" w:type="pct"/>
                  <w:noWrap w:val="0"/>
                  <w:vAlign w:val="center"/>
                </w:tcPr>
                <w:p w14:paraId="68190FDB">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10</w:t>
                  </w:r>
                </w:p>
              </w:tc>
              <w:tc>
                <w:tcPr>
                  <w:tcW w:w="883" w:type="pct"/>
                  <w:noWrap w:val="0"/>
                  <w:vAlign w:val="center"/>
                </w:tcPr>
                <w:p w14:paraId="53476487">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80</w:t>
                  </w:r>
                </w:p>
              </w:tc>
              <w:tc>
                <w:tcPr>
                  <w:tcW w:w="730" w:type="pct"/>
                  <w:noWrap w:val="0"/>
                  <w:vAlign w:val="center"/>
                </w:tcPr>
                <w:p w14:paraId="2CF4805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r>
            <w:tr w14:paraId="5522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14:paraId="5EA0248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57" w:type="pct"/>
                  <w:noWrap w:val="0"/>
                  <w:vAlign w:val="center"/>
                </w:tcPr>
                <w:p w14:paraId="02D6E2E0">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圆钢型材</w:t>
                  </w:r>
                </w:p>
              </w:tc>
              <w:tc>
                <w:tcPr>
                  <w:tcW w:w="754" w:type="pct"/>
                  <w:noWrap w:val="0"/>
                  <w:vAlign w:val="center"/>
                </w:tcPr>
                <w:p w14:paraId="4799561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662" w:type="pct"/>
                  <w:noWrap w:val="0"/>
                  <w:vAlign w:val="center"/>
                </w:tcPr>
                <w:p w14:paraId="24A3B0F2">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35</w:t>
                  </w:r>
                </w:p>
              </w:tc>
              <w:tc>
                <w:tcPr>
                  <w:tcW w:w="610" w:type="pct"/>
                  <w:noWrap w:val="0"/>
                  <w:vAlign w:val="center"/>
                </w:tcPr>
                <w:p w14:paraId="34D8DE58">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83" w:type="pct"/>
                  <w:noWrap w:val="0"/>
                  <w:vAlign w:val="center"/>
                </w:tcPr>
                <w:p w14:paraId="376DE947">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40</w:t>
                  </w:r>
                </w:p>
              </w:tc>
              <w:tc>
                <w:tcPr>
                  <w:tcW w:w="730" w:type="pct"/>
                  <w:noWrap w:val="0"/>
                  <w:vAlign w:val="center"/>
                </w:tcPr>
                <w:p w14:paraId="01CB213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49F7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14:paraId="6526C95D">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57" w:type="pct"/>
                  <w:noWrap w:val="0"/>
                  <w:vAlign w:val="center"/>
                </w:tcPr>
                <w:p w14:paraId="03D6B4C1">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无镀铜焊丝</w:t>
                  </w:r>
                </w:p>
              </w:tc>
              <w:tc>
                <w:tcPr>
                  <w:tcW w:w="754" w:type="pct"/>
                  <w:noWrap w:val="0"/>
                  <w:vAlign w:val="center"/>
                </w:tcPr>
                <w:p w14:paraId="6B90760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662" w:type="pct"/>
                  <w:noWrap w:val="0"/>
                  <w:vAlign w:val="center"/>
                </w:tcPr>
                <w:p w14:paraId="1FCD5E5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10" w:type="pct"/>
                  <w:noWrap w:val="0"/>
                  <w:vAlign w:val="center"/>
                </w:tcPr>
                <w:p w14:paraId="25973688">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c>
                <w:tcPr>
                  <w:tcW w:w="883" w:type="pct"/>
                  <w:noWrap w:val="0"/>
                  <w:vAlign w:val="center"/>
                </w:tcPr>
                <w:p w14:paraId="6037ED84">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w:t>
                  </w:r>
                </w:p>
              </w:tc>
              <w:tc>
                <w:tcPr>
                  <w:tcW w:w="730" w:type="pct"/>
                  <w:noWrap w:val="0"/>
                  <w:vAlign w:val="center"/>
                </w:tcPr>
                <w:p w14:paraId="03838A85">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r>
            <w:tr w14:paraId="03A4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14:paraId="53C9C42A">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57" w:type="pct"/>
                  <w:noWrap w:val="0"/>
                  <w:vAlign w:val="center"/>
                </w:tcPr>
                <w:p w14:paraId="7D84D9EC">
                  <w:pPr>
                    <w:adjustRightInd w:val="0"/>
                    <w:snapToGrid w:val="0"/>
                    <w:jc w:val="center"/>
                    <w:rPr>
                      <w:rFonts w:hint="default" w:ascii="Times New Roman" w:hAnsi="Times New Roman" w:eastAsia="宋体" w:cs="Times New Roman"/>
                      <w:sz w:val="21"/>
                      <w:szCs w:val="21"/>
                    </w:rPr>
                  </w:pPr>
                  <w:r>
                    <w:rPr>
                      <w:rFonts w:ascii="Times New Roman" w:hAnsi="Times New Roman"/>
                      <w:color w:val="000000"/>
                      <w:sz w:val="21"/>
                      <w:szCs w:val="21"/>
                    </w:rPr>
                    <w:t>水性环氧树脂底漆</w:t>
                  </w:r>
                </w:p>
              </w:tc>
              <w:tc>
                <w:tcPr>
                  <w:tcW w:w="754" w:type="pct"/>
                  <w:noWrap w:val="0"/>
                  <w:vAlign w:val="center"/>
                </w:tcPr>
                <w:p w14:paraId="2CD5F7E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662" w:type="pct"/>
                  <w:noWrap w:val="0"/>
                  <w:vAlign w:val="center"/>
                </w:tcPr>
                <w:p w14:paraId="7EF8E0B9">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610" w:type="pct"/>
                  <w:noWrap w:val="0"/>
                  <w:vAlign w:val="center"/>
                </w:tcPr>
                <w:p w14:paraId="40A2A6FB">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2.46</w:t>
                  </w:r>
                </w:p>
              </w:tc>
              <w:tc>
                <w:tcPr>
                  <w:tcW w:w="883" w:type="pct"/>
                  <w:noWrap w:val="0"/>
                  <w:vAlign w:val="center"/>
                </w:tcPr>
                <w:p w14:paraId="3AB12993">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2.46</w:t>
                  </w:r>
                </w:p>
              </w:tc>
              <w:tc>
                <w:tcPr>
                  <w:tcW w:w="730" w:type="pct"/>
                  <w:noWrap w:val="0"/>
                  <w:vAlign w:val="center"/>
                </w:tcPr>
                <w:p w14:paraId="7A60182D">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r>
            <w:tr w14:paraId="5B54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14:paraId="70C17FA2">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857" w:type="pct"/>
                  <w:noWrap w:val="0"/>
                  <w:vAlign w:val="center"/>
                </w:tcPr>
                <w:p w14:paraId="79D6FD0C">
                  <w:pPr>
                    <w:adjustRightInd w:val="0"/>
                    <w:snapToGrid w:val="0"/>
                    <w:jc w:val="center"/>
                    <w:rPr>
                      <w:rFonts w:hint="default" w:ascii="Times New Roman" w:hAnsi="Times New Roman" w:eastAsia="宋体" w:cs="Times New Roman"/>
                      <w:sz w:val="21"/>
                      <w:szCs w:val="21"/>
                    </w:rPr>
                  </w:pPr>
                  <w:r>
                    <w:rPr>
                      <w:rFonts w:ascii="Times New Roman" w:hAnsi="Times New Roman"/>
                      <w:color w:val="000000"/>
                      <w:sz w:val="21"/>
                      <w:szCs w:val="21"/>
                    </w:rPr>
                    <w:t>水性丙烯酸聚氨酯面漆</w:t>
                  </w:r>
                </w:p>
              </w:tc>
              <w:tc>
                <w:tcPr>
                  <w:tcW w:w="754" w:type="pct"/>
                  <w:noWrap w:val="0"/>
                  <w:vAlign w:val="center"/>
                </w:tcPr>
                <w:p w14:paraId="10405A94">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662" w:type="pct"/>
                  <w:noWrap w:val="0"/>
                  <w:vAlign w:val="center"/>
                </w:tcPr>
                <w:p w14:paraId="4758E71A">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610" w:type="pct"/>
                  <w:noWrap w:val="0"/>
                  <w:vAlign w:val="center"/>
                </w:tcPr>
                <w:p w14:paraId="127478E7">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2.12</w:t>
                  </w:r>
                </w:p>
              </w:tc>
              <w:tc>
                <w:tcPr>
                  <w:tcW w:w="883" w:type="pct"/>
                  <w:noWrap w:val="0"/>
                  <w:vAlign w:val="center"/>
                </w:tcPr>
                <w:p w14:paraId="1831EA50">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2.12</w:t>
                  </w:r>
                </w:p>
              </w:tc>
              <w:tc>
                <w:tcPr>
                  <w:tcW w:w="730" w:type="pct"/>
                  <w:noWrap w:val="0"/>
                  <w:vAlign w:val="center"/>
                </w:tcPr>
                <w:p w14:paraId="295F0004">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r>
            <w:tr w14:paraId="5A96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14:paraId="1A1EE70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857" w:type="pct"/>
                  <w:noWrap w:val="0"/>
                  <w:vAlign w:val="center"/>
                </w:tcPr>
                <w:p w14:paraId="6FF9D3A7">
                  <w:pPr>
                    <w:adjustRightInd w:val="0"/>
                    <w:snapToGrid w:val="0"/>
                    <w:jc w:val="center"/>
                    <w:rPr>
                      <w:rFonts w:hint="default" w:ascii="Times New Roman" w:hAnsi="Times New Roman" w:eastAsia="宋体" w:cs="Times New Roman"/>
                      <w:sz w:val="21"/>
                      <w:szCs w:val="21"/>
                    </w:rPr>
                  </w:pPr>
                  <w:r>
                    <w:rPr>
                      <w:rFonts w:ascii="Times New Roman" w:hAnsi="Times New Roman"/>
                      <w:color w:val="000000"/>
                      <w:sz w:val="21"/>
                      <w:szCs w:val="21"/>
                    </w:rPr>
                    <w:t>机油</w:t>
                  </w:r>
                </w:p>
              </w:tc>
              <w:tc>
                <w:tcPr>
                  <w:tcW w:w="754" w:type="pct"/>
                  <w:noWrap w:val="0"/>
                  <w:vAlign w:val="center"/>
                </w:tcPr>
                <w:p w14:paraId="610CB8AD">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662" w:type="pct"/>
                  <w:noWrap w:val="0"/>
                  <w:vAlign w:val="center"/>
                </w:tcPr>
                <w:p w14:paraId="2FA1F0DE">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610" w:type="pct"/>
                  <w:noWrap w:val="0"/>
                  <w:vAlign w:val="center"/>
                </w:tcPr>
                <w:p w14:paraId="0B9609DE">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c>
                <w:tcPr>
                  <w:tcW w:w="883" w:type="pct"/>
                  <w:noWrap w:val="0"/>
                  <w:vAlign w:val="center"/>
                </w:tcPr>
                <w:p w14:paraId="6449549F">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w:t>
                  </w:r>
                </w:p>
              </w:tc>
              <w:tc>
                <w:tcPr>
                  <w:tcW w:w="730" w:type="pct"/>
                  <w:noWrap w:val="0"/>
                  <w:vAlign w:val="center"/>
                </w:tcPr>
                <w:p w14:paraId="1AEFA693">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r>
            <w:tr w14:paraId="7B1F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14:paraId="4FFE9E74">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857" w:type="pct"/>
                  <w:noWrap w:val="0"/>
                  <w:vAlign w:val="center"/>
                </w:tcPr>
                <w:p w14:paraId="124D09FE">
                  <w:pPr>
                    <w:adjustRightInd w:val="0"/>
                    <w:snapToGrid w:val="0"/>
                    <w:jc w:val="center"/>
                    <w:rPr>
                      <w:rFonts w:hint="default" w:ascii="Times New Roman" w:hAnsi="Times New Roman" w:eastAsia="宋体" w:cs="Times New Roman"/>
                      <w:sz w:val="21"/>
                      <w:szCs w:val="21"/>
                    </w:rPr>
                  </w:pPr>
                  <w:r>
                    <w:rPr>
                      <w:rFonts w:ascii="Times New Roman" w:hAnsi="Times New Roman"/>
                      <w:color w:val="000000"/>
                      <w:sz w:val="21"/>
                      <w:szCs w:val="21"/>
                    </w:rPr>
                    <w:t>液压油</w:t>
                  </w:r>
                </w:p>
              </w:tc>
              <w:tc>
                <w:tcPr>
                  <w:tcW w:w="754" w:type="pct"/>
                  <w:noWrap w:val="0"/>
                  <w:vAlign w:val="center"/>
                </w:tcPr>
                <w:p w14:paraId="2DFB8FF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662" w:type="pct"/>
                  <w:noWrap w:val="0"/>
                  <w:vAlign w:val="center"/>
                </w:tcPr>
                <w:p w14:paraId="2C87195A">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5</w:t>
                  </w:r>
                </w:p>
              </w:tc>
              <w:tc>
                <w:tcPr>
                  <w:tcW w:w="610" w:type="pct"/>
                  <w:noWrap w:val="0"/>
                  <w:vAlign w:val="center"/>
                </w:tcPr>
                <w:p w14:paraId="1A71F1D4">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883" w:type="pct"/>
                  <w:noWrap w:val="0"/>
                  <w:vAlign w:val="center"/>
                </w:tcPr>
                <w:p w14:paraId="17884030">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6</w:t>
                  </w:r>
                </w:p>
              </w:tc>
              <w:tc>
                <w:tcPr>
                  <w:tcW w:w="730" w:type="pct"/>
                  <w:noWrap w:val="0"/>
                  <w:vAlign w:val="center"/>
                </w:tcPr>
                <w:p w14:paraId="14D1D1A6">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w:t>
                  </w:r>
                </w:p>
              </w:tc>
            </w:tr>
            <w:tr w14:paraId="77A5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0A3C5C61">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p>
              </w:tc>
              <w:tc>
                <w:tcPr>
                  <w:tcW w:w="857" w:type="pct"/>
                  <w:noWrap w:val="0"/>
                  <w:vAlign w:val="center"/>
                </w:tcPr>
                <w:p w14:paraId="12FAFAAD">
                  <w:pPr>
                    <w:adjustRightInd w:val="0"/>
                    <w:snapToGrid w:val="0"/>
                    <w:jc w:val="center"/>
                    <w:rPr>
                      <w:rFonts w:hint="default" w:ascii="Times New Roman" w:hAnsi="Times New Roman" w:eastAsia="宋体" w:cs="Times New Roman"/>
                      <w:sz w:val="21"/>
                      <w:szCs w:val="21"/>
                    </w:rPr>
                  </w:pPr>
                  <w:r>
                    <w:rPr>
                      <w:rFonts w:ascii="Times New Roman" w:hAnsi="Times New Roman"/>
                      <w:color w:val="000000"/>
                      <w:sz w:val="21"/>
                      <w:szCs w:val="21"/>
                    </w:rPr>
                    <w:t>乳化液</w:t>
                  </w:r>
                </w:p>
              </w:tc>
              <w:tc>
                <w:tcPr>
                  <w:tcW w:w="754" w:type="pct"/>
                  <w:noWrap w:val="0"/>
                  <w:vAlign w:val="center"/>
                </w:tcPr>
                <w:p w14:paraId="72AE404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662" w:type="pct"/>
                  <w:noWrap w:val="0"/>
                  <w:vAlign w:val="center"/>
                </w:tcPr>
                <w:p w14:paraId="27A01DEC">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c>
              <w:tc>
                <w:tcPr>
                  <w:tcW w:w="610" w:type="pct"/>
                  <w:noWrap w:val="0"/>
                  <w:vAlign w:val="center"/>
                </w:tcPr>
                <w:p w14:paraId="156B3F7C">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c>
                <w:tcPr>
                  <w:tcW w:w="883" w:type="pct"/>
                  <w:noWrap w:val="0"/>
                  <w:vAlign w:val="center"/>
                </w:tcPr>
                <w:p w14:paraId="6CECD70C">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730" w:type="pct"/>
                  <w:noWrap w:val="0"/>
                  <w:vAlign w:val="center"/>
                </w:tcPr>
                <w:p w14:paraId="6FC94101">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r>
            <w:tr w14:paraId="1BF2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14:paraId="463547ED">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能源</w:t>
                  </w:r>
                </w:p>
              </w:tc>
            </w:tr>
            <w:tr w14:paraId="0918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36B76F71">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57" w:type="pct"/>
                  <w:noWrap w:val="0"/>
                  <w:vAlign w:val="center"/>
                </w:tcPr>
                <w:p w14:paraId="13A29D2C">
                  <w:pPr>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w:t>
                  </w:r>
                </w:p>
              </w:tc>
              <w:tc>
                <w:tcPr>
                  <w:tcW w:w="754" w:type="pct"/>
                  <w:noWrap w:val="0"/>
                  <w:vAlign w:val="center"/>
                </w:tcPr>
                <w:p w14:paraId="6A25208F">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662" w:type="pct"/>
                  <w:noWrap w:val="0"/>
                  <w:vAlign w:val="center"/>
                </w:tcPr>
                <w:p w14:paraId="2234944D">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w:t>
                  </w:r>
                </w:p>
              </w:tc>
              <w:tc>
                <w:tcPr>
                  <w:tcW w:w="610" w:type="pct"/>
                  <w:noWrap w:val="0"/>
                  <w:vAlign w:val="center"/>
                </w:tcPr>
                <w:p w14:paraId="3077FF93">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w:t>
                  </w:r>
                </w:p>
              </w:tc>
              <w:tc>
                <w:tcPr>
                  <w:tcW w:w="883" w:type="pct"/>
                  <w:noWrap w:val="0"/>
                  <w:vAlign w:val="center"/>
                </w:tcPr>
                <w:p w14:paraId="0DFC7D38">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1080</w:t>
                  </w:r>
                </w:p>
              </w:tc>
              <w:tc>
                <w:tcPr>
                  <w:tcW w:w="730" w:type="pct"/>
                  <w:noWrap w:val="0"/>
                  <w:vAlign w:val="center"/>
                </w:tcPr>
                <w:p w14:paraId="1A1FAB9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7A5B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4E59E480">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7" w:type="pct"/>
                  <w:noWrap w:val="0"/>
                  <w:vAlign w:val="center"/>
                </w:tcPr>
                <w:p w14:paraId="4C6046CF">
                  <w:pPr>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电</w:t>
                  </w:r>
                </w:p>
              </w:tc>
              <w:tc>
                <w:tcPr>
                  <w:tcW w:w="754" w:type="pct"/>
                  <w:noWrap w:val="0"/>
                  <w:vAlign w:val="center"/>
                </w:tcPr>
                <w:p w14:paraId="6C7E6379">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万千瓦时/年</w:t>
                  </w:r>
                </w:p>
              </w:tc>
              <w:tc>
                <w:tcPr>
                  <w:tcW w:w="662" w:type="pct"/>
                  <w:noWrap w:val="0"/>
                  <w:vAlign w:val="center"/>
                </w:tcPr>
                <w:p w14:paraId="64C7299E">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10" w:type="pct"/>
                  <w:noWrap w:val="0"/>
                  <w:vAlign w:val="center"/>
                </w:tcPr>
                <w:p w14:paraId="0F66C460">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c>
                <w:tcPr>
                  <w:tcW w:w="883" w:type="pct"/>
                  <w:noWrap w:val="0"/>
                  <w:vAlign w:val="center"/>
                </w:tcPr>
                <w:p w14:paraId="24639625">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70</w:t>
                  </w:r>
                </w:p>
              </w:tc>
              <w:tc>
                <w:tcPr>
                  <w:tcW w:w="730" w:type="pct"/>
                  <w:noWrap w:val="0"/>
                  <w:vAlign w:val="center"/>
                </w:tcPr>
                <w:p w14:paraId="1428B0FB">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14:paraId="4B381BF5">
            <w:pPr>
              <w:spacing w:line="360" w:lineRule="auto"/>
              <w:ind w:firstLine="480" w:firstLineChars="200"/>
              <w:rPr>
                <w:rFonts w:ascii="Times New Roman" w:hAnsi="Times New Roman"/>
                <w:sz w:val="24"/>
              </w:rPr>
            </w:pPr>
            <w:r>
              <w:rPr>
                <w:rFonts w:ascii="Times New Roman" w:hAnsi="Times New Roman"/>
                <w:sz w:val="24"/>
              </w:rPr>
              <w:t>部分原辅材料主要成分及理化性质见</w:t>
            </w:r>
            <w:r>
              <w:rPr>
                <w:rFonts w:hint="eastAsia"/>
                <w:sz w:val="24"/>
                <w:lang w:eastAsia="zh-CN"/>
              </w:rPr>
              <w:t>下</w:t>
            </w:r>
            <w:r>
              <w:rPr>
                <w:rFonts w:ascii="Times New Roman" w:hAnsi="Times New Roman"/>
                <w:sz w:val="24"/>
              </w:rPr>
              <w:t>表。</w:t>
            </w:r>
          </w:p>
          <w:p w14:paraId="4295568D">
            <w:pPr>
              <w:adjustRightInd w:val="0"/>
              <w:snapToGrid w:val="0"/>
              <w:jc w:val="center"/>
              <w:rPr>
                <w:rFonts w:ascii="Times New Roman" w:hAnsi="Times New Roman"/>
                <w:b/>
                <w:bCs/>
                <w:sz w:val="24"/>
              </w:rPr>
            </w:pPr>
            <w:r>
              <w:rPr>
                <w:rFonts w:ascii="Times New Roman" w:hAnsi="Times New Roman"/>
                <w:b/>
                <w:bCs/>
                <w:sz w:val="24"/>
              </w:rPr>
              <w:t>表2-5 部分原辅材料主要成分及理化性质一览表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328"/>
              <w:gridCol w:w="3242"/>
              <w:gridCol w:w="3200"/>
            </w:tblGrid>
            <w:tr w14:paraId="0D96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vAlign w:val="center"/>
                </w:tcPr>
                <w:p w14:paraId="7626432D">
                  <w:pPr>
                    <w:widowControl/>
                    <w:adjustRightInd w:val="0"/>
                    <w:snapToGrid w:val="0"/>
                    <w:jc w:val="center"/>
                    <w:textAlignment w:val="center"/>
                    <w:rPr>
                      <w:rFonts w:ascii="Times New Roman" w:hAnsi="Times New Roman"/>
                      <w:b/>
                      <w:bCs/>
                      <w:color w:val="000000"/>
                      <w:kern w:val="0"/>
                      <w:szCs w:val="21"/>
                      <w:lang w:bidi="ar"/>
                    </w:rPr>
                  </w:pPr>
                  <w:r>
                    <w:rPr>
                      <w:rFonts w:ascii="Times New Roman" w:hAnsi="Times New Roman"/>
                      <w:b/>
                      <w:bCs/>
                      <w:color w:val="000000"/>
                      <w:kern w:val="0"/>
                      <w:szCs w:val="21"/>
                      <w:lang w:bidi="ar"/>
                    </w:rPr>
                    <w:t>序号</w:t>
                  </w:r>
                </w:p>
              </w:tc>
              <w:tc>
                <w:tcPr>
                  <w:tcW w:w="794" w:type="pct"/>
                  <w:vAlign w:val="center"/>
                </w:tcPr>
                <w:p w14:paraId="34EBFB07">
                  <w:pPr>
                    <w:widowControl/>
                    <w:adjustRightInd w:val="0"/>
                    <w:snapToGrid w:val="0"/>
                    <w:jc w:val="center"/>
                    <w:textAlignment w:val="center"/>
                    <w:rPr>
                      <w:rFonts w:ascii="Times New Roman" w:hAnsi="Times New Roman"/>
                      <w:b/>
                      <w:bCs/>
                      <w:color w:val="000000"/>
                      <w:kern w:val="0"/>
                      <w:szCs w:val="21"/>
                      <w:lang w:bidi="ar"/>
                    </w:rPr>
                  </w:pPr>
                  <w:r>
                    <w:rPr>
                      <w:rFonts w:ascii="Times New Roman" w:hAnsi="Times New Roman"/>
                      <w:b/>
                      <w:bCs/>
                      <w:color w:val="000000"/>
                      <w:kern w:val="0"/>
                      <w:szCs w:val="21"/>
                      <w:lang w:bidi="ar"/>
                    </w:rPr>
                    <w:t>名称</w:t>
                  </w:r>
                </w:p>
              </w:tc>
              <w:tc>
                <w:tcPr>
                  <w:tcW w:w="1939" w:type="pct"/>
                  <w:vAlign w:val="center"/>
                </w:tcPr>
                <w:p w14:paraId="5C0A01C0">
                  <w:pPr>
                    <w:widowControl/>
                    <w:adjustRightInd w:val="0"/>
                    <w:snapToGrid w:val="0"/>
                    <w:jc w:val="center"/>
                    <w:textAlignment w:val="center"/>
                    <w:rPr>
                      <w:rFonts w:ascii="Times New Roman" w:hAnsi="Times New Roman"/>
                      <w:b/>
                      <w:bCs/>
                      <w:color w:val="000000"/>
                      <w:kern w:val="0"/>
                      <w:szCs w:val="21"/>
                      <w:lang w:bidi="ar"/>
                    </w:rPr>
                  </w:pPr>
                  <w:r>
                    <w:rPr>
                      <w:rFonts w:ascii="Times New Roman" w:hAnsi="Times New Roman"/>
                      <w:b/>
                      <w:bCs/>
                      <w:color w:val="000000"/>
                      <w:kern w:val="0"/>
                      <w:szCs w:val="21"/>
                      <w:lang w:bidi="ar"/>
                    </w:rPr>
                    <w:t>主要成分及含量</w:t>
                  </w:r>
                </w:p>
              </w:tc>
              <w:tc>
                <w:tcPr>
                  <w:tcW w:w="1914" w:type="pct"/>
                  <w:vAlign w:val="center"/>
                </w:tcPr>
                <w:p w14:paraId="06F20429">
                  <w:pPr>
                    <w:widowControl/>
                    <w:adjustRightInd w:val="0"/>
                    <w:snapToGrid w:val="0"/>
                    <w:jc w:val="center"/>
                    <w:textAlignment w:val="center"/>
                    <w:rPr>
                      <w:rFonts w:ascii="Times New Roman" w:hAnsi="Times New Roman"/>
                      <w:b/>
                      <w:bCs/>
                      <w:color w:val="000000"/>
                      <w:kern w:val="0"/>
                      <w:szCs w:val="21"/>
                      <w:lang w:bidi="ar"/>
                    </w:rPr>
                  </w:pPr>
                  <w:r>
                    <w:rPr>
                      <w:rFonts w:ascii="Times New Roman" w:hAnsi="Times New Roman"/>
                      <w:b/>
                      <w:bCs/>
                      <w:color w:val="000000"/>
                      <w:kern w:val="0"/>
                      <w:szCs w:val="21"/>
                      <w:lang w:bidi="ar"/>
                    </w:rPr>
                    <w:t>理化性质</w:t>
                  </w:r>
                </w:p>
              </w:tc>
            </w:tr>
            <w:tr w14:paraId="1452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shd w:val="clear" w:color="auto" w:fill="auto"/>
                  <w:vAlign w:val="center"/>
                </w:tcPr>
                <w:p w14:paraId="5AC02163">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1</w:t>
                  </w:r>
                </w:p>
              </w:tc>
              <w:tc>
                <w:tcPr>
                  <w:tcW w:w="794" w:type="pct"/>
                  <w:vAlign w:val="center"/>
                </w:tcPr>
                <w:p w14:paraId="17CDC708">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水性环氧树脂底漆</w:t>
                  </w:r>
                </w:p>
              </w:tc>
              <w:tc>
                <w:tcPr>
                  <w:tcW w:w="1939" w:type="pct"/>
                  <w:vAlign w:val="center"/>
                </w:tcPr>
                <w:p w14:paraId="4C593F3E">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水性环氧树脂：</w:t>
                  </w:r>
                  <w:r>
                    <w:rPr>
                      <w:rFonts w:hint="eastAsia" w:ascii="Times New Roman" w:hAnsi="Times New Roman"/>
                      <w:color w:val="000000"/>
                      <w:kern w:val="0"/>
                      <w:szCs w:val="21"/>
                      <w:lang w:bidi="ar"/>
                    </w:rPr>
                    <w:t>52</w:t>
                  </w:r>
                  <w:r>
                    <w:rPr>
                      <w:rFonts w:ascii="Times New Roman" w:hAnsi="Times New Roman"/>
                      <w:color w:val="000000"/>
                      <w:kern w:val="0"/>
                      <w:szCs w:val="21"/>
                      <w:lang w:bidi="ar"/>
                    </w:rPr>
                    <w:t>%，水：</w:t>
                  </w:r>
                  <w:r>
                    <w:rPr>
                      <w:rFonts w:hint="eastAsia" w:ascii="Times New Roman" w:hAnsi="Times New Roman"/>
                      <w:color w:val="000000"/>
                      <w:kern w:val="0"/>
                      <w:szCs w:val="21"/>
                      <w:lang w:bidi="ar"/>
                    </w:rPr>
                    <w:t>22</w:t>
                  </w:r>
                  <w:r>
                    <w:rPr>
                      <w:rFonts w:ascii="Times New Roman" w:hAnsi="Times New Roman"/>
                      <w:color w:val="000000"/>
                      <w:kern w:val="0"/>
                      <w:szCs w:val="21"/>
                      <w:lang w:bidi="ar"/>
                    </w:rPr>
                    <w:t>%，防锈颜填料：8%，助剂：</w:t>
                  </w:r>
                  <w:r>
                    <w:rPr>
                      <w:rFonts w:hint="eastAsia" w:ascii="Times New Roman" w:hAnsi="Times New Roman"/>
                      <w:color w:val="000000"/>
                      <w:kern w:val="0"/>
                      <w:szCs w:val="21"/>
                      <w:lang w:bidi="ar"/>
                    </w:rPr>
                    <w:t>18</w:t>
                  </w:r>
                  <w:r>
                    <w:rPr>
                      <w:rFonts w:ascii="Times New Roman" w:hAnsi="Times New Roman"/>
                      <w:color w:val="000000"/>
                      <w:kern w:val="0"/>
                      <w:szCs w:val="21"/>
                      <w:lang w:bidi="ar"/>
                    </w:rPr>
                    <w:t>%。</w:t>
                  </w:r>
                </w:p>
              </w:tc>
              <w:tc>
                <w:tcPr>
                  <w:tcW w:w="1914" w:type="pct"/>
                  <w:vAlign w:val="center"/>
                </w:tcPr>
                <w:p w14:paraId="16DC165A">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外观与性状：有色浆状液体，稍有气味；pH值：7.0～8.5；熔点（℃）：＞30；沸点（℃）：＞150；闪点（℃）：＞70；相对密度：1.</w:t>
                  </w:r>
                  <w:r>
                    <w:rPr>
                      <w:rFonts w:hint="eastAsia" w:ascii="Times New Roman" w:hAnsi="Times New Roman"/>
                      <w:color w:val="000000"/>
                      <w:kern w:val="0"/>
                      <w:szCs w:val="21"/>
                      <w:lang w:bidi="ar"/>
                    </w:rPr>
                    <w:t>2</w:t>
                  </w:r>
                  <w:r>
                    <w:rPr>
                      <w:rFonts w:ascii="Times New Roman" w:hAnsi="Times New Roman"/>
                      <w:color w:val="000000"/>
                      <w:kern w:val="0"/>
                      <w:szCs w:val="21"/>
                      <w:lang w:bidi="ar"/>
                    </w:rPr>
                    <w:t>g/cm</w:t>
                  </w:r>
                  <w:r>
                    <w:rPr>
                      <w:rFonts w:ascii="Times New Roman" w:hAnsi="Times New Roman"/>
                      <w:color w:val="000000"/>
                      <w:kern w:val="0"/>
                      <w:szCs w:val="21"/>
                      <w:vertAlign w:val="superscript"/>
                      <w:lang w:bidi="ar"/>
                    </w:rPr>
                    <w:t>3</w:t>
                  </w:r>
                  <w:r>
                    <w:rPr>
                      <w:rFonts w:ascii="Times New Roman" w:hAnsi="Times New Roman"/>
                      <w:color w:val="000000"/>
                      <w:kern w:val="0"/>
                      <w:szCs w:val="21"/>
                      <w:lang w:bidi="ar"/>
                    </w:rPr>
                    <w:t>；相对蒸汽密度（空气=1）：4.1；溶解性：溶于水；稳定性：在正常的环境温度下储存和使用，本品稳定；避免接触条件：静电放电、热等；禁配物：强氧化剂、强酸、强碱等。</w:t>
                  </w:r>
                </w:p>
              </w:tc>
            </w:tr>
            <w:tr w14:paraId="44D2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shd w:val="clear" w:color="auto" w:fill="auto"/>
                  <w:vAlign w:val="center"/>
                </w:tcPr>
                <w:p w14:paraId="306BB807">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2</w:t>
                  </w:r>
                </w:p>
              </w:tc>
              <w:tc>
                <w:tcPr>
                  <w:tcW w:w="794" w:type="pct"/>
                  <w:vAlign w:val="center"/>
                </w:tcPr>
                <w:p w14:paraId="2F7FB0F9">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水性丙烯酸聚氨酯面漆</w:t>
                  </w:r>
                </w:p>
              </w:tc>
              <w:tc>
                <w:tcPr>
                  <w:tcW w:w="1939" w:type="pct"/>
                  <w:vAlign w:val="center"/>
                </w:tcPr>
                <w:p w14:paraId="50B4FE6C">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水性丙烯酸聚氨酯树脂：</w:t>
                  </w:r>
                  <w:r>
                    <w:rPr>
                      <w:rFonts w:hint="eastAsia" w:ascii="Times New Roman" w:hAnsi="Times New Roman"/>
                      <w:color w:val="000000"/>
                      <w:kern w:val="0"/>
                      <w:szCs w:val="21"/>
                      <w:lang w:bidi="ar"/>
                    </w:rPr>
                    <w:t>50</w:t>
                  </w:r>
                  <w:r>
                    <w:rPr>
                      <w:rFonts w:ascii="Times New Roman" w:hAnsi="Times New Roman"/>
                      <w:color w:val="000000"/>
                      <w:kern w:val="0"/>
                      <w:szCs w:val="21"/>
                      <w:lang w:bidi="ar"/>
                    </w:rPr>
                    <w:t>%，水：20%，防锈颜填料：</w:t>
                  </w:r>
                  <w:r>
                    <w:rPr>
                      <w:rFonts w:hint="eastAsia" w:ascii="Times New Roman" w:hAnsi="Times New Roman"/>
                      <w:color w:val="000000"/>
                      <w:kern w:val="0"/>
                      <w:szCs w:val="21"/>
                      <w:lang w:bidi="ar"/>
                    </w:rPr>
                    <w:t>1</w:t>
                  </w:r>
                  <w:r>
                    <w:rPr>
                      <w:rFonts w:ascii="Times New Roman" w:hAnsi="Times New Roman"/>
                      <w:color w:val="000000"/>
                      <w:kern w:val="0"/>
                      <w:szCs w:val="21"/>
                      <w:lang w:bidi="ar"/>
                    </w:rPr>
                    <w:t>5%，助剂：</w:t>
                  </w:r>
                  <w:r>
                    <w:rPr>
                      <w:rFonts w:hint="eastAsia" w:ascii="Times New Roman" w:hAnsi="Times New Roman"/>
                      <w:color w:val="000000"/>
                      <w:kern w:val="0"/>
                      <w:szCs w:val="21"/>
                      <w:lang w:bidi="ar"/>
                    </w:rPr>
                    <w:t>15</w:t>
                  </w:r>
                  <w:r>
                    <w:rPr>
                      <w:rFonts w:ascii="Times New Roman" w:hAnsi="Times New Roman"/>
                      <w:color w:val="000000"/>
                      <w:kern w:val="0"/>
                      <w:szCs w:val="21"/>
                      <w:lang w:bidi="ar"/>
                    </w:rPr>
                    <w:t>%。</w:t>
                  </w:r>
                </w:p>
              </w:tc>
              <w:tc>
                <w:tcPr>
                  <w:tcW w:w="1914" w:type="pct"/>
                  <w:vAlign w:val="center"/>
                </w:tcPr>
                <w:p w14:paraId="4A915764">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外观与性状：有色浆状液体，稍有气味；pH值：7.0～8.5；熔点（℃）：＞30；沸点（℃）：＞150；闪点（℃）：＞70；相对密度：1.4g/cm</w:t>
                  </w:r>
                  <w:r>
                    <w:rPr>
                      <w:rFonts w:ascii="Times New Roman" w:hAnsi="Times New Roman"/>
                      <w:color w:val="000000"/>
                      <w:kern w:val="0"/>
                      <w:szCs w:val="21"/>
                      <w:vertAlign w:val="superscript"/>
                      <w:lang w:bidi="ar"/>
                    </w:rPr>
                    <w:t>3</w:t>
                  </w:r>
                  <w:r>
                    <w:rPr>
                      <w:rFonts w:ascii="Times New Roman" w:hAnsi="Times New Roman"/>
                      <w:color w:val="000000"/>
                      <w:kern w:val="0"/>
                      <w:szCs w:val="21"/>
                      <w:lang w:bidi="ar"/>
                    </w:rPr>
                    <w:t>；相对蒸汽密度（空气=1）：4.1；溶解性：溶于水；稳定性：在正常的环境温度下储存和使用，本品稳定；避免接触条件：静电放电、热等；禁配物：强氧化剂、强酸、强碱等。</w:t>
                  </w:r>
                </w:p>
              </w:tc>
            </w:tr>
            <w:tr w14:paraId="1B21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shd w:val="clear" w:color="auto" w:fill="auto"/>
                  <w:vAlign w:val="center"/>
                </w:tcPr>
                <w:p w14:paraId="580193A7">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3</w:t>
                  </w:r>
                </w:p>
              </w:tc>
              <w:tc>
                <w:tcPr>
                  <w:tcW w:w="794" w:type="pct"/>
                  <w:vAlign w:val="center"/>
                </w:tcPr>
                <w:p w14:paraId="4F8A657A">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乳化液</w:t>
                  </w:r>
                </w:p>
              </w:tc>
              <w:tc>
                <w:tcPr>
                  <w:tcW w:w="1939" w:type="pct"/>
                  <w:vAlign w:val="center"/>
                </w:tcPr>
                <w:p w14:paraId="0B63E42C">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基础油10%～30%，乳化剂10%～20%，防锈添加剂5%～8%，极压添加剂3%～10%，摩擦改进剂1%～5%，抗氧化剂1%～3%，水50%～80%</w:t>
                  </w:r>
                </w:p>
              </w:tc>
              <w:tc>
                <w:tcPr>
                  <w:tcW w:w="1914" w:type="pct"/>
                  <w:vAlign w:val="center"/>
                </w:tcPr>
                <w:p w14:paraId="12352036">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外观与性状：乳化液通常呈浅黄色透明液体，pH值在7.2-7.6之间，有一定的黏度密度和相对蒸气密度：乳化液的密度大约在0.889（相对密度，水=1）之间。稳定性：性能稳定，使用周期长</w:t>
                  </w:r>
                </w:p>
              </w:tc>
            </w:tr>
          </w:tbl>
          <w:p w14:paraId="6F8E816D">
            <w:pPr>
              <w:adjustRightInd w:val="0"/>
              <w:snapToGrid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w:t>
            </w:r>
            <w:bookmarkStart w:id="5" w:name="OLE_LINK56"/>
            <w:r>
              <w:rPr>
                <w:rFonts w:ascii="Times New Roman" w:hAnsi="Times New Roman"/>
                <w:color w:val="000000" w:themeColor="text1"/>
                <w:sz w:val="24"/>
                <w14:textFill>
                  <w14:solidFill>
                    <w14:schemeClr w14:val="tx1"/>
                  </w14:solidFill>
                </w14:textFill>
              </w:rPr>
              <w:t>漆料中VOCs含量判定</w:t>
            </w:r>
            <w:bookmarkEnd w:id="5"/>
          </w:p>
          <w:p w14:paraId="49082AEF">
            <w:pPr>
              <w:spacing w:line="360" w:lineRule="auto"/>
              <w:ind w:firstLine="480" w:firstLineChars="200"/>
              <w:rPr>
                <w:rFonts w:ascii="Times New Roman" w:hAnsi="Times New Roman"/>
                <w:sz w:val="24"/>
              </w:rPr>
            </w:pPr>
            <w:r>
              <w:rPr>
                <w:rFonts w:ascii="Times New Roman" w:hAnsi="Times New Roman"/>
                <w:sz w:val="24"/>
              </w:rPr>
              <w:t>根据建设单位提供的本项目漆料安全技术说明书，分析统计本项目所使用的漆料的主要成分详见下表：</w:t>
            </w:r>
          </w:p>
          <w:p w14:paraId="5963E1DF">
            <w:pPr>
              <w:pStyle w:val="80"/>
              <w:ind w:firstLine="482"/>
              <w:rPr>
                <w:rFonts w:cs="Times New Roman"/>
              </w:rPr>
            </w:pPr>
            <w:bookmarkStart w:id="6" w:name="OLE_LINK67"/>
            <w:r>
              <w:rPr>
                <w:rFonts w:cs="Times New Roman"/>
              </w:rPr>
              <w:t xml:space="preserve">表2-6 </w:t>
            </w:r>
            <w:bookmarkStart w:id="7" w:name="OLE_LINK68"/>
            <w:r>
              <w:rPr>
                <w:rFonts w:cs="Times New Roman"/>
              </w:rPr>
              <w:t>本项目漆料组分一览表</w:t>
            </w:r>
            <w:bookmarkEnd w:id="7"/>
          </w:p>
          <w:bookmarkEnd w:id="6"/>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842"/>
              <w:gridCol w:w="2842"/>
              <w:gridCol w:w="1038"/>
              <w:gridCol w:w="779"/>
              <w:gridCol w:w="866"/>
            </w:tblGrid>
            <w:tr w14:paraId="47852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1" w:hRule="atLeast"/>
                <w:jc w:val="center"/>
              </w:trPr>
              <w:tc>
                <w:tcPr>
                  <w:tcW w:w="1698" w:type="pct"/>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67DD1A0D">
                  <w:pPr>
                    <w:widowControl/>
                    <w:adjustRightInd w:val="0"/>
                    <w:snapToGrid w:val="0"/>
                    <w:jc w:val="center"/>
                    <w:textAlignment w:val="center"/>
                    <w:rPr>
                      <w:rFonts w:ascii="Times New Roman" w:hAnsi="Times New Roman"/>
                      <w:bCs/>
                      <w:color w:val="000000"/>
                      <w:kern w:val="0"/>
                      <w:szCs w:val="21"/>
                      <w:lang w:bidi="ar"/>
                    </w:rPr>
                  </w:pPr>
                  <w:bookmarkStart w:id="8" w:name="OLE_LINK57"/>
                  <w:r>
                    <w:rPr>
                      <w:rFonts w:ascii="Times New Roman" w:hAnsi="Times New Roman"/>
                      <w:bCs/>
                      <w:color w:val="000000"/>
                      <w:kern w:val="0"/>
                      <w:szCs w:val="21"/>
                      <w:lang w:bidi="ar"/>
                    </w:rPr>
                    <w:t>原料</w:t>
                  </w:r>
                </w:p>
              </w:tc>
              <w:tc>
                <w:tcPr>
                  <w:tcW w:w="1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D5019">
                  <w:pPr>
                    <w:widowControl/>
                    <w:adjustRightInd w:val="0"/>
                    <w:snapToGrid w:val="0"/>
                    <w:jc w:val="center"/>
                    <w:textAlignment w:val="center"/>
                    <w:rPr>
                      <w:rFonts w:ascii="Times New Roman" w:hAnsi="Times New Roman"/>
                      <w:bCs/>
                      <w:color w:val="000000"/>
                      <w:kern w:val="0"/>
                      <w:szCs w:val="21"/>
                      <w:lang w:bidi="ar"/>
                    </w:rPr>
                  </w:pPr>
                  <w:r>
                    <w:rPr>
                      <w:rFonts w:ascii="Times New Roman" w:hAnsi="Times New Roman"/>
                      <w:bCs/>
                      <w:color w:val="000000"/>
                      <w:kern w:val="0"/>
                      <w:szCs w:val="21"/>
                      <w:lang w:bidi="ar"/>
                    </w:rPr>
                    <w:t>成分名称</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68DB9">
                  <w:pPr>
                    <w:widowControl/>
                    <w:adjustRightInd w:val="0"/>
                    <w:snapToGrid w:val="0"/>
                    <w:jc w:val="center"/>
                    <w:textAlignment w:val="center"/>
                    <w:rPr>
                      <w:rFonts w:ascii="Times New Roman" w:hAnsi="Times New Roman"/>
                      <w:bCs/>
                      <w:color w:val="000000"/>
                      <w:kern w:val="0"/>
                      <w:szCs w:val="21"/>
                      <w:lang w:bidi="ar"/>
                    </w:rPr>
                  </w:pPr>
                  <w:r>
                    <w:rPr>
                      <w:rFonts w:ascii="Times New Roman" w:hAnsi="Times New Roman"/>
                      <w:bCs/>
                      <w:color w:val="000000"/>
                      <w:kern w:val="0"/>
                      <w:szCs w:val="21"/>
                      <w:lang w:bidi="ar"/>
                    </w:rPr>
                    <w:t>备注</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7C659">
                  <w:pPr>
                    <w:widowControl/>
                    <w:adjustRightInd w:val="0"/>
                    <w:snapToGrid w:val="0"/>
                    <w:jc w:val="center"/>
                    <w:textAlignment w:val="center"/>
                    <w:rPr>
                      <w:rFonts w:ascii="Times New Roman" w:hAnsi="Times New Roman"/>
                      <w:bCs/>
                      <w:color w:val="000000"/>
                      <w:kern w:val="0"/>
                      <w:szCs w:val="21"/>
                      <w:lang w:bidi="ar"/>
                    </w:rPr>
                  </w:pPr>
                  <w:r>
                    <w:rPr>
                      <w:rFonts w:ascii="Times New Roman" w:hAnsi="Times New Roman"/>
                      <w:bCs/>
                      <w:color w:val="000000"/>
                      <w:kern w:val="0"/>
                      <w:szCs w:val="21"/>
                      <w:lang w:bidi="ar"/>
                    </w:rPr>
                    <w:t>含量</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143DC">
                  <w:pPr>
                    <w:widowControl/>
                    <w:adjustRightInd w:val="0"/>
                    <w:snapToGrid w:val="0"/>
                    <w:jc w:val="center"/>
                    <w:textAlignment w:val="center"/>
                    <w:rPr>
                      <w:rFonts w:ascii="Times New Roman" w:hAnsi="Times New Roman"/>
                      <w:bCs/>
                      <w:color w:val="000000"/>
                      <w:kern w:val="0"/>
                      <w:szCs w:val="21"/>
                      <w:lang w:bidi="ar"/>
                    </w:rPr>
                  </w:pPr>
                  <w:r>
                    <w:rPr>
                      <w:rFonts w:ascii="Times New Roman" w:hAnsi="Times New Roman"/>
                      <w:bCs/>
                      <w:color w:val="000000"/>
                      <w:kern w:val="0"/>
                      <w:szCs w:val="21"/>
                      <w:lang w:bidi="ar"/>
                    </w:rPr>
                    <w:t>合计</w:t>
                  </w:r>
                </w:p>
              </w:tc>
            </w:tr>
            <w:tr w14:paraId="60BD7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F882A">
                  <w:pPr>
                    <w:widowControl/>
                    <w:adjustRightInd w:val="0"/>
                    <w:snapToGrid w:val="0"/>
                    <w:jc w:val="center"/>
                    <w:textAlignment w:val="center"/>
                    <w:rPr>
                      <w:rFonts w:ascii="Times New Roman" w:hAnsi="Times New Roman"/>
                      <w:color w:val="000000"/>
                      <w:kern w:val="0"/>
                      <w:szCs w:val="21"/>
                      <w:lang w:bidi="ar"/>
                    </w:rPr>
                  </w:pPr>
                  <w:bookmarkStart w:id="9" w:name="OLE_LINK55" w:colFirst="3" w:colLast="3"/>
                  <w:r>
                    <w:rPr>
                      <w:rFonts w:ascii="Times New Roman" w:hAnsi="Times New Roman"/>
                      <w:color w:val="000000"/>
                      <w:kern w:val="0"/>
                      <w:szCs w:val="21"/>
                      <w:lang w:bidi="ar"/>
                    </w:rPr>
                    <w:t>水性环氧树脂底漆</w:t>
                  </w:r>
                </w:p>
              </w:tc>
              <w:tc>
                <w:tcPr>
                  <w:tcW w:w="1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79C3B">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水性环氧树脂</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16FA2">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固体份</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4586A">
                  <w:pPr>
                    <w:widowControl/>
                    <w:adjustRightInd w:val="0"/>
                    <w:snapToGrid w:val="0"/>
                    <w:jc w:val="center"/>
                    <w:textAlignment w:val="center"/>
                    <w:rPr>
                      <w:rFonts w:ascii="Times New Roman" w:hAnsi="Times New Roman"/>
                      <w:color w:val="000000"/>
                      <w:kern w:val="0"/>
                      <w:szCs w:val="21"/>
                      <w:highlight w:val="none"/>
                      <w:lang w:bidi="ar"/>
                    </w:rPr>
                  </w:pPr>
                  <w:r>
                    <w:rPr>
                      <w:rFonts w:ascii="Times New Roman" w:hAnsi="Times New Roman"/>
                      <w:color w:val="000000"/>
                      <w:kern w:val="0"/>
                      <w:szCs w:val="21"/>
                      <w:highlight w:val="none"/>
                      <w:lang w:bidi="ar"/>
                    </w:rPr>
                    <w:t>52%</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10CE0C">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100%</w:t>
                  </w:r>
                </w:p>
              </w:tc>
            </w:tr>
            <w:tr w14:paraId="51A0A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C7BFD">
                  <w:pPr>
                    <w:widowControl/>
                    <w:adjustRightInd w:val="0"/>
                    <w:snapToGrid w:val="0"/>
                    <w:jc w:val="center"/>
                    <w:textAlignment w:val="center"/>
                    <w:rPr>
                      <w:rFonts w:ascii="Times New Roman" w:hAnsi="Times New Roman"/>
                      <w:color w:val="000000"/>
                      <w:kern w:val="0"/>
                      <w:szCs w:val="21"/>
                      <w:lang w:bidi="ar"/>
                    </w:rPr>
                  </w:pPr>
                </w:p>
              </w:tc>
              <w:tc>
                <w:tcPr>
                  <w:tcW w:w="1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D92AC">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防锈颜填料</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08A55">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固体份</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79B0B">
                  <w:pPr>
                    <w:widowControl/>
                    <w:adjustRightInd w:val="0"/>
                    <w:snapToGrid w:val="0"/>
                    <w:jc w:val="center"/>
                    <w:textAlignment w:val="center"/>
                    <w:rPr>
                      <w:rFonts w:ascii="Times New Roman" w:hAnsi="Times New Roman"/>
                      <w:color w:val="000000"/>
                      <w:kern w:val="0"/>
                      <w:szCs w:val="21"/>
                      <w:highlight w:val="none"/>
                      <w:lang w:bidi="ar"/>
                    </w:rPr>
                  </w:pPr>
                  <w:r>
                    <w:rPr>
                      <w:rFonts w:ascii="Times New Roman" w:hAnsi="Times New Roman"/>
                      <w:color w:val="000000"/>
                      <w:kern w:val="0"/>
                      <w:szCs w:val="21"/>
                      <w:highlight w:val="none"/>
                      <w:lang w:bidi="ar"/>
                    </w:rPr>
                    <w:t>8%</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3EFBC">
                  <w:pPr>
                    <w:widowControl/>
                    <w:adjustRightInd w:val="0"/>
                    <w:snapToGrid w:val="0"/>
                    <w:jc w:val="center"/>
                    <w:textAlignment w:val="center"/>
                    <w:rPr>
                      <w:rFonts w:ascii="Times New Roman" w:hAnsi="Times New Roman"/>
                      <w:color w:val="000000"/>
                      <w:kern w:val="0"/>
                      <w:szCs w:val="21"/>
                      <w:lang w:bidi="ar"/>
                    </w:rPr>
                  </w:pPr>
                </w:p>
              </w:tc>
            </w:tr>
            <w:tr w14:paraId="7B2F3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546A4">
                  <w:pPr>
                    <w:widowControl/>
                    <w:adjustRightInd w:val="0"/>
                    <w:snapToGrid w:val="0"/>
                    <w:jc w:val="center"/>
                    <w:textAlignment w:val="center"/>
                    <w:rPr>
                      <w:rFonts w:ascii="Times New Roman" w:hAnsi="Times New Roman"/>
                      <w:color w:val="000000"/>
                      <w:kern w:val="0"/>
                      <w:szCs w:val="21"/>
                      <w:lang w:bidi="ar"/>
                    </w:rPr>
                  </w:pPr>
                </w:p>
              </w:tc>
              <w:tc>
                <w:tcPr>
                  <w:tcW w:w="1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3D293">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水</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238CF">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水</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A03CB">
                  <w:pPr>
                    <w:widowControl/>
                    <w:adjustRightInd w:val="0"/>
                    <w:snapToGrid w:val="0"/>
                    <w:jc w:val="center"/>
                    <w:textAlignment w:val="center"/>
                    <w:rPr>
                      <w:rFonts w:ascii="Times New Roman" w:hAnsi="Times New Roman"/>
                      <w:color w:val="000000"/>
                      <w:kern w:val="0"/>
                      <w:szCs w:val="21"/>
                      <w:highlight w:val="none"/>
                      <w:lang w:bidi="ar"/>
                    </w:rPr>
                  </w:pPr>
                  <w:r>
                    <w:rPr>
                      <w:rFonts w:hint="eastAsia" w:ascii="Times New Roman" w:hAnsi="Times New Roman"/>
                      <w:color w:val="000000"/>
                      <w:kern w:val="0"/>
                      <w:szCs w:val="21"/>
                      <w:highlight w:val="none"/>
                      <w:lang w:bidi="ar"/>
                    </w:rPr>
                    <w:t>22</w:t>
                  </w:r>
                  <w:r>
                    <w:rPr>
                      <w:rFonts w:ascii="Times New Roman" w:hAnsi="Times New Roman"/>
                      <w:color w:val="000000"/>
                      <w:kern w:val="0"/>
                      <w:szCs w:val="21"/>
                      <w:highlight w:val="none"/>
                      <w:lang w:bidi="ar"/>
                    </w:rPr>
                    <w:t>%</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024C3">
                  <w:pPr>
                    <w:widowControl/>
                    <w:adjustRightInd w:val="0"/>
                    <w:snapToGrid w:val="0"/>
                    <w:jc w:val="center"/>
                    <w:textAlignment w:val="center"/>
                    <w:rPr>
                      <w:rFonts w:ascii="Times New Roman" w:hAnsi="Times New Roman"/>
                      <w:color w:val="000000"/>
                      <w:kern w:val="0"/>
                      <w:szCs w:val="21"/>
                      <w:lang w:bidi="ar"/>
                    </w:rPr>
                  </w:pPr>
                </w:p>
              </w:tc>
            </w:tr>
            <w:tr w14:paraId="7C4AA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7DF91">
                  <w:pPr>
                    <w:widowControl/>
                    <w:adjustRightInd w:val="0"/>
                    <w:snapToGrid w:val="0"/>
                    <w:jc w:val="center"/>
                    <w:textAlignment w:val="center"/>
                    <w:rPr>
                      <w:rFonts w:ascii="Times New Roman" w:hAnsi="Times New Roman"/>
                      <w:color w:val="000000"/>
                      <w:kern w:val="0"/>
                      <w:szCs w:val="21"/>
                      <w:lang w:bidi="ar"/>
                    </w:rPr>
                  </w:pPr>
                </w:p>
              </w:tc>
              <w:tc>
                <w:tcPr>
                  <w:tcW w:w="1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89FC2">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助剂</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5A667">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挥发份</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D777D">
                  <w:pPr>
                    <w:widowControl/>
                    <w:adjustRightInd w:val="0"/>
                    <w:snapToGrid w:val="0"/>
                    <w:jc w:val="center"/>
                    <w:textAlignment w:val="center"/>
                    <w:rPr>
                      <w:rFonts w:ascii="Times New Roman" w:hAnsi="Times New Roman"/>
                      <w:color w:val="000000"/>
                      <w:kern w:val="0"/>
                      <w:szCs w:val="21"/>
                      <w:highlight w:val="none"/>
                      <w:lang w:bidi="ar"/>
                    </w:rPr>
                  </w:pPr>
                  <w:r>
                    <w:rPr>
                      <w:rFonts w:hint="eastAsia" w:ascii="Times New Roman" w:hAnsi="Times New Roman"/>
                      <w:color w:val="000000"/>
                      <w:kern w:val="0"/>
                      <w:szCs w:val="21"/>
                      <w:highlight w:val="none"/>
                      <w:lang w:bidi="ar"/>
                    </w:rPr>
                    <w:t>18</w:t>
                  </w:r>
                  <w:r>
                    <w:rPr>
                      <w:rFonts w:ascii="Times New Roman" w:hAnsi="Times New Roman"/>
                      <w:color w:val="000000"/>
                      <w:kern w:val="0"/>
                      <w:szCs w:val="21"/>
                      <w:highlight w:val="none"/>
                      <w:lang w:bidi="ar"/>
                    </w:rPr>
                    <w:t>%</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DC77B">
                  <w:pPr>
                    <w:widowControl/>
                    <w:adjustRightInd w:val="0"/>
                    <w:snapToGrid w:val="0"/>
                    <w:jc w:val="center"/>
                    <w:textAlignment w:val="center"/>
                    <w:rPr>
                      <w:rFonts w:ascii="Times New Roman" w:hAnsi="Times New Roman"/>
                      <w:color w:val="000000"/>
                      <w:kern w:val="0"/>
                      <w:szCs w:val="21"/>
                      <w:lang w:bidi="ar"/>
                    </w:rPr>
                  </w:pPr>
                </w:p>
              </w:tc>
            </w:tr>
            <w:bookmarkEnd w:id="9"/>
            <w:tr w14:paraId="0FCED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DE9EA">
                  <w:pPr>
                    <w:widowControl/>
                    <w:adjustRightInd w:val="0"/>
                    <w:snapToGrid w:val="0"/>
                    <w:jc w:val="center"/>
                    <w:textAlignment w:val="center"/>
                    <w:rPr>
                      <w:rFonts w:ascii="Times New Roman" w:hAnsi="Times New Roman"/>
                      <w:color w:val="000000"/>
                      <w:kern w:val="0"/>
                      <w:szCs w:val="21"/>
                      <w:lang w:bidi="ar"/>
                    </w:rPr>
                  </w:pPr>
                  <w:bookmarkStart w:id="10" w:name="OLE_LINK80"/>
                  <w:r>
                    <w:rPr>
                      <w:rFonts w:ascii="Times New Roman" w:hAnsi="Times New Roman"/>
                      <w:color w:val="000000"/>
                      <w:kern w:val="0"/>
                      <w:szCs w:val="21"/>
                      <w:lang w:bidi="ar"/>
                    </w:rPr>
                    <w:t>水性丙烯酸聚氨酯面漆</w:t>
                  </w:r>
                  <w:bookmarkEnd w:id="10"/>
                </w:p>
              </w:tc>
              <w:tc>
                <w:tcPr>
                  <w:tcW w:w="1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3A521">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水性丙烯酸聚氨酯树脂</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2A4C6">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固体份</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82C33">
                  <w:pPr>
                    <w:widowControl/>
                    <w:adjustRightInd w:val="0"/>
                    <w:snapToGrid w:val="0"/>
                    <w:jc w:val="center"/>
                    <w:textAlignment w:val="center"/>
                    <w:rPr>
                      <w:rFonts w:ascii="Times New Roman" w:hAnsi="Times New Roman"/>
                      <w:color w:val="000000"/>
                      <w:kern w:val="0"/>
                      <w:szCs w:val="21"/>
                      <w:highlight w:val="none"/>
                      <w:lang w:bidi="ar"/>
                    </w:rPr>
                  </w:pPr>
                  <w:r>
                    <w:rPr>
                      <w:rFonts w:ascii="Times New Roman" w:hAnsi="Times New Roman"/>
                      <w:color w:val="000000"/>
                      <w:kern w:val="0"/>
                      <w:szCs w:val="21"/>
                      <w:highlight w:val="none"/>
                      <w:lang w:bidi="ar"/>
                    </w:rPr>
                    <w:t>50%</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48C7F">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100%</w:t>
                  </w:r>
                </w:p>
              </w:tc>
            </w:tr>
            <w:tr w14:paraId="0D9DB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5002B">
                  <w:pPr>
                    <w:widowControl/>
                    <w:adjustRightInd w:val="0"/>
                    <w:snapToGrid w:val="0"/>
                    <w:jc w:val="center"/>
                    <w:textAlignment w:val="center"/>
                    <w:rPr>
                      <w:rFonts w:ascii="Times New Roman" w:hAnsi="Times New Roman"/>
                      <w:color w:val="000000"/>
                      <w:kern w:val="0"/>
                      <w:szCs w:val="21"/>
                      <w:lang w:bidi="ar"/>
                    </w:rPr>
                  </w:pPr>
                </w:p>
              </w:tc>
              <w:tc>
                <w:tcPr>
                  <w:tcW w:w="1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42A45">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防锈颜填料</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658D4">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固体份</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AACF5">
                  <w:pPr>
                    <w:widowControl/>
                    <w:adjustRightInd w:val="0"/>
                    <w:snapToGrid w:val="0"/>
                    <w:jc w:val="center"/>
                    <w:textAlignment w:val="center"/>
                    <w:rPr>
                      <w:rFonts w:ascii="Times New Roman" w:hAnsi="Times New Roman"/>
                      <w:color w:val="000000"/>
                      <w:kern w:val="0"/>
                      <w:szCs w:val="21"/>
                      <w:highlight w:val="none"/>
                      <w:lang w:bidi="ar"/>
                    </w:rPr>
                  </w:pPr>
                  <w:r>
                    <w:rPr>
                      <w:rFonts w:ascii="Times New Roman" w:hAnsi="Times New Roman"/>
                      <w:color w:val="000000"/>
                      <w:kern w:val="0"/>
                      <w:szCs w:val="21"/>
                      <w:highlight w:val="none"/>
                      <w:lang w:bidi="ar"/>
                    </w:rPr>
                    <w:t>15%</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A1B13">
                  <w:pPr>
                    <w:widowControl/>
                    <w:adjustRightInd w:val="0"/>
                    <w:snapToGrid w:val="0"/>
                    <w:jc w:val="center"/>
                    <w:textAlignment w:val="center"/>
                    <w:rPr>
                      <w:rFonts w:ascii="Times New Roman" w:hAnsi="Times New Roman"/>
                      <w:color w:val="000000"/>
                      <w:kern w:val="0"/>
                      <w:sz w:val="18"/>
                      <w:szCs w:val="18"/>
                      <w:lang w:bidi="ar"/>
                    </w:rPr>
                  </w:pPr>
                </w:p>
              </w:tc>
            </w:tr>
            <w:tr w14:paraId="08D4D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EB1B1">
                  <w:pPr>
                    <w:widowControl/>
                    <w:adjustRightInd w:val="0"/>
                    <w:snapToGrid w:val="0"/>
                    <w:jc w:val="center"/>
                    <w:textAlignment w:val="center"/>
                    <w:rPr>
                      <w:rFonts w:ascii="Times New Roman" w:hAnsi="Times New Roman"/>
                      <w:color w:val="000000"/>
                      <w:kern w:val="0"/>
                      <w:szCs w:val="21"/>
                      <w:lang w:bidi="ar"/>
                    </w:rPr>
                  </w:pPr>
                </w:p>
              </w:tc>
              <w:tc>
                <w:tcPr>
                  <w:tcW w:w="1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3C258">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水</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38B4E">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水</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3E0F0">
                  <w:pPr>
                    <w:widowControl/>
                    <w:adjustRightInd w:val="0"/>
                    <w:snapToGrid w:val="0"/>
                    <w:jc w:val="center"/>
                    <w:textAlignment w:val="center"/>
                    <w:rPr>
                      <w:rFonts w:ascii="Times New Roman" w:hAnsi="Times New Roman"/>
                      <w:color w:val="000000"/>
                      <w:kern w:val="0"/>
                      <w:szCs w:val="21"/>
                      <w:highlight w:val="none"/>
                      <w:lang w:bidi="ar"/>
                    </w:rPr>
                  </w:pPr>
                  <w:r>
                    <w:rPr>
                      <w:rFonts w:ascii="Times New Roman" w:hAnsi="Times New Roman"/>
                      <w:color w:val="000000"/>
                      <w:kern w:val="0"/>
                      <w:szCs w:val="21"/>
                      <w:highlight w:val="none"/>
                      <w:lang w:bidi="ar"/>
                    </w:rPr>
                    <w:t>2</w:t>
                  </w:r>
                  <w:r>
                    <w:rPr>
                      <w:rFonts w:hint="eastAsia" w:ascii="Times New Roman" w:hAnsi="Times New Roman"/>
                      <w:color w:val="000000"/>
                      <w:kern w:val="0"/>
                      <w:szCs w:val="21"/>
                      <w:highlight w:val="none"/>
                      <w:lang w:bidi="ar"/>
                    </w:rPr>
                    <w:t>0</w:t>
                  </w:r>
                  <w:r>
                    <w:rPr>
                      <w:rFonts w:ascii="Times New Roman" w:hAnsi="Times New Roman"/>
                      <w:color w:val="000000"/>
                      <w:kern w:val="0"/>
                      <w:szCs w:val="21"/>
                      <w:highlight w:val="none"/>
                      <w:lang w:bidi="ar"/>
                    </w:rPr>
                    <w:t>%</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93A77">
                  <w:pPr>
                    <w:widowControl/>
                    <w:adjustRightInd w:val="0"/>
                    <w:snapToGrid w:val="0"/>
                    <w:jc w:val="center"/>
                    <w:textAlignment w:val="center"/>
                    <w:rPr>
                      <w:rFonts w:ascii="Times New Roman" w:hAnsi="Times New Roman"/>
                      <w:color w:val="000000"/>
                      <w:kern w:val="0"/>
                      <w:sz w:val="18"/>
                      <w:szCs w:val="18"/>
                      <w:lang w:bidi="ar"/>
                    </w:rPr>
                  </w:pPr>
                </w:p>
              </w:tc>
            </w:tr>
            <w:tr w14:paraId="6AC97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F5497">
                  <w:pPr>
                    <w:widowControl/>
                    <w:adjustRightInd w:val="0"/>
                    <w:snapToGrid w:val="0"/>
                    <w:jc w:val="center"/>
                    <w:textAlignment w:val="center"/>
                    <w:rPr>
                      <w:rFonts w:ascii="Times New Roman" w:hAnsi="Times New Roman"/>
                      <w:color w:val="000000"/>
                      <w:kern w:val="0"/>
                      <w:szCs w:val="21"/>
                      <w:lang w:bidi="ar"/>
                    </w:rPr>
                  </w:pPr>
                </w:p>
              </w:tc>
              <w:tc>
                <w:tcPr>
                  <w:tcW w:w="1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D2249">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助剂</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26E8">
                  <w:pPr>
                    <w:widowControl/>
                    <w:adjustRightInd w:val="0"/>
                    <w:snapToGrid w:val="0"/>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挥发份</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66AB3">
                  <w:pPr>
                    <w:widowControl/>
                    <w:adjustRightInd w:val="0"/>
                    <w:snapToGrid w:val="0"/>
                    <w:jc w:val="center"/>
                    <w:textAlignment w:val="center"/>
                    <w:rPr>
                      <w:rFonts w:ascii="Times New Roman" w:hAnsi="Times New Roman"/>
                      <w:color w:val="000000"/>
                      <w:kern w:val="0"/>
                      <w:szCs w:val="21"/>
                      <w:highlight w:val="none"/>
                      <w:lang w:bidi="ar"/>
                    </w:rPr>
                  </w:pPr>
                  <w:r>
                    <w:rPr>
                      <w:rFonts w:ascii="Times New Roman" w:hAnsi="Times New Roman"/>
                      <w:color w:val="000000"/>
                      <w:kern w:val="0"/>
                      <w:szCs w:val="21"/>
                      <w:highlight w:val="none"/>
                      <w:lang w:bidi="ar"/>
                    </w:rPr>
                    <w:t>1</w:t>
                  </w:r>
                  <w:r>
                    <w:rPr>
                      <w:rFonts w:hint="eastAsia" w:ascii="Times New Roman" w:hAnsi="Times New Roman"/>
                      <w:color w:val="000000"/>
                      <w:kern w:val="0"/>
                      <w:szCs w:val="21"/>
                      <w:highlight w:val="none"/>
                      <w:lang w:bidi="ar"/>
                    </w:rPr>
                    <w:t>5</w:t>
                  </w:r>
                  <w:r>
                    <w:rPr>
                      <w:rFonts w:ascii="Times New Roman" w:hAnsi="Times New Roman"/>
                      <w:color w:val="000000"/>
                      <w:kern w:val="0"/>
                      <w:szCs w:val="21"/>
                      <w:highlight w:val="none"/>
                      <w:lang w:bidi="ar"/>
                    </w:rPr>
                    <w:t>%</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81565">
                  <w:pPr>
                    <w:widowControl/>
                    <w:adjustRightInd w:val="0"/>
                    <w:snapToGrid w:val="0"/>
                    <w:jc w:val="center"/>
                    <w:textAlignment w:val="center"/>
                    <w:rPr>
                      <w:rFonts w:ascii="Times New Roman" w:hAnsi="Times New Roman"/>
                      <w:color w:val="000000"/>
                      <w:kern w:val="0"/>
                      <w:sz w:val="18"/>
                      <w:szCs w:val="18"/>
                      <w:lang w:bidi="ar"/>
                    </w:rPr>
                  </w:pPr>
                </w:p>
              </w:tc>
            </w:tr>
            <w:bookmarkEnd w:id="8"/>
          </w:tbl>
          <w:p w14:paraId="48984D12">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①水性环氧树脂底漆</w:t>
            </w:r>
          </w:p>
          <w:p w14:paraId="15D18FDF">
            <w:pPr>
              <w:pStyle w:val="3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Times New Roman" w:cs="Times New Roman"/>
                <w:b w:val="0"/>
                <w:bCs/>
                <w:color w:val="000000" w:themeColor="text1"/>
                <w14:textFill>
                  <w14:solidFill>
                    <w14:schemeClr w14:val="tx1"/>
                  </w14:solidFill>
                </w14:textFill>
              </w:rPr>
            </w:pPr>
            <w:r>
              <w:rPr>
                <w:rFonts w:ascii="Times New Roman" w:cs="Times New Roman"/>
                <w:b w:val="0"/>
                <w:bCs/>
                <w:color w:val="000000" w:themeColor="text1"/>
                <w14:textFill>
                  <w14:solidFill>
                    <w14:schemeClr w14:val="tx1"/>
                  </w14:solidFill>
                </w14:textFill>
              </w:rPr>
              <w:t>本项目</w:t>
            </w:r>
            <w:r>
              <w:rPr>
                <w:rFonts w:ascii="Times New Roman" w:cs="Times New Roman"/>
                <w:b w:val="0"/>
                <w:bCs/>
                <w:color w:val="000000" w:themeColor="text1"/>
                <w:highlight w:val="none"/>
                <w14:textFill>
                  <w14:solidFill>
                    <w14:schemeClr w14:val="tx1"/>
                  </w14:solidFill>
                </w14:textFill>
              </w:rPr>
              <w:t>运营期使用的水性环氧树脂底漆相对密度（水=1）：1.</w:t>
            </w:r>
            <w:r>
              <w:rPr>
                <w:rFonts w:hint="eastAsia" w:ascii="Times New Roman" w:cs="Times New Roman"/>
                <w:b w:val="0"/>
                <w:bCs/>
                <w:color w:val="000000" w:themeColor="text1"/>
                <w:highlight w:val="none"/>
                <w14:textFill>
                  <w14:solidFill>
                    <w14:schemeClr w14:val="tx1"/>
                  </w14:solidFill>
                </w14:textFill>
              </w:rPr>
              <w:t>2</w:t>
            </w:r>
            <w:r>
              <w:rPr>
                <w:rFonts w:ascii="Times New Roman" w:cs="Times New Roman"/>
                <w:b w:val="0"/>
                <w:bCs/>
                <w:color w:val="000000" w:themeColor="text1"/>
                <w:highlight w:val="none"/>
                <w14:textFill>
                  <w14:solidFill>
                    <w14:schemeClr w14:val="tx1"/>
                  </w14:solidFill>
                </w14:textFill>
              </w:rPr>
              <w:t>g/cm</w:t>
            </w:r>
            <w:r>
              <w:rPr>
                <w:rFonts w:ascii="Times New Roman" w:cs="Times New Roman"/>
                <w:b w:val="0"/>
                <w:bCs/>
                <w:color w:val="000000" w:themeColor="text1"/>
                <w:highlight w:val="none"/>
                <w:vertAlign w:val="superscript"/>
                <w14:textFill>
                  <w14:solidFill>
                    <w14:schemeClr w14:val="tx1"/>
                  </w14:solidFill>
                </w14:textFill>
              </w:rPr>
              <w:t>3</w:t>
            </w:r>
            <w:r>
              <w:rPr>
                <w:rFonts w:ascii="Times New Roman" w:cs="Times New Roman"/>
                <w:b w:val="0"/>
                <w:bCs/>
                <w:color w:val="000000" w:themeColor="text1"/>
                <w:highlight w:val="none"/>
                <w14:textFill>
                  <w14:solidFill>
                    <w14:schemeClr w14:val="tx1"/>
                  </w14:solidFill>
                </w14:textFill>
              </w:rPr>
              <w:t>，挥发性有机物（VOCs）取1</w:t>
            </w:r>
            <w:r>
              <w:rPr>
                <w:rFonts w:hint="eastAsia" w:ascii="Times New Roman" w:cs="Times New Roman"/>
                <w:b w:val="0"/>
                <w:bCs/>
                <w:color w:val="000000" w:themeColor="text1"/>
                <w:highlight w:val="none"/>
                <w14:textFill>
                  <w14:solidFill>
                    <w14:schemeClr w14:val="tx1"/>
                  </w14:solidFill>
                </w14:textFill>
              </w:rPr>
              <w:t>8</w:t>
            </w:r>
            <w:r>
              <w:rPr>
                <w:rFonts w:ascii="Times New Roman" w:cs="Times New Roman"/>
                <w:b w:val="0"/>
                <w:bCs/>
                <w:color w:val="000000" w:themeColor="text1"/>
                <w:highlight w:val="none"/>
                <w14:textFill>
                  <w14:solidFill>
                    <w14:schemeClr w14:val="tx1"/>
                  </w14:solidFill>
                </w14:textFill>
              </w:rPr>
              <w:t>%，挥发性有机物（VOCs）含量为</w:t>
            </w:r>
            <w:r>
              <w:rPr>
                <w:rFonts w:hint="eastAsia" w:ascii="Times New Roman" w:cs="Times New Roman"/>
                <w:b w:val="0"/>
                <w:bCs/>
                <w:color w:val="000000" w:themeColor="text1"/>
                <w:highlight w:val="none"/>
                <w14:textFill>
                  <w14:solidFill>
                    <w14:schemeClr w14:val="tx1"/>
                  </w14:solidFill>
                </w14:textFill>
              </w:rPr>
              <w:t>216</w:t>
            </w:r>
            <w:r>
              <w:rPr>
                <w:rFonts w:ascii="Times New Roman" w:cs="Times New Roman"/>
                <w:b w:val="0"/>
                <w:bCs/>
                <w:color w:val="000000" w:themeColor="text1"/>
                <w:highlight w:val="none"/>
                <w14:textFill>
                  <w14:solidFill>
                    <w14:schemeClr w14:val="tx1"/>
                  </w14:solidFill>
                </w14:textFill>
              </w:rPr>
              <w:t>克/升，满足《</w:t>
            </w:r>
            <w:r>
              <w:rPr>
                <w:rFonts w:ascii="Times New Roman" w:cs="Times New Roman"/>
                <w:b w:val="0"/>
                <w:bCs/>
                <w:color w:val="000000" w:themeColor="text1"/>
                <w14:textFill>
                  <w14:solidFill>
                    <w14:schemeClr w14:val="tx1"/>
                  </w14:solidFill>
                </w14:textFill>
              </w:rPr>
              <w:t>低挥发性有机化合物含量涂料产品技术要求》（GB/T38597-2020）表1-水性涂料中VOC含量的要求：“工业防护涂料-机械设备涂料-工程机械和农业机械涂料（含零部件涂料）底漆≤250g/L”限值要求。</w:t>
            </w:r>
          </w:p>
          <w:p w14:paraId="238919CE">
            <w:pPr>
              <w:spacing w:line="360" w:lineRule="auto"/>
              <w:ind w:firstLine="480" w:firstLineChars="200"/>
              <w:rPr>
                <w:rFonts w:ascii="Times New Roman" w:hAnsi="Times New Roman"/>
                <w:color w:val="000000" w:themeColor="text1"/>
                <w:sz w:val="24"/>
                <w14:textFill>
                  <w14:solidFill>
                    <w14:schemeClr w14:val="tx1"/>
                  </w14:solidFill>
                </w14:textFill>
              </w:rPr>
            </w:pPr>
            <w:bookmarkStart w:id="11" w:name="OLE_LINK66"/>
            <w:r>
              <w:rPr>
                <w:rFonts w:ascii="Times New Roman" w:hAnsi="Times New Roman"/>
                <w:color w:val="000000" w:themeColor="text1"/>
                <w:sz w:val="24"/>
                <w14:textFill>
                  <w14:solidFill>
                    <w14:schemeClr w14:val="tx1"/>
                  </w14:solidFill>
                </w14:textFill>
              </w:rPr>
              <w:t>②</w:t>
            </w:r>
            <w:bookmarkStart w:id="12" w:name="OLE_LINK58"/>
            <w:r>
              <w:rPr>
                <w:rFonts w:ascii="Times New Roman" w:hAnsi="Times New Roman"/>
                <w:color w:val="000000" w:themeColor="text1"/>
                <w:sz w:val="24"/>
                <w14:textFill>
                  <w14:solidFill>
                    <w14:schemeClr w14:val="tx1"/>
                  </w14:solidFill>
                </w14:textFill>
              </w:rPr>
              <w:t>水性丙烯酸聚氨酯面漆</w:t>
            </w:r>
          </w:p>
          <w:p w14:paraId="5DAFCBBA">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本项目运营期使用的水性丙烯酸聚氨酯面漆相对密度（水=1）：1.4g/cm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，挥发性有机物（VOCs）占比为1</w:t>
            </w:r>
            <w:r>
              <w:rPr>
                <w:rFonts w:hint="eastAsia" w:ascii="Times New Roman" w:hAnsi="Times New Roman"/>
                <w:color w:val="000000" w:themeColor="text1"/>
                <w:sz w:val="24"/>
                <w14:textFill>
                  <w14:solidFill>
                    <w14:schemeClr w14:val="tx1"/>
                  </w14:solidFill>
                </w14:textFill>
              </w:rPr>
              <w:t>5</w:t>
            </w:r>
            <w:r>
              <w:rPr>
                <w:rFonts w:ascii="Times New Roman" w:hAnsi="Times New Roman"/>
                <w:color w:val="000000" w:themeColor="text1"/>
                <w:sz w:val="24"/>
                <w14:textFill>
                  <w14:solidFill>
                    <w14:schemeClr w14:val="tx1"/>
                  </w14:solidFill>
                </w14:textFill>
              </w:rPr>
              <w:t>%，挥发性有机物（VOCs）含量为</w:t>
            </w:r>
            <w:r>
              <w:rPr>
                <w:rFonts w:hint="eastAsia" w:ascii="Times New Roman" w:hAnsi="Times New Roman"/>
                <w:color w:val="000000" w:themeColor="text1"/>
                <w:sz w:val="24"/>
                <w14:textFill>
                  <w14:solidFill>
                    <w14:schemeClr w14:val="tx1"/>
                  </w14:solidFill>
                </w14:textFill>
              </w:rPr>
              <w:t>210</w:t>
            </w:r>
            <w:r>
              <w:rPr>
                <w:rFonts w:ascii="Times New Roman" w:hAnsi="Times New Roman"/>
                <w:color w:val="000000" w:themeColor="text1"/>
                <w:sz w:val="24"/>
                <w14:textFill>
                  <w14:solidFill>
                    <w14:schemeClr w14:val="tx1"/>
                  </w14:solidFill>
                </w14:textFill>
              </w:rPr>
              <w:t>克/升，满足《低挥发性有机化合物含量涂料产品技术要求》（GB/T38597-2020）表1-水性涂料中VOC含量的要求：“工业防护涂料-机械设备涂料-工程机械和农业机械涂料（含零部件涂料）面漆≤300g/L”限值要求。</w:t>
            </w:r>
          </w:p>
          <w:bookmarkEnd w:id="11"/>
          <w:bookmarkEnd w:id="12"/>
          <w:p w14:paraId="21331113">
            <w:pPr>
              <w:adjustRightInd w:val="0"/>
              <w:snapToGrid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w:t>
            </w:r>
            <w:bookmarkStart w:id="13" w:name="OLE_LINK60"/>
            <w:r>
              <w:rPr>
                <w:rFonts w:ascii="Times New Roman" w:hAnsi="Times New Roman"/>
                <w:color w:val="000000" w:themeColor="text1"/>
                <w:sz w:val="24"/>
                <w14:textFill>
                  <w14:solidFill>
                    <w14:schemeClr w14:val="tx1"/>
                  </w14:solidFill>
                </w14:textFill>
              </w:rPr>
              <w:t>漆料消耗量核算</w:t>
            </w:r>
            <w:bookmarkEnd w:id="13"/>
          </w:p>
          <w:p w14:paraId="6CCAF5FC">
            <w:pPr>
              <w:spacing w:line="360" w:lineRule="auto"/>
              <w:ind w:left="420" w:leftChars="200"/>
              <w:rPr>
                <w:rFonts w:ascii="Times New Roman" w:hAnsi="Times New Roman"/>
                <w:bCs/>
                <w:color w:val="000000" w:themeColor="text1"/>
                <w:kern w:val="0"/>
                <w:sz w:val="24"/>
                <w14:textFill>
                  <w14:solidFill>
                    <w14:schemeClr w14:val="tx1"/>
                  </w14:solidFill>
                </w14:textFill>
              </w:rPr>
            </w:pPr>
            <w:r>
              <w:rPr>
                <w:rFonts w:ascii="Times New Roman" w:hAnsi="Times New Roman"/>
                <w:bCs/>
                <w:color w:val="000000" w:themeColor="text1"/>
                <w:kern w:val="0"/>
                <w:sz w:val="24"/>
                <w14:textFill>
                  <w14:solidFill>
                    <w14:schemeClr w14:val="tx1"/>
                  </w14:solidFill>
                </w14:textFill>
              </w:rPr>
              <w:t>①底漆</w:t>
            </w:r>
          </w:p>
          <w:p w14:paraId="4249C699">
            <w:pPr>
              <w:spacing w:line="360" w:lineRule="auto"/>
              <w:ind w:firstLine="480" w:firstLineChars="200"/>
              <w:rPr>
                <w:rFonts w:ascii="Times New Roman" w:hAnsi="Times New Roman"/>
                <w:bCs/>
                <w:kern w:val="0"/>
                <w:sz w:val="24"/>
              </w:rPr>
            </w:pPr>
            <w:r>
              <w:rPr>
                <w:rFonts w:ascii="Times New Roman" w:hAnsi="Times New Roman"/>
                <w:bCs/>
                <w:color w:val="000000" w:themeColor="text1"/>
                <w:kern w:val="0"/>
                <w:sz w:val="24"/>
                <w14:textFill>
                  <w14:solidFill>
                    <w14:schemeClr w14:val="tx1"/>
                  </w14:solidFill>
                </w14:textFill>
              </w:rPr>
              <w:t>项目喷漆房采用</w:t>
            </w:r>
            <w:r>
              <w:rPr>
                <w:rFonts w:ascii="Times New Roman" w:hAnsi="Times New Roman"/>
                <w:color w:val="000000" w:themeColor="text1"/>
                <w:sz w:val="24"/>
                <w14:textFill>
                  <w14:solidFill>
                    <w14:schemeClr w14:val="tx1"/>
                  </w14:solidFill>
                </w14:textFill>
              </w:rPr>
              <w:t>水性环氧树脂底漆</w:t>
            </w:r>
            <w:r>
              <w:rPr>
                <w:rFonts w:ascii="Times New Roman" w:hAnsi="Times New Roman"/>
                <w:bCs/>
                <w:color w:val="000000" w:themeColor="text1"/>
                <w:kern w:val="0"/>
                <w:sz w:val="24"/>
                <w14:textFill>
                  <w14:solidFill>
                    <w14:schemeClr w14:val="tx1"/>
                  </w14:solidFill>
                </w14:textFill>
              </w:rPr>
              <w:t>表面</w:t>
            </w:r>
            <w:r>
              <w:rPr>
                <w:rFonts w:ascii="Times New Roman" w:hAnsi="Times New Roman"/>
                <w:bCs/>
                <w:kern w:val="0"/>
                <w:sz w:val="24"/>
              </w:rPr>
              <w:t xml:space="preserve">喷涂1层环氧底漆，项目直接外购成品水性漆，无需调漆，项目底漆年用量采用以下公式进行核算： </w:t>
            </w:r>
          </w:p>
          <w:p w14:paraId="09FE8D32">
            <w:pPr>
              <w:spacing w:line="360" w:lineRule="auto"/>
              <w:jc w:val="center"/>
              <w:rPr>
                <w:rFonts w:ascii="Times New Roman" w:hAnsi="Times New Roman"/>
                <w:b/>
                <w:kern w:val="0"/>
                <w:sz w:val="24"/>
              </w:rPr>
            </w:pPr>
            <w:r>
              <w:rPr>
                <w:rFonts w:ascii="Times New Roman" w:hAnsi="Times New Roman"/>
              </w:rPr>
              <w:drawing>
                <wp:inline distT="0" distB="0" distL="114300" distR="114300">
                  <wp:extent cx="2590800" cy="638175"/>
                  <wp:effectExtent l="0" t="0" r="0" b="952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2"/>
                          <a:stretch>
                            <a:fillRect/>
                          </a:stretch>
                        </pic:blipFill>
                        <pic:spPr>
                          <a:xfrm>
                            <a:off x="0" y="0"/>
                            <a:ext cx="2590800" cy="638175"/>
                          </a:xfrm>
                          <a:prstGeom prst="rect">
                            <a:avLst/>
                          </a:prstGeom>
                          <a:noFill/>
                          <a:ln>
                            <a:noFill/>
                          </a:ln>
                        </pic:spPr>
                      </pic:pic>
                    </a:graphicData>
                  </a:graphic>
                </wp:inline>
              </w:drawing>
            </w:r>
          </w:p>
          <w:p w14:paraId="2A3674A8">
            <w:pPr>
              <w:spacing w:line="360" w:lineRule="auto"/>
              <w:ind w:left="420" w:leftChars="200"/>
              <w:rPr>
                <w:rFonts w:ascii="Times New Roman" w:hAnsi="Times New Roman"/>
                <w:bCs/>
                <w:kern w:val="0"/>
                <w:sz w:val="24"/>
              </w:rPr>
            </w:pPr>
            <w:r>
              <w:rPr>
                <w:rFonts w:ascii="Times New Roman" w:hAnsi="Times New Roman"/>
                <w:bCs/>
                <w:kern w:val="0"/>
                <w:sz w:val="24"/>
              </w:rPr>
              <w:t xml:space="preserve">其中：m—底漆年用量（t/a）； </w:t>
            </w:r>
          </w:p>
          <w:p w14:paraId="0CEC2B58">
            <w:pPr>
              <w:spacing w:line="360" w:lineRule="auto"/>
              <w:ind w:left="420" w:leftChars="200"/>
              <w:rPr>
                <w:rFonts w:ascii="Times New Roman" w:hAnsi="Times New Roman"/>
                <w:bCs/>
                <w:kern w:val="0"/>
                <w:sz w:val="24"/>
              </w:rPr>
            </w:pPr>
            <w:r>
              <w:rPr>
                <w:rFonts w:ascii="Times New Roman" w:hAnsi="Times New Roman"/>
                <w:bCs/>
                <w:kern w:val="0"/>
                <w:sz w:val="24"/>
              </w:rPr>
              <w:t>ρ—底漆密度（g/cm</w:t>
            </w:r>
            <w:r>
              <w:rPr>
                <w:rFonts w:ascii="Times New Roman" w:hAnsi="Times New Roman"/>
                <w:bCs/>
                <w:kern w:val="0"/>
                <w:sz w:val="24"/>
                <w:vertAlign w:val="superscript"/>
              </w:rPr>
              <w:t>3</w:t>
            </w:r>
            <w:r>
              <w:rPr>
                <w:rFonts w:ascii="Times New Roman" w:hAnsi="Times New Roman"/>
                <w:bCs/>
                <w:kern w:val="0"/>
                <w:sz w:val="24"/>
              </w:rPr>
              <w:t>），本项目底漆密度取</w:t>
            </w:r>
            <w:r>
              <w:rPr>
                <w:rFonts w:hint="eastAsia" w:ascii="Times New Roman" w:hAnsi="Times New Roman"/>
                <w:bCs/>
                <w:kern w:val="0"/>
                <w:sz w:val="24"/>
              </w:rPr>
              <w:t>1.2</w:t>
            </w:r>
            <w:r>
              <w:rPr>
                <w:rFonts w:ascii="Times New Roman" w:hAnsi="Times New Roman"/>
                <w:bCs/>
                <w:kern w:val="0"/>
                <w:sz w:val="24"/>
              </w:rPr>
              <w:t>g/cm</w:t>
            </w:r>
            <w:r>
              <w:rPr>
                <w:rFonts w:ascii="Times New Roman" w:hAnsi="Times New Roman"/>
                <w:bCs/>
                <w:kern w:val="0"/>
                <w:sz w:val="24"/>
                <w:vertAlign w:val="superscript"/>
              </w:rPr>
              <w:t>3</w:t>
            </w:r>
            <w:r>
              <w:rPr>
                <w:rFonts w:ascii="Times New Roman" w:hAnsi="Times New Roman"/>
                <w:bCs/>
                <w:kern w:val="0"/>
                <w:sz w:val="24"/>
              </w:rPr>
              <w:t xml:space="preserve">； </w:t>
            </w:r>
          </w:p>
          <w:p w14:paraId="12A63E34">
            <w:pPr>
              <w:spacing w:line="360" w:lineRule="auto"/>
              <w:ind w:left="420" w:leftChars="200"/>
              <w:rPr>
                <w:rFonts w:ascii="Times New Roman" w:hAnsi="Times New Roman"/>
                <w:bCs/>
                <w:kern w:val="0"/>
                <w:sz w:val="24"/>
              </w:rPr>
            </w:pPr>
            <w:r>
              <w:rPr>
                <w:rFonts w:ascii="Times New Roman" w:hAnsi="Times New Roman"/>
                <w:bCs/>
                <w:kern w:val="0"/>
                <w:sz w:val="24"/>
              </w:rPr>
              <w:t xml:space="preserve">δ—涂层厚度（μm）； </w:t>
            </w:r>
          </w:p>
          <w:p w14:paraId="05955520">
            <w:pPr>
              <w:spacing w:line="360" w:lineRule="auto"/>
              <w:ind w:left="420" w:leftChars="200"/>
              <w:rPr>
                <w:rFonts w:ascii="Times New Roman" w:hAnsi="Times New Roman"/>
                <w:bCs/>
                <w:kern w:val="0"/>
                <w:sz w:val="24"/>
              </w:rPr>
            </w:pPr>
            <w:r>
              <w:rPr>
                <w:rFonts w:ascii="Times New Roman" w:hAnsi="Times New Roman"/>
                <w:bCs/>
                <w:kern w:val="0"/>
                <w:sz w:val="24"/>
              </w:rPr>
              <w:t>s—喷涂总面积（m</w:t>
            </w:r>
            <w:r>
              <w:rPr>
                <w:rFonts w:ascii="Times New Roman" w:hAnsi="Times New Roman"/>
                <w:bCs/>
                <w:kern w:val="0"/>
                <w:sz w:val="24"/>
                <w:vertAlign w:val="superscript"/>
              </w:rPr>
              <w:t>2</w:t>
            </w:r>
            <w:r>
              <w:rPr>
                <w:rFonts w:ascii="Times New Roman" w:hAnsi="Times New Roman"/>
                <w:bCs/>
                <w:kern w:val="0"/>
                <w:sz w:val="24"/>
              </w:rPr>
              <w:t xml:space="preserve">/a）； </w:t>
            </w:r>
          </w:p>
          <w:p w14:paraId="7120DE74">
            <w:pPr>
              <w:spacing w:line="360" w:lineRule="auto"/>
              <w:ind w:left="420" w:leftChars="200"/>
              <w:rPr>
                <w:rFonts w:ascii="Times New Roman" w:hAnsi="Times New Roman"/>
                <w:bCs/>
                <w:kern w:val="0"/>
                <w:sz w:val="24"/>
              </w:rPr>
            </w:pPr>
            <w:r>
              <w:rPr>
                <w:rFonts w:ascii="Times New Roman" w:hAnsi="Times New Roman"/>
                <w:bCs/>
                <w:kern w:val="0"/>
                <w:sz w:val="24"/>
              </w:rPr>
              <w:t xml:space="preserve">NV—底漆中（工作漆）的固体份（%）； </w:t>
            </w:r>
          </w:p>
          <w:p w14:paraId="44DDAC61">
            <w:pPr>
              <w:spacing w:line="360" w:lineRule="auto"/>
              <w:ind w:left="420" w:leftChars="200"/>
              <w:rPr>
                <w:rFonts w:ascii="Times New Roman" w:hAnsi="Times New Roman"/>
                <w:bCs/>
                <w:kern w:val="0"/>
                <w:sz w:val="24"/>
              </w:rPr>
            </w:pPr>
            <w:r>
              <w:rPr>
                <w:rFonts w:ascii="Times New Roman" w:hAnsi="Times New Roman"/>
                <w:bCs/>
                <w:kern w:val="0"/>
                <w:sz w:val="24"/>
              </w:rPr>
              <w:t xml:space="preserve">ε—上漆率（%）。 </w:t>
            </w:r>
          </w:p>
          <w:p w14:paraId="18CF3BBF">
            <w:pPr>
              <w:pStyle w:val="5"/>
              <w:spacing w:before="10" w:after="10" w:line="360" w:lineRule="auto"/>
              <w:ind w:firstLine="480" w:firstLineChars="200"/>
              <w:rPr>
                <w:b/>
                <w:color w:val="000000"/>
                <w:szCs w:val="21"/>
              </w:rPr>
            </w:pPr>
            <w:r>
              <w:rPr>
                <w:rFonts w:eastAsia="宋体"/>
                <w:bCs/>
                <w:kern w:val="0"/>
                <w:sz w:val="24"/>
                <w:szCs w:val="24"/>
              </w:rPr>
              <w:t>根据实际生产要求，</w:t>
            </w:r>
            <w:r>
              <w:rPr>
                <w:bCs/>
                <w:kern w:val="0"/>
                <w:sz w:val="24"/>
                <w:szCs w:val="24"/>
              </w:rPr>
              <w:t>1</w:t>
            </w:r>
            <w:r>
              <w:rPr>
                <w:rFonts w:eastAsia="宋体"/>
                <w:bCs/>
                <w:kern w:val="0"/>
                <w:sz w:val="24"/>
                <w:szCs w:val="24"/>
              </w:rPr>
              <w:t>层底漆漆膜厚度约为</w:t>
            </w:r>
            <w:r>
              <w:rPr>
                <w:rFonts w:hint="eastAsia" w:eastAsia="宋体"/>
                <w:bCs/>
                <w:kern w:val="0"/>
                <w:sz w:val="24"/>
                <w:szCs w:val="24"/>
                <w:lang w:val="en-US" w:eastAsia="zh-CN"/>
              </w:rPr>
              <w:t>50</w:t>
            </w:r>
            <w:r>
              <w:rPr>
                <w:rFonts w:eastAsia="宋体"/>
                <w:bCs/>
                <w:kern w:val="0"/>
                <w:sz w:val="24"/>
                <w:szCs w:val="24"/>
              </w:rPr>
              <w:t>μm。本项目喷漆距离保持在15-20cm之间，根据《涂装工艺与设备》（化学工业出版社），喷涂距离在15-20cm之间时，涂着效率约为65%-</w:t>
            </w:r>
            <w:r>
              <w:rPr>
                <w:rFonts w:hint="eastAsia" w:eastAsia="宋体"/>
                <w:bCs/>
                <w:kern w:val="0"/>
                <w:sz w:val="24"/>
                <w:szCs w:val="24"/>
                <w:lang w:val="en-US" w:eastAsia="zh-CN"/>
              </w:rPr>
              <w:t>7</w:t>
            </w:r>
            <w:r>
              <w:rPr>
                <w:rFonts w:eastAsia="宋体"/>
                <w:bCs/>
                <w:kern w:val="0"/>
                <w:sz w:val="24"/>
                <w:szCs w:val="24"/>
              </w:rPr>
              <w:t>5%，本次环评喷底漆附着率取</w:t>
            </w:r>
            <w:r>
              <w:rPr>
                <w:rFonts w:hint="eastAsia" w:eastAsia="宋体"/>
                <w:bCs/>
                <w:kern w:val="0"/>
                <w:sz w:val="24"/>
                <w:szCs w:val="24"/>
                <w:lang w:val="en-US" w:eastAsia="zh-CN"/>
              </w:rPr>
              <w:t>7</w:t>
            </w:r>
            <w:r>
              <w:rPr>
                <w:rFonts w:eastAsia="宋体"/>
                <w:bCs/>
                <w:kern w:val="0"/>
                <w:sz w:val="24"/>
                <w:szCs w:val="24"/>
              </w:rPr>
              <w:t>0%。</w:t>
            </w:r>
          </w:p>
          <w:p w14:paraId="135768BD">
            <w:pPr>
              <w:spacing w:line="360" w:lineRule="auto"/>
              <w:ind w:firstLine="480" w:firstLineChars="200"/>
              <w:rPr>
                <w:rFonts w:ascii="Times New Roman" w:hAnsi="Times New Roman"/>
                <w:b/>
                <w:color w:val="000000"/>
                <w:szCs w:val="21"/>
              </w:rPr>
            </w:pPr>
            <w:r>
              <w:rPr>
                <w:rFonts w:ascii="Times New Roman" w:hAnsi="Times New Roman"/>
                <w:bCs/>
                <w:kern w:val="0"/>
                <w:sz w:val="24"/>
              </w:rPr>
              <w:t>本项目底漆年用量计算情况见表2-7。</w:t>
            </w:r>
          </w:p>
          <w:p w14:paraId="628E969E">
            <w:pPr>
              <w:jc w:val="center"/>
              <w:rPr>
                <w:rFonts w:ascii="Times New Roman" w:hAnsi="Times New Roman"/>
                <w:b/>
                <w:color w:val="000000"/>
                <w:sz w:val="24"/>
              </w:rPr>
            </w:pPr>
            <w:r>
              <w:rPr>
                <w:rFonts w:ascii="Times New Roman" w:hAnsi="Times New Roman"/>
                <w:b/>
                <w:color w:val="000000"/>
                <w:sz w:val="24"/>
              </w:rPr>
              <w:t>表2-7 项目底漆用量计算情况一览表</w:t>
            </w:r>
          </w:p>
          <w:tbl>
            <w:tblPr>
              <w:tblStyle w:val="28"/>
              <w:tblW w:w="4997"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968"/>
              <w:gridCol w:w="968"/>
              <w:gridCol w:w="1046"/>
              <w:gridCol w:w="1233"/>
              <w:gridCol w:w="1338"/>
              <w:gridCol w:w="889"/>
              <w:gridCol w:w="943"/>
            </w:tblGrid>
            <w:tr w14:paraId="3B6C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70" w:type="dxa"/>
                  <w:vAlign w:val="center"/>
                </w:tcPr>
                <w:p w14:paraId="789ABD14">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产品类别</w:t>
                  </w:r>
                </w:p>
              </w:tc>
              <w:tc>
                <w:tcPr>
                  <w:tcW w:w="968" w:type="dxa"/>
                  <w:vAlign w:val="center"/>
                </w:tcPr>
                <w:p w14:paraId="4A7E3335">
                  <w:pPr>
                    <w:adjustRightInd w:val="0"/>
                    <w:snapToGrid w:val="0"/>
                    <w:jc w:val="center"/>
                    <w:rPr>
                      <w:rFonts w:hint="default" w:ascii="Times New Roman" w:hAnsi="Times New Roman"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eastAsia="zh-CN" w:bidi="ar"/>
                      <w14:textFill>
                        <w14:solidFill>
                          <w14:schemeClr w14:val="tx1"/>
                        </w14:solidFill>
                      </w14:textFill>
                    </w:rPr>
                    <w:t>单位</w:t>
                  </w:r>
                  <w:r>
                    <w:rPr>
                      <w:rFonts w:hint="eastAsia"/>
                      <w:color w:val="000000" w:themeColor="text1"/>
                      <w:kern w:val="0"/>
                      <w:szCs w:val="21"/>
                      <w:lang w:val="en-US" w:eastAsia="zh-CN" w:bidi="ar"/>
                      <w14:textFill>
                        <w14:solidFill>
                          <w14:schemeClr w14:val="tx1"/>
                        </w14:solidFill>
                      </w14:textFill>
                    </w:rPr>
                    <w:t>产品</w:t>
                  </w:r>
                  <w:r>
                    <w:rPr>
                      <w:rFonts w:hint="eastAsia"/>
                      <w:color w:val="000000" w:themeColor="text1"/>
                      <w:kern w:val="0"/>
                      <w:szCs w:val="21"/>
                      <w:lang w:eastAsia="zh-CN" w:bidi="ar"/>
                      <w14:textFill>
                        <w14:solidFill>
                          <w14:schemeClr w14:val="tx1"/>
                        </w14:solidFill>
                      </w14:textFill>
                    </w:rPr>
                    <w:t>喷涂面积</w:t>
                  </w:r>
                </w:p>
              </w:tc>
              <w:tc>
                <w:tcPr>
                  <w:tcW w:w="968" w:type="dxa"/>
                  <w:vAlign w:val="center"/>
                </w:tcPr>
                <w:p w14:paraId="5CA5BCF2">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ρ底漆密度</w:t>
                  </w:r>
                </w:p>
              </w:tc>
              <w:tc>
                <w:tcPr>
                  <w:tcW w:w="1046" w:type="dxa"/>
                  <w:vAlign w:val="center"/>
                </w:tcPr>
                <w:p w14:paraId="39240A3D">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δ涂层厚度</w:t>
                  </w:r>
                </w:p>
              </w:tc>
              <w:tc>
                <w:tcPr>
                  <w:tcW w:w="1233" w:type="dxa"/>
                  <w:vAlign w:val="center"/>
                </w:tcPr>
                <w:p w14:paraId="7A06A590">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s喷涂总面积</w:t>
                  </w:r>
                </w:p>
              </w:tc>
              <w:tc>
                <w:tcPr>
                  <w:tcW w:w="1338" w:type="dxa"/>
                  <w:vAlign w:val="center"/>
                </w:tcPr>
                <w:p w14:paraId="121514BF">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NV固体份含量</w:t>
                  </w:r>
                </w:p>
              </w:tc>
              <w:tc>
                <w:tcPr>
                  <w:tcW w:w="889" w:type="dxa"/>
                  <w:vAlign w:val="center"/>
                </w:tcPr>
                <w:p w14:paraId="08A433D5">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ε上漆率</w:t>
                  </w:r>
                </w:p>
              </w:tc>
              <w:tc>
                <w:tcPr>
                  <w:tcW w:w="943" w:type="dxa"/>
                  <w:vAlign w:val="center"/>
                </w:tcPr>
                <w:p w14:paraId="67B13E56">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底漆年用量</w:t>
                  </w:r>
                </w:p>
              </w:tc>
            </w:tr>
            <w:tr w14:paraId="5D2D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70" w:type="dxa"/>
                  <w:vAlign w:val="center"/>
                </w:tcPr>
                <w:p w14:paraId="5A6DA704">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hint="eastAsia"/>
                      <w:sz w:val="21"/>
                      <w:szCs w:val="21"/>
                      <w:lang w:val="en-US" w:eastAsia="zh-CN"/>
                    </w:rPr>
                    <w:t>大型液压装备支架配件</w:t>
                  </w:r>
                </w:p>
              </w:tc>
              <w:tc>
                <w:tcPr>
                  <w:tcW w:w="968" w:type="dxa"/>
                  <w:vAlign w:val="center"/>
                </w:tcPr>
                <w:p w14:paraId="7791C5F6">
                  <w:pPr>
                    <w:adjustRightInd w:val="0"/>
                    <w:snapToGrid w:val="0"/>
                    <w:jc w:val="center"/>
                    <w:rPr>
                      <w:rFonts w:hint="default" w:ascii="Times New Roman" w:hAnsi="Times New Roman"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17.2m</w:t>
                  </w:r>
                  <w:r>
                    <w:rPr>
                      <w:rFonts w:hint="eastAsia"/>
                      <w:color w:val="000000" w:themeColor="text1"/>
                      <w:kern w:val="0"/>
                      <w:szCs w:val="21"/>
                      <w:vertAlign w:val="superscript"/>
                      <w:lang w:val="en-US" w:eastAsia="zh-CN" w:bidi="ar"/>
                      <w14:textFill>
                        <w14:solidFill>
                          <w14:schemeClr w14:val="tx1"/>
                        </w14:solidFill>
                      </w14:textFill>
                    </w:rPr>
                    <w:t>2</w:t>
                  </w:r>
                  <w:r>
                    <w:rPr>
                      <w:rFonts w:hint="eastAsia"/>
                      <w:color w:val="000000" w:themeColor="text1"/>
                      <w:kern w:val="0"/>
                      <w:szCs w:val="21"/>
                      <w:lang w:val="en-US" w:eastAsia="zh-CN" w:bidi="ar"/>
                      <w14:textFill>
                        <w14:solidFill>
                          <w14:schemeClr w14:val="tx1"/>
                        </w14:solidFill>
                      </w14:textFill>
                    </w:rPr>
                    <w:t>/t</w:t>
                  </w:r>
                </w:p>
              </w:tc>
              <w:tc>
                <w:tcPr>
                  <w:tcW w:w="968" w:type="dxa"/>
                  <w:vAlign w:val="center"/>
                </w:tcPr>
                <w:p w14:paraId="09FB99B6">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1.</w:t>
                  </w:r>
                  <w:r>
                    <w:rPr>
                      <w:rFonts w:hint="eastAsia" w:ascii="Times New Roman" w:hAnsi="Times New Roman"/>
                      <w:color w:val="000000" w:themeColor="text1"/>
                      <w:kern w:val="0"/>
                      <w:szCs w:val="21"/>
                      <w:lang w:bidi="ar"/>
                      <w14:textFill>
                        <w14:solidFill>
                          <w14:schemeClr w14:val="tx1"/>
                        </w14:solidFill>
                      </w14:textFill>
                    </w:rPr>
                    <w:t>2</w:t>
                  </w:r>
                  <w:r>
                    <w:rPr>
                      <w:rFonts w:ascii="Times New Roman" w:hAnsi="Times New Roman"/>
                      <w:color w:val="000000" w:themeColor="text1"/>
                      <w:kern w:val="0"/>
                      <w:szCs w:val="21"/>
                      <w:lang w:bidi="ar"/>
                      <w14:textFill>
                        <w14:solidFill>
                          <w14:schemeClr w14:val="tx1"/>
                        </w14:solidFill>
                      </w14:textFill>
                    </w:rPr>
                    <w:t>g/cm</w:t>
                  </w:r>
                  <w:r>
                    <w:rPr>
                      <w:rFonts w:ascii="Times New Roman" w:hAnsi="Times New Roman"/>
                      <w:color w:val="000000" w:themeColor="text1"/>
                      <w:kern w:val="0"/>
                      <w:szCs w:val="21"/>
                      <w:vertAlign w:val="superscript"/>
                      <w:lang w:bidi="ar"/>
                      <w14:textFill>
                        <w14:solidFill>
                          <w14:schemeClr w14:val="tx1"/>
                        </w14:solidFill>
                      </w14:textFill>
                    </w:rPr>
                    <w:t>3</w:t>
                  </w:r>
                </w:p>
              </w:tc>
              <w:tc>
                <w:tcPr>
                  <w:tcW w:w="1046" w:type="dxa"/>
                  <w:vAlign w:val="center"/>
                </w:tcPr>
                <w:p w14:paraId="31C9F122">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hint="eastAsia" w:ascii="Times New Roman" w:hAnsi="Times New Roman"/>
                      <w:color w:val="000000" w:themeColor="text1"/>
                      <w:kern w:val="0"/>
                      <w:szCs w:val="21"/>
                      <w:lang w:bidi="ar"/>
                      <w14:textFill>
                        <w14:solidFill>
                          <w14:schemeClr w14:val="tx1"/>
                        </w14:solidFill>
                      </w14:textFill>
                    </w:rPr>
                    <w:t>50</w:t>
                  </w:r>
                  <w:r>
                    <w:rPr>
                      <w:rFonts w:ascii="Times New Roman" w:hAnsi="Times New Roman"/>
                      <w:color w:val="000000" w:themeColor="text1"/>
                      <w:kern w:val="0"/>
                      <w:szCs w:val="21"/>
                      <w:lang w:bidi="ar"/>
                      <w14:textFill>
                        <w14:solidFill>
                          <w14:schemeClr w14:val="tx1"/>
                        </w14:solidFill>
                      </w14:textFill>
                    </w:rPr>
                    <w:t>μm</w:t>
                  </w:r>
                </w:p>
              </w:tc>
              <w:tc>
                <w:tcPr>
                  <w:tcW w:w="1233" w:type="dxa"/>
                  <w:vAlign w:val="center"/>
                </w:tcPr>
                <w:p w14:paraId="3E6A79E5">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17200</w:t>
                  </w:r>
                  <w:r>
                    <w:rPr>
                      <w:rFonts w:ascii="Times New Roman" w:hAnsi="Times New Roman"/>
                      <w:color w:val="000000" w:themeColor="text1"/>
                      <w:kern w:val="0"/>
                      <w:szCs w:val="21"/>
                      <w:lang w:bidi="ar"/>
                      <w14:textFill>
                        <w14:solidFill>
                          <w14:schemeClr w14:val="tx1"/>
                        </w14:solidFill>
                      </w14:textFill>
                    </w:rPr>
                    <w:t>m</w:t>
                  </w:r>
                  <w:r>
                    <w:rPr>
                      <w:rFonts w:ascii="Times New Roman" w:hAnsi="Times New Roman"/>
                      <w:color w:val="000000" w:themeColor="text1"/>
                      <w:kern w:val="0"/>
                      <w:szCs w:val="21"/>
                      <w:vertAlign w:val="superscript"/>
                      <w:lang w:bidi="ar"/>
                      <w14:textFill>
                        <w14:solidFill>
                          <w14:schemeClr w14:val="tx1"/>
                        </w14:solidFill>
                      </w14:textFill>
                    </w:rPr>
                    <w:t>2</w:t>
                  </w:r>
                </w:p>
              </w:tc>
              <w:tc>
                <w:tcPr>
                  <w:tcW w:w="1338" w:type="dxa"/>
                  <w:vAlign w:val="center"/>
                </w:tcPr>
                <w:p w14:paraId="75960D9A">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6</w:t>
                  </w:r>
                  <w:r>
                    <w:rPr>
                      <w:rFonts w:hint="eastAsia" w:ascii="Times New Roman" w:hAnsi="Times New Roman"/>
                      <w:color w:val="000000" w:themeColor="text1"/>
                      <w:kern w:val="0"/>
                      <w:szCs w:val="21"/>
                      <w:lang w:bidi="ar"/>
                      <w14:textFill>
                        <w14:solidFill>
                          <w14:schemeClr w14:val="tx1"/>
                        </w14:solidFill>
                      </w14:textFill>
                    </w:rPr>
                    <w:t>0</w:t>
                  </w:r>
                  <w:r>
                    <w:rPr>
                      <w:rFonts w:ascii="Times New Roman" w:hAnsi="Times New Roman"/>
                      <w:color w:val="000000" w:themeColor="text1"/>
                      <w:kern w:val="0"/>
                      <w:szCs w:val="21"/>
                      <w:lang w:bidi="ar"/>
                      <w14:textFill>
                        <w14:solidFill>
                          <w14:schemeClr w14:val="tx1"/>
                        </w14:solidFill>
                      </w14:textFill>
                    </w:rPr>
                    <w:t>%</w:t>
                  </w:r>
                </w:p>
              </w:tc>
              <w:tc>
                <w:tcPr>
                  <w:tcW w:w="889" w:type="dxa"/>
                  <w:vAlign w:val="center"/>
                </w:tcPr>
                <w:p w14:paraId="702A7CC6">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7</w:t>
                  </w:r>
                  <w:r>
                    <w:rPr>
                      <w:rFonts w:hint="eastAsia" w:ascii="Times New Roman" w:hAnsi="Times New Roman"/>
                      <w:color w:val="000000" w:themeColor="text1"/>
                      <w:kern w:val="0"/>
                      <w:szCs w:val="21"/>
                      <w:lang w:bidi="ar"/>
                      <w14:textFill>
                        <w14:solidFill>
                          <w14:schemeClr w14:val="tx1"/>
                        </w14:solidFill>
                      </w14:textFill>
                    </w:rPr>
                    <w:t>0</w:t>
                  </w:r>
                  <w:r>
                    <w:rPr>
                      <w:rFonts w:ascii="Times New Roman" w:hAnsi="Times New Roman"/>
                      <w:color w:val="000000" w:themeColor="text1"/>
                      <w:kern w:val="0"/>
                      <w:szCs w:val="21"/>
                      <w:lang w:bidi="ar"/>
                      <w14:textFill>
                        <w14:solidFill>
                          <w14:schemeClr w14:val="tx1"/>
                        </w14:solidFill>
                      </w14:textFill>
                    </w:rPr>
                    <w:t>%</w:t>
                  </w:r>
                </w:p>
              </w:tc>
              <w:tc>
                <w:tcPr>
                  <w:tcW w:w="943" w:type="dxa"/>
                  <w:vAlign w:val="center"/>
                </w:tcPr>
                <w:p w14:paraId="2C7E3DAE">
                  <w:pPr>
                    <w:adjustRightInd w:val="0"/>
                    <w:snapToGrid w:val="0"/>
                    <w:jc w:val="center"/>
                    <w:rPr>
                      <w:rFonts w:hint="default" w:ascii="Times New Roman" w:hAnsi="Times New Roman"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2.46</w:t>
                  </w:r>
                </w:p>
              </w:tc>
            </w:tr>
            <w:tr w14:paraId="553B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70" w:type="dxa"/>
                  <w:vAlign w:val="center"/>
                </w:tcPr>
                <w:p w14:paraId="484E0407">
                  <w:pPr>
                    <w:adjustRightInd w:val="0"/>
                    <w:snapToGrid w:val="0"/>
                    <w:jc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合计</w:t>
                  </w:r>
                </w:p>
              </w:tc>
              <w:tc>
                <w:tcPr>
                  <w:tcW w:w="968" w:type="dxa"/>
                  <w:vAlign w:val="center"/>
                </w:tcPr>
                <w:p w14:paraId="72CB227E">
                  <w:pPr>
                    <w:adjustRightInd w:val="0"/>
                    <w:snapToGrid w:val="0"/>
                    <w:jc w:val="center"/>
                    <w:rPr>
                      <w:rFonts w:ascii="Times New Roman" w:hAnsi="Times New Roman"/>
                      <w:color w:val="000000" w:themeColor="text1"/>
                      <w:kern w:val="0"/>
                      <w:szCs w:val="21"/>
                      <w:lang w:bidi="ar"/>
                      <w14:textFill>
                        <w14:solidFill>
                          <w14:schemeClr w14:val="tx1"/>
                        </w14:solidFill>
                      </w14:textFill>
                    </w:rPr>
                  </w:pPr>
                </w:p>
              </w:tc>
              <w:tc>
                <w:tcPr>
                  <w:tcW w:w="968" w:type="dxa"/>
                  <w:vAlign w:val="center"/>
                </w:tcPr>
                <w:p w14:paraId="08F39EBF">
                  <w:pPr>
                    <w:adjustRightInd w:val="0"/>
                    <w:snapToGrid w:val="0"/>
                    <w:jc w:val="center"/>
                    <w:rPr>
                      <w:rFonts w:ascii="Times New Roman" w:hAnsi="Times New Roman"/>
                      <w:color w:val="000000" w:themeColor="text1"/>
                      <w:kern w:val="0"/>
                      <w:szCs w:val="21"/>
                      <w:lang w:bidi="ar"/>
                      <w14:textFill>
                        <w14:solidFill>
                          <w14:schemeClr w14:val="tx1"/>
                        </w14:solidFill>
                      </w14:textFill>
                    </w:rPr>
                  </w:pPr>
                </w:p>
              </w:tc>
              <w:tc>
                <w:tcPr>
                  <w:tcW w:w="1046" w:type="dxa"/>
                  <w:vAlign w:val="center"/>
                </w:tcPr>
                <w:p w14:paraId="34A00507">
                  <w:pPr>
                    <w:adjustRightInd w:val="0"/>
                    <w:snapToGrid w:val="0"/>
                    <w:jc w:val="center"/>
                    <w:rPr>
                      <w:rFonts w:ascii="Times New Roman" w:hAnsi="Times New Roman"/>
                      <w:color w:val="000000" w:themeColor="text1"/>
                      <w:kern w:val="0"/>
                      <w:szCs w:val="21"/>
                      <w:lang w:bidi="ar"/>
                      <w14:textFill>
                        <w14:solidFill>
                          <w14:schemeClr w14:val="tx1"/>
                        </w14:solidFill>
                      </w14:textFill>
                    </w:rPr>
                  </w:pPr>
                </w:p>
              </w:tc>
              <w:tc>
                <w:tcPr>
                  <w:tcW w:w="1233" w:type="dxa"/>
                  <w:vAlign w:val="center"/>
                </w:tcPr>
                <w:p w14:paraId="62DDB697">
                  <w:pPr>
                    <w:adjustRightInd w:val="0"/>
                    <w:snapToGrid w:val="0"/>
                    <w:jc w:val="center"/>
                    <w:rPr>
                      <w:rFonts w:ascii="Times New Roman" w:hAnsi="Times New Roman"/>
                      <w:color w:val="000000" w:themeColor="text1"/>
                      <w:kern w:val="0"/>
                      <w:szCs w:val="21"/>
                      <w:lang w:bidi="ar"/>
                      <w14:textFill>
                        <w14:solidFill>
                          <w14:schemeClr w14:val="tx1"/>
                        </w14:solidFill>
                      </w14:textFill>
                    </w:rPr>
                  </w:pPr>
                </w:p>
              </w:tc>
              <w:tc>
                <w:tcPr>
                  <w:tcW w:w="1338" w:type="dxa"/>
                  <w:vAlign w:val="center"/>
                </w:tcPr>
                <w:p w14:paraId="652E2A55">
                  <w:pPr>
                    <w:adjustRightInd w:val="0"/>
                    <w:snapToGrid w:val="0"/>
                    <w:jc w:val="center"/>
                    <w:rPr>
                      <w:rFonts w:ascii="Times New Roman" w:hAnsi="Times New Roman"/>
                      <w:color w:val="000000" w:themeColor="text1"/>
                      <w:kern w:val="0"/>
                      <w:szCs w:val="21"/>
                      <w:lang w:bidi="ar"/>
                      <w14:textFill>
                        <w14:solidFill>
                          <w14:schemeClr w14:val="tx1"/>
                        </w14:solidFill>
                      </w14:textFill>
                    </w:rPr>
                  </w:pPr>
                </w:p>
              </w:tc>
              <w:tc>
                <w:tcPr>
                  <w:tcW w:w="889" w:type="dxa"/>
                  <w:vAlign w:val="center"/>
                </w:tcPr>
                <w:p w14:paraId="127E5B9B">
                  <w:pPr>
                    <w:adjustRightInd w:val="0"/>
                    <w:snapToGrid w:val="0"/>
                    <w:jc w:val="center"/>
                    <w:rPr>
                      <w:rFonts w:ascii="Times New Roman" w:hAnsi="Times New Roman"/>
                      <w:color w:val="000000" w:themeColor="text1"/>
                      <w:kern w:val="0"/>
                      <w:szCs w:val="21"/>
                      <w:lang w:bidi="ar"/>
                      <w14:textFill>
                        <w14:solidFill>
                          <w14:schemeClr w14:val="tx1"/>
                        </w14:solidFill>
                      </w14:textFill>
                    </w:rPr>
                  </w:pPr>
                </w:p>
              </w:tc>
              <w:tc>
                <w:tcPr>
                  <w:tcW w:w="943" w:type="dxa"/>
                  <w:shd w:val="clear" w:color="auto" w:fill="auto"/>
                  <w:vAlign w:val="bottom"/>
                </w:tcPr>
                <w:p w14:paraId="5A6BA924">
                  <w:pPr>
                    <w:adjustRightInd w:val="0"/>
                    <w:snapToGrid w:val="0"/>
                    <w:jc w:val="center"/>
                    <w:rPr>
                      <w:rFonts w:hint="default" w:ascii="Times New Roman" w:hAnsi="Times New Roman"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2.46</w:t>
                  </w:r>
                </w:p>
              </w:tc>
            </w:tr>
          </w:tbl>
          <w:p w14:paraId="3065A37A">
            <w:pPr>
              <w:spacing w:line="360" w:lineRule="auto"/>
              <w:ind w:firstLine="480" w:firstLineChars="200"/>
              <w:rPr>
                <w:rFonts w:ascii="Times New Roman" w:hAnsi="Times New Roman"/>
                <w:b/>
                <w:kern w:val="0"/>
                <w:sz w:val="24"/>
              </w:rPr>
            </w:pPr>
            <w:r>
              <w:rPr>
                <w:rFonts w:ascii="Times New Roman" w:hAnsi="Times New Roman"/>
                <w:bCs/>
                <w:kern w:val="0"/>
                <w:sz w:val="24"/>
              </w:rPr>
              <w:t>②</w:t>
            </w:r>
            <w:bookmarkStart w:id="14" w:name="OLE_LINK61"/>
            <w:r>
              <w:rPr>
                <w:rFonts w:ascii="Times New Roman" w:hAnsi="Times New Roman"/>
                <w:bCs/>
                <w:kern w:val="0"/>
                <w:sz w:val="24"/>
              </w:rPr>
              <w:t>面漆</w:t>
            </w:r>
          </w:p>
          <w:p w14:paraId="6934A2AF">
            <w:pPr>
              <w:spacing w:line="360" w:lineRule="auto"/>
              <w:ind w:firstLine="480" w:firstLineChars="200"/>
              <w:jc w:val="center"/>
              <w:rPr>
                <w:rFonts w:ascii="Times New Roman" w:hAnsi="Times New Roman"/>
                <w:b/>
                <w:kern w:val="0"/>
                <w:sz w:val="24"/>
              </w:rPr>
            </w:pPr>
            <w:r>
              <w:rPr>
                <w:rFonts w:ascii="Times New Roman" w:hAnsi="Times New Roman"/>
                <w:bCs/>
                <w:kern w:val="0"/>
                <w:sz w:val="24"/>
              </w:rPr>
              <w:t xml:space="preserve">项目喷漆房采用水性丙烯酸聚氨酯面漆表面喷涂1层环氧面漆，项目直接外购成品水性漆，无需调漆，项目底漆年用量采用以下公式进行核算： </w:t>
            </w:r>
            <w:r>
              <w:rPr>
                <w:rFonts w:ascii="Times New Roman" w:hAnsi="Times New Roman"/>
              </w:rPr>
              <w:drawing>
                <wp:inline distT="0" distB="0" distL="114300" distR="114300">
                  <wp:extent cx="2590800" cy="638175"/>
                  <wp:effectExtent l="0" t="0" r="0"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2"/>
                          <a:stretch>
                            <a:fillRect/>
                          </a:stretch>
                        </pic:blipFill>
                        <pic:spPr>
                          <a:xfrm>
                            <a:off x="0" y="0"/>
                            <a:ext cx="2590800" cy="638175"/>
                          </a:xfrm>
                          <a:prstGeom prst="rect">
                            <a:avLst/>
                          </a:prstGeom>
                          <a:noFill/>
                          <a:ln>
                            <a:noFill/>
                          </a:ln>
                        </pic:spPr>
                      </pic:pic>
                    </a:graphicData>
                  </a:graphic>
                </wp:inline>
              </w:drawing>
            </w:r>
          </w:p>
          <w:p w14:paraId="0B944B63">
            <w:pPr>
              <w:spacing w:line="360" w:lineRule="auto"/>
              <w:ind w:left="420" w:leftChars="200"/>
              <w:rPr>
                <w:rFonts w:ascii="Times New Roman" w:hAnsi="Times New Roman"/>
                <w:bCs/>
                <w:kern w:val="0"/>
                <w:sz w:val="24"/>
              </w:rPr>
            </w:pPr>
            <w:r>
              <w:rPr>
                <w:rFonts w:ascii="Times New Roman" w:hAnsi="Times New Roman"/>
                <w:bCs/>
                <w:kern w:val="0"/>
                <w:sz w:val="24"/>
              </w:rPr>
              <w:t xml:space="preserve">其中：m—面漆年用量（t/a）； </w:t>
            </w:r>
          </w:p>
          <w:p w14:paraId="1F813587">
            <w:pPr>
              <w:spacing w:line="360" w:lineRule="auto"/>
              <w:ind w:left="420" w:leftChars="200"/>
              <w:rPr>
                <w:rFonts w:ascii="Times New Roman" w:hAnsi="Times New Roman"/>
                <w:bCs/>
                <w:kern w:val="0"/>
                <w:sz w:val="24"/>
              </w:rPr>
            </w:pPr>
            <w:r>
              <w:rPr>
                <w:rFonts w:ascii="Times New Roman" w:hAnsi="Times New Roman"/>
                <w:bCs/>
                <w:kern w:val="0"/>
                <w:sz w:val="24"/>
              </w:rPr>
              <w:t>ρ—面漆密度（g/cm</w:t>
            </w:r>
            <w:r>
              <w:rPr>
                <w:rFonts w:ascii="Times New Roman" w:hAnsi="Times New Roman"/>
                <w:bCs/>
                <w:kern w:val="0"/>
                <w:sz w:val="24"/>
                <w:vertAlign w:val="superscript"/>
              </w:rPr>
              <w:t>3</w:t>
            </w:r>
            <w:r>
              <w:rPr>
                <w:rFonts w:ascii="Times New Roman" w:hAnsi="Times New Roman"/>
                <w:bCs/>
                <w:kern w:val="0"/>
                <w:sz w:val="24"/>
              </w:rPr>
              <w:t>），本项目面漆密度取</w:t>
            </w:r>
            <w:r>
              <w:rPr>
                <w:rFonts w:hint="eastAsia" w:ascii="Times New Roman" w:hAnsi="Times New Roman"/>
                <w:bCs/>
                <w:kern w:val="0"/>
                <w:sz w:val="24"/>
              </w:rPr>
              <w:t>1.4</w:t>
            </w:r>
            <w:r>
              <w:rPr>
                <w:rFonts w:ascii="Times New Roman" w:hAnsi="Times New Roman"/>
                <w:bCs/>
                <w:kern w:val="0"/>
                <w:sz w:val="24"/>
              </w:rPr>
              <w:t>g/cm</w:t>
            </w:r>
            <w:r>
              <w:rPr>
                <w:rFonts w:ascii="Times New Roman" w:hAnsi="Times New Roman"/>
                <w:bCs/>
                <w:kern w:val="0"/>
                <w:sz w:val="24"/>
                <w:vertAlign w:val="superscript"/>
              </w:rPr>
              <w:t>3</w:t>
            </w:r>
            <w:r>
              <w:rPr>
                <w:rFonts w:ascii="Times New Roman" w:hAnsi="Times New Roman"/>
                <w:bCs/>
                <w:kern w:val="0"/>
                <w:sz w:val="24"/>
              </w:rPr>
              <w:t xml:space="preserve">； </w:t>
            </w:r>
          </w:p>
          <w:p w14:paraId="35D9F704">
            <w:pPr>
              <w:spacing w:line="360" w:lineRule="auto"/>
              <w:ind w:left="420" w:leftChars="200"/>
              <w:rPr>
                <w:rFonts w:ascii="Times New Roman" w:hAnsi="Times New Roman"/>
                <w:bCs/>
                <w:kern w:val="0"/>
                <w:sz w:val="24"/>
              </w:rPr>
            </w:pPr>
            <w:r>
              <w:rPr>
                <w:rFonts w:ascii="Times New Roman" w:hAnsi="Times New Roman"/>
                <w:bCs/>
                <w:kern w:val="0"/>
                <w:sz w:val="24"/>
              </w:rPr>
              <w:t xml:space="preserve">δ—涂层厚度（μm）； </w:t>
            </w:r>
          </w:p>
          <w:p w14:paraId="5C59D805">
            <w:pPr>
              <w:spacing w:line="360" w:lineRule="auto"/>
              <w:ind w:left="420" w:leftChars="200"/>
              <w:rPr>
                <w:rFonts w:ascii="Times New Roman" w:hAnsi="Times New Roman"/>
                <w:bCs/>
                <w:kern w:val="0"/>
                <w:sz w:val="24"/>
              </w:rPr>
            </w:pPr>
            <w:r>
              <w:rPr>
                <w:rFonts w:ascii="Times New Roman" w:hAnsi="Times New Roman"/>
                <w:bCs/>
                <w:kern w:val="0"/>
                <w:sz w:val="24"/>
              </w:rPr>
              <w:t>s—喷涂总面积（m</w:t>
            </w:r>
            <w:r>
              <w:rPr>
                <w:rFonts w:ascii="Times New Roman" w:hAnsi="Times New Roman"/>
                <w:bCs/>
                <w:kern w:val="0"/>
                <w:sz w:val="24"/>
                <w:vertAlign w:val="superscript"/>
              </w:rPr>
              <w:t>2</w:t>
            </w:r>
            <w:r>
              <w:rPr>
                <w:rFonts w:ascii="Times New Roman" w:hAnsi="Times New Roman"/>
                <w:bCs/>
                <w:kern w:val="0"/>
                <w:sz w:val="24"/>
              </w:rPr>
              <w:t xml:space="preserve">/a）； </w:t>
            </w:r>
          </w:p>
          <w:p w14:paraId="3219F629">
            <w:pPr>
              <w:spacing w:line="360" w:lineRule="auto"/>
              <w:ind w:left="420" w:leftChars="200"/>
              <w:rPr>
                <w:rFonts w:ascii="Times New Roman" w:hAnsi="Times New Roman"/>
                <w:bCs/>
                <w:kern w:val="0"/>
                <w:sz w:val="24"/>
              </w:rPr>
            </w:pPr>
            <w:r>
              <w:rPr>
                <w:rFonts w:ascii="Times New Roman" w:hAnsi="Times New Roman"/>
                <w:bCs/>
                <w:kern w:val="0"/>
                <w:sz w:val="24"/>
              </w:rPr>
              <w:t xml:space="preserve">NV—面漆中（工作漆）的固体份（%）； </w:t>
            </w:r>
          </w:p>
          <w:p w14:paraId="6B7F1DDF">
            <w:pPr>
              <w:spacing w:line="360" w:lineRule="auto"/>
              <w:ind w:left="420" w:leftChars="200"/>
              <w:rPr>
                <w:rFonts w:ascii="Times New Roman" w:hAnsi="Times New Roman"/>
                <w:bCs/>
                <w:kern w:val="0"/>
                <w:sz w:val="24"/>
              </w:rPr>
            </w:pPr>
            <w:r>
              <w:rPr>
                <w:rFonts w:ascii="Times New Roman" w:hAnsi="Times New Roman"/>
                <w:bCs/>
                <w:kern w:val="0"/>
                <w:sz w:val="24"/>
              </w:rPr>
              <w:t xml:space="preserve">ε—上漆率（%）。 </w:t>
            </w:r>
          </w:p>
          <w:p w14:paraId="634A7AB6">
            <w:pPr>
              <w:pStyle w:val="5"/>
              <w:spacing w:before="10" w:after="10" w:line="360" w:lineRule="auto"/>
              <w:ind w:firstLine="480" w:firstLineChars="200"/>
              <w:rPr>
                <w:b/>
                <w:color w:val="000000"/>
                <w:szCs w:val="21"/>
              </w:rPr>
            </w:pPr>
            <w:r>
              <w:rPr>
                <w:rFonts w:eastAsia="宋体"/>
                <w:bCs/>
                <w:kern w:val="0"/>
                <w:sz w:val="24"/>
                <w:szCs w:val="24"/>
              </w:rPr>
              <w:t>根据实际生产要求，</w:t>
            </w:r>
            <w:r>
              <w:rPr>
                <w:bCs/>
                <w:kern w:val="0"/>
                <w:sz w:val="24"/>
                <w:szCs w:val="24"/>
              </w:rPr>
              <w:t>1</w:t>
            </w:r>
            <w:r>
              <w:rPr>
                <w:rFonts w:eastAsia="宋体"/>
                <w:bCs/>
                <w:kern w:val="0"/>
                <w:sz w:val="24"/>
                <w:szCs w:val="24"/>
              </w:rPr>
              <w:t>层面漆漆膜厚度约为</w:t>
            </w:r>
            <w:r>
              <w:rPr>
                <w:bCs/>
                <w:kern w:val="0"/>
                <w:sz w:val="24"/>
                <w:szCs w:val="24"/>
              </w:rPr>
              <w:t>40</w:t>
            </w:r>
            <w:r>
              <w:rPr>
                <w:rFonts w:eastAsia="宋体"/>
                <w:bCs/>
                <w:kern w:val="0"/>
                <w:sz w:val="24"/>
                <w:szCs w:val="24"/>
              </w:rPr>
              <w:t>μm。本项目喷漆距离保持在15-20cm之间，根据《涂装工艺与设备》（化学工业出版社），喷涂距离在15-20cm之间时，涂着效率约为65%-75%，本次环评喷面漆附着率取70%。</w:t>
            </w:r>
          </w:p>
          <w:bookmarkEnd w:id="14"/>
          <w:p w14:paraId="3A661140">
            <w:pPr>
              <w:spacing w:line="360" w:lineRule="auto"/>
              <w:ind w:firstLine="480" w:firstLineChars="200"/>
              <w:rPr>
                <w:rFonts w:ascii="Times New Roman" w:hAnsi="Times New Roman"/>
                <w:b/>
                <w:kern w:val="0"/>
                <w:sz w:val="24"/>
              </w:rPr>
            </w:pPr>
            <w:bookmarkStart w:id="15" w:name="OLE_LINK62"/>
            <w:r>
              <w:rPr>
                <w:rFonts w:ascii="Times New Roman" w:hAnsi="Times New Roman"/>
                <w:bCs/>
                <w:kern w:val="0"/>
                <w:sz w:val="24"/>
              </w:rPr>
              <w:t>本项目面漆年用量计算情况见表2-8。</w:t>
            </w:r>
          </w:p>
          <w:bookmarkEnd w:id="15"/>
          <w:p w14:paraId="437C274B">
            <w:pPr>
              <w:jc w:val="center"/>
              <w:rPr>
                <w:rFonts w:ascii="Times New Roman" w:hAnsi="Times New Roman"/>
                <w:b/>
                <w:color w:val="000000"/>
                <w:szCs w:val="21"/>
              </w:rPr>
            </w:pPr>
            <w:r>
              <w:rPr>
                <w:rFonts w:ascii="Times New Roman" w:hAnsi="Times New Roman"/>
                <w:b/>
                <w:color w:val="000000"/>
                <w:sz w:val="24"/>
              </w:rPr>
              <w:t xml:space="preserve">表2-8 </w:t>
            </w:r>
            <w:bookmarkStart w:id="16" w:name="OLE_LINK69"/>
            <w:r>
              <w:rPr>
                <w:rFonts w:ascii="Times New Roman" w:hAnsi="Times New Roman"/>
                <w:b/>
                <w:color w:val="000000"/>
                <w:sz w:val="24"/>
              </w:rPr>
              <w:t>项目面漆用量计算情况一览表</w:t>
            </w:r>
            <w:bookmarkEnd w:id="16"/>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68"/>
              <w:gridCol w:w="968"/>
              <w:gridCol w:w="1049"/>
              <w:gridCol w:w="1234"/>
              <w:gridCol w:w="1338"/>
              <w:gridCol w:w="888"/>
              <w:gridCol w:w="943"/>
            </w:tblGrid>
            <w:tr w14:paraId="5672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pct"/>
                  <w:shd w:val="clear" w:color="auto" w:fill="auto"/>
                  <w:vAlign w:val="center"/>
                </w:tcPr>
                <w:p w14:paraId="38754C16">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产品类别</w:t>
                  </w:r>
                </w:p>
              </w:tc>
              <w:tc>
                <w:tcPr>
                  <w:tcW w:w="579" w:type="pct"/>
                  <w:shd w:val="clear" w:color="auto" w:fill="auto"/>
                  <w:vAlign w:val="center"/>
                </w:tcPr>
                <w:p w14:paraId="14928FB8">
                  <w:pPr>
                    <w:adjustRightInd w:val="0"/>
                    <w:snapToGrid w:val="0"/>
                    <w:jc w:val="center"/>
                    <w:rPr>
                      <w:rFonts w:hint="eastAsia" w:ascii="Times New Roman" w:hAnsi="Times New Roman" w:eastAsia="宋体"/>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单位产品喷涂面积</w:t>
                  </w:r>
                </w:p>
              </w:tc>
              <w:tc>
                <w:tcPr>
                  <w:tcW w:w="579" w:type="pct"/>
                  <w:shd w:val="clear" w:color="auto" w:fill="auto"/>
                  <w:vAlign w:val="center"/>
                </w:tcPr>
                <w:p w14:paraId="4D0C1E61">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Ρ</w:t>
                  </w:r>
                  <w:r>
                    <w:rPr>
                      <w:rFonts w:hint="eastAsia"/>
                      <w:b/>
                      <w:bCs/>
                      <w:color w:val="000000" w:themeColor="text1"/>
                      <w:szCs w:val="21"/>
                      <w:lang w:eastAsia="zh-CN"/>
                      <w14:textFill>
                        <w14:solidFill>
                          <w14:schemeClr w14:val="tx1"/>
                        </w14:solidFill>
                      </w14:textFill>
                    </w:rPr>
                    <w:t>面漆</w:t>
                  </w:r>
                  <w:r>
                    <w:rPr>
                      <w:rFonts w:ascii="Times New Roman" w:hAnsi="Times New Roman"/>
                      <w:b/>
                      <w:bCs/>
                      <w:color w:val="000000" w:themeColor="text1"/>
                      <w:szCs w:val="21"/>
                      <w14:textFill>
                        <w14:solidFill>
                          <w14:schemeClr w14:val="tx1"/>
                        </w14:solidFill>
                      </w14:textFill>
                    </w:rPr>
                    <w:t>密度</w:t>
                  </w:r>
                </w:p>
              </w:tc>
              <w:tc>
                <w:tcPr>
                  <w:tcW w:w="627" w:type="pct"/>
                  <w:shd w:val="clear" w:color="auto" w:fill="auto"/>
                  <w:vAlign w:val="center"/>
                </w:tcPr>
                <w:p w14:paraId="595F70F3">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δ涂层厚度</w:t>
                  </w:r>
                </w:p>
              </w:tc>
              <w:tc>
                <w:tcPr>
                  <w:tcW w:w="738" w:type="pct"/>
                  <w:shd w:val="clear" w:color="auto" w:fill="auto"/>
                  <w:vAlign w:val="center"/>
                </w:tcPr>
                <w:p w14:paraId="1B878F57">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s喷涂总面积</w:t>
                  </w:r>
                </w:p>
              </w:tc>
              <w:tc>
                <w:tcPr>
                  <w:tcW w:w="800" w:type="pct"/>
                  <w:shd w:val="clear" w:color="auto" w:fill="auto"/>
                  <w:vAlign w:val="center"/>
                </w:tcPr>
                <w:p w14:paraId="63742B0E">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NV固体份含量</w:t>
                  </w:r>
                </w:p>
              </w:tc>
              <w:tc>
                <w:tcPr>
                  <w:tcW w:w="531" w:type="pct"/>
                  <w:shd w:val="clear" w:color="auto" w:fill="auto"/>
                  <w:vAlign w:val="center"/>
                </w:tcPr>
                <w:p w14:paraId="0E0A7BFB">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ε上漆率</w:t>
                  </w:r>
                </w:p>
              </w:tc>
              <w:tc>
                <w:tcPr>
                  <w:tcW w:w="564" w:type="pct"/>
                  <w:shd w:val="clear" w:color="auto" w:fill="auto"/>
                  <w:vAlign w:val="center"/>
                </w:tcPr>
                <w:p w14:paraId="650EAAFB">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面漆年用量</w:t>
                  </w:r>
                </w:p>
              </w:tc>
            </w:tr>
            <w:tr w14:paraId="2A74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pct"/>
                  <w:shd w:val="clear" w:color="auto" w:fill="auto"/>
                  <w:vAlign w:val="center"/>
                </w:tcPr>
                <w:p w14:paraId="26BC3C68">
                  <w:pPr>
                    <w:widowControl/>
                    <w:adjustRightInd w:val="0"/>
                    <w:snapToGrid w:val="0"/>
                    <w:jc w:val="center"/>
                    <w:textAlignment w:val="center"/>
                    <w:rPr>
                      <w:rFonts w:ascii="Times New Roman" w:hAnsi="Times New Roman"/>
                      <w:color w:val="000000" w:themeColor="text1"/>
                      <w:szCs w:val="21"/>
                      <w14:textFill>
                        <w14:solidFill>
                          <w14:schemeClr w14:val="tx1"/>
                        </w14:solidFill>
                      </w14:textFill>
                    </w:rPr>
                  </w:pPr>
                  <w:r>
                    <w:rPr>
                      <w:rFonts w:hint="eastAsia"/>
                      <w:sz w:val="21"/>
                      <w:szCs w:val="21"/>
                      <w:lang w:val="en-US" w:eastAsia="zh-CN"/>
                    </w:rPr>
                    <w:t>大型液压装备支架配件</w:t>
                  </w:r>
                </w:p>
              </w:tc>
              <w:tc>
                <w:tcPr>
                  <w:tcW w:w="579" w:type="pct"/>
                  <w:shd w:val="clear" w:color="auto" w:fill="auto"/>
                  <w:vAlign w:val="center"/>
                </w:tcPr>
                <w:p w14:paraId="4A6A3C90">
                  <w:pPr>
                    <w:adjustRightInd w:val="0"/>
                    <w:snapToGrid w:val="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17.2m</w:t>
                  </w:r>
                  <w:r>
                    <w:rPr>
                      <w:rFonts w:hint="eastAsia"/>
                      <w:color w:val="000000" w:themeColor="text1"/>
                      <w:kern w:val="0"/>
                      <w:szCs w:val="21"/>
                      <w:vertAlign w:val="superscript"/>
                      <w:lang w:val="en-US" w:eastAsia="zh-CN" w:bidi="ar"/>
                      <w14:textFill>
                        <w14:solidFill>
                          <w14:schemeClr w14:val="tx1"/>
                        </w14:solidFill>
                      </w14:textFill>
                    </w:rPr>
                    <w:t>2</w:t>
                  </w:r>
                  <w:r>
                    <w:rPr>
                      <w:rFonts w:hint="eastAsia"/>
                      <w:color w:val="000000" w:themeColor="text1"/>
                      <w:kern w:val="0"/>
                      <w:szCs w:val="21"/>
                      <w:lang w:val="en-US" w:eastAsia="zh-CN" w:bidi="ar"/>
                      <w14:textFill>
                        <w14:solidFill>
                          <w14:schemeClr w14:val="tx1"/>
                        </w14:solidFill>
                      </w14:textFill>
                    </w:rPr>
                    <w:t>/t</w:t>
                  </w:r>
                </w:p>
              </w:tc>
              <w:tc>
                <w:tcPr>
                  <w:tcW w:w="579" w:type="pct"/>
                  <w:shd w:val="clear" w:color="auto" w:fill="auto"/>
                  <w:vAlign w:val="center"/>
                </w:tcPr>
                <w:p w14:paraId="13A96DE5">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1.4g/cm</w:t>
                  </w:r>
                  <w:r>
                    <w:rPr>
                      <w:rFonts w:ascii="Times New Roman" w:hAnsi="Times New Roman"/>
                      <w:color w:val="000000" w:themeColor="text1"/>
                      <w:kern w:val="0"/>
                      <w:szCs w:val="21"/>
                      <w:vertAlign w:val="superscript"/>
                      <w:lang w:bidi="ar"/>
                      <w14:textFill>
                        <w14:solidFill>
                          <w14:schemeClr w14:val="tx1"/>
                        </w14:solidFill>
                      </w14:textFill>
                    </w:rPr>
                    <w:t>3</w:t>
                  </w:r>
                </w:p>
              </w:tc>
              <w:tc>
                <w:tcPr>
                  <w:tcW w:w="627" w:type="pct"/>
                  <w:shd w:val="clear" w:color="auto" w:fill="auto"/>
                  <w:vAlign w:val="center"/>
                </w:tcPr>
                <w:p w14:paraId="416EF826">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40μm</w:t>
                  </w:r>
                </w:p>
              </w:tc>
              <w:tc>
                <w:tcPr>
                  <w:tcW w:w="738" w:type="pct"/>
                  <w:shd w:val="clear" w:color="auto" w:fill="auto"/>
                  <w:vAlign w:val="center"/>
                </w:tcPr>
                <w:p w14:paraId="4DE11AFE">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17200</w:t>
                  </w:r>
                  <w:r>
                    <w:rPr>
                      <w:rFonts w:ascii="Times New Roman" w:hAnsi="Times New Roman"/>
                      <w:color w:val="000000" w:themeColor="text1"/>
                      <w:kern w:val="0"/>
                      <w:szCs w:val="21"/>
                      <w:lang w:bidi="ar"/>
                      <w14:textFill>
                        <w14:solidFill>
                          <w14:schemeClr w14:val="tx1"/>
                        </w14:solidFill>
                      </w14:textFill>
                    </w:rPr>
                    <w:t>m</w:t>
                  </w:r>
                  <w:r>
                    <w:rPr>
                      <w:rFonts w:ascii="Times New Roman" w:hAnsi="Times New Roman"/>
                      <w:color w:val="000000" w:themeColor="text1"/>
                      <w:kern w:val="0"/>
                      <w:szCs w:val="21"/>
                      <w:vertAlign w:val="superscript"/>
                      <w:lang w:bidi="ar"/>
                      <w14:textFill>
                        <w14:solidFill>
                          <w14:schemeClr w14:val="tx1"/>
                        </w14:solidFill>
                      </w14:textFill>
                    </w:rPr>
                    <w:t>2</w:t>
                  </w:r>
                </w:p>
              </w:tc>
              <w:tc>
                <w:tcPr>
                  <w:tcW w:w="800" w:type="pct"/>
                  <w:shd w:val="clear" w:color="auto" w:fill="auto"/>
                  <w:vAlign w:val="center"/>
                </w:tcPr>
                <w:p w14:paraId="73A0F8D9">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65%</w:t>
                  </w:r>
                </w:p>
              </w:tc>
              <w:tc>
                <w:tcPr>
                  <w:tcW w:w="531" w:type="pct"/>
                  <w:shd w:val="clear" w:color="auto" w:fill="auto"/>
                  <w:vAlign w:val="center"/>
                </w:tcPr>
                <w:p w14:paraId="784FFD61">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70%</w:t>
                  </w:r>
                </w:p>
              </w:tc>
              <w:tc>
                <w:tcPr>
                  <w:tcW w:w="564" w:type="pct"/>
                  <w:shd w:val="clear" w:color="auto" w:fill="auto"/>
                  <w:vAlign w:val="center"/>
                </w:tcPr>
                <w:p w14:paraId="3CE6BCB6">
                  <w:pPr>
                    <w:adjustRightInd w:val="0"/>
                    <w:snapToGrid w:val="0"/>
                    <w:jc w:val="center"/>
                    <w:rPr>
                      <w:rFonts w:hint="default" w:ascii="Times New Roman" w:hAnsi="Times New Roman"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2.12</w:t>
                  </w:r>
                </w:p>
              </w:tc>
            </w:tr>
            <w:tr w14:paraId="2A03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pct"/>
                  <w:shd w:val="clear" w:color="auto" w:fill="auto"/>
                  <w:vAlign w:val="center"/>
                </w:tcPr>
                <w:p w14:paraId="320EFB76">
                  <w:pPr>
                    <w:widowControl/>
                    <w:adjustRightInd w:val="0"/>
                    <w:snapToGrid w:val="0"/>
                    <w:jc w:val="center"/>
                    <w:textAlignment w:val="center"/>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合计</w:t>
                  </w:r>
                </w:p>
              </w:tc>
              <w:tc>
                <w:tcPr>
                  <w:tcW w:w="579" w:type="pct"/>
                  <w:shd w:val="clear" w:color="auto" w:fill="auto"/>
                  <w:vAlign w:val="center"/>
                </w:tcPr>
                <w:p w14:paraId="7597B4DB">
                  <w:pPr>
                    <w:adjustRightInd w:val="0"/>
                    <w:snapToGrid w:val="0"/>
                    <w:jc w:val="center"/>
                    <w:rPr>
                      <w:rFonts w:ascii="Times New Roman" w:hAnsi="Times New Roman"/>
                      <w:color w:val="000000" w:themeColor="text1"/>
                      <w:szCs w:val="21"/>
                      <w14:textFill>
                        <w14:solidFill>
                          <w14:schemeClr w14:val="tx1"/>
                        </w14:solidFill>
                      </w14:textFill>
                    </w:rPr>
                  </w:pPr>
                </w:p>
              </w:tc>
              <w:tc>
                <w:tcPr>
                  <w:tcW w:w="579" w:type="pct"/>
                  <w:shd w:val="clear" w:color="auto" w:fill="auto"/>
                  <w:vAlign w:val="center"/>
                </w:tcPr>
                <w:p w14:paraId="4DEB9A05">
                  <w:pPr>
                    <w:adjustRightInd w:val="0"/>
                    <w:snapToGrid w:val="0"/>
                    <w:jc w:val="center"/>
                    <w:rPr>
                      <w:rFonts w:ascii="Times New Roman" w:hAnsi="Times New Roman"/>
                      <w:color w:val="000000" w:themeColor="text1"/>
                      <w:szCs w:val="21"/>
                      <w14:textFill>
                        <w14:solidFill>
                          <w14:schemeClr w14:val="tx1"/>
                        </w14:solidFill>
                      </w14:textFill>
                    </w:rPr>
                  </w:pPr>
                </w:p>
              </w:tc>
              <w:tc>
                <w:tcPr>
                  <w:tcW w:w="627" w:type="pct"/>
                  <w:shd w:val="clear" w:color="auto" w:fill="auto"/>
                  <w:vAlign w:val="center"/>
                </w:tcPr>
                <w:p w14:paraId="7BE750E2">
                  <w:pPr>
                    <w:adjustRightInd w:val="0"/>
                    <w:snapToGrid w:val="0"/>
                    <w:jc w:val="center"/>
                    <w:rPr>
                      <w:rFonts w:ascii="Times New Roman" w:hAnsi="Times New Roman"/>
                      <w:color w:val="000000" w:themeColor="text1"/>
                      <w:szCs w:val="21"/>
                      <w14:textFill>
                        <w14:solidFill>
                          <w14:schemeClr w14:val="tx1"/>
                        </w14:solidFill>
                      </w14:textFill>
                    </w:rPr>
                  </w:pPr>
                </w:p>
              </w:tc>
              <w:tc>
                <w:tcPr>
                  <w:tcW w:w="738" w:type="pct"/>
                  <w:shd w:val="clear" w:color="auto" w:fill="auto"/>
                  <w:vAlign w:val="center"/>
                </w:tcPr>
                <w:p w14:paraId="32776256">
                  <w:pPr>
                    <w:adjustRightInd w:val="0"/>
                    <w:snapToGrid w:val="0"/>
                    <w:jc w:val="center"/>
                    <w:rPr>
                      <w:rFonts w:ascii="Times New Roman" w:hAnsi="Times New Roman"/>
                      <w:color w:val="000000" w:themeColor="text1"/>
                      <w:szCs w:val="21"/>
                      <w14:textFill>
                        <w14:solidFill>
                          <w14:schemeClr w14:val="tx1"/>
                        </w14:solidFill>
                      </w14:textFill>
                    </w:rPr>
                  </w:pPr>
                </w:p>
              </w:tc>
              <w:tc>
                <w:tcPr>
                  <w:tcW w:w="800" w:type="pct"/>
                  <w:shd w:val="clear" w:color="auto" w:fill="auto"/>
                  <w:vAlign w:val="center"/>
                </w:tcPr>
                <w:p w14:paraId="37CBE580">
                  <w:pPr>
                    <w:adjustRightInd w:val="0"/>
                    <w:snapToGrid w:val="0"/>
                    <w:jc w:val="center"/>
                    <w:rPr>
                      <w:rFonts w:ascii="Times New Roman" w:hAnsi="Times New Roman"/>
                      <w:color w:val="000000" w:themeColor="text1"/>
                      <w:szCs w:val="21"/>
                      <w14:textFill>
                        <w14:solidFill>
                          <w14:schemeClr w14:val="tx1"/>
                        </w14:solidFill>
                      </w14:textFill>
                    </w:rPr>
                  </w:pPr>
                </w:p>
              </w:tc>
              <w:tc>
                <w:tcPr>
                  <w:tcW w:w="531" w:type="pct"/>
                  <w:shd w:val="clear" w:color="auto" w:fill="auto"/>
                  <w:vAlign w:val="center"/>
                </w:tcPr>
                <w:p w14:paraId="49FB62D2">
                  <w:pPr>
                    <w:adjustRightInd w:val="0"/>
                    <w:snapToGrid w:val="0"/>
                    <w:jc w:val="center"/>
                    <w:rPr>
                      <w:rFonts w:ascii="Times New Roman" w:hAnsi="Times New Roman"/>
                      <w:color w:val="000000" w:themeColor="text1"/>
                      <w:szCs w:val="21"/>
                      <w14:textFill>
                        <w14:solidFill>
                          <w14:schemeClr w14:val="tx1"/>
                        </w14:solidFill>
                      </w14:textFill>
                    </w:rPr>
                  </w:pPr>
                </w:p>
              </w:tc>
              <w:tc>
                <w:tcPr>
                  <w:tcW w:w="564" w:type="pct"/>
                  <w:shd w:val="clear" w:color="auto" w:fill="auto"/>
                  <w:vAlign w:val="center"/>
                </w:tcPr>
                <w:p w14:paraId="34B54BAB">
                  <w:pPr>
                    <w:adjustRightInd w:val="0"/>
                    <w:snapToGrid w:val="0"/>
                    <w:jc w:val="center"/>
                    <w:rPr>
                      <w:rFonts w:hint="default" w:ascii="Times New Roman" w:hAnsi="Times New Roman"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2.12</w:t>
                  </w:r>
                </w:p>
              </w:tc>
            </w:tr>
          </w:tbl>
          <w:p w14:paraId="24ACC313">
            <w:pPr>
              <w:pStyle w:val="66"/>
              <w:ind w:firstLine="480"/>
            </w:pPr>
            <w:r>
              <w:t>工件在喷漆、自然晾干阶段会产生一定量的有机废气，有机废气在喷漆区、自然晾干区的产生量所占比例</w:t>
            </w:r>
            <w:r>
              <w:rPr>
                <w:b w:val="0"/>
                <w:bCs w:val="0"/>
              </w:rPr>
              <w:t>参照</w:t>
            </w:r>
            <w:r>
              <w:t>《环境影响评价中喷涂工序主要大气污染物排放量的确定马君贤鞍山市环境保护研究所鞍山114003》：“四、空气喷涂污染源源强确定：喷涂过程中在喷漆、晾干（或自然晾干）时产生的挥发性有机溶剂挥发性与涂料性质及操作条件有关，一般情况下，喷漆单元产生的有机溶剂挥发量和自然晾干单元产生的有机溶剂挥发量各占喷涂过程中产生总有机溶剂挥发量的50%。喷漆单元有机溶剂挥发主要发生在喷涂过程及喷完部位（边喷漆边流平），晾干单元有机溶剂挥发90%发生是在进入晾干室后10分钟内，后续时间的挥发量很小。</w:t>
            </w:r>
          </w:p>
          <w:p w14:paraId="12C46567">
            <w:pPr>
              <w:spacing w:line="360" w:lineRule="auto"/>
              <w:ind w:firstLine="480" w:firstLineChars="200"/>
              <w:rPr>
                <w:rFonts w:ascii="Times New Roman" w:hAnsi="Times New Roman"/>
                <w:bCs/>
                <w:sz w:val="24"/>
              </w:rPr>
            </w:pPr>
            <w:r>
              <w:rPr>
                <w:rFonts w:ascii="Times New Roman" w:hAnsi="Times New Roman"/>
                <w:bCs/>
                <w:sz w:val="24"/>
              </w:rPr>
              <w:t>有机废气在喷漆、自然晾干工段的废气量大约的比例见表</w:t>
            </w:r>
            <w:r>
              <w:rPr>
                <w:rFonts w:ascii="Times New Roman" w:hAnsi="Times New Roman"/>
                <w:bCs/>
                <w:color w:val="000000" w:themeColor="text1"/>
                <w:sz w:val="24"/>
                <w14:textFill>
                  <w14:solidFill>
                    <w14:schemeClr w14:val="tx1"/>
                  </w14:solidFill>
                </w14:textFill>
              </w:rPr>
              <w:t>2-9。</w:t>
            </w:r>
          </w:p>
          <w:p w14:paraId="1372EE6C">
            <w:pPr>
              <w:jc w:val="center"/>
              <w:rPr>
                <w:rFonts w:ascii="Times New Roman" w:hAnsi="Times New Roman"/>
                <w:b/>
                <w:sz w:val="24"/>
              </w:rPr>
            </w:pPr>
            <w:r>
              <w:rPr>
                <w:rFonts w:ascii="Times New Roman" w:hAnsi="Times New Roman"/>
                <w:b/>
                <w:sz w:val="24"/>
              </w:rPr>
              <w:t>表2-9 有机废气在喷漆、自然晾干工段的废气量大约的比例</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573"/>
              <w:gridCol w:w="5212"/>
            </w:tblGrid>
            <w:tr w14:paraId="5E3C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pct"/>
                  <w:vMerge w:val="restart"/>
                  <w:vAlign w:val="center"/>
                </w:tcPr>
                <w:p w14:paraId="3B315C15">
                  <w:pPr>
                    <w:jc w:val="center"/>
                    <w:rPr>
                      <w:rFonts w:ascii="Times New Roman" w:hAnsi="Times New Roman"/>
                      <w:bCs/>
                      <w:szCs w:val="21"/>
                    </w:rPr>
                  </w:pPr>
                  <w:r>
                    <w:rPr>
                      <w:rFonts w:ascii="Times New Roman" w:hAnsi="Times New Roman"/>
                      <w:bCs/>
                      <w:szCs w:val="21"/>
                    </w:rPr>
                    <w:t>项目</w:t>
                  </w:r>
                </w:p>
              </w:tc>
              <w:tc>
                <w:tcPr>
                  <w:tcW w:w="4058" w:type="pct"/>
                  <w:gridSpan w:val="2"/>
                  <w:vAlign w:val="center"/>
                </w:tcPr>
                <w:p w14:paraId="6FA669F7">
                  <w:pPr>
                    <w:jc w:val="center"/>
                    <w:rPr>
                      <w:rFonts w:ascii="Times New Roman" w:hAnsi="Times New Roman"/>
                      <w:bCs/>
                      <w:szCs w:val="21"/>
                    </w:rPr>
                  </w:pPr>
                  <w:r>
                    <w:rPr>
                      <w:rFonts w:ascii="Times New Roman" w:hAnsi="Times New Roman"/>
                      <w:bCs/>
                      <w:szCs w:val="21"/>
                    </w:rPr>
                    <w:t>喷漆及自然晾干</w:t>
                  </w:r>
                </w:p>
              </w:tc>
            </w:tr>
            <w:tr w14:paraId="5384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pct"/>
                  <w:vMerge w:val="continue"/>
                  <w:vAlign w:val="center"/>
                </w:tcPr>
                <w:p w14:paraId="45DE406E">
                  <w:pPr>
                    <w:jc w:val="center"/>
                    <w:rPr>
                      <w:rFonts w:ascii="Times New Roman" w:hAnsi="Times New Roman"/>
                      <w:bCs/>
                      <w:szCs w:val="21"/>
                    </w:rPr>
                  </w:pPr>
                </w:p>
              </w:tc>
              <w:tc>
                <w:tcPr>
                  <w:tcW w:w="941" w:type="pct"/>
                  <w:vAlign w:val="center"/>
                </w:tcPr>
                <w:p w14:paraId="7A5A90A0">
                  <w:pPr>
                    <w:jc w:val="center"/>
                    <w:rPr>
                      <w:rFonts w:ascii="Times New Roman" w:hAnsi="Times New Roman"/>
                      <w:bCs/>
                      <w:szCs w:val="21"/>
                    </w:rPr>
                  </w:pPr>
                  <w:r>
                    <w:rPr>
                      <w:rFonts w:ascii="Times New Roman" w:hAnsi="Times New Roman"/>
                      <w:bCs/>
                      <w:szCs w:val="21"/>
                    </w:rPr>
                    <w:t>喷漆</w:t>
                  </w:r>
                </w:p>
              </w:tc>
              <w:tc>
                <w:tcPr>
                  <w:tcW w:w="3117" w:type="pct"/>
                  <w:vAlign w:val="center"/>
                </w:tcPr>
                <w:p w14:paraId="7F6B5410">
                  <w:pPr>
                    <w:jc w:val="center"/>
                    <w:rPr>
                      <w:rFonts w:ascii="Times New Roman" w:hAnsi="Times New Roman"/>
                      <w:bCs/>
                      <w:szCs w:val="21"/>
                    </w:rPr>
                  </w:pPr>
                  <w:r>
                    <w:rPr>
                      <w:rFonts w:ascii="Times New Roman" w:hAnsi="Times New Roman"/>
                      <w:bCs/>
                      <w:szCs w:val="21"/>
                    </w:rPr>
                    <w:t>自然晾干</w:t>
                  </w:r>
                </w:p>
              </w:tc>
            </w:tr>
            <w:tr w14:paraId="4538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pct"/>
                  <w:vAlign w:val="center"/>
                </w:tcPr>
                <w:p w14:paraId="2F62928F">
                  <w:pPr>
                    <w:jc w:val="center"/>
                    <w:rPr>
                      <w:rFonts w:ascii="Times New Roman" w:hAnsi="Times New Roman"/>
                      <w:bCs/>
                      <w:szCs w:val="21"/>
                    </w:rPr>
                  </w:pPr>
                  <w:r>
                    <w:rPr>
                      <w:rFonts w:ascii="Times New Roman" w:hAnsi="Times New Roman"/>
                      <w:bCs/>
                      <w:szCs w:val="21"/>
                    </w:rPr>
                    <w:t>比例</w:t>
                  </w:r>
                </w:p>
              </w:tc>
              <w:tc>
                <w:tcPr>
                  <w:tcW w:w="941" w:type="pct"/>
                  <w:vAlign w:val="center"/>
                </w:tcPr>
                <w:p w14:paraId="739D535C">
                  <w:pPr>
                    <w:jc w:val="center"/>
                    <w:rPr>
                      <w:rFonts w:ascii="Times New Roman" w:hAnsi="Times New Roman"/>
                      <w:bCs/>
                      <w:szCs w:val="21"/>
                    </w:rPr>
                  </w:pPr>
                  <w:r>
                    <w:rPr>
                      <w:rFonts w:ascii="Times New Roman" w:hAnsi="Times New Roman"/>
                      <w:bCs/>
                      <w:szCs w:val="21"/>
                    </w:rPr>
                    <w:t>50%</w:t>
                  </w:r>
                </w:p>
              </w:tc>
              <w:tc>
                <w:tcPr>
                  <w:tcW w:w="3117" w:type="pct"/>
                  <w:vAlign w:val="center"/>
                </w:tcPr>
                <w:p w14:paraId="7593E156">
                  <w:pPr>
                    <w:jc w:val="center"/>
                    <w:rPr>
                      <w:rFonts w:ascii="Times New Roman" w:hAnsi="Times New Roman"/>
                      <w:bCs/>
                      <w:szCs w:val="21"/>
                    </w:rPr>
                  </w:pPr>
                  <w:r>
                    <w:rPr>
                      <w:rFonts w:ascii="Times New Roman" w:hAnsi="Times New Roman"/>
                      <w:bCs/>
                      <w:szCs w:val="21"/>
                    </w:rPr>
                    <w:t>50%</w:t>
                  </w:r>
                </w:p>
              </w:tc>
            </w:tr>
          </w:tbl>
          <w:p w14:paraId="26E918C0">
            <w:pPr>
              <w:spacing w:line="360" w:lineRule="auto"/>
              <w:ind w:firstLine="480" w:firstLineChars="200"/>
              <w:rPr>
                <w:rFonts w:ascii="Times New Roman" w:hAnsi="Times New Roman"/>
                <w:sz w:val="24"/>
              </w:rPr>
            </w:pPr>
            <w:r>
              <w:rPr>
                <w:rFonts w:ascii="Times New Roman" w:hAnsi="Times New Roman"/>
                <w:sz w:val="24"/>
              </w:rPr>
              <w:t>根据项目的生产工艺特征、水性环氧树脂底漆和水性丙烯酸聚氨酯面漆的成分，本次环评对涂装工艺过程中的漆雾、非甲烷总烃进行物料平衡计算。</w:t>
            </w:r>
          </w:p>
          <w:p w14:paraId="57674F1F">
            <w:pPr>
              <w:tabs>
                <w:tab w:val="left" w:pos="2340"/>
                <w:tab w:val="left" w:pos="4320"/>
              </w:tabs>
              <w:spacing w:line="360" w:lineRule="auto"/>
              <w:ind w:firstLine="480" w:firstLineChars="200"/>
              <w:jc w:val="left"/>
              <w:rPr>
                <w:rFonts w:ascii="Times New Roman" w:hAnsi="Times New Roman"/>
                <w:sz w:val="28"/>
                <w:szCs w:val="28"/>
              </w:rPr>
            </w:pPr>
            <w:r>
              <w:rPr>
                <w:rFonts w:ascii="Times New Roman" w:hAnsi="Times New Roman"/>
                <w:sz w:val="24"/>
              </w:rPr>
              <w:t>水性环氧树脂底漆和水性丙烯酸聚氨酯面漆主要成分及其含量一览表见表2-10和表2-11。</w:t>
            </w:r>
          </w:p>
          <w:p w14:paraId="31533C24">
            <w:pPr>
              <w:jc w:val="center"/>
              <w:rPr>
                <w:rFonts w:ascii="Times New Roman" w:hAnsi="Times New Roman"/>
                <w:b/>
                <w:bCs/>
                <w:sz w:val="24"/>
              </w:rPr>
            </w:pPr>
            <w:r>
              <w:rPr>
                <w:rFonts w:ascii="Times New Roman" w:hAnsi="Times New Roman"/>
                <w:b/>
                <w:bCs/>
                <w:sz w:val="24"/>
              </w:rPr>
              <w:t>表2-10  水性环氧树脂底漆主要成分及其含量一览表  单位：t/a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983"/>
              <w:gridCol w:w="1554"/>
              <w:gridCol w:w="1045"/>
              <w:gridCol w:w="1868"/>
              <w:gridCol w:w="962"/>
            </w:tblGrid>
            <w:tr w14:paraId="136D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pct"/>
                  <w:vAlign w:val="center"/>
                </w:tcPr>
                <w:p w14:paraId="61370FC9">
                  <w:pPr>
                    <w:jc w:val="center"/>
                    <w:rPr>
                      <w:rFonts w:ascii="Times New Roman" w:hAnsi="Times New Roman"/>
                      <w:b/>
                      <w:szCs w:val="21"/>
                    </w:rPr>
                  </w:pPr>
                  <w:r>
                    <w:rPr>
                      <w:rFonts w:ascii="Times New Roman" w:hAnsi="Times New Roman"/>
                      <w:b/>
                      <w:szCs w:val="21"/>
                    </w:rPr>
                    <w:t>名称</w:t>
                  </w:r>
                </w:p>
              </w:tc>
              <w:tc>
                <w:tcPr>
                  <w:tcW w:w="588" w:type="pct"/>
                  <w:vAlign w:val="center"/>
                </w:tcPr>
                <w:p w14:paraId="186582A4">
                  <w:pPr>
                    <w:jc w:val="center"/>
                    <w:rPr>
                      <w:rFonts w:ascii="Times New Roman" w:hAnsi="Times New Roman"/>
                      <w:b/>
                      <w:szCs w:val="21"/>
                    </w:rPr>
                  </w:pPr>
                  <w:r>
                    <w:rPr>
                      <w:rFonts w:ascii="Times New Roman" w:hAnsi="Times New Roman"/>
                      <w:b/>
                      <w:szCs w:val="21"/>
                    </w:rPr>
                    <w:t>年用量</w:t>
                  </w:r>
                </w:p>
              </w:tc>
              <w:tc>
                <w:tcPr>
                  <w:tcW w:w="929" w:type="pct"/>
                  <w:vAlign w:val="center"/>
                </w:tcPr>
                <w:p w14:paraId="09518148">
                  <w:pPr>
                    <w:jc w:val="center"/>
                    <w:rPr>
                      <w:rFonts w:ascii="Times New Roman" w:hAnsi="Times New Roman"/>
                      <w:b/>
                      <w:szCs w:val="21"/>
                    </w:rPr>
                  </w:pPr>
                  <w:r>
                    <w:rPr>
                      <w:rFonts w:ascii="Times New Roman" w:hAnsi="Times New Roman"/>
                      <w:b/>
                      <w:szCs w:val="21"/>
                    </w:rPr>
                    <w:t>成分</w:t>
                  </w:r>
                </w:p>
              </w:tc>
              <w:tc>
                <w:tcPr>
                  <w:tcW w:w="625" w:type="pct"/>
                  <w:vAlign w:val="center"/>
                </w:tcPr>
                <w:p w14:paraId="16D9675F">
                  <w:pPr>
                    <w:jc w:val="center"/>
                    <w:rPr>
                      <w:rFonts w:ascii="Times New Roman" w:hAnsi="Times New Roman"/>
                      <w:b/>
                      <w:szCs w:val="21"/>
                    </w:rPr>
                  </w:pPr>
                  <w:r>
                    <w:rPr>
                      <w:rFonts w:ascii="Times New Roman" w:hAnsi="Times New Roman"/>
                      <w:b/>
                      <w:szCs w:val="21"/>
                    </w:rPr>
                    <w:t>比例%</w:t>
                  </w:r>
                </w:p>
              </w:tc>
              <w:tc>
                <w:tcPr>
                  <w:tcW w:w="1117" w:type="pct"/>
                  <w:vAlign w:val="center"/>
                </w:tcPr>
                <w:p w14:paraId="2D5F748A">
                  <w:pPr>
                    <w:jc w:val="center"/>
                    <w:rPr>
                      <w:rFonts w:ascii="Times New Roman" w:hAnsi="Times New Roman"/>
                      <w:b/>
                      <w:szCs w:val="21"/>
                    </w:rPr>
                  </w:pPr>
                  <w:r>
                    <w:rPr>
                      <w:rFonts w:ascii="Times New Roman" w:hAnsi="Times New Roman"/>
                      <w:b/>
                      <w:szCs w:val="21"/>
                    </w:rPr>
                    <w:t>含量</w:t>
                  </w:r>
                </w:p>
              </w:tc>
              <w:tc>
                <w:tcPr>
                  <w:tcW w:w="575" w:type="pct"/>
                  <w:vAlign w:val="center"/>
                </w:tcPr>
                <w:p w14:paraId="4206A17B">
                  <w:pPr>
                    <w:jc w:val="center"/>
                    <w:rPr>
                      <w:rFonts w:ascii="Times New Roman" w:hAnsi="Times New Roman"/>
                      <w:b/>
                      <w:szCs w:val="21"/>
                    </w:rPr>
                  </w:pPr>
                  <w:r>
                    <w:rPr>
                      <w:rFonts w:ascii="Times New Roman" w:hAnsi="Times New Roman"/>
                      <w:b/>
                      <w:szCs w:val="21"/>
                    </w:rPr>
                    <w:t>备注</w:t>
                  </w:r>
                </w:p>
              </w:tc>
            </w:tr>
            <w:tr w14:paraId="3666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pct"/>
                  <w:vMerge w:val="restart"/>
                  <w:vAlign w:val="center"/>
                </w:tcPr>
                <w:p w14:paraId="774D7FAF">
                  <w:pPr>
                    <w:jc w:val="center"/>
                    <w:rPr>
                      <w:rFonts w:ascii="Times New Roman" w:hAnsi="Times New Roman"/>
                      <w:bCs/>
                      <w:szCs w:val="21"/>
                    </w:rPr>
                  </w:pPr>
                  <w:r>
                    <w:rPr>
                      <w:rFonts w:ascii="Times New Roman" w:hAnsi="Times New Roman"/>
                      <w:szCs w:val="21"/>
                    </w:rPr>
                    <w:t>水性环氧树脂底漆</w:t>
                  </w:r>
                </w:p>
              </w:tc>
              <w:tc>
                <w:tcPr>
                  <w:tcW w:w="911" w:type="dxa"/>
                  <w:vMerge w:val="restart"/>
                  <w:vAlign w:val="center"/>
                </w:tcPr>
                <w:p w14:paraId="73284313">
                  <w:pPr>
                    <w:jc w:val="center"/>
                    <w:rPr>
                      <w:rFonts w:hint="default" w:ascii="Times New Roman" w:hAnsi="Times New Roman" w:eastAsia="宋体"/>
                      <w:bCs/>
                      <w:szCs w:val="21"/>
                      <w:lang w:val="en-US" w:eastAsia="zh-CN"/>
                    </w:rPr>
                  </w:pPr>
                  <w:r>
                    <w:rPr>
                      <w:rFonts w:hint="eastAsia"/>
                      <w:bCs/>
                      <w:szCs w:val="21"/>
                      <w:lang w:val="en-US" w:eastAsia="zh-CN"/>
                    </w:rPr>
                    <w:t>2.46</w:t>
                  </w:r>
                </w:p>
              </w:tc>
              <w:tc>
                <w:tcPr>
                  <w:tcW w:w="1439" w:type="dxa"/>
                  <w:vAlign w:val="center"/>
                </w:tcPr>
                <w:p w14:paraId="6AA21C52">
                  <w:pPr>
                    <w:jc w:val="center"/>
                    <w:rPr>
                      <w:rFonts w:ascii="Times New Roman" w:hAnsi="Times New Roman"/>
                      <w:bCs/>
                      <w:szCs w:val="21"/>
                    </w:rPr>
                  </w:pPr>
                  <w:r>
                    <w:rPr>
                      <w:rFonts w:ascii="Times New Roman" w:hAnsi="Times New Roman"/>
                      <w:bCs/>
                      <w:szCs w:val="21"/>
                    </w:rPr>
                    <w:t>水性环氧树脂</w:t>
                  </w:r>
                </w:p>
              </w:tc>
              <w:tc>
                <w:tcPr>
                  <w:tcW w:w="968" w:type="dxa"/>
                  <w:vAlign w:val="center"/>
                </w:tcPr>
                <w:p w14:paraId="68256FB2">
                  <w:pPr>
                    <w:jc w:val="center"/>
                    <w:rPr>
                      <w:rFonts w:ascii="Times New Roman" w:hAnsi="Times New Roman"/>
                      <w:bCs/>
                      <w:szCs w:val="21"/>
                    </w:rPr>
                  </w:pPr>
                  <w:r>
                    <w:rPr>
                      <w:rFonts w:hint="eastAsia" w:ascii="Times New Roman" w:hAnsi="Times New Roman"/>
                      <w:bCs/>
                      <w:szCs w:val="21"/>
                    </w:rPr>
                    <w:t>52</w:t>
                  </w:r>
                </w:p>
              </w:tc>
              <w:tc>
                <w:tcPr>
                  <w:tcW w:w="1730" w:type="dxa"/>
                  <w:vAlign w:val="center"/>
                </w:tcPr>
                <w:p w14:paraId="7F3AEDCE">
                  <w:pPr>
                    <w:jc w:val="center"/>
                    <w:rPr>
                      <w:rFonts w:hint="default" w:ascii="Times New Roman" w:hAnsi="Times New Roman" w:eastAsia="宋体"/>
                      <w:bCs/>
                      <w:szCs w:val="21"/>
                      <w:lang w:val="en-US" w:eastAsia="zh-CN"/>
                    </w:rPr>
                  </w:pPr>
                  <w:r>
                    <w:rPr>
                      <w:rFonts w:hint="eastAsia"/>
                      <w:bCs/>
                      <w:szCs w:val="21"/>
                      <w:lang w:val="en-US" w:eastAsia="zh-CN"/>
                    </w:rPr>
                    <w:t>1.28</w:t>
                  </w:r>
                </w:p>
              </w:tc>
              <w:tc>
                <w:tcPr>
                  <w:tcW w:w="891" w:type="dxa"/>
                  <w:vAlign w:val="center"/>
                </w:tcPr>
                <w:p w14:paraId="12C1F87E">
                  <w:pPr>
                    <w:jc w:val="center"/>
                    <w:rPr>
                      <w:rFonts w:ascii="Times New Roman" w:hAnsi="Times New Roman"/>
                      <w:bCs/>
                      <w:szCs w:val="21"/>
                    </w:rPr>
                  </w:pPr>
                  <w:r>
                    <w:rPr>
                      <w:rFonts w:ascii="Times New Roman" w:hAnsi="Times New Roman"/>
                      <w:bCs/>
                      <w:szCs w:val="21"/>
                    </w:rPr>
                    <w:t>固体份</w:t>
                  </w:r>
                </w:p>
              </w:tc>
            </w:tr>
            <w:tr w14:paraId="3207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pct"/>
                  <w:vMerge w:val="continue"/>
                  <w:vAlign w:val="center"/>
                </w:tcPr>
                <w:p w14:paraId="1B5F09F1">
                  <w:pPr>
                    <w:jc w:val="center"/>
                    <w:rPr>
                      <w:rFonts w:ascii="Times New Roman" w:hAnsi="Times New Roman"/>
                      <w:bCs/>
                      <w:szCs w:val="21"/>
                    </w:rPr>
                  </w:pPr>
                </w:p>
              </w:tc>
              <w:tc>
                <w:tcPr>
                  <w:tcW w:w="911" w:type="dxa"/>
                  <w:vMerge w:val="continue"/>
                  <w:vAlign w:val="center"/>
                </w:tcPr>
                <w:p w14:paraId="280D2EE8">
                  <w:pPr>
                    <w:jc w:val="center"/>
                    <w:rPr>
                      <w:rFonts w:ascii="Times New Roman" w:hAnsi="Times New Roman"/>
                      <w:bCs/>
                      <w:szCs w:val="21"/>
                    </w:rPr>
                  </w:pPr>
                </w:p>
              </w:tc>
              <w:tc>
                <w:tcPr>
                  <w:tcW w:w="1439" w:type="dxa"/>
                  <w:vAlign w:val="center"/>
                </w:tcPr>
                <w:p w14:paraId="1CCD3148">
                  <w:pPr>
                    <w:jc w:val="center"/>
                    <w:rPr>
                      <w:rFonts w:ascii="Times New Roman" w:hAnsi="Times New Roman"/>
                      <w:bCs/>
                      <w:szCs w:val="21"/>
                    </w:rPr>
                  </w:pPr>
                  <w:r>
                    <w:rPr>
                      <w:rFonts w:ascii="Times New Roman" w:hAnsi="Times New Roman"/>
                      <w:bCs/>
                      <w:szCs w:val="21"/>
                    </w:rPr>
                    <w:t>水</w:t>
                  </w:r>
                </w:p>
              </w:tc>
              <w:tc>
                <w:tcPr>
                  <w:tcW w:w="968" w:type="dxa"/>
                  <w:vAlign w:val="center"/>
                </w:tcPr>
                <w:p w14:paraId="06E85713">
                  <w:pPr>
                    <w:jc w:val="center"/>
                    <w:rPr>
                      <w:rFonts w:ascii="Times New Roman" w:hAnsi="Times New Roman"/>
                      <w:bCs/>
                      <w:szCs w:val="21"/>
                    </w:rPr>
                  </w:pPr>
                  <w:r>
                    <w:rPr>
                      <w:rFonts w:hint="eastAsia" w:ascii="Times New Roman" w:hAnsi="Times New Roman"/>
                      <w:bCs/>
                      <w:szCs w:val="21"/>
                    </w:rPr>
                    <w:t>22</w:t>
                  </w:r>
                </w:p>
              </w:tc>
              <w:tc>
                <w:tcPr>
                  <w:tcW w:w="1730" w:type="dxa"/>
                  <w:vAlign w:val="center"/>
                </w:tcPr>
                <w:p w14:paraId="1A61250F">
                  <w:pPr>
                    <w:tabs>
                      <w:tab w:val="left" w:pos="484"/>
                      <w:tab w:val="center" w:pos="816"/>
                    </w:tabs>
                    <w:jc w:val="center"/>
                    <w:rPr>
                      <w:rFonts w:hint="default" w:ascii="Times New Roman" w:hAnsi="Times New Roman" w:eastAsia="宋体"/>
                      <w:bCs/>
                      <w:szCs w:val="21"/>
                      <w:lang w:val="en-US" w:eastAsia="zh-CN"/>
                    </w:rPr>
                  </w:pPr>
                  <w:r>
                    <w:rPr>
                      <w:rFonts w:hint="eastAsia" w:ascii="Times New Roman" w:hAnsi="Times New Roman"/>
                      <w:bCs/>
                      <w:szCs w:val="21"/>
                    </w:rPr>
                    <w:t>0.</w:t>
                  </w:r>
                  <w:r>
                    <w:rPr>
                      <w:rFonts w:hint="eastAsia"/>
                      <w:bCs/>
                      <w:szCs w:val="21"/>
                      <w:lang w:val="en-US" w:eastAsia="zh-CN"/>
                    </w:rPr>
                    <w:t>54</w:t>
                  </w:r>
                </w:p>
              </w:tc>
              <w:tc>
                <w:tcPr>
                  <w:tcW w:w="891" w:type="dxa"/>
                  <w:vAlign w:val="center"/>
                </w:tcPr>
                <w:p w14:paraId="1BD769EC">
                  <w:pPr>
                    <w:jc w:val="center"/>
                    <w:rPr>
                      <w:rFonts w:ascii="Times New Roman" w:hAnsi="Times New Roman"/>
                      <w:bCs/>
                      <w:szCs w:val="21"/>
                    </w:rPr>
                  </w:pPr>
                  <w:r>
                    <w:rPr>
                      <w:rFonts w:ascii="Times New Roman" w:hAnsi="Times New Roman"/>
                      <w:bCs/>
                      <w:szCs w:val="21"/>
                    </w:rPr>
                    <w:t>水</w:t>
                  </w:r>
                </w:p>
              </w:tc>
            </w:tr>
            <w:tr w14:paraId="3A3D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pct"/>
                  <w:vMerge w:val="continue"/>
                  <w:vAlign w:val="center"/>
                </w:tcPr>
                <w:p w14:paraId="5B8C1235">
                  <w:pPr>
                    <w:jc w:val="center"/>
                    <w:rPr>
                      <w:rFonts w:ascii="Times New Roman" w:hAnsi="Times New Roman"/>
                      <w:bCs/>
                      <w:szCs w:val="21"/>
                    </w:rPr>
                  </w:pPr>
                </w:p>
              </w:tc>
              <w:tc>
                <w:tcPr>
                  <w:tcW w:w="911" w:type="dxa"/>
                  <w:vMerge w:val="continue"/>
                  <w:vAlign w:val="center"/>
                </w:tcPr>
                <w:p w14:paraId="27A36774">
                  <w:pPr>
                    <w:jc w:val="center"/>
                    <w:rPr>
                      <w:rFonts w:ascii="Times New Roman" w:hAnsi="Times New Roman"/>
                      <w:bCs/>
                      <w:szCs w:val="21"/>
                    </w:rPr>
                  </w:pPr>
                </w:p>
              </w:tc>
              <w:tc>
                <w:tcPr>
                  <w:tcW w:w="1439" w:type="dxa"/>
                  <w:vAlign w:val="center"/>
                </w:tcPr>
                <w:p w14:paraId="42C48BB5">
                  <w:pPr>
                    <w:jc w:val="center"/>
                    <w:rPr>
                      <w:rFonts w:ascii="Times New Roman" w:hAnsi="Times New Roman"/>
                      <w:bCs/>
                      <w:szCs w:val="21"/>
                    </w:rPr>
                  </w:pPr>
                  <w:r>
                    <w:rPr>
                      <w:rFonts w:ascii="Times New Roman" w:hAnsi="Times New Roman"/>
                      <w:bCs/>
                      <w:szCs w:val="21"/>
                    </w:rPr>
                    <w:t>防锈颜填料</w:t>
                  </w:r>
                </w:p>
              </w:tc>
              <w:tc>
                <w:tcPr>
                  <w:tcW w:w="968" w:type="dxa"/>
                  <w:vAlign w:val="center"/>
                </w:tcPr>
                <w:p w14:paraId="09306BEF">
                  <w:pPr>
                    <w:jc w:val="center"/>
                    <w:rPr>
                      <w:rFonts w:ascii="Times New Roman" w:hAnsi="Times New Roman"/>
                      <w:bCs/>
                      <w:szCs w:val="21"/>
                    </w:rPr>
                  </w:pPr>
                  <w:r>
                    <w:rPr>
                      <w:rFonts w:hint="eastAsia" w:ascii="Times New Roman" w:hAnsi="Times New Roman"/>
                      <w:bCs/>
                      <w:szCs w:val="21"/>
                    </w:rPr>
                    <w:t>8</w:t>
                  </w:r>
                </w:p>
              </w:tc>
              <w:tc>
                <w:tcPr>
                  <w:tcW w:w="1730" w:type="dxa"/>
                  <w:vAlign w:val="center"/>
                </w:tcPr>
                <w:p w14:paraId="21A966C0">
                  <w:pPr>
                    <w:jc w:val="center"/>
                    <w:rPr>
                      <w:rFonts w:hint="eastAsia" w:ascii="Times New Roman" w:hAnsi="Times New Roman" w:eastAsia="宋体"/>
                      <w:bCs/>
                      <w:szCs w:val="21"/>
                      <w:lang w:val="en-US" w:eastAsia="zh-CN"/>
                    </w:rPr>
                  </w:pPr>
                  <w:r>
                    <w:rPr>
                      <w:rFonts w:hint="eastAsia" w:ascii="Times New Roman" w:hAnsi="Times New Roman"/>
                      <w:bCs/>
                      <w:szCs w:val="21"/>
                    </w:rPr>
                    <w:t>0.</w:t>
                  </w:r>
                  <w:r>
                    <w:rPr>
                      <w:rFonts w:hint="eastAsia"/>
                      <w:bCs/>
                      <w:szCs w:val="21"/>
                      <w:lang w:val="en-US" w:eastAsia="zh-CN"/>
                    </w:rPr>
                    <w:t>2</w:t>
                  </w:r>
                </w:p>
              </w:tc>
              <w:tc>
                <w:tcPr>
                  <w:tcW w:w="891" w:type="dxa"/>
                  <w:vAlign w:val="center"/>
                </w:tcPr>
                <w:p w14:paraId="7AD78CB1">
                  <w:pPr>
                    <w:jc w:val="center"/>
                    <w:rPr>
                      <w:rFonts w:ascii="Times New Roman" w:hAnsi="Times New Roman"/>
                      <w:bCs/>
                      <w:szCs w:val="21"/>
                    </w:rPr>
                  </w:pPr>
                  <w:r>
                    <w:rPr>
                      <w:rFonts w:ascii="Times New Roman" w:hAnsi="Times New Roman"/>
                      <w:bCs/>
                      <w:szCs w:val="21"/>
                    </w:rPr>
                    <w:t>固体份</w:t>
                  </w:r>
                </w:p>
              </w:tc>
            </w:tr>
            <w:tr w14:paraId="006C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5" w:type="pct"/>
                  <w:vMerge w:val="continue"/>
                  <w:vAlign w:val="center"/>
                </w:tcPr>
                <w:p w14:paraId="603DBD81">
                  <w:pPr>
                    <w:jc w:val="center"/>
                    <w:rPr>
                      <w:rFonts w:ascii="Times New Roman" w:hAnsi="Times New Roman"/>
                      <w:bCs/>
                      <w:szCs w:val="21"/>
                    </w:rPr>
                  </w:pPr>
                </w:p>
              </w:tc>
              <w:tc>
                <w:tcPr>
                  <w:tcW w:w="911" w:type="dxa"/>
                  <w:vMerge w:val="continue"/>
                  <w:vAlign w:val="center"/>
                </w:tcPr>
                <w:p w14:paraId="3B9BEE68">
                  <w:pPr>
                    <w:jc w:val="center"/>
                    <w:rPr>
                      <w:rFonts w:ascii="Times New Roman" w:hAnsi="Times New Roman"/>
                      <w:bCs/>
                      <w:szCs w:val="21"/>
                    </w:rPr>
                  </w:pPr>
                </w:p>
              </w:tc>
              <w:tc>
                <w:tcPr>
                  <w:tcW w:w="1439" w:type="dxa"/>
                  <w:vAlign w:val="center"/>
                </w:tcPr>
                <w:p w14:paraId="6815DEE0">
                  <w:pPr>
                    <w:jc w:val="center"/>
                    <w:rPr>
                      <w:rFonts w:ascii="Times New Roman" w:hAnsi="Times New Roman"/>
                      <w:bCs/>
                      <w:szCs w:val="21"/>
                    </w:rPr>
                  </w:pPr>
                  <w:r>
                    <w:rPr>
                      <w:rFonts w:ascii="Times New Roman" w:hAnsi="Times New Roman"/>
                      <w:bCs/>
                      <w:szCs w:val="21"/>
                    </w:rPr>
                    <w:t>助剂</w:t>
                  </w:r>
                </w:p>
              </w:tc>
              <w:tc>
                <w:tcPr>
                  <w:tcW w:w="968" w:type="dxa"/>
                  <w:vAlign w:val="center"/>
                </w:tcPr>
                <w:p w14:paraId="2A142213">
                  <w:pPr>
                    <w:jc w:val="center"/>
                    <w:rPr>
                      <w:rFonts w:ascii="Times New Roman" w:hAnsi="Times New Roman"/>
                      <w:bCs/>
                      <w:szCs w:val="21"/>
                    </w:rPr>
                  </w:pPr>
                  <w:r>
                    <w:rPr>
                      <w:rFonts w:hint="eastAsia" w:ascii="Times New Roman" w:hAnsi="Times New Roman"/>
                      <w:bCs/>
                      <w:szCs w:val="21"/>
                    </w:rPr>
                    <w:t>18</w:t>
                  </w:r>
                </w:p>
              </w:tc>
              <w:tc>
                <w:tcPr>
                  <w:tcW w:w="1730" w:type="dxa"/>
                  <w:vAlign w:val="center"/>
                </w:tcPr>
                <w:p w14:paraId="616BFF8D">
                  <w:pPr>
                    <w:jc w:val="center"/>
                    <w:rPr>
                      <w:rFonts w:hint="default" w:ascii="Times New Roman" w:hAnsi="Times New Roman" w:eastAsia="宋体"/>
                      <w:bCs/>
                      <w:szCs w:val="21"/>
                      <w:lang w:val="en-US" w:eastAsia="zh-CN"/>
                    </w:rPr>
                  </w:pPr>
                  <w:r>
                    <w:rPr>
                      <w:rFonts w:hint="eastAsia"/>
                      <w:bCs/>
                      <w:szCs w:val="21"/>
                      <w:lang w:val="en-US" w:eastAsia="zh-CN"/>
                    </w:rPr>
                    <w:t>0.44</w:t>
                  </w:r>
                </w:p>
              </w:tc>
              <w:tc>
                <w:tcPr>
                  <w:tcW w:w="891" w:type="dxa"/>
                  <w:vAlign w:val="center"/>
                </w:tcPr>
                <w:p w14:paraId="0737BD76">
                  <w:pPr>
                    <w:jc w:val="center"/>
                    <w:rPr>
                      <w:rFonts w:ascii="Times New Roman" w:hAnsi="Times New Roman"/>
                      <w:bCs/>
                      <w:szCs w:val="21"/>
                    </w:rPr>
                  </w:pPr>
                  <w:r>
                    <w:rPr>
                      <w:rFonts w:ascii="Times New Roman" w:hAnsi="Times New Roman"/>
                      <w:bCs/>
                      <w:szCs w:val="21"/>
                    </w:rPr>
                    <w:t>挥发份</w:t>
                  </w:r>
                </w:p>
              </w:tc>
            </w:tr>
          </w:tbl>
          <w:p w14:paraId="4B60C7A0">
            <w:pPr>
              <w:jc w:val="center"/>
              <w:rPr>
                <w:rFonts w:ascii="Times New Roman" w:hAnsi="Times New Roman"/>
                <w:b/>
                <w:bCs/>
                <w:sz w:val="24"/>
              </w:rPr>
            </w:pPr>
            <w:r>
              <w:rPr>
                <w:rFonts w:ascii="Times New Roman" w:hAnsi="Times New Roman"/>
                <w:b/>
                <w:bCs/>
                <w:sz w:val="24"/>
              </w:rPr>
              <w:t>表2-11 水性丙烯酸聚氨酯面漆主要成分及其含量一览表  单位：t/a</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863"/>
              <w:gridCol w:w="2093"/>
              <w:gridCol w:w="874"/>
              <w:gridCol w:w="1608"/>
              <w:gridCol w:w="827"/>
            </w:tblGrid>
            <w:tr w14:paraId="16AD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251" w:type="pct"/>
                  <w:vAlign w:val="center"/>
                </w:tcPr>
                <w:p w14:paraId="5AD716DF">
                  <w:pPr>
                    <w:jc w:val="center"/>
                    <w:rPr>
                      <w:rFonts w:ascii="Times New Roman" w:hAnsi="Times New Roman"/>
                      <w:b/>
                      <w:szCs w:val="21"/>
                    </w:rPr>
                  </w:pPr>
                  <w:bookmarkStart w:id="17" w:name="OLE_LINK64"/>
                  <w:r>
                    <w:rPr>
                      <w:rFonts w:ascii="Times New Roman" w:hAnsi="Times New Roman"/>
                      <w:b/>
                      <w:szCs w:val="21"/>
                    </w:rPr>
                    <w:t>名称</w:t>
                  </w:r>
                </w:p>
              </w:tc>
              <w:tc>
                <w:tcPr>
                  <w:tcW w:w="516" w:type="pct"/>
                  <w:vAlign w:val="center"/>
                </w:tcPr>
                <w:p w14:paraId="089554D6">
                  <w:pPr>
                    <w:jc w:val="center"/>
                    <w:rPr>
                      <w:rFonts w:ascii="Times New Roman" w:hAnsi="Times New Roman"/>
                      <w:b/>
                      <w:szCs w:val="21"/>
                    </w:rPr>
                  </w:pPr>
                  <w:r>
                    <w:rPr>
                      <w:rFonts w:ascii="Times New Roman" w:hAnsi="Times New Roman"/>
                      <w:b/>
                      <w:szCs w:val="21"/>
                    </w:rPr>
                    <w:t>年用量</w:t>
                  </w:r>
                </w:p>
              </w:tc>
              <w:tc>
                <w:tcPr>
                  <w:tcW w:w="1252" w:type="pct"/>
                  <w:vAlign w:val="center"/>
                </w:tcPr>
                <w:p w14:paraId="63E457D4">
                  <w:pPr>
                    <w:jc w:val="center"/>
                    <w:rPr>
                      <w:rFonts w:ascii="Times New Roman" w:hAnsi="Times New Roman"/>
                      <w:b/>
                      <w:szCs w:val="21"/>
                    </w:rPr>
                  </w:pPr>
                  <w:r>
                    <w:rPr>
                      <w:rFonts w:ascii="Times New Roman" w:hAnsi="Times New Roman"/>
                      <w:b/>
                      <w:szCs w:val="21"/>
                    </w:rPr>
                    <w:t>成分</w:t>
                  </w:r>
                </w:p>
              </w:tc>
              <w:tc>
                <w:tcPr>
                  <w:tcW w:w="523" w:type="pct"/>
                  <w:vAlign w:val="center"/>
                </w:tcPr>
                <w:p w14:paraId="4A0A41CC">
                  <w:pPr>
                    <w:jc w:val="center"/>
                    <w:rPr>
                      <w:rFonts w:ascii="Times New Roman" w:hAnsi="Times New Roman"/>
                      <w:b/>
                      <w:szCs w:val="21"/>
                    </w:rPr>
                  </w:pPr>
                  <w:r>
                    <w:rPr>
                      <w:rFonts w:ascii="Times New Roman" w:hAnsi="Times New Roman"/>
                      <w:b/>
                      <w:szCs w:val="21"/>
                    </w:rPr>
                    <w:t>比例%</w:t>
                  </w:r>
                </w:p>
              </w:tc>
              <w:tc>
                <w:tcPr>
                  <w:tcW w:w="962" w:type="pct"/>
                  <w:vAlign w:val="center"/>
                </w:tcPr>
                <w:p w14:paraId="068B0A87">
                  <w:pPr>
                    <w:jc w:val="center"/>
                    <w:rPr>
                      <w:rFonts w:ascii="Times New Roman" w:hAnsi="Times New Roman"/>
                      <w:b/>
                      <w:szCs w:val="21"/>
                    </w:rPr>
                  </w:pPr>
                  <w:r>
                    <w:rPr>
                      <w:rFonts w:ascii="Times New Roman" w:hAnsi="Times New Roman"/>
                      <w:b/>
                      <w:szCs w:val="21"/>
                    </w:rPr>
                    <w:t>含量</w:t>
                  </w:r>
                </w:p>
              </w:tc>
              <w:tc>
                <w:tcPr>
                  <w:tcW w:w="494" w:type="pct"/>
                  <w:vAlign w:val="center"/>
                </w:tcPr>
                <w:p w14:paraId="1F1F813C">
                  <w:pPr>
                    <w:jc w:val="center"/>
                    <w:rPr>
                      <w:rFonts w:ascii="Times New Roman" w:hAnsi="Times New Roman"/>
                      <w:b/>
                      <w:szCs w:val="21"/>
                    </w:rPr>
                  </w:pPr>
                  <w:r>
                    <w:rPr>
                      <w:rFonts w:ascii="Times New Roman" w:hAnsi="Times New Roman"/>
                      <w:b/>
                      <w:szCs w:val="21"/>
                    </w:rPr>
                    <w:t>备注</w:t>
                  </w:r>
                </w:p>
              </w:tc>
            </w:tr>
            <w:tr w14:paraId="120A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pct"/>
                  <w:vMerge w:val="restart"/>
                  <w:vAlign w:val="center"/>
                </w:tcPr>
                <w:p w14:paraId="1F6DD49B">
                  <w:pPr>
                    <w:jc w:val="center"/>
                    <w:rPr>
                      <w:rFonts w:ascii="Times New Roman" w:hAnsi="Times New Roman"/>
                      <w:bCs/>
                      <w:szCs w:val="21"/>
                    </w:rPr>
                  </w:pPr>
                  <w:r>
                    <w:rPr>
                      <w:rFonts w:ascii="Times New Roman" w:hAnsi="Times New Roman"/>
                      <w:szCs w:val="21"/>
                    </w:rPr>
                    <w:t>水性丙烯酸聚氨酯面漆</w:t>
                  </w:r>
                </w:p>
              </w:tc>
              <w:tc>
                <w:tcPr>
                  <w:tcW w:w="516" w:type="pct"/>
                  <w:vMerge w:val="restart"/>
                  <w:vAlign w:val="center"/>
                </w:tcPr>
                <w:p w14:paraId="53820CD5">
                  <w:pPr>
                    <w:jc w:val="center"/>
                    <w:rPr>
                      <w:rFonts w:hint="default" w:ascii="Times New Roman" w:hAnsi="Times New Roman" w:eastAsia="宋体"/>
                      <w:bCs/>
                      <w:szCs w:val="21"/>
                      <w:lang w:val="en-US" w:eastAsia="zh-CN"/>
                    </w:rPr>
                  </w:pPr>
                  <w:r>
                    <w:rPr>
                      <w:rFonts w:hint="eastAsia"/>
                      <w:bCs/>
                      <w:szCs w:val="21"/>
                      <w:lang w:val="en-US" w:eastAsia="zh-CN"/>
                    </w:rPr>
                    <w:t>2.12</w:t>
                  </w:r>
                </w:p>
              </w:tc>
              <w:tc>
                <w:tcPr>
                  <w:tcW w:w="1252" w:type="pct"/>
                  <w:vAlign w:val="center"/>
                </w:tcPr>
                <w:p w14:paraId="3F332F01">
                  <w:pPr>
                    <w:jc w:val="center"/>
                    <w:rPr>
                      <w:rFonts w:ascii="Times New Roman" w:hAnsi="Times New Roman"/>
                      <w:bCs/>
                      <w:szCs w:val="21"/>
                    </w:rPr>
                  </w:pPr>
                  <w:r>
                    <w:rPr>
                      <w:rFonts w:ascii="Times New Roman" w:hAnsi="Times New Roman"/>
                      <w:szCs w:val="21"/>
                    </w:rPr>
                    <w:t>水性丙烯酸聚氨酯</w:t>
                  </w:r>
                  <w:r>
                    <w:rPr>
                      <w:rFonts w:ascii="Times New Roman" w:hAnsi="Times New Roman"/>
                      <w:bCs/>
                      <w:szCs w:val="21"/>
                    </w:rPr>
                    <w:t>树脂</w:t>
                  </w:r>
                </w:p>
              </w:tc>
              <w:tc>
                <w:tcPr>
                  <w:tcW w:w="523" w:type="pct"/>
                  <w:vAlign w:val="center"/>
                </w:tcPr>
                <w:p w14:paraId="299F1B39">
                  <w:pPr>
                    <w:jc w:val="center"/>
                    <w:rPr>
                      <w:rFonts w:ascii="Times New Roman" w:hAnsi="Times New Roman"/>
                      <w:bCs/>
                      <w:szCs w:val="21"/>
                    </w:rPr>
                  </w:pPr>
                  <w:r>
                    <w:rPr>
                      <w:rFonts w:hint="eastAsia" w:ascii="Times New Roman" w:hAnsi="Times New Roman"/>
                      <w:bCs/>
                      <w:szCs w:val="21"/>
                    </w:rPr>
                    <w:t>50</w:t>
                  </w:r>
                </w:p>
              </w:tc>
              <w:tc>
                <w:tcPr>
                  <w:tcW w:w="962" w:type="pct"/>
                  <w:vAlign w:val="center"/>
                </w:tcPr>
                <w:p w14:paraId="57E415B9">
                  <w:pPr>
                    <w:jc w:val="center"/>
                    <w:rPr>
                      <w:rFonts w:hint="default" w:ascii="Times New Roman" w:hAnsi="Times New Roman" w:eastAsia="宋体"/>
                      <w:bCs/>
                      <w:szCs w:val="21"/>
                      <w:lang w:val="en-US" w:eastAsia="zh-CN"/>
                    </w:rPr>
                  </w:pPr>
                  <w:r>
                    <w:rPr>
                      <w:rFonts w:hint="eastAsia" w:ascii="Times New Roman" w:hAnsi="Times New Roman"/>
                      <w:bCs/>
                      <w:szCs w:val="21"/>
                    </w:rPr>
                    <w:t>1.</w:t>
                  </w:r>
                  <w:r>
                    <w:rPr>
                      <w:rFonts w:hint="eastAsia"/>
                      <w:bCs/>
                      <w:szCs w:val="21"/>
                      <w:lang w:val="en-US" w:eastAsia="zh-CN"/>
                    </w:rPr>
                    <w:t>06</w:t>
                  </w:r>
                </w:p>
              </w:tc>
              <w:tc>
                <w:tcPr>
                  <w:tcW w:w="494" w:type="pct"/>
                  <w:vAlign w:val="center"/>
                </w:tcPr>
                <w:p w14:paraId="64224700">
                  <w:pPr>
                    <w:jc w:val="center"/>
                    <w:rPr>
                      <w:rFonts w:ascii="Times New Roman" w:hAnsi="Times New Roman"/>
                      <w:bCs/>
                      <w:szCs w:val="21"/>
                    </w:rPr>
                  </w:pPr>
                  <w:r>
                    <w:rPr>
                      <w:rFonts w:ascii="Times New Roman" w:hAnsi="Times New Roman"/>
                      <w:bCs/>
                      <w:szCs w:val="21"/>
                    </w:rPr>
                    <w:t>固体份</w:t>
                  </w:r>
                </w:p>
              </w:tc>
            </w:tr>
            <w:tr w14:paraId="6372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pct"/>
                  <w:vMerge w:val="continue"/>
                  <w:vAlign w:val="center"/>
                </w:tcPr>
                <w:p w14:paraId="41A6ECA2">
                  <w:pPr>
                    <w:jc w:val="center"/>
                    <w:rPr>
                      <w:rFonts w:ascii="Times New Roman" w:hAnsi="Times New Roman"/>
                      <w:bCs/>
                      <w:szCs w:val="21"/>
                    </w:rPr>
                  </w:pPr>
                </w:p>
              </w:tc>
              <w:tc>
                <w:tcPr>
                  <w:tcW w:w="516" w:type="pct"/>
                  <w:vMerge w:val="continue"/>
                  <w:vAlign w:val="center"/>
                </w:tcPr>
                <w:p w14:paraId="3BD0E323">
                  <w:pPr>
                    <w:jc w:val="center"/>
                    <w:rPr>
                      <w:rFonts w:ascii="Times New Roman" w:hAnsi="Times New Roman"/>
                      <w:bCs/>
                      <w:szCs w:val="21"/>
                    </w:rPr>
                  </w:pPr>
                </w:p>
              </w:tc>
              <w:tc>
                <w:tcPr>
                  <w:tcW w:w="1252" w:type="pct"/>
                  <w:vAlign w:val="center"/>
                </w:tcPr>
                <w:p w14:paraId="57A678D9">
                  <w:pPr>
                    <w:jc w:val="center"/>
                    <w:rPr>
                      <w:rFonts w:ascii="Times New Roman" w:hAnsi="Times New Roman"/>
                      <w:bCs/>
                      <w:szCs w:val="21"/>
                    </w:rPr>
                  </w:pPr>
                  <w:r>
                    <w:rPr>
                      <w:rFonts w:ascii="Times New Roman" w:hAnsi="Times New Roman"/>
                      <w:bCs/>
                      <w:szCs w:val="21"/>
                    </w:rPr>
                    <w:t>水</w:t>
                  </w:r>
                </w:p>
              </w:tc>
              <w:tc>
                <w:tcPr>
                  <w:tcW w:w="523" w:type="pct"/>
                  <w:vAlign w:val="center"/>
                </w:tcPr>
                <w:p w14:paraId="28771372">
                  <w:pPr>
                    <w:jc w:val="center"/>
                    <w:rPr>
                      <w:rFonts w:ascii="Times New Roman" w:hAnsi="Times New Roman"/>
                      <w:bCs/>
                      <w:szCs w:val="21"/>
                    </w:rPr>
                  </w:pPr>
                  <w:r>
                    <w:rPr>
                      <w:rFonts w:hint="eastAsia" w:ascii="Times New Roman" w:hAnsi="Times New Roman"/>
                      <w:bCs/>
                      <w:szCs w:val="21"/>
                    </w:rPr>
                    <w:t>20</w:t>
                  </w:r>
                </w:p>
              </w:tc>
              <w:tc>
                <w:tcPr>
                  <w:tcW w:w="962" w:type="pct"/>
                  <w:vAlign w:val="center"/>
                </w:tcPr>
                <w:p w14:paraId="7B31C47E">
                  <w:pPr>
                    <w:jc w:val="center"/>
                    <w:rPr>
                      <w:rFonts w:hint="default" w:ascii="Times New Roman" w:hAnsi="Times New Roman" w:eastAsia="宋体"/>
                      <w:bCs/>
                      <w:szCs w:val="21"/>
                      <w:lang w:val="en-US" w:eastAsia="zh-CN"/>
                    </w:rPr>
                  </w:pPr>
                  <w:r>
                    <w:rPr>
                      <w:rFonts w:hint="eastAsia" w:ascii="Times New Roman" w:hAnsi="Times New Roman"/>
                      <w:bCs/>
                      <w:szCs w:val="21"/>
                    </w:rPr>
                    <w:t>0.</w:t>
                  </w:r>
                  <w:r>
                    <w:rPr>
                      <w:rFonts w:hint="eastAsia"/>
                      <w:bCs/>
                      <w:szCs w:val="21"/>
                      <w:lang w:val="en-US" w:eastAsia="zh-CN"/>
                    </w:rPr>
                    <w:t>42</w:t>
                  </w:r>
                </w:p>
              </w:tc>
              <w:tc>
                <w:tcPr>
                  <w:tcW w:w="494" w:type="pct"/>
                  <w:vAlign w:val="center"/>
                </w:tcPr>
                <w:p w14:paraId="3F4C0BF0">
                  <w:pPr>
                    <w:jc w:val="center"/>
                    <w:rPr>
                      <w:rFonts w:ascii="Times New Roman" w:hAnsi="Times New Roman"/>
                      <w:bCs/>
                      <w:szCs w:val="21"/>
                    </w:rPr>
                  </w:pPr>
                  <w:r>
                    <w:rPr>
                      <w:rFonts w:ascii="Times New Roman" w:hAnsi="Times New Roman"/>
                      <w:bCs/>
                      <w:szCs w:val="21"/>
                    </w:rPr>
                    <w:t>水</w:t>
                  </w:r>
                </w:p>
              </w:tc>
            </w:tr>
            <w:tr w14:paraId="63C8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pct"/>
                  <w:vMerge w:val="continue"/>
                  <w:vAlign w:val="center"/>
                </w:tcPr>
                <w:p w14:paraId="4378D2AF">
                  <w:pPr>
                    <w:jc w:val="center"/>
                    <w:rPr>
                      <w:rFonts w:ascii="Times New Roman" w:hAnsi="Times New Roman"/>
                      <w:bCs/>
                      <w:szCs w:val="21"/>
                    </w:rPr>
                  </w:pPr>
                </w:p>
              </w:tc>
              <w:tc>
                <w:tcPr>
                  <w:tcW w:w="516" w:type="pct"/>
                  <w:vMerge w:val="continue"/>
                  <w:vAlign w:val="center"/>
                </w:tcPr>
                <w:p w14:paraId="0D376835">
                  <w:pPr>
                    <w:jc w:val="center"/>
                    <w:rPr>
                      <w:rFonts w:ascii="Times New Roman" w:hAnsi="Times New Roman"/>
                      <w:bCs/>
                      <w:szCs w:val="21"/>
                    </w:rPr>
                  </w:pPr>
                </w:p>
              </w:tc>
              <w:tc>
                <w:tcPr>
                  <w:tcW w:w="1252" w:type="pct"/>
                  <w:vAlign w:val="center"/>
                </w:tcPr>
                <w:p w14:paraId="21A56A8F">
                  <w:pPr>
                    <w:jc w:val="center"/>
                    <w:rPr>
                      <w:rFonts w:ascii="Times New Roman" w:hAnsi="Times New Roman"/>
                      <w:bCs/>
                      <w:szCs w:val="21"/>
                    </w:rPr>
                  </w:pPr>
                  <w:r>
                    <w:rPr>
                      <w:rFonts w:ascii="Times New Roman" w:hAnsi="Times New Roman"/>
                      <w:bCs/>
                      <w:szCs w:val="21"/>
                    </w:rPr>
                    <w:t>防锈颜填料</w:t>
                  </w:r>
                </w:p>
              </w:tc>
              <w:tc>
                <w:tcPr>
                  <w:tcW w:w="523" w:type="pct"/>
                  <w:vAlign w:val="center"/>
                </w:tcPr>
                <w:p w14:paraId="61F5B75B">
                  <w:pPr>
                    <w:jc w:val="center"/>
                    <w:rPr>
                      <w:rFonts w:ascii="Times New Roman" w:hAnsi="Times New Roman"/>
                      <w:bCs/>
                      <w:szCs w:val="21"/>
                    </w:rPr>
                  </w:pPr>
                  <w:r>
                    <w:rPr>
                      <w:rFonts w:hint="eastAsia" w:ascii="Times New Roman" w:hAnsi="Times New Roman"/>
                      <w:bCs/>
                      <w:szCs w:val="21"/>
                    </w:rPr>
                    <w:t>15</w:t>
                  </w:r>
                </w:p>
              </w:tc>
              <w:tc>
                <w:tcPr>
                  <w:tcW w:w="962" w:type="pct"/>
                  <w:vAlign w:val="center"/>
                </w:tcPr>
                <w:p w14:paraId="2A87FBDF">
                  <w:pPr>
                    <w:jc w:val="center"/>
                    <w:rPr>
                      <w:rFonts w:hint="default" w:ascii="Times New Roman" w:hAnsi="Times New Roman" w:eastAsia="宋体"/>
                      <w:bCs/>
                      <w:szCs w:val="21"/>
                      <w:lang w:val="en-US" w:eastAsia="zh-CN"/>
                    </w:rPr>
                  </w:pPr>
                  <w:r>
                    <w:rPr>
                      <w:rFonts w:ascii="Times New Roman" w:hAnsi="Times New Roman"/>
                      <w:bCs/>
                      <w:szCs w:val="21"/>
                    </w:rPr>
                    <w:t>0.</w:t>
                  </w:r>
                  <w:r>
                    <w:rPr>
                      <w:rFonts w:hint="eastAsia"/>
                      <w:bCs/>
                      <w:szCs w:val="21"/>
                      <w:lang w:val="en-US" w:eastAsia="zh-CN"/>
                    </w:rPr>
                    <w:t>32</w:t>
                  </w:r>
                </w:p>
              </w:tc>
              <w:tc>
                <w:tcPr>
                  <w:tcW w:w="494" w:type="pct"/>
                  <w:vAlign w:val="center"/>
                </w:tcPr>
                <w:p w14:paraId="3DD65D5F">
                  <w:pPr>
                    <w:jc w:val="center"/>
                    <w:rPr>
                      <w:rFonts w:ascii="Times New Roman" w:hAnsi="Times New Roman"/>
                      <w:bCs/>
                      <w:szCs w:val="21"/>
                    </w:rPr>
                  </w:pPr>
                  <w:r>
                    <w:rPr>
                      <w:rFonts w:ascii="Times New Roman" w:hAnsi="Times New Roman"/>
                      <w:bCs/>
                      <w:szCs w:val="21"/>
                    </w:rPr>
                    <w:t>固体份</w:t>
                  </w:r>
                </w:p>
              </w:tc>
            </w:tr>
            <w:tr w14:paraId="5528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1" w:type="pct"/>
                  <w:vMerge w:val="continue"/>
                  <w:vAlign w:val="center"/>
                </w:tcPr>
                <w:p w14:paraId="2DDF5DD7">
                  <w:pPr>
                    <w:jc w:val="center"/>
                    <w:rPr>
                      <w:rFonts w:ascii="Times New Roman" w:hAnsi="Times New Roman"/>
                      <w:bCs/>
                      <w:szCs w:val="21"/>
                    </w:rPr>
                  </w:pPr>
                </w:p>
              </w:tc>
              <w:tc>
                <w:tcPr>
                  <w:tcW w:w="516" w:type="pct"/>
                  <w:vMerge w:val="continue"/>
                  <w:vAlign w:val="center"/>
                </w:tcPr>
                <w:p w14:paraId="6D1FD207">
                  <w:pPr>
                    <w:jc w:val="center"/>
                    <w:rPr>
                      <w:rFonts w:ascii="Times New Roman" w:hAnsi="Times New Roman"/>
                      <w:bCs/>
                      <w:szCs w:val="21"/>
                    </w:rPr>
                  </w:pPr>
                </w:p>
              </w:tc>
              <w:tc>
                <w:tcPr>
                  <w:tcW w:w="1252" w:type="pct"/>
                  <w:vAlign w:val="center"/>
                </w:tcPr>
                <w:p w14:paraId="78C936F9">
                  <w:pPr>
                    <w:jc w:val="center"/>
                    <w:rPr>
                      <w:rFonts w:ascii="Times New Roman" w:hAnsi="Times New Roman"/>
                      <w:bCs/>
                      <w:szCs w:val="21"/>
                    </w:rPr>
                  </w:pPr>
                  <w:r>
                    <w:rPr>
                      <w:rFonts w:ascii="Times New Roman" w:hAnsi="Times New Roman"/>
                      <w:bCs/>
                      <w:szCs w:val="21"/>
                    </w:rPr>
                    <w:t>助剂</w:t>
                  </w:r>
                </w:p>
              </w:tc>
              <w:tc>
                <w:tcPr>
                  <w:tcW w:w="523" w:type="pct"/>
                  <w:vAlign w:val="center"/>
                </w:tcPr>
                <w:p w14:paraId="5A4EE5F7">
                  <w:pPr>
                    <w:jc w:val="center"/>
                    <w:rPr>
                      <w:rFonts w:ascii="Times New Roman" w:hAnsi="Times New Roman"/>
                      <w:bCs/>
                      <w:szCs w:val="21"/>
                    </w:rPr>
                  </w:pPr>
                  <w:r>
                    <w:rPr>
                      <w:rFonts w:hint="eastAsia" w:ascii="Times New Roman" w:hAnsi="Times New Roman"/>
                      <w:bCs/>
                      <w:szCs w:val="21"/>
                    </w:rPr>
                    <w:t>15</w:t>
                  </w:r>
                </w:p>
              </w:tc>
              <w:tc>
                <w:tcPr>
                  <w:tcW w:w="962" w:type="pct"/>
                  <w:vAlign w:val="center"/>
                </w:tcPr>
                <w:p w14:paraId="1FD92A25">
                  <w:pPr>
                    <w:jc w:val="center"/>
                    <w:rPr>
                      <w:rFonts w:hint="default" w:ascii="Times New Roman" w:hAnsi="Times New Roman" w:eastAsia="宋体"/>
                      <w:bCs/>
                      <w:szCs w:val="21"/>
                      <w:lang w:val="en-US" w:eastAsia="zh-CN"/>
                    </w:rPr>
                  </w:pPr>
                  <w:r>
                    <w:rPr>
                      <w:rFonts w:ascii="Times New Roman" w:hAnsi="Times New Roman"/>
                      <w:bCs/>
                      <w:szCs w:val="21"/>
                    </w:rPr>
                    <w:t>0.</w:t>
                  </w:r>
                  <w:r>
                    <w:rPr>
                      <w:rFonts w:hint="eastAsia"/>
                      <w:bCs/>
                      <w:szCs w:val="21"/>
                      <w:lang w:val="en-US" w:eastAsia="zh-CN"/>
                    </w:rPr>
                    <w:t>32</w:t>
                  </w:r>
                </w:p>
              </w:tc>
              <w:tc>
                <w:tcPr>
                  <w:tcW w:w="494" w:type="pct"/>
                  <w:vAlign w:val="center"/>
                </w:tcPr>
                <w:p w14:paraId="6932991E">
                  <w:pPr>
                    <w:jc w:val="center"/>
                    <w:rPr>
                      <w:rFonts w:ascii="Times New Roman" w:hAnsi="Times New Roman"/>
                      <w:bCs/>
                      <w:szCs w:val="21"/>
                    </w:rPr>
                  </w:pPr>
                  <w:r>
                    <w:rPr>
                      <w:rFonts w:ascii="Times New Roman" w:hAnsi="Times New Roman"/>
                      <w:bCs/>
                      <w:szCs w:val="21"/>
                    </w:rPr>
                    <w:t>挥发份</w:t>
                  </w:r>
                </w:p>
              </w:tc>
            </w:tr>
            <w:bookmarkEnd w:id="17"/>
          </w:tbl>
          <w:p w14:paraId="20D5DF12">
            <w:pPr>
              <w:autoSpaceDE w:val="0"/>
              <w:autoSpaceDN w:val="0"/>
              <w:adjustRightInd w:val="0"/>
              <w:spacing w:line="360" w:lineRule="auto"/>
              <w:ind w:firstLine="480" w:firstLineChars="200"/>
              <w:rPr>
                <w:rFonts w:ascii="Times New Roman" w:hAnsi="Times New Roman"/>
                <w:sz w:val="24"/>
                <w:highlight w:val="yellow"/>
              </w:rPr>
            </w:pPr>
            <w:r>
              <w:rPr>
                <w:rFonts w:ascii="Times New Roman" w:hAnsi="Times New Roman"/>
                <w:sz w:val="24"/>
              </w:rPr>
              <w:t>运营期喷漆工序漆料平衡见表2-12。</w:t>
            </w:r>
          </w:p>
          <w:p w14:paraId="47DB89AF">
            <w:pPr>
              <w:jc w:val="center"/>
              <w:rPr>
                <w:rFonts w:ascii="Times New Roman" w:hAnsi="Times New Roman"/>
                <w:b/>
                <w:sz w:val="24"/>
              </w:rPr>
            </w:pPr>
            <w:r>
              <w:rPr>
                <w:rFonts w:ascii="Times New Roman" w:hAnsi="Times New Roman"/>
                <w:b/>
                <w:sz w:val="24"/>
              </w:rPr>
              <w:t>表2-12 运营期涂料平衡一览表  单位：t/a</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7"/>
              <w:gridCol w:w="898"/>
              <w:gridCol w:w="1022"/>
              <w:gridCol w:w="1455"/>
              <w:gridCol w:w="896"/>
            </w:tblGrid>
            <w:tr w14:paraId="03C6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pct"/>
                  <w:gridSpan w:val="2"/>
                  <w:vAlign w:val="center"/>
                </w:tcPr>
                <w:p w14:paraId="4C3DD7BD">
                  <w:pPr>
                    <w:spacing w:line="240" w:lineRule="atLeast"/>
                    <w:jc w:val="center"/>
                    <w:rPr>
                      <w:rFonts w:ascii="Times New Roman" w:hAnsi="Times New Roman"/>
                      <w:szCs w:val="20"/>
                    </w:rPr>
                  </w:pPr>
                  <w:bookmarkStart w:id="18" w:name="OLE_LINK65"/>
                  <w:r>
                    <w:rPr>
                      <w:rFonts w:ascii="Times New Roman" w:hAnsi="Times New Roman"/>
                      <w:szCs w:val="20"/>
                    </w:rPr>
                    <w:t>入方</w:t>
                  </w:r>
                </w:p>
              </w:tc>
              <w:tc>
                <w:tcPr>
                  <w:tcW w:w="2017" w:type="pct"/>
                  <w:gridSpan w:val="3"/>
                  <w:vAlign w:val="center"/>
                </w:tcPr>
                <w:p w14:paraId="7B8A4D57">
                  <w:pPr>
                    <w:spacing w:line="240" w:lineRule="atLeast"/>
                    <w:jc w:val="center"/>
                    <w:rPr>
                      <w:rFonts w:ascii="Times New Roman" w:hAnsi="Times New Roman"/>
                      <w:szCs w:val="20"/>
                    </w:rPr>
                  </w:pPr>
                  <w:r>
                    <w:rPr>
                      <w:rFonts w:ascii="Times New Roman" w:hAnsi="Times New Roman"/>
                      <w:szCs w:val="20"/>
                    </w:rPr>
                    <w:t>出方</w:t>
                  </w:r>
                </w:p>
              </w:tc>
            </w:tr>
            <w:tr w14:paraId="3C3E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5" w:type="pct"/>
                  <w:vAlign w:val="center"/>
                </w:tcPr>
                <w:p w14:paraId="5E2473D8">
                  <w:pPr>
                    <w:spacing w:line="240" w:lineRule="atLeast"/>
                    <w:jc w:val="center"/>
                    <w:rPr>
                      <w:rFonts w:ascii="Times New Roman" w:hAnsi="Times New Roman"/>
                      <w:szCs w:val="20"/>
                    </w:rPr>
                  </w:pPr>
                  <w:r>
                    <w:rPr>
                      <w:rFonts w:ascii="Times New Roman" w:hAnsi="Times New Roman"/>
                      <w:szCs w:val="20"/>
                    </w:rPr>
                    <w:t>名称</w:t>
                  </w:r>
                </w:p>
              </w:tc>
              <w:tc>
                <w:tcPr>
                  <w:tcW w:w="536" w:type="pct"/>
                  <w:vAlign w:val="center"/>
                </w:tcPr>
                <w:p w14:paraId="377D10EB">
                  <w:pPr>
                    <w:spacing w:line="240" w:lineRule="atLeast"/>
                    <w:jc w:val="center"/>
                    <w:rPr>
                      <w:rFonts w:ascii="Times New Roman" w:hAnsi="Times New Roman"/>
                      <w:szCs w:val="20"/>
                    </w:rPr>
                  </w:pPr>
                  <w:r>
                    <w:rPr>
                      <w:rFonts w:ascii="Times New Roman" w:hAnsi="Times New Roman"/>
                      <w:szCs w:val="20"/>
                    </w:rPr>
                    <w:t>用量</w:t>
                  </w:r>
                </w:p>
              </w:tc>
              <w:tc>
                <w:tcPr>
                  <w:tcW w:w="1481" w:type="pct"/>
                  <w:gridSpan w:val="2"/>
                  <w:vAlign w:val="center"/>
                </w:tcPr>
                <w:p w14:paraId="53FECCFB">
                  <w:pPr>
                    <w:spacing w:line="240" w:lineRule="atLeast"/>
                    <w:jc w:val="center"/>
                    <w:rPr>
                      <w:rFonts w:ascii="Times New Roman" w:hAnsi="Times New Roman"/>
                      <w:szCs w:val="20"/>
                      <w:highlight w:val="none"/>
                    </w:rPr>
                  </w:pPr>
                  <w:r>
                    <w:rPr>
                      <w:rFonts w:ascii="Times New Roman" w:hAnsi="Times New Roman"/>
                      <w:szCs w:val="20"/>
                      <w:highlight w:val="none"/>
                    </w:rPr>
                    <w:t>名称</w:t>
                  </w:r>
                </w:p>
              </w:tc>
              <w:tc>
                <w:tcPr>
                  <w:tcW w:w="536" w:type="pct"/>
                  <w:vAlign w:val="center"/>
                </w:tcPr>
                <w:p w14:paraId="710A8934">
                  <w:pPr>
                    <w:spacing w:line="240" w:lineRule="atLeast"/>
                    <w:jc w:val="center"/>
                    <w:rPr>
                      <w:rFonts w:ascii="Times New Roman" w:hAnsi="Times New Roman"/>
                      <w:szCs w:val="20"/>
                      <w:highlight w:val="none"/>
                    </w:rPr>
                  </w:pPr>
                  <w:r>
                    <w:rPr>
                      <w:rFonts w:ascii="Times New Roman" w:hAnsi="Times New Roman"/>
                      <w:szCs w:val="20"/>
                      <w:highlight w:val="none"/>
                    </w:rPr>
                    <w:t>用量</w:t>
                  </w:r>
                </w:p>
              </w:tc>
            </w:tr>
            <w:tr w14:paraId="0270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5" w:type="pct"/>
                  <w:vMerge w:val="restart"/>
                  <w:vAlign w:val="center"/>
                </w:tcPr>
                <w:p w14:paraId="471F3AFC">
                  <w:pPr>
                    <w:spacing w:line="240" w:lineRule="atLeast"/>
                    <w:jc w:val="center"/>
                    <w:rPr>
                      <w:rFonts w:ascii="Times New Roman" w:hAnsi="Times New Roman"/>
                      <w:szCs w:val="20"/>
                    </w:rPr>
                  </w:pPr>
                  <w:r>
                    <w:rPr>
                      <w:rFonts w:ascii="Times New Roman" w:hAnsi="Times New Roman"/>
                      <w:szCs w:val="21"/>
                    </w:rPr>
                    <w:t>水性环氧树脂底漆和水性丙烯酸聚氨酯面漆</w:t>
                  </w:r>
                </w:p>
              </w:tc>
              <w:tc>
                <w:tcPr>
                  <w:tcW w:w="536" w:type="pct"/>
                  <w:vMerge w:val="restart"/>
                  <w:vAlign w:val="center"/>
                </w:tcPr>
                <w:p w14:paraId="1426A007">
                  <w:pPr>
                    <w:jc w:val="center"/>
                    <w:rPr>
                      <w:rFonts w:hint="default" w:ascii="Times New Roman" w:hAnsi="Times New Roman" w:eastAsia="宋体"/>
                      <w:szCs w:val="20"/>
                      <w:lang w:val="en-US" w:eastAsia="zh-CN"/>
                    </w:rPr>
                  </w:pPr>
                  <w:r>
                    <w:rPr>
                      <w:rFonts w:hint="eastAsia"/>
                      <w:lang w:val="en-US" w:eastAsia="zh-CN"/>
                    </w:rPr>
                    <w:t>4.58</w:t>
                  </w:r>
                </w:p>
              </w:tc>
              <w:tc>
                <w:tcPr>
                  <w:tcW w:w="1481" w:type="pct"/>
                  <w:gridSpan w:val="2"/>
                  <w:vAlign w:val="center"/>
                </w:tcPr>
                <w:p w14:paraId="28D5F526">
                  <w:pPr>
                    <w:spacing w:line="240" w:lineRule="atLeast"/>
                    <w:jc w:val="center"/>
                    <w:rPr>
                      <w:rFonts w:ascii="Times New Roman" w:hAnsi="Times New Roman"/>
                      <w:szCs w:val="20"/>
                    </w:rPr>
                  </w:pPr>
                  <w:r>
                    <w:rPr>
                      <w:rFonts w:ascii="Times New Roman" w:hAnsi="Times New Roman"/>
                      <w:szCs w:val="20"/>
                    </w:rPr>
                    <w:t>固体附着</w:t>
                  </w:r>
                </w:p>
              </w:tc>
              <w:tc>
                <w:tcPr>
                  <w:tcW w:w="536" w:type="pct"/>
                  <w:vAlign w:val="center"/>
                </w:tcPr>
                <w:p w14:paraId="332A8D05">
                  <w:pPr>
                    <w:spacing w:line="240" w:lineRule="atLeast"/>
                    <w:jc w:val="center"/>
                    <w:rPr>
                      <w:rFonts w:hint="default" w:ascii="Times New Roman" w:hAnsi="Times New Roman" w:eastAsia="宋体"/>
                      <w:szCs w:val="20"/>
                      <w:lang w:val="en-US" w:eastAsia="zh-CN"/>
                    </w:rPr>
                  </w:pPr>
                  <w:r>
                    <w:rPr>
                      <w:rFonts w:hint="eastAsia"/>
                      <w:szCs w:val="20"/>
                      <w:lang w:val="en-US" w:eastAsia="zh-CN"/>
                    </w:rPr>
                    <w:t>1.9978</w:t>
                  </w:r>
                </w:p>
              </w:tc>
            </w:tr>
            <w:tr w14:paraId="5927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5" w:type="pct"/>
                  <w:vMerge w:val="continue"/>
                  <w:vAlign w:val="center"/>
                </w:tcPr>
                <w:p w14:paraId="3B8DDCE1">
                  <w:pPr>
                    <w:spacing w:line="240" w:lineRule="atLeast"/>
                    <w:jc w:val="center"/>
                    <w:rPr>
                      <w:rFonts w:ascii="Times New Roman" w:hAnsi="Times New Roman"/>
                      <w:szCs w:val="20"/>
                    </w:rPr>
                  </w:pPr>
                </w:p>
              </w:tc>
              <w:tc>
                <w:tcPr>
                  <w:tcW w:w="536" w:type="pct"/>
                  <w:vMerge w:val="continue"/>
                  <w:vAlign w:val="center"/>
                </w:tcPr>
                <w:p w14:paraId="4C5F73D7">
                  <w:pPr>
                    <w:spacing w:line="240" w:lineRule="atLeast"/>
                    <w:jc w:val="center"/>
                    <w:rPr>
                      <w:rFonts w:ascii="Times New Roman" w:hAnsi="Times New Roman"/>
                      <w:szCs w:val="20"/>
                    </w:rPr>
                  </w:pPr>
                </w:p>
              </w:tc>
              <w:tc>
                <w:tcPr>
                  <w:tcW w:w="611" w:type="pct"/>
                  <w:vMerge w:val="restart"/>
                  <w:vAlign w:val="center"/>
                </w:tcPr>
                <w:p w14:paraId="04EBD042">
                  <w:pPr>
                    <w:spacing w:line="240" w:lineRule="atLeast"/>
                    <w:jc w:val="center"/>
                    <w:rPr>
                      <w:rFonts w:ascii="Times New Roman" w:hAnsi="Times New Roman"/>
                      <w:szCs w:val="20"/>
                    </w:rPr>
                  </w:pPr>
                  <w:r>
                    <w:rPr>
                      <w:rFonts w:ascii="Times New Roman" w:hAnsi="Times New Roman"/>
                      <w:szCs w:val="20"/>
                    </w:rPr>
                    <w:t>有组织</w:t>
                  </w:r>
                </w:p>
              </w:tc>
              <w:tc>
                <w:tcPr>
                  <w:tcW w:w="870" w:type="pct"/>
                  <w:vAlign w:val="center"/>
                </w:tcPr>
                <w:p w14:paraId="65A11C96">
                  <w:pPr>
                    <w:spacing w:line="240" w:lineRule="atLeast"/>
                    <w:jc w:val="center"/>
                    <w:rPr>
                      <w:rFonts w:ascii="Times New Roman" w:hAnsi="Times New Roman"/>
                      <w:szCs w:val="20"/>
                    </w:rPr>
                  </w:pPr>
                  <w:r>
                    <w:rPr>
                      <w:rFonts w:ascii="Times New Roman" w:hAnsi="Times New Roman"/>
                      <w:szCs w:val="20"/>
                    </w:rPr>
                    <w:t>漆雾</w:t>
                  </w:r>
                </w:p>
              </w:tc>
              <w:tc>
                <w:tcPr>
                  <w:tcW w:w="536" w:type="pct"/>
                  <w:vAlign w:val="center"/>
                </w:tcPr>
                <w:p w14:paraId="70D29190">
                  <w:pPr>
                    <w:spacing w:line="240" w:lineRule="atLeast"/>
                    <w:jc w:val="center"/>
                    <w:rPr>
                      <w:rFonts w:hint="default" w:ascii="Times New Roman" w:hAnsi="Times New Roman" w:eastAsia="宋体"/>
                      <w:szCs w:val="20"/>
                      <w:lang w:val="en-US" w:eastAsia="zh-CN"/>
                    </w:rPr>
                  </w:pPr>
                  <w:r>
                    <w:rPr>
                      <w:rFonts w:hint="eastAsia" w:ascii="Times New Roman" w:hAnsi="Times New Roman"/>
                      <w:szCs w:val="20"/>
                    </w:rPr>
                    <w:t>0.</w:t>
                  </w:r>
                  <w:r>
                    <w:rPr>
                      <w:rFonts w:hint="eastAsia"/>
                      <w:szCs w:val="20"/>
                      <w:lang w:val="en-US" w:eastAsia="zh-CN"/>
                    </w:rPr>
                    <w:t>56</w:t>
                  </w:r>
                </w:p>
              </w:tc>
            </w:tr>
            <w:tr w14:paraId="4864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5" w:type="pct"/>
                  <w:vMerge w:val="continue"/>
                  <w:vAlign w:val="center"/>
                </w:tcPr>
                <w:p w14:paraId="4F883377">
                  <w:pPr>
                    <w:spacing w:line="240" w:lineRule="atLeast"/>
                    <w:jc w:val="center"/>
                    <w:rPr>
                      <w:rFonts w:ascii="Times New Roman" w:hAnsi="Times New Roman"/>
                      <w:szCs w:val="20"/>
                    </w:rPr>
                  </w:pPr>
                </w:p>
              </w:tc>
              <w:tc>
                <w:tcPr>
                  <w:tcW w:w="536" w:type="pct"/>
                  <w:vMerge w:val="continue"/>
                  <w:vAlign w:val="center"/>
                </w:tcPr>
                <w:p w14:paraId="372B33E6">
                  <w:pPr>
                    <w:spacing w:line="240" w:lineRule="atLeast"/>
                    <w:jc w:val="center"/>
                    <w:rPr>
                      <w:rFonts w:ascii="Times New Roman" w:hAnsi="Times New Roman"/>
                      <w:szCs w:val="20"/>
                    </w:rPr>
                  </w:pPr>
                </w:p>
              </w:tc>
              <w:tc>
                <w:tcPr>
                  <w:tcW w:w="611" w:type="pct"/>
                  <w:vMerge w:val="continue"/>
                  <w:vAlign w:val="center"/>
                </w:tcPr>
                <w:p w14:paraId="0F72C5F7">
                  <w:pPr>
                    <w:spacing w:line="240" w:lineRule="atLeast"/>
                    <w:jc w:val="center"/>
                    <w:rPr>
                      <w:rFonts w:ascii="Times New Roman" w:hAnsi="Times New Roman"/>
                      <w:szCs w:val="20"/>
                    </w:rPr>
                  </w:pPr>
                </w:p>
              </w:tc>
              <w:tc>
                <w:tcPr>
                  <w:tcW w:w="870" w:type="pct"/>
                  <w:vAlign w:val="center"/>
                </w:tcPr>
                <w:p w14:paraId="41214C2D">
                  <w:pPr>
                    <w:spacing w:line="240" w:lineRule="atLeast"/>
                    <w:jc w:val="center"/>
                    <w:rPr>
                      <w:rFonts w:ascii="Times New Roman" w:hAnsi="Times New Roman"/>
                      <w:szCs w:val="20"/>
                    </w:rPr>
                  </w:pPr>
                  <w:r>
                    <w:rPr>
                      <w:rFonts w:ascii="Times New Roman" w:hAnsi="Times New Roman"/>
                      <w:szCs w:val="20"/>
                    </w:rPr>
                    <w:t>非甲烷总烃</w:t>
                  </w:r>
                </w:p>
              </w:tc>
              <w:tc>
                <w:tcPr>
                  <w:tcW w:w="536" w:type="pct"/>
                  <w:vAlign w:val="center"/>
                </w:tcPr>
                <w:p w14:paraId="35744413">
                  <w:pPr>
                    <w:spacing w:line="240" w:lineRule="atLeast"/>
                    <w:jc w:val="center"/>
                    <w:rPr>
                      <w:rFonts w:hint="default" w:ascii="Times New Roman" w:hAnsi="Times New Roman" w:eastAsia="宋体"/>
                      <w:szCs w:val="20"/>
                      <w:lang w:val="en-US" w:eastAsia="zh-CN"/>
                    </w:rPr>
                  </w:pPr>
                  <w:r>
                    <w:rPr>
                      <w:rFonts w:hint="eastAsia"/>
                      <w:szCs w:val="20"/>
                      <w:lang w:val="en-US" w:eastAsia="zh-CN"/>
                    </w:rPr>
                    <w:t>0.752</w:t>
                  </w:r>
                </w:p>
              </w:tc>
            </w:tr>
            <w:tr w14:paraId="098E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5" w:type="pct"/>
                  <w:vMerge w:val="continue"/>
                  <w:vAlign w:val="center"/>
                </w:tcPr>
                <w:p w14:paraId="4AB8A762">
                  <w:pPr>
                    <w:spacing w:line="240" w:lineRule="atLeast"/>
                    <w:jc w:val="center"/>
                    <w:rPr>
                      <w:rFonts w:ascii="Times New Roman" w:hAnsi="Times New Roman"/>
                      <w:szCs w:val="20"/>
                    </w:rPr>
                  </w:pPr>
                </w:p>
              </w:tc>
              <w:tc>
                <w:tcPr>
                  <w:tcW w:w="536" w:type="pct"/>
                  <w:vMerge w:val="continue"/>
                  <w:vAlign w:val="center"/>
                </w:tcPr>
                <w:p w14:paraId="28FA2B87">
                  <w:pPr>
                    <w:spacing w:line="240" w:lineRule="atLeast"/>
                    <w:jc w:val="center"/>
                    <w:rPr>
                      <w:rFonts w:ascii="Times New Roman" w:hAnsi="Times New Roman"/>
                      <w:szCs w:val="20"/>
                    </w:rPr>
                  </w:pPr>
                </w:p>
              </w:tc>
              <w:tc>
                <w:tcPr>
                  <w:tcW w:w="611" w:type="pct"/>
                  <w:vMerge w:val="restart"/>
                  <w:vAlign w:val="center"/>
                </w:tcPr>
                <w:p w14:paraId="2064941D">
                  <w:pPr>
                    <w:spacing w:line="240" w:lineRule="atLeast"/>
                    <w:jc w:val="center"/>
                    <w:rPr>
                      <w:rFonts w:ascii="Times New Roman" w:hAnsi="Times New Roman"/>
                      <w:szCs w:val="20"/>
                    </w:rPr>
                  </w:pPr>
                  <w:r>
                    <w:rPr>
                      <w:rFonts w:ascii="Times New Roman" w:hAnsi="Times New Roman"/>
                      <w:szCs w:val="20"/>
                    </w:rPr>
                    <w:t>无组织</w:t>
                  </w:r>
                </w:p>
              </w:tc>
              <w:tc>
                <w:tcPr>
                  <w:tcW w:w="870" w:type="pct"/>
                  <w:vAlign w:val="center"/>
                </w:tcPr>
                <w:p w14:paraId="4D92ED9B">
                  <w:pPr>
                    <w:spacing w:line="240" w:lineRule="atLeast"/>
                    <w:jc w:val="center"/>
                    <w:rPr>
                      <w:rFonts w:ascii="Times New Roman" w:hAnsi="Times New Roman"/>
                      <w:szCs w:val="20"/>
                    </w:rPr>
                  </w:pPr>
                  <w:r>
                    <w:rPr>
                      <w:rFonts w:ascii="Times New Roman" w:hAnsi="Times New Roman"/>
                      <w:szCs w:val="20"/>
                    </w:rPr>
                    <w:t>漆雾</w:t>
                  </w:r>
                </w:p>
              </w:tc>
              <w:tc>
                <w:tcPr>
                  <w:tcW w:w="536" w:type="pct"/>
                  <w:vAlign w:val="center"/>
                </w:tcPr>
                <w:p w14:paraId="18B241AE">
                  <w:pPr>
                    <w:spacing w:line="240" w:lineRule="atLeast"/>
                    <w:jc w:val="center"/>
                    <w:rPr>
                      <w:rFonts w:hint="default" w:ascii="Times New Roman" w:hAnsi="Times New Roman" w:eastAsia="宋体"/>
                      <w:szCs w:val="20"/>
                      <w:lang w:val="en-US" w:eastAsia="zh-CN"/>
                    </w:rPr>
                  </w:pPr>
                  <w:r>
                    <w:rPr>
                      <w:rFonts w:hint="eastAsia" w:ascii="Times New Roman" w:hAnsi="Times New Roman"/>
                      <w:szCs w:val="20"/>
                    </w:rPr>
                    <w:t>0.01</w:t>
                  </w:r>
                  <w:r>
                    <w:rPr>
                      <w:rFonts w:hint="eastAsia"/>
                      <w:szCs w:val="20"/>
                      <w:lang w:val="en-US" w:eastAsia="zh-CN"/>
                    </w:rPr>
                    <w:t>08</w:t>
                  </w:r>
                </w:p>
              </w:tc>
            </w:tr>
            <w:tr w14:paraId="5C43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5" w:type="pct"/>
                  <w:vMerge w:val="continue"/>
                  <w:vAlign w:val="center"/>
                </w:tcPr>
                <w:p w14:paraId="39C663C1">
                  <w:pPr>
                    <w:spacing w:line="240" w:lineRule="atLeast"/>
                    <w:jc w:val="center"/>
                    <w:rPr>
                      <w:rFonts w:ascii="Times New Roman" w:hAnsi="Times New Roman"/>
                      <w:szCs w:val="20"/>
                    </w:rPr>
                  </w:pPr>
                </w:p>
              </w:tc>
              <w:tc>
                <w:tcPr>
                  <w:tcW w:w="536" w:type="pct"/>
                  <w:vMerge w:val="continue"/>
                  <w:vAlign w:val="center"/>
                </w:tcPr>
                <w:p w14:paraId="0AEDA4E7">
                  <w:pPr>
                    <w:spacing w:line="240" w:lineRule="atLeast"/>
                    <w:jc w:val="center"/>
                    <w:rPr>
                      <w:rFonts w:ascii="Times New Roman" w:hAnsi="Times New Roman"/>
                      <w:szCs w:val="20"/>
                    </w:rPr>
                  </w:pPr>
                </w:p>
              </w:tc>
              <w:tc>
                <w:tcPr>
                  <w:tcW w:w="611" w:type="pct"/>
                  <w:vMerge w:val="continue"/>
                  <w:vAlign w:val="center"/>
                </w:tcPr>
                <w:p w14:paraId="59DBF7D3">
                  <w:pPr>
                    <w:spacing w:line="240" w:lineRule="atLeast"/>
                    <w:jc w:val="center"/>
                    <w:rPr>
                      <w:rFonts w:ascii="Times New Roman" w:hAnsi="Times New Roman"/>
                      <w:szCs w:val="20"/>
                    </w:rPr>
                  </w:pPr>
                </w:p>
              </w:tc>
              <w:tc>
                <w:tcPr>
                  <w:tcW w:w="870" w:type="pct"/>
                  <w:vAlign w:val="center"/>
                </w:tcPr>
                <w:p w14:paraId="66BF458C">
                  <w:pPr>
                    <w:spacing w:line="240" w:lineRule="atLeast"/>
                    <w:jc w:val="center"/>
                    <w:rPr>
                      <w:rFonts w:ascii="Times New Roman" w:hAnsi="Times New Roman"/>
                      <w:szCs w:val="20"/>
                    </w:rPr>
                  </w:pPr>
                  <w:r>
                    <w:rPr>
                      <w:rFonts w:ascii="Times New Roman" w:hAnsi="Times New Roman"/>
                      <w:szCs w:val="20"/>
                    </w:rPr>
                    <w:t>非甲烷总烃</w:t>
                  </w:r>
                </w:p>
              </w:tc>
              <w:tc>
                <w:tcPr>
                  <w:tcW w:w="536" w:type="pct"/>
                  <w:vAlign w:val="center"/>
                </w:tcPr>
                <w:p w14:paraId="52DBFB47">
                  <w:pPr>
                    <w:spacing w:line="240" w:lineRule="atLeast"/>
                    <w:jc w:val="center"/>
                    <w:rPr>
                      <w:rFonts w:hint="default" w:ascii="Times New Roman" w:hAnsi="Times New Roman" w:eastAsia="宋体"/>
                      <w:szCs w:val="20"/>
                      <w:lang w:val="en-US" w:eastAsia="zh-CN"/>
                    </w:rPr>
                  </w:pPr>
                  <w:r>
                    <w:rPr>
                      <w:rFonts w:hint="eastAsia" w:ascii="Times New Roman" w:hAnsi="Times New Roman"/>
                      <w:szCs w:val="20"/>
                    </w:rPr>
                    <w:t>0.0</w:t>
                  </w:r>
                  <w:r>
                    <w:rPr>
                      <w:rFonts w:hint="eastAsia"/>
                      <w:szCs w:val="20"/>
                      <w:lang w:val="en-US" w:eastAsia="zh-CN"/>
                    </w:rPr>
                    <w:t>088</w:t>
                  </w:r>
                </w:p>
              </w:tc>
            </w:tr>
            <w:tr w14:paraId="7A62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5" w:type="pct"/>
                  <w:vMerge w:val="continue"/>
                  <w:vAlign w:val="center"/>
                </w:tcPr>
                <w:p w14:paraId="5EC89F8C">
                  <w:pPr>
                    <w:spacing w:line="240" w:lineRule="atLeast"/>
                    <w:jc w:val="center"/>
                    <w:rPr>
                      <w:rFonts w:ascii="Times New Roman" w:hAnsi="Times New Roman"/>
                      <w:szCs w:val="20"/>
                    </w:rPr>
                  </w:pPr>
                </w:p>
              </w:tc>
              <w:tc>
                <w:tcPr>
                  <w:tcW w:w="536" w:type="pct"/>
                  <w:vMerge w:val="continue"/>
                  <w:vAlign w:val="center"/>
                </w:tcPr>
                <w:p w14:paraId="714DCD93">
                  <w:pPr>
                    <w:spacing w:line="240" w:lineRule="atLeast"/>
                    <w:jc w:val="center"/>
                    <w:rPr>
                      <w:rFonts w:ascii="Times New Roman" w:hAnsi="Times New Roman"/>
                      <w:szCs w:val="20"/>
                    </w:rPr>
                  </w:pPr>
                </w:p>
              </w:tc>
              <w:tc>
                <w:tcPr>
                  <w:tcW w:w="1481" w:type="pct"/>
                  <w:gridSpan w:val="2"/>
                  <w:vAlign w:val="center"/>
                </w:tcPr>
                <w:p w14:paraId="02B74F13">
                  <w:pPr>
                    <w:spacing w:line="240" w:lineRule="atLeast"/>
                    <w:jc w:val="center"/>
                    <w:rPr>
                      <w:rFonts w:ascii="Times New Roman" w:hAnsi="Times New Roman"/>
                      <w:szCs w:val="20"/>
                    </w:rPr>
                  </w:pPr>
                  <w:r>
                    <w:rPr>
                      <w:rFonts w:hint="eastAsia" w:ascii="Times New Roman" w:hAnsi="Times New Roman"/>
                      <w:szCs w:val="20"/>
                    </w:rPr>
                    <w:t>漆渣</w:t>
                  </w:r>
                </w:p>
              </w:tc>
              <w:tc>
                <w:tcPr>
                  <w:tcW w:w="536" w:type="pct"/>
                  <w:vAlign w:val="center"/>
                </w:tcPr>
                <w:p w14:paraId="7C323FC5">
                  <w:pPr>
                    <w:spacing w:line="240" w:lineRule="atLeast"/>
                    <w:jc w:val="center"/>
                    <w:rPr>
                      <w:rFonts w:hint="default" w:ascii="Times New Roman" w:hAnsi="Times New Roman" w:eastAsia="宋体"/>
                      <w:szCs w:val="20"/>
                      <w:lang w:val="en-US" w:eastAsia="zh-CN"/>
                    </w:rPr>
                  </w:pPr>
                  <w:r>
                    <w:rPr>
                      <w:rFonts w:hint="eastAsia" w:ascii="Times New Roman" w:hAnsi="Times New Roman"/>
                      <w:szCs w:val="20"/>
                    </w:rPr>
                    <w:t>0.</w:t>
                  </w:r>
                  <w:r>
                    <w:rPr>
                      <w:rFonts w:hint="eastAsia"/>
                      <w:szCs w:val="20"/>
                      <w:lang w:val="en-US" w:eastAsia="zh-CN"/>
                    </w:rPr>
                    <w:t>2854</w:t>
                  </w:r>
                </w:p>
              </w:tc>
            </w:tr>
            <w:tr w14:paraId="7CF4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445" w:type="pct"/>
                  <w:vMerge w:val="continue"/>
                  <w:vAlign w:val="center"/>
                </w:tcPr>
                <w:p w14:paraId="302E4610">
                  <w:pPr>
                    <w:spacing w:line="240" w:lineRule="atLeast"/>
                    <w:jc w:val="center"/>
                    <w:rPr>
                      <w:rFonts w:ascii="Times New Roman" w:hAnsi="Times New Roman"/>
                      <w:szCs w:val="20"/>
                    </w:rPr>
                  </w:pPr>
                </w:p>
              </w:tc>
              <w:tc>
                <w:tcPr>
                  <w:tcW w:w="536" w:type="pct"/>
                  <w:vMerge w:val="continue"/>
                  <w:vAlign w:val="center"/>
                </w:tcPr>
                <w:p w14:paraId="04E2C7C7">
                  <w:pPr>
                    <w:spacing w:line="240" w:lineRule="atLeast"/>
                    <w:jc w:val="center"/>
                    <w:rPr>
                      <w:rFonts w:ascii="Times New Roman" w:hAnsi="Times New Roman"/>
                      <w:szCs w:val="20"/>
                    </w:rPr>
                  </w:pPr>
                </w:p>
              </w:tc>
              <w:tc>
                <w:tcPr>
                  <w:tcW w:w="1481" w:type="pct"/>
                  <w:gridSpan w:val="2"/>
                  <w:vAlign w:val="center"/>
                </w:tcPr>
                <w:p w14:paraId="0042EB93">
                  <w:pPr>
                    <w:spacing w:line="240" w:lineRule="atLeast"/>
                    <w:jc w:val="center"/>
                    <w:rPr>
                      <w:rFonts w:ascii="Times New Roman" w:hAnsi="Times New Roman"/>
                      <w:szCs w:val="20"/>
                    </w:rPr>
                  </w:pPr>
                  <w:r>
                    <w:rPr>
                      <w:rFonts w:ascii="Times New Roman" w:hAnsi="Times New Roman"/>
                      <w:szCs w:val="20"/>
                    </w:rPr>
                    <w:t>水</w:t>
                  </w:r>
                </w:p>
              </w:tc>
              <w:tc>
                <w:tcPr>
                  <w:tcW w:w="536" w:type="pct"/>
                  <w:vAlign w:val="center"/>
                </w:tcPr>
                <w:p w14:paraId="1409FA8B">
                  <w:pPr>
                    <w:spacing w:line="240" w:lineRule="atLeast"/>
                    <w:jc w:val="center"/>
                    <w:rPr>
                      <w:rFonts w:hint="default" w:ascii="Times New Roman" w:hAnsi="Times New Roman" w:eastAsia="宋体"/>
                      <w:szCs w:val="20"/>
                      <w:lang w:val="en-US" w:eastAsia="zh-CN"/>
                    </w:rPr>
                  </w:pPr>
                  <w:r>
                    <w:rPr>
                      <w:rFonts w:hint="eastAsia"/>
                      <w:szCs w:val="20"/>
                      <w:lang w:val="en-US" w:eastAsia="zh-CN"/>
                    </w:rPr>
                    <w:t>0.9652</w:t>
                  </w:r>
                </w:p>
              </w:tc>
            </w:tr>
            <w:tr w14:paraId="1A29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5" w:type="pct"/>
                  <w:vAlign w:val="center"/>
                </w:tcPr>
                <w:p w14:paraId="29F6F799">
                  <w:pPr>
                    <w:spacing w:line="240" w:lineRule="atLeast"/>
                    <w:jc w:val="center"/>
                    <w:rPr>
                      <w:rFonts w:ascii="Times New Roman" w:hAnsi="Times New Roman"/>
                      <w:szCs w:val="20"/>
                    </w:rPr>
                  </w:pPr>
                  <w:r>
                    <w:rPr>
                      <w:rFonts w:ascii="Times New Roman" w:hAnsi="Times New Roman"/>
                      <w:szCs w:val="20"/>
                    </w:rPr>
                    <w:t>合计</w:t>
                  </w:r>
                </w:p>
              </w:tc>
              <w:tc>
                <w:tcPr>
                  <w:tcW w:w="536" w:type="pct"/>
                  <w:vAlign w:val="center"/>
                </w:tcPr>
                <w:p w14:paraId="02857BC2">
                  <w:pPr>
                    <w:spacing w:line="240" w:lineRule="atLeast"/>
                    <w:jc w:val="center"/>
                    <w:rPr>
                      <w:rFonts w:hint="default" w:ascii="Times New Roman" w:hAnsi="Times New Roman" w:eastAsia="宋体"/>
                      <w:szCs w:val="20"/>
                      <w:lang w:val="en-US" w:eastAsia="zh-CN"/>
                    </w:rPr>
                  </w:pPr>
                  <w:r>
                    <w:rPr>
                      <w:rFonts w:hint="eastAsia"/>
                      <w:lang w:val="en-US" w:eastAsia="zh-CN"/>
                    </w:rPr>
                    <w:t>4.58</w:t>
                  </w:r>
                </w:p>
              </w:tc>
              <w:tc>
                <w:tcPr>
                  <w:tcW w:w="1481" w:type="pct"/>
                  <w:gridSpan w:val="2"/>
                  <w:vAlign w:val="center"/>
                </w:tcPr>
                <w:p w14:paraId="55E9666A">
                  <w:pPr>
                    <w:spacing w:line="240" w:lineRule="atLeast"/>
                    <w:jc w:val="center"/>
                    <w:rPr>
                      <w:rFonts w:ascii="Times New Roman" w:hAnsi="Times New Roman"/>
                      <w:szCs w:val="20"/>
                    </w:rPr>
                  </w:pPr>
                  <w:r>
                    <w:rPr>
                      <w:rFonts w:ascii="Times New Roman" w:hAnsi="Times New Roman"/>
                      <w:szCs w:val="20"/>
                    </w:rPr>
                    <w:t>/</w:t>
                  </w:r>
                </w:p>
              </w:tc>
              <w:tc>
                <w:tcPr>
                  <w:tcW w:w="536" w:type="pct"/>
                  <w:vAlign w:val="center"/>
                </w:tcPr>
                <w:p w14:paraId="760ADF67">
                  <w:pPr>
                    <w:spacing w:line="240" w:lineRule="atLeast"/>
                    <w:jc w:val="center"/>
                    <w:rPr>
                      <w:rFonts w:hint="default" w:ascii="Times New Roman" w:hAnsi="Times New Roman" w:eastAsia="宋体"/>
                      <w:szCs w:val="20"/>
                      <w:lang w:val="en-US" w:eastAsia="zh-CN"/>
                    </w:rPr>
                  </w:pPr>
                  <w:r>
                    <w:rPr>
                      <w:rFonts w:hint="eastAsia"/>
                      <w:szCs w:val="20"/>
                      <w:lang w:val="en-US" w:eastAsia="zh-CN"/>
                    </w:rPr>
                    <w:t>4.58</w:t>
                  </w:r>
                </w:p>
              </w:tc>
            </w:tr>
            <w:bookmarkEnd w:id="18"/>
          </w:tbl>
          <w:p w14:paraId="6CE742CB">
            <w:pPr>
              <w:ind w:firstLine="480"/>
              <w:rPr>
                <w:sz w:val="24"/>
                <w:szCs w:val="24"/>
              </w:rPr>
            </w:pPr>
            <w:r>
              <w:rPr>
                <w:rFonts w:hint="eastAsia"/>
                <w:sz w:val="24"/>
                <w:szCs w:val="24"/>
              </w:rPr>
              <w:t>本</w:t>
            </w:r>
            <w:r>
              <w:rPr>
                <w:rFonts w:hint="eastAsia"/>
                <w:sz w:val="24"/>
                <w:szCs w:val="24"/>
                <w:lang w:eastAsia="zh-CN"/>
              </w:rPr>
              <w:t>扩建</w:t>
            </w:r>
            <w:r>
              <w:rPr>
                <w:rFonts w:hint="eastAsia"/>
                <w:sz w:val="24"/>
                <w:szCs w:val="24"/>
              </w:rPr>
              <w:t>项目</w:t>
            </w:r>
            <w:r>
              <w:rPr>
                <w:sz w:val="24"/>
                <w:szCs w:val="24"/>
              </w:rPr>
              <w:t>漆料平衡图如下：</w:t>
            </w:r>
          </w:p>
          <w:p w14:paraId="7DFCB519">
            <w:pPr>
              <w:pStyle w:val="2"/>
              <w:rPr>
                <w:rFonts w:hint="eastAsia" w:eastAsia="宋体"/>
                <w:sz w:val="24"/>
                <w:szCs w:val="24"/>
                <w:lang w:eastAsia="zh-CN"/>
              </w:rPr>
            </w:pPr>
            <w:r>
              <w:rPr>
                <w:rFonts w:hint="eastAsia" w:eastAsia="宋体"/>
                <w:sz w:val="24"/>
                <w:szCs w:val="24"/>
                <w:lang w:eastAsia="zh-CN"/>
              </w:rPr>
              <w:drawing>
                <wp:inline distT="0" distB="0" distL="114300" distR="114300">
                  <wp:extent cx="5299075" cy="2580640"/>
                  <wp:effectExtent l="0" t="0" r="15875" b="10160"/>
                  <wp:docPr id="21" name="图片 21" descr="底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底漆图"/>
                          <pic:cNvPicPr>
                            <a:picLocks noChangeAspect="1"/>
                          </pic:cNvPicPr>
                        </pic:nvPicPr>
                        <pic:blipFill>
                          <a:blip r:embed="rId13"/>
                          <a:stretch>
                            <a:fillRect/>
                          </a:stretch>
                        </pic:blipFill>
                        <pic:spPr>
                          <a:xfrm>
                            <a:off x="0" y="0"/>
                            <a:ext cx="5299075" cy="2580640"/>
                          </a:xfrm>
                          <a:prstGeom prst="rect">
                            <a:avLst/>
                          </a:prstGeom>
                        </pic:spPr>
                      </pic:pic>
                    </a:graphicData>
                  </a:graphic>
                </wp:inline>
              </w:drawing>
            </w:r>
          </w:p>
          <w:p w14:paraId="1313BC8A">
            <w:pPr>
              <w:pStyle w:val="5"/>
              <w:jc w:val="cente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图2-1  水性底漆平衡图  单位：t/a</w:t>
            </w:r>
          </w:p>
          <w:p w14:paraId="7EEE7053">
            <w:pPr>
              <w:rPr>
                <w:rFonts w:hint="eastAsia" w:eastAsia="宋体"/>
                <w:sz w:val="24"/>
                <w:szCs w:val="24"/>
                <w:lang w:eastAsia="zh-CN"/>
              </w:rPr>
            </w:pPr>
            <w:r>
              <w:rPr>
                <w:rFonts w:hint="eastAsia" w:eastAsia="宋体"/>
                <w:sz w:val="24"/>
                <w:szCs w:val="24"/>
                <w:lang w:eastAsia="zh-CN"/>
              </w:rPr>
              <w:drawing>
                <wp:inline distT="0" distB="0" distL="114300" distR="114300">
                  <wp:extent cx="5299710" cy="2560320"/>
                  <wp:effectExtent l="0" t="0" r="15240" b="11430"/>
                  <wp:docPr id="76" name="图片 76" descr="面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面漆图"/>
                          <pic:cNvPicPr>
                            <a:picLocks noChangeAspect="1"/>
                          </pic:cNvPicPr>
                        </pic:nvPicPr>
                        <pic:blipFill>
                          <a:blip r:embed="rId14"/>
                          <a:stretch>
                            <a:fillRect/>
                          </a:stretch>
                        </pic:blipFill>
                        <pic:spPr>
                          <a:xfrm>
                            <a:off x="0" y="0"/>
                            <a:ext cx="5299710" cy="2560320"/>
                          </a:xfrm>
                          <a:prstGeom prst="rect">
                            <a:avLst/>
                          </a:prstGeom>
                        </pic:spPr>
                      </pic:pic>
                    </a:graphicData>
                  </a:graphic>
                </wp:inline>
              </w:drawing>
            </w:r>
          </w:p>
          <w:p w14:paraId="5B1DDC32">
            <w:pPr>
              <w:pStyle w:val="5"/>
              <w:ind w:firstLine="482"/>
              <w:jc w:val="cente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图2-2 水性面漆平衡图  单位：t/a</w:t>
            </w:r>
          </w:p>
          <w:p w14:paraId="63D0AC9A">
            <w:pPr>
              <w:pStyle w:val="2"/>
              <w:rPr>
                <w:rFonts w:hint="eastAsia" w:eastAsia="宋体"/>
                <w:sz w:val="24"/>
                <w:szCs w:val="24"/>
                <w:lang w:eastAsia="zh-CN"/>
              </w:rPr>
            </w:pPr>
            <w:r>
              <w:rPr>
                <w:rFonts w:hint="eastAsia" w:eastAsia="宋体"/>
                <w:sz w:val="24"/>
                <w:szCs w:val="24"/>
                <w:lang w:eastAsia="zh-CN"/>
              </w:rPr>
              <w:drawing>
                <wp:inline distT="0" distB="0" distL="114300" distR="114300">
                  <wp:extent cx="5295265" cy="2475865"/>
                  <wp:effectExtent l="0" t="0" r="635" b="635"/>
                  <wp:docPr id="89" name="图片 89" descr="油漆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油漆总图"/>
                          <pic:cNvPicPr>
                            <a:picLocks noChangeAspect="1"/>
                          </pic:cNvPicPr>
                        </pic:nvPicPr>
                        <pic:blipFill>
                          <a:blip r:embed="rId15"/>
                          <a:stretch>
                            <a:fillRect/>
                          </a:stretch>
                        </pic:blipFill>
                        <pic:spPr>
                          <a:xfrm>
                            <a:off x="0" y="0"/>
                            <a:ext cx="5295265" cy="2475865"/>
                          </a:xfrm>
                          <a:prstGeom prst="rect">
                            <a:avLst/>
                          </a:prstGeom>
                        </pic:spPr>
                      </pic:pic>
                    </a:graphicData>
                  </a:graphic>
                </wp:inline>
              </w:drawing>
            </w:r>
          </w:p>
          <w:p w14:paraId="42794C9F">
            <w:pPr>
              <w:pStyle w:val="5"/>
              <w:ind w:firstLine="482"/>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图2-3 水性漆料总平衡图   单位：t/a</w:t>
            </w:r>
          </w:p>
          <w:p w14:paraId="21AC66F9">
            <w:pPr>
              <w:keepNext w:val="0"/>
              <w:keepLines w:val="0"/>
              <w:pageBreakBefore w:val="0"/>
              <w:widowControl w:val="0"/>
              <w:tabs>
                <w:tab w:val="left" w:pos="1180"/>
              </w:tabs>
              <w:kinsoku/>
              <w:wordWrap/>
              <w:overflowPunct/>
              <w:topLinePunct w:val="0"/>
              <w:autoSpaceDE/>
              <w:autoSpaceDN/>
              <w:bidi w:val="0"/>
              <w:adjustRightInd/>
              <w:snapToGrid/>
              <w:spacing w:before="313" w:beforeLines="100" w:line="360" w:lineRule="auto"/>
              <w:jc w:val="left"/>
              <w:textAlignment w:val="auto"/>
              <w:rPr>
                <w:rFonts w:hint="default" w:ascii="Times New Roman" w:hAnsi="Times New Roman" w:cs="Times New Roman"/>
                <w:b/>
                <w:bCs/>
                <w:color w:val="auto"/>
                <w:sz w:val="24"/>
                <w:highlight w:val="none"/>
              </w:rPr>
            </w:pPr>
            <w:r>
              <w:rPr>
                <w:rFonts w:hint="eastAsia"/>
                <w:b/>
                <w:bCs/>
                <w:color w:val="auto"/>
                <w:sz w:val="24"/>
                <w:highlight w:val="none"/>
                <w:lang w:val="en-US" w:eastAsia="zh-CN"/>
              </w:rPr>
              <w:t>7</w:t>
            </w:r>
            <w:r>
              <w:rPr>
                <w:rFonts w:hint="eastAsia"/>
                <w:b/>
                <w:bCs/>
                <w:color w:val="auto"/>
                <w:sz w:val="24"/>
                <w:highlight w:val="none"/>
              </w:rPr>
              <w:t>、</w:t>
            </w:r>
            <w:r>
              <w:rPr>
                <w:rFonts w:hint="default" w:ascii="Times New Roman" w:hAnsi="Times New Roman" w:cs="Times New Roman"/>
                <w:b/>
                <w:bCs/>
                <w:color w:val="auto"/>
                <w:sz w:val="24"/>
                <w:highlight w:val="none"/>
              </w:rPr>
              <w:t>劳动定员及工作制度</w:t>
            </w:r>
          </w:p>
          <w:p w14:paraId="03DB2563">
            <w:pPr>
              <w:pStyle w:val="18"/>
              <w:spacing w:line="360" w:lineRule="auto"/>
              <w:ind w:left="0" w:leftChars="0" w:firstLine="480" w:firstLineChars="200"/>
              <w:rPr>
                <w:rFonts w:hint="default" w:ascii="Times New Roman" w:hAnsi="Times New Roman" w:cs="Times New Roman"/>
                <w:color w:val="auto"/>
                <w:sz w:val="24"/>
                <w:highlight w:val="none"/>
                <w:lang w:eastAsia="zh-CN"/>
              </w:rPr>
            </w:pPr>
            <w:r>
              <w:rPr>
                <w:rFonts w:hint="eastAsia"/>
                <w:lang w:eastAsia="zh-CN"/>
              </w:rPr>
              <w:t>现有项目员工</w:t>
            </w:r>
            <w:r>
              <w:rPr>
                <w:rFonts w:hint="eastAsia"/>
                <w:lang w:val="en-US" w:eastAsia="zh-CN"/>
              </w:rPr>
              <w:t>50人，</w:t>
            </w:r>
            <w:r>
              <w:rPr>
                <w:rFonts w:hint="default" w:ascii="Times New Roman" w:hAnsi="Times New Roman" w:cs="Times New Roman"/>
                <w:color w:val="auto"/>
                <w:sz w:val="24"/>
                <w:highlight w:val="none"/>
              </w:rPr>
              <w:t>本项目新增</w:t>
            </w:r>
            <w:r>
              <w:rPr>
                <w:rFonts w:hint="default" w:ascii="Times New Roman" w:hAnsi="Times New Roman" w:cs="Times New Roman"/>
                <w:color w:val="auto"/>
                <w:sz w:val="24"/>
                <w:highlight w:val="none"/>
                <w:lang w:val="en-US" w:eastAsia="zh-CN"/>
              </w:rPr>
              <w:t>员工</w:t>
            </w:r>
            <w:r>
              <w:rPr>
                <w:rFonts w:hint="eastAsia" w:cs="Times New Roman"/>
                <w:color w:val="auto"/>
                <w:sz w:val="24"/>
                <w:highlight w:val="none"/>
                <w:lang w:val="en-US" w:eastAsia="zh-CN"/>
              </w:rPr>
              <w:t>10人</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全厂</w:t>
            </w:r>
            <w:r>
              <w:rPr>
                <w:rFonts w:hint="default" w:ascii="Times New Roman" w:hAnsi="Times New Roman" w:cs="Times New Roman"/>
                <w:color w:val="auto"/>
                <w:spacing w:val="0"/>
                <w:position w:val="1"/>
                <w:sz w:val="24"/>
                <w:u w:val="none"/>
              </w:rPr>
              <w:t>劳动定员</w:t>
            </w:r>
            <w:r>
              <w:rPr>
                <w:rFonts w:hint="eastAsia" w:cs="Times New Roman"/>
                <w:color w:val="auto"/>
                <w:spacing w:val="0"/>
                <w:position w:val="1"/>
                <w:sz w:val="24"/>
                <w:u w:val="none"/>
                <w:lang w:val="en-US" w:eastAsia="zh-CN"/>
              </w:rPr>
              <w:t>6</w:t>
            </w:r>
            <w:r>
              <w:rPr>
                <w:rFonts w:hint="default" w:ascii="Times New Roman" w:hAnsi="Times New Roman" w:cs="Times New Roman"/>
                <w:color w:val="auto"/>
                <w:spacing w:val="0"/>
                <w:position w:val="1"/>
                <w:sz w:val="24"/>
                <w:u w:val="none"/>
                <w:lang w:val="en-US" w:eastAsia="zh-CN"/>
              </w:rPr>
              <w:t>0</w:t>
            </w:r>
            <w:r>
              <w:rPr>
                <w:rFonts w:hint="default" w:ascii="Times New Roman" w:hAnsi="Times New Roman" w:cs="Times New Roman"/>
                <w:color w:val="auto"/>
                <w:spacing w:val="-2"/>
                <w:position w:val="1"/>
                <w:sz w:val="24"/>
                <w:u w:val="none"/>
              </w:rPr>
              <w:t>人</w:t>
            </w:r>
            <w:r>
              <w:rPr>
                <w:rFonts w:hint="default" w:ascii="Times New Roman" w:hAnsi="Times New Roman" w:cs="Times New Roman"/>
                <w:color w:val="auto"/>
                <w:spacing w:val="-2"/>
                <w:position w:val="1"/>
                <w:sz w:val="24"/>
                <w:u w:val="none"/>
                <w:lang w:eastAsia="zh-CN"/>
              </w:rPr>
              <w:t>，</w:t>
            </w:r>
            <w:r>
              <w:rPr>
                <w:rFonts w:hint="default" w:ascii="Times New Roman" w:hAnsi="Times New Roman" w:cs="Times New Roman"/>
                <w:color w:val="auto"/>
                <w:sz w:val="24"/>
                <w:highlight w:val="none"/>
              </w:rPr>
              <w:t>采用</w:t>
            </w:r>
            <w:r>
              <w:rPr>
                <w:rFonts w:hint="default" w:ascii="Times New Roman" w:hAnsi="Times New Roman" w:cs="Times New Roman"/>
                <w:color w:val="auto"/>
                <w:sz w:val="24"/>
                <w:highlight w:val="none"/>
                <w:lang w:eastAsia="zh-CN"/>
              </w:rPr>
              <w:t>每班工作</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lang w:eastAsia="zh-CN"/>
              </w:rPr>
              <w:t>小时，单班制</w:t>
            </w:r>
            <w:r>
              <w:rPr>
                <w:rFonts w:hint="eastAsia" w:cs="Times New Roman"/>
                <w:color w:val="auto"/>
                <w:sz w:val="24"/>
                <w:highlight w:val="none"/>
                <w:lang w:eastAsia="zh-CN"/>
              </w:rPr>
              <w:t>，夜间不生产</w:t>
            </w:r>
            <w:r>
              <w:rPr>
                <w:rFonts w:hint="default" w:ascii="Times New Roman" w:hAnsi="Times New Roman" w:cs="Times New Roman"/>
                <w:color w:val="auto"/>
                <w:sz w:val="24"/>
                <w:highlight w:val="none"/>
                <w:lang w:eastAsia="zh-CN"/>
              </w:rPr>
              <w:t>，年运营300天（年</w:t>
            </w:r>
            <w:r>
              <w:rPr>
                <w:rFonts w:hint="default" w:ascii="Times New Roman" w:hAnsi="Times New Roman" w:cs="Times New Roman"/>
                <w:color w:val="auto"/>
                <w:sz w:val="24"/>
                <w:highlight w:val="none"/>
                <w:lang w:val="en-US" w:eastAsia="zh-CN"/>
              </w:rPr>
              <w:t>2400h</w:t>
            </w:r>
            <w:r>
              <w:rPr>
                <w:rFonts w:hint="default" w:ascii="Times New Roman" w:hAnsi="Times New Roman" w:cs="Times New Roman"/>
                <w:color w:val="auto"/>
                <w:sz w:val="24"/>
                <w:highlight w:val="none"/>
                <w:lang w:eastAsia="zh-CN"/>
              </w:rPr>
              <w:t>）。</w:t>
            </w:r>
          </w:p>
          <w:p w14:paraId="7EADAAB8">
            <w:pPr>
              <w:pStyle w:val="18"/>
              <w:numPr>
                <w:ilvl w:val="0"/>
                <w:numId w:val="4"/>
              </w:numPr>
              <w:spacing w:line="360" w:lineRule="auto"/>
              <w:ind w:left="0" w:leftChars="0"/>
              <w:rPr>
                <w:rFonts w:hint="eastAsia"/>
                <w:b/>
                <w:color w:val="auto"/>
                <w:lang w:eastAsia="zh-CN"/>
              </w:rPr>
            </w:pPr>
            <w:r>
              <w:rPr>
                <w:rFonts w:hint="eastAsia"/>
                <w:b/>
                <w:color w:val="auto"/>
                <w:lang w:eastAsia="zh-CN"/>
              </w:rPr>
              <w:t>公用工程</w:t>
            </w:r>
          </w:p>
          <w:p w14:paraId="04496FD6">
            <w:pPr>
              <w:spacing w:line="360" w:lineRule="auto"/>
              <w:ind w:firstLine="480" w:firstLineChars="200"/>
              <w:rPr>
                <w:rFonts w:ascii="Times New Roman" w:hAnsi="Times New Roman"/>
                <w:color w:val="auto"/>
                <w:sz w:val="24"/>
              </w:rPr>
            </w:pPr>
            <w:r>
              <w:rPr>
                <w:rFonts w:ascii="Times New Roman" w:hAnsi="Times New Roman"/>
                <w:color w:val="auto"/>
                <w:sz w:val="24"/>
              </w:rPr>
              <w:t>（1）给水工程</w:t>
            </w:r>
          </w:p>
          <w:p w14:paraId="10542A34">
            <w:pPr>
              <w:pStyle w:val="66"/>
              <w:ind w:firstLine="480"/>
              <w:rPr>
                <w:color w:val="auto"/>
              </w:rPr>
            </w:pPr>
            <w:r>
              <w:rPr>
                <w:color w:val="auto"/>
              </w:rPr>
              <w:t>项目用水主要是生活用水，车间地面定期清扫，不需进行冲洗。项目用水由市政供水管网供给，能够满足项目用水需要。</w:t>
            </w:r>
          </w:p>
          <w:p w14:paraId="151C205E">
            <w:pPr>
              <w:pStyle w:val="86"/>
              <w:numPr>
                <w:ilvl w:val="0"/>
                <w:numId w:val="5"/>
              </w:numPr>
              <w:rPr>
                <w:rFonts w:hint="default" w:ascii="Times New Roman" w:hAnsi="Times New Roman" w:cs="Times New Roman"/>
                <w:b w:val="0"/>
                <w:bCs/>
                <w:color w:val="auto"/>
              </w:rPr>
            </w:pPr>
            <w:r>
              <w:rPr>
                <w:color w:val="auto"/>
              </w:rPr>
              <w:t>生活用水：项目劳动定员</w:t>
            </w:r>
            <w:r>
              <w:rPr>
                <w:rFonts w:hint="eastAsia"/>
                <w:color w:val="auto"/>
                <w:lang w:val="en-US" w:eastAsia="zh-CN"/>
              </w:rPr>
              <w:t>10</w:t>
            </w:r>
            <w:r>
              <w:rPr>
                <w:color w:val="auto"/>
              </w:rPr>
              <w:t>人，不在项目区内食宿；</w:t>
            </w:r>
            <w:r>
              <w:rPr>
                <w:rFonts w:hint="default" w:ascii="Times New Roman" w:hAnsi="Times New Roman" w:cs="Times New Roman"/>
                <w:color w:val="auto"/>
              </w:rPr>
              <w:t>根据《安徽省行业用水定额》（DB34/T679-2020），生活用水定额60L/（人•d），则生活用水量</w:t>
            </w:r>
            <w:r>
              <w:rPr>
                <w:rFonts w:hint="eastAsia" w:cs="Times New Roman"/>
                <w:color w:val="auto"/>
                <w:lang w:val="en-US" w:eastAsia="zh-CN"/>
              </w:rPr>
              <w:t>0.6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val="en-US" w:eastAsia="zh-CN"/>
              </w:rPr>
              <w:t>1</w:t>
            </w:r>
            <w:r>
              <w:rPr>
                <w:rFonts w:hint="eastAsia" w:cs="Times New Roman"/>
                <w:color w:val="auto"/>
                <w:lang w:val="en-US" w:eastAsia="zh-CN"/>
              </w:rPr>
              <w:t>80</w:t>
            </w:r>
            <w:r>
              <w:rPr>
                <w:rFonts w:hint="default" w:ascii="Times New Roman" w:hAnsi="Times New Roman" w:cs="Times New Roman"/>
                <w:color w:val="auto"/>
              </w:rPr>
              <w:t>t/a）放量按用水量的80%算，则生活污水排放量为</w:t>
            </w:r>
            <w:r>
              <w:rPr>
                <w:rFonts w:hint="eastAsia" w:cs="Times New Roman"/>
                <w:color w:val="auto"/>
                <w:lang w:val="en-US" w:eastAsia="zh-CN"/>
              </w:rPr>
              <w:t>0.48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cs="Times New Roman"/>
                <w:color w:val="auto"/>
                <w:lang w:val="en-US" w:eastAsia="zh-CN"/>
              </w:rPr>
              <w:t>144</w:t>
            </w:r>
            <w:r>
              <w:rPr>
                <w:rFonts w:hint="default" w:ascii="Times New Roman" w:hAnsi="Times New Roman" w:cs="Times New Roman"/>
                <w:color w:val="auto"/>
              </w:rPr>
              <w:t>t/a），此类污水主要污染物为COD</w:t>
            </w:r>
            <w:r>
              <w:rPr>
                <w:rFonts w:hint="default" w:ascii="Times New Roman" w:hAnsi="Times New Roman" w:cs="Times New Roman"/>
                <w:color w:val="auto"/>
                <w:vertAlign w:val="subscript"/>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、氨氮、SS等。</w:t>
            </w:r>
          </w:p>
          <w:p w14:paraId="49882E9A">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（2）排水系统</w:t>
            </w:r>
          </w:p>
          <w:p w14:paraId="0870A55D">
            <w:pPr>
              <w:pStyle w:val="12"/>
              <w:spacing w:before="0" w:after="0" w:line="360" w:lineRule="auto"/>
              <w:ind w:right="0" w:firstLine="480" w:firstLineChars="200"/>
              <w:rPr>
                <w:rFonts w:hint="eastAsia" w:ascii="Times New Roman" w:hAnsi="Times New Roman" w:eastAsia="宋体" w:cs="Times New Roman"/>
                <w:color w:val="auto"/>
                <w:sz w:val="24"/>
                <w:highlight w:val="none"/>
                <w:lang w:eastAsia="zh-CN"/>
              </w:rPr>
            </w:pPr>
            <w:r>
              <w:rPr>
                <w:color w:val="auto"/>
                <w:sz w:val="24"/>
                <w:highlight w:val="none"/>
              </w:rPr>
              <w:t>本项目排水体制采用雨、污分流制。项目生活用水由市政供水管网供给。本项目产生的废水主要为生活污水</w:t>
            </w:r>
            <w:r>
              <w:rPr>
                <w:rFonts w:hint="eastAsia" w:ascii="Times New Roman" w:hAnsi="Times New Roman" w:eastAsia="宋体" w:cs="Times New Roman"/>
                <w:color w:val="auto"/>
                <w:sz w:val="24"/>
                <w:highlight w:val="none"/>
                <w:lang w:eastAsia="zh-CN"/>
              </w:rPr>
              <w:t>，生活污水经化粪池预处理后，接管网进入龙湖污水处理厂进一步深度处理，达标后排入龙河</w:t>
            </w:r>
          </w:p>
          <w:p w14:paraId="648484F9">
            <w:pPr>
              <w:pStyle w:val="12"/>
              <w:spacing w:before="0" w:after="0" w:line="360" w:lineRule="auto"/>
              <w:ind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（3）供电</w:t>
            </w:r>
          </w:p>
          <w:p w14:paraId="4AEE3A65">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本项目由市政供电管网供给。</w:t>
            </w:r>
          </w:p>
          <w:p w14:paraId="30430AC9">
            <w:pPr>
              <w:numPr>
                <w:ilvl w:val="0"/>
                <w:numId w:val="6"/>
              </w:num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消防</w:t>
            </w:r>
          </w:p>
          <w:p w14:paraId="15F6F1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ascii="Times New Roman" w:hAnsi="Times New Roman"/>
                <w:color w:val="auto"/>
                <w:sz w:val="24"/>
              </w:rPr>
              <w:t>项目消防按《建筑设计防火规范》（GB50016-2014）有关规定实施。</w:t>
            </w:r>
          </w:p>
          <w:p w14:paraId="06B1033F">
            <w:pPr>
              <w:keepNext w:val="0"/>
              <w:keepLines w:val="0"/>
              <w:pageBreakBefore w:val="0"/>
              <w:widowControl w:val="0"/>
              <w:tabs>
                <w:tab w:val="left" w:pos="1180"/>
              </w:tabs>
              <w:kinsoku/>
              <w:wordWrap/>
              <w:overflowPunct/>
              <w:topLinePunct w:val="0"/>
              <w:autoSpaceDE/>
              <w:autoSpaceDN/>
              <w:bidi w:val="0"/>
              <w:adjustRightInd/>
              <w:snapToGrid/>
              <w:spacing w:before="0" w:beforeLines="0" w:line="360" w:lineRule="auto"/>
              <w:jc w:val="left"/>
              <w:textAlignment w:val="auto"/>
              <w:rPr>
                <w:rFonts w:hint="eastAsia"/>
                <w:b/>
                <w:bCs/>
                <w:color w:val="auto"/>
                <w:sz w:val="24"/>
                <w:highlight w:val="none"/>
                <w:lang w:val="en-US" w:eastAsia="zh-CN"/>
              </w:rPr>
            </w:pPr>
            <w:r>
              <w:rPr>
                <w:rFonts w:hint="eastAsia"/>
                <w:b/>
                <w:bCs/>
                <w:color w:val="auto"/>
                <w:sz w:val="24"/>
                <w:highlight w:val="none"/>
                <w:lang w:val="en-US" w:eastAsia="zh-CN"/>
              </w:rPr>
              <w:t>9.厂区总平面布置</w:t>
            </w:r>
          </w:p>
          <w:p w14:paraId="375598E9">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default"/>
                <w:lang w:val="en-US" w:eastAsia="zh-CN"/>
              </w:rPr>
            </w:pP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本项目位于安徽省淮北市杜集区杜集经济开发区紫昱路16号，生产车间位于厂房中间区域，包括切割区、焊接区、抛丸区等，配备压力机、电焊机、切割机，</w:t>
            </w:r>
            <w:r>
              <w:rPr>
                <w:rFonts w:hint="eastAsia" w:ascii="Times New Roman" w:hAnsi="宋体" w:cs="Times New Roman"/>
                <w:b w:val="0"/>
                <w:bCs w:val="0"/>
                <w:color w:val="000000" w:themeColor="text1"/>
                <w:kern w:val="2"/>
                <w:sz w:val="24"/>
                <w:szCs w:val="24"/>
                <w:lang w:val="en-US" w:eastAsia="zh-CN" w:bidi="ar-SA"/>
                <w14:textFill>
                  <w14:solidFill>
                    <w14:schemeClr w14:val="tx1"/>
                  </w14:solidFill>
                </w14:textFill>
              </w:rPr>
              <w:t>厂房西南侧</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新增一间喷漆房，东侧区域新增一间</w:t>
            </w:r>
            <w:r>
              <w:rPr>
                <w:rFonts w:hint="eastAsia" w:ascii="Times New Roman" w:hAnsi="宋体" w:cs="Times New Roman"/>
                <w:b w:val="0"/>
                <w:bCs w:val="0"/>
                <w:color w:val="000000" w:themeColor="text1"/>
                <w:kern w:val="2"/>
                <w:sz w:val="24"/>
                <w:szCs w:val="24"/>
                <w:lang w:val="en-US" w:eastAsia="zh-CN" w:bidi="ar-SA"/>
                <w14:textFill>
                  <w14:solidFill>
                    <w14:schemeClr w14:val="tx1"/>
                  </w14:solidFill>
                </w14:textFill>
              </w:rPr>
              <w:t>水性</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油漆库，原料区和成品仓库主要位于厂内四周，厂区西南侧设一处办公区。本项目遵循紧凑布局、节约用地的原则，在满足生产工艺和结合公用设施的前提下进行厂区总平面布置，项目布局较为简单，整个厂区功能分区明确，布局合理，满足生产与办公的要求。平面布置示意图详见附图二。</w:t>
            </w:r>
          </w:p>
        </w:tc>
      </w:tr>
      <w:tr w14:paraId="4CF81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1" w:hRule="atLeast"/>
          <w:jc w:val="center"/>
        </w:trPr>
        <w:tc>
          <w:tcPr>
            <w:tcW w:w="600" w:type="dxa"/>
            <w:vAlign w:val="center"/>
          </w:tcPr>
          <w:p w14:paraId="21F7F37F">
            <w:pPr>
              <w:pStyle w:val="25"/>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562" w:type="dxa"/>
          </w:tcPr>
          <w:p w14:paraId="34262B00">
            <w:pPr>
              <w:keepNext w:val="0"/>
              <w:keepLines w:val="0"/>
              <w:pageBreakBefore w:val="0"/>
              <w:widowControl w:val="0"/>
              <w:numPr>
                <w:ilvl w:val="0"/>
                <w:numId w:val="7"/>
              </w:numPr>
              <w:kinsoku/>
              <w:wordWrap/>
              <w:overflowPunct/>
              <w:topLinePunct w:val="0"/>
              <w:autoSpaceDE/>
              <w:autoSpaceDN/>
              <w:bidi w:val="0"/>
              <w:adjustRightInd/>
              <w:snapToGrid w:val="0"/>
              <w:spacing w:before="313" w:beforeLines="100" w:line="360" w:lineRule="auto"/>
              <w:jc w:val="left"/>
              <w:textAlignment w:val="auto"/>
              <w:rPr>
                <w:rFonts w:hint="eastAsia"/>
                <w:b/>
                <w:bCs/>
                <w:color w:val="auto"/>
                <w:sz w:val="24"/>
              </w:rPr>
            </w:pPr>
            <w:r>
              <w:rPr>
                <w:rFonts w:hint="eastAsia"/>
                <w:b/>
                <w:bCs/>
                <w:color w:val="auto"/>
                <w:sz w:val="24"/>
              </w:rPr>
              <w:t>工艺流程和产污环节</w:t>
            </w:r>
          </w:p>
          <w:p w14:paraId="7F2AE116">
            <w:pPr>
              <w:snapToGrid w:val="0"/>
              <w:spacing w:line="360" w:lineRule="auto"/>
              <w:jc w:val="left"/>
              <w:rPr>
                <w:rFonts w:hint="eastAsia"/>
                <w:b/>
                <w:bCs/>
                <w:color w:val="0000FF"/>
                <w:sz w:val="24"/>
              </w:rPr>
            </w:pPr>
            <w:r>
              <w:rPr>
                <w:b/>
                <w:bCs/>
                <w:color w:val="auto"/>
                <w:sz w:val="24"/>
              </w:rPr>
              <w:t>1.</w:t>
            </w:r>
            <w:r>
              <w:rPr>
                <w:rFonts w:hint="eastAsia"/>
                <w:b/>
                <w:bCs/>
                <w:color w:val="auto"/>
                <w:sz w:val="24"/>
                <w:lang w:val="en-US" w:eastAsia="zh-CN"/>
              </w:rPr>
              <w:t>1</w:t>
            </w:r>
            <w:r>
              <w:rPr>
                <w:rFonts w:hint="default" w:ascii="Times New Roman" w:hAnsi="Times New Roman" w:cs="Times New Roman"/>
                <w:b/>
                <w:bCs/>
                <w:color w:val="000000" w:themeColor="text1"/>
                <w:sz w:val="24"/>
                <w:lang w:val="en-US" w:eastAsia="zh-CN"/>
                <w14:textFill>
                  <w14:solidFill>
                    <w14:schemeClr w14:val="tx1"/>
                  </w14:solidFill>
                </w14:textFill>
              </w:rPr>
              <w:t>大型液压装备支架配件</w:t>
            </w:r>
            <w:r>
              <w:rPr>
                <w:rFonts w:hint="eastAsia"/>
                <w:b/>
                <w:bCs/>
                <w:color w:val="000000" w:themeColor="text1"/>
                <w:sz w:val="24"/>
                <w:szCs w:val="28"/>
                <w:lang w:val="zh-CN"/>
                <w14:textFill>
                  <w14:solidFill>
                    <w14:schemeClr w14:val="tx1"/>
                  </w14:solidFill>
                </w14:textFill>
              </w:rPr>
              <w:t>加工</w:t>
            </w:r>
            <w:r>
              <w:rPr>
                <w:b/>
                <w:bCs/>
                <w:color w:val="000000" w:themeColor="text1"/>
                <w:sz w:val="24"/>
                <w:szCs w:val="28"/>
                <w:lang w:val="zh-CN"/>
                <w14:textFill>
                  <w14:solidFill>
                    <w14:schemeClr w14:val="tx1"/>
                  </w14:solidFill>
                </w14:textFill>
              </w:rPr>
              <w:t>工艺流程</w:t>
            </w:r>
            <w:r>
              <w:rPr>
                <w:rFonts w:hint="eastAsia"/>
                <w:b/>
                <w:bCs/>
                <w:color w:val="000000" w:themeColor="text1"/>
                <w:sz w:val="24"/>
                <w14:textFill>
                  <w14:solidFill>
                    <w14:schemeClr w14:val="tx1"/>
                  </w14:solidFill>
                </w14:textFill>
              </w:rPr>
              <w:t>和产污环节</w:t>
            </w:r>
          </w:p>
          <w:p w14:paraId="6F9F3265">
            <w:pPr>
              <w:pStyle w:val="8"/>
              <w:jc w:val="center"/>
              <w:rPr>
                <w:rFonts w:hint="eastAsia"/>
                <w:color w:val="auto"/>
                <w:lang w:eastAsia="zh-CN"/>
              </w:rPr>
            </w:pPr>
            <w:r>
              <w:rPr>
                <w:rFonts w:hint="eastAsia"/>
                <w:color w:val="auto"/>
                <w:lang w:eastAsia="zh-CN"/>
              </w:rPr>
              <w:drawing>
                <wp:inline distT="0" distB="0" distL="114300" distR="114300">
                  <wp:extent cx="3848100" cy="5334000"/>
                  <wp:effectExtent l="0" t="0" r="0" b="0"/>
                  <wp:docPr id="3" name="图片 3" descr="科力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科力工艺"/>
                          <pic:cNvPicPr>
                            <a:picLocks noChangeAspect="1"/>
                          </pic:cNvPicPr>
                        </pic:nvPicPr>
                        <pic:blipFill>
                          <a:blip r:embed="rId16"/>
                          <a:stretch>
                            <a:fillRect/>
                          </a:stretch>
                        </pic:blipFill>
                        <pic:spPr>
                          <a:xfrm>
                            <a:off x="0" y="0"/>
                            <a:ext cx="3848100" cy="5334000"/>
                          </a:xfrm>
                          <a:prstGeom prst="rect">
                            <a:avLst/>
                          </a:prstGeom>
                        </pic:spPr>
                      </pic:pic>
                    </a:graphicData>
                  </a:graphic>
                </wp:inline>
              </w:drawing>
            </w:r>
          </w:p>
          <w:p w14:paraId="196B03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图2-</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生产工艺和产污环节图</w:t>
            </w:r>
          </w:p>
          <w:p w14:paraId="2881DA6F">
            <w:pPr>
              <w:spacing w:line="360" w:lineRule="auto"/>
              <w:rPr>
                <w:color w:val="auto"/>
                <w:sz w:val="24"/>
              </w:rPr>
            </w:pPr>
            <w:r>
              <w:rPr>
                <w:color w:val="auto"/>
                <w:sz w:val="24"/>
              </w:rPr>
              <w:t>工艺</w:t>
            </w:r>
            <w:r>
              <w:rPr>
                <w:rFonts w:hint="eastAsia"/>
                <w:color w:val="auto"/>
                <w:sz w:val="24"/>
              </w:rPr>
              <w:t>说明</w:t>
            </w:r>
            <w:r>
              <w:rPr>
                <w:color w:val="auto"/>
                <w:sz w:val="24"/>
              </w:rPr>
              <w:t>：</w:t>
            </w:r>
          </w:p>
          <w:p w14:paraId="751D8A6A">
            <w:pPr>
              <w:spacing w:line="360" w:lineRule="auto"/>
              <w:ind w:firstLine="480" w:firstLineChars="200"/>
              <w:rPr>
                <w:rFonts w:hint="eastAsia" w:ascii="宋体" w:hAnsi="宋体"/>
                <w:color w:val="auto"/>
                <w:sz w:val="24"/>
                <w:szCs w:val="28"/>
              </w:rPr>
            </w:pPr>
            <w:r>
              <w:rPr>
                <w:rFonts w:hint="eastAsia" w:ascii="宋体" w:hAnsi="宋体"/>
                <w:color w:val="auto"/>
                <w:sz w:val="24"/>
                <w:szCs w:val="28"/>
              </w:rPr>
              <w:t>①下料：根据设计图纸，将板材先进行下料，利</w:t>
            </w:r>
            <w:r>
              <w:rPr>
                <w:rFonts w:hint="eastAsia" w:ascii="宋体" w:hAnsi="宋体" w:eastAsia="宋体" w:cs="Times New Roman"/>
                <w:color w:val="auto"/>
                <w:sz w:val="24"/>
                <w:szCs w:val="28"/>
              </w:rPr>
              <w:t>用</w:t>
            </w:r>
            <w:r>
              <w:rPr>
                <w:rFonts w:hint="eastAsia" w:ascii="宋体" w:hAnsi="宋体" w:eastAsia="宋体" w:cs="Times New Roman"/>
                <w:i w:val="0"/>
                <w:iCs w:val="0"/>
                <w:color w:val="auto"/>
                <w:kern w:val="2"/>
                <w:sz w:val="24"/>
                <w:szCs w:val="28"/>
                <w:u w:val="none"/>
                <w:lang w:val="en-US" w:eastAsia="zh-CN" w:bidi="ar"/>
              </w:rPr>
              <w:t>数控光纤激光切割机</w:t>
            </w:r>
            <w:r>
              <w:rPr>
                <w:rFonts w:hint="eastAsia" w:ascii="宋体" w:hAnsi="宋体"/>
                <w:color w:val="auto"/>
                <w:sz w:val="24"/>
                <w:szCs w:val="28"/>
              </w:rPr>
              <w:t>进行下料</w:t>
            </w:r>
            <w:r>
              <w:rPr>
                <w:rFonts w:hint="eastAsia" w:ascii="宋体" w:hAnsi="宋体"/>
                <w:color w:val="auto"/>
                <w:sz w:val="24"/>
                <w:szCs w:val="28"/>
                <w:lang w:eastAsia="zh-CN"/>
              </w:rPr>
              <w:t>，此</w:t>
            </w:r>
            <w:r>
              <w:rPr>
                <w:rFonts w:ascii="Times New Roman" w:hAnsi="Times New Roman"/>
                <w:sz w:val="24"/>
              </w:rPr>
              <w:t>过程会产生</w:t>
            </w:r>
            <w:r>
              <w:rPr>
                <w:rFonts w:ascii="Times New Roman" w:hAnsi="Times New Roman"/>
                <w:bCs/>
                <w:sz w:val="24"/>
              </w:rPr>
              <w:t>极少量切割粉尘</w:t>
            </w:r>
            <w:r>
              <w:rPr>
                <w:rFonts w:hint="eastAsia"/>
                <w:bCs/>
                <w:sz w:val="24"/>
                <w:lang w:eastAsia="zh-CN"/>
              </w:rPr>
              <w:t>（</w:t>
            </w:r>
            <w:r>
              <w:rPr>
                <w:rFonts w:hint="eastAsia"/>
                <w:bCs/>
                <w:sz w:val="24"/>
                <w:lang w:val="en-US" w:eastAsia="zh-CN"/>
              </w:rPr>
              <w:t>G1</w:t>
            </w:r>
            <w:r>
              <w:rPr>
                <w:rFonts w:hint="eastAsia"/>
                <w:bCs/>
                <w:sz w:val="24"/>
                <w:lang w:eastAsia="zh-CN"/>
              </w:rPr>
              <w:t>）、</w:t>
            </w:r>
            <w:r>
              <w:rPr>
                <w:rFonts w:ascii="Times New Roman" w:hAnsi="Times New Roman"/>
                <w:sz w:val="24"/>
              </w:rPr>
              <w:t>噪音（N）及不合格品、废边角料（S）</w:t>
            </w:r>
          </w:p>
          <w:p w14:paraId="49CBDB23">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宋体" w:hAnsi="宋体"/>
                <w:color w:val="auto"/>
                <w:sz w:val="24"/>
                <w:szCs w:val="28"/>
              </w:rPr>
              <w:t>②</w:t>
            </w:r>
            <w:r>
              <w:rPr>
                <w:rFonts w:hint="eastAsia" w:ascii="宋体" w:hAnsi="宋体"/>
                <w:color w:val="auto"/>
                <w:sz w:val="24"/>
                <w:szCs w:val="28"/>
                <w:lang w:eastAsia="zh-CN"/>
              </w:rPr>
              <w:t>锻压：</w:t>
            </w:r>
            <w:r>
              <w:rPr>
                <w:rFonts w:ascii="Times New Roman" w:hAnsi="Times New Roman"/>
                <w:sz w:val="24"/>
              </w:rPr>
              <w:t>借助</w:t>
            </w:r>
            <w:r>
              <w:rPr>
                <w:rFonts w:hint="default" w:ascii="Times New Roman" w:hAnsi="Times New Roman" w:eastAsia="宋体" w:cs="Times New Roman"/>
                <w:i w:val="0"/>
                <w:iCs w:val="0"/>
                <w:kern w:val="2"/>
                <w:sz w:val="24"/>
                <w:szCs w:val="24"/>
                <w:u w:val="none"/>
                <w:lang w:val="en-US" w:eastAsia="zh-CN" w:bidi="ar"/>
              </w:rPr>
              <w:t>闭式单点压力机</w:t>
            </w:r>
            <w:r>
              <w:rPr>
                <w:rFonts w:ascii="Times New Roman" w:hAnsi="Times New Roman"/>
                <w:sz w:val="24"/>
              </w:rPr>
              <w:t>动力，工件在模具中受到变形力进行变形，打造所需形状，此工序产生噪声（N）、废边角料（S）。</w:t>
            </w:r>
          </w:p>
          <w:p w14:paraId="1DEA1A01">
            <w:pPr>
              <w:pStyle w:val="14"/>
              <w:tabs>
                <w:tab w:val="left" w:pos="180"/>
              </w:tabs>
              <w:spacing w:line="360" w:lineRule="auto"/>
              <w:ind w:firstLine="480" w:firstLineChars="200"/>
              <w:rPr>
                <w:rFonts w:ascii="Times New Roman" w:hAnsi="Times New Roman"/>
                <w:spacing w:val="-2"/>
                <w:sz w:val="24"/>
              </w:rPr>
            </w:pPr>
            <w:r>
              <w:rPr>
                <w:rFonts w:hint="eastAsia" w:ascii="宋体" w:hAnsi="宋体"/>
                <w:color w:val="auto"/>
                <w:sz w:val="24"/>
                <w:szCs w:val="28"/>
              </w:rPr>
              <w:t>③</w:t>
            </w:r>
            <w:r>
              <w:rPr>
                <w:rFonts w:hint="eastAsia" w:ascii="宋体" w:hAnsi="宋体"/>
                <w:color w:val="auto"/>
                <w:sz w:val="24"/>
                <w:szCs w:val="28"/>
                <w:lang w:eastAsia="zh-CN"/>
              </w:rPr>
              <w:t>成型：</w:t>
            </w:r>
            <w:r>
              <w:rPr>
                <w:rFonts w:ascii="Times New Roman" w:hAnsi="Times New Roman"/>
                <w:spacing w:val="-2"/>
                <w:sz w:val="24"/>
              </w:rPr>
              <w:t>把大小不等的工件归类，部分需要拼接成型。</w:t>
            </w:r>
          </w:p>
          <w:p w14:paraId="11AC0AA6">
            <w:pPr>
              <w:adjustRightInd w:val="0"/>
              <w:snapToGrid w:val="0"/>
              <w:spacing w:line="360" w:lineRule="auto"/>
              <w:ind w:firstLine="480" w:firstLineChars="200"/>
              <w:jc w:val="left"/>
              <w:rPr>
                <w:rFonts w:ascii="Times New Roman" w:hAnsi="Times New Roman"/>
                <w:spacing w:val="-2"/>
                <w:sz w:val="24"/>
              </w:rPr>
            </w:pPr>
            <w:r>
              <w:rPr>
                <w:rFonts w:hint="eastAsia" w:ascii="宋体" w:hAnsi="宋体"/>
                <w:color w:val="auto"/>
                <w:sz w:val="24"/>
                <w:szCs w:val="28"/>
              </w:rPr>
              <w:t>④</w:t>
            </w:r>
            <w:r>
              <w:rPr>
                <w:rFonts w:hint="eastAsia" w:ascii="宋体" w:hAnsi="宋体"/>
                <w:color w:val="auto"/>
                <w:sz w:val="24"/>
                <w:szCs w:val="28"/>
                <w:lang w:eastAsia="zh-CN"/>
              </w:rPr>
              <w:t>机加工：</w:t>
            </w:r>
            <w:r>
              <w:rPr>
                <w:rFonts w:ascii="Times New Roman" w:hAnsi="Times New Roman"/>
                <w:spacing w:val="-2"/>
                <w:sz w:val="24"/>
              </w:rPr>
              <w:t>需要经过车床，</w:t>
            </w:r>
            <w:r>
              <w:fldChar w:fldCharType="begin"/>
            </w:r>
            <w:r>
              <w:rPr>
                <w:rFonts w:ascii="Times New Roman" w:hAnsi="Times New Roman"/>
              </w:rPr>
              <w:instrText xml:space="preserve"> HYPERLINK "https://baike.baidu.com/item/%E6%95%B0%E6%98%BE%E9%93%A3%E5%BA%8A?fromModule=lemma_inlink" \t "https://baike.baidu.com/item/%E6%9C%BA%E6%A2%B0%E5%8A%A0%E5%B7%A5/_blank" </w:instrText>
            </w:r>
            <w:r>
              <w:fldChar w:fldCharType="separate"/>
            </w:r>
            <w:r>
              <w:rPr>
                <w:rStyle w:val="33"/>
                <w:rFonts w:ascii="Times New Roman" w:hAnsi="Times New Roman"/>
                <w:color w:val="auto"/>
                <w:spacing w:val="-2"/>
                <w:sz w:val="24"/>
              </w:rPr>
              <w:t>铣床</w:t>
            </w:r>
            <w:r>
              <w:rPr>
                <w:rStyle w:val="33"/>
                <w:rFonts w:ascii="Times New Roman" w:hAnsi="Times New Roman"/>
                <w:color w:val="auto"/>
                <w:spacing w:val="-2"/>
                <w:sz w:val="24"/>
              </w:rPr>
              <w:fldChar w:fldCharType="end"/>
            </w:r>
            <w:r>
              <w:rPr>
                <w:rFonts w:ascii="Times New Roman" w:hAnsi="Times New Roman"/>
                <w:spacing w:val="-2"/>
                <w:sz w:val="24"/>
              </w:rPr>
              <w:t>，磨床等机床定型工件的外形尺寸和性能。通过转孔机精确控制工件尺寸，</w:t>
            </w:r>
            <w:r>
              <w:rPr>
                <w:rFonts w:ascii="Times New Roman" w:hAnsi="Times New Roman"/>
                <w:sz w:val="24"/>
              </w:rPr>
              <w:t>此工序产生噪声（N）</w:t>
            </w:r>
            <w:r>
              <w:rPr>
                <w:rFonts w:ascii="Times New Roman" w:hAnsi="Times New Roman"/>
                <w:spacing w:val="-2"/>
                <w:sz w:val="24"/>
              </w:rPr>
              <w:t>、废乳化液、废油、金属边角料、废油桶、乳化液桶（</w:t>
            </w:r>
            <w:r>
              <w:rPr>
                <w:rFonts w:ascii="Times New Roman" w:hAnsi="Times New Roman"/>
                <w:sz w:val="24"/>
              </w:rPr>
              <w:t>S）</w:t>
            </w:r>
            <w:r>
              <w:rPr>
                <w:rFonts w:ascii="Times New Roman" w:hAnsi="Times New Roman"/>
                <w:spacing w:val="-2"/>
                <w:sz w:val="24"/>
              </w:rPr>
              <w:t>。</w:t>
            </w:r>
          </w:p>
          <w:p w14:paraId="2BBE7202">
            <w:pPr>
              <w:spacing w:line="360" w:lineRule="auto"/>
              <w:ind w:firstLine="480" w:firstLineChars="200"/>
              <w:rPr>
                <w:rFonts w:hint="eastAsia" w:ascii="宋体" w:hAnsi="宋体"/>
                <w:color w:val="auto"/>
                <w:sz w:val="24"/>
                <w:szCs w:val="28"/>
                <w:lang w:eastAsia="zh-CN"/>
              </w:rPr>
            </w:pPr>
            <w:r>
              <w:rPr>
                <w:rFonts w:hint="eastAsia" w:ascii="宋体" w:hAnsi="宋体"/>
                <w:color w:val="auto"/>
                <w:sz w:val="24"/>
                <w:szCs w:val="28"/>
              </w:rPr>
              <w:t>⑤</w:t>
            </w:r>
            <w:r>
              <w:rPr>
                <w:rFonts w:hint="eastAsia" w:ascii="宋体" w:hAnsi="宋体"/>
                <w:color w:val="auto"/>
                <w:sz w:val="24"/>
                <w:szCs w:val="28"/>
                <w:lang w:eastAsia="zh-CN"/>
              </w:rPr>
              <w:t>焊接：</w:t>
            </w:r>
            <w:r>
              <w:rPr>
                <w:rFonts w:ascii="Times New Roman" w:hAnsi="Times New Roman"/>
                <w:bCs/>
                <w:sz w:val="24"/>
              </w:rPr>
              <w:t>使用对多个拼装后的材料进行焊接。此工序会有焊接烟尘产生G</w:t>
            </w:r>
            <w:r>
              <w:rPr>
                <w:rFonts w:hint="eastAsia"/>
                <w:bCs/>
                <w:sz w:val="24"/>
                <w:lang w:val="en-US" w:eastAsia="zh-CN"/>
              </w:rPr>
              <w:t>2</w:t>
            </w:r>
            <w:r>
              <w:rPr>
                <w:rFonts w:ascii="Times New Roman" w:hAnsi="Times New Roman"/>
                <w:bCs/>
                <w:sz w:val="24"/>
              </w:rPr>
              <w:t>、噪声N</w:t>
            </w:r>
            <w:r>
              <w:rPr>
                <w:rFonts w:hint="eastAsia"/>
                <w:bCs/>
                <w:sz w:val="24"/>
                <w:lang w:eastAsia="zh-CN"/>
              </w:rPr>
              <w:t>和固废</w:t>
            </w:r>
            <w:r>
              <w:rPr>
                <w:rFonts w:hint="eastAsia"/>
                <w:bCs/>
                <w:sz w:val="24"/>
                <w:lang w:val="en-US" w:eastAsia="zh-CN"/>
              </w:rPr>
              <w:t>S</w:t>
            </w:r>
            <w:r>
              <w:rPr>
                <w:rFonts w:ascii="Times New Roman" w:hAnsi="Times New Roman"/>
                <w:bCs/>
                <w:sz w:val="24"/>
              </w:rPr>
              <w:t>。</w:t>
            </w:r>
          </w:p>
          <w:p w14:paraId="237C1DB5">
            <w:pPr>
              <w:spacing w:line="360" w:lineRule="auto"/>
              <w:ind w:firstLine="480" w:firstLineChars="200"/>
              <w:rPr>
                <w:rFonts w:hint="eastAsia" w:ascii="宋体" w:hAnsi="宋体" w:eastAsia="宋体"/>
                <w:color w:val="auto"/>
                <w:sz w:val="24"/>
                <w:szCs w:val="28"/>
                <w:lang w:eastAsia="zh-CN"/>
              </w:rPr>
            </w:pPr>
            <w:r>
              <w:rPr>
                <w:rFonts w:hint="eastAsia" w:ascii="宋体" w:hAnsi="宋体"/>
                <w:color w:val="auto"/>
                <w:sz w:val="24"/>
                <w:szCs w:val="28"/>
              </w:rPr>
              <w:t>⑥</w:t>
            </w:r>
            <w:r>
              <w:rPr>
                <w:rFonts w:hint="eastAsia" w:ascii="宋体" w:hAnsi="宋体"/>
                <w:color w:val="auto"/>
                <w:sz w:val="24"/>
                <w:szCs w:val="28"/>
                <w:lang w:eastAsia="zh-CN"/>
              </w:rPr>
              <w:t>抛丸：</w:t>
            </w:r>
            <w:r>
              <w:rPr>
                <w:rFonts w:ascii="Times New Roman" w:hAnsi="Times New Roman"/>
                <w:bCs/>
                <w:sz w:val="24"/>
              </w:rPr>
              <w:t>使用抛丸机对焊接后的产品进行抛丸磨平，此工序会有粉尘产生G3，噪声N，漆渣S抛丸机自带除尘器对产生的粉尘进行处理。</w:t>
            </w:r>
          </w:p>
          <w:p w14:paraId="42BD2F73">
            <w:pPr>
              <w:spacing w:line="360" w:lineRule="auto"/>
              <w:ind w:firstLine="480" w:firstLineChars="200"/>
              <w:rPr>
                <w:rFonts w:ascii="Times New Roman" w:hAnsi="Times New Roman"/>
                <w:bCs/>
                <w:sz w:val="24"/>
              </w:rPr>
            </w:pPr>
            <w:r>
              <w:rPr>
                <w:rFonts w:hint="eastAsia" w:ascii="宋体" w:hAnsi="宋体" w:eastAsia="宋体" w:cs="宋体"/>
                <w:color w:val="auto"/>
                <w:sz w:val="24"/>
                <w:szCs w:val="24"/>
              </w:rPr>
              <w:t>⑦</w:t>
            </w:r>
            <w:r>
              <w:rPr>
                <w:rFonts w:hint="eastAsia" w:ascii="宋体" w:hAnsi="宋体" w:cs="宋体"/>
                <w:color w:val="auto"/>
                <w:sz w:val="24"/>
                <w:szCs w:val="24"/>
                <w:lang w:eastAsia="zh-CN"/>
              </w:rPr>
              <w:t>喷漆、晾干：</w:t>
            </w:r>
            <w:r>
              <w:rPr>
                <w:rFonts w:ascii="Times New Roman" w:hAnsi="Times New Roman"/>
                <w:bCs/>
                <w:sz w:val="24"/>
              </w:rPr>
              <w:t>项目使用水性漆进行喷漆，喷漆时，本项目直接外购成品漆，无需调漆，人工使用喷枪对抛丸后的</w:t>
            </w:r>
            <w:r>
              <w:rPr>
                <w:rFonts w:hint="eastAsia"/>
                <w:bCs/>
                <w:sz w:val="24"/>
                <w:lang w:eastAsia="zh-CN"/>
              </w:rPr>
              <w:t>配件</w:t>
            </w:r>
            <w:r>
              <w:rPr>
                <w:rFonts w:ascii="Times New Roman" w:hAnsi="Times New Roman"/>
                <w:bCs/>
                <w:sz w:val="24"/>
              </w:rPr>
              <w:t>进行喷漆，此过程产生废气G4、噪声N、固废S。</w:t>
            </w:r>
          </w:p>
          <w:p w14:paraId="7343F400">
            <w:pPr>
              <w:pStyle w:val="8"/>
              <w:spacing w:after="0" w:line="360" w:lineRule="auto"/>
              <w:ind w:firstLine="480" w:firstLineChars="200"/>
              <w:rPr>
                <w:rFonts w:hint="eastAsia" w:ascii="宋体" w:hAnsi="宋体"/>
                <w:color w:val="auto"/>
                <w:sz w:val="24"/>
                <w:szCs w:val="28"/>
                <w:lang w:eastAsia="zh-CN"/>
              </w:rPr>
            </w:pPr>
            <w:r>
              <w:rPr>
                <w:rFonts w:hint="eastAsia" w:ascii="宋体" w:hAnsi="宋体" w:eastAsia="宋体" w:cs="宋体"/>
                <w:color w:val="auto"/>
                <w:sz w:val="24"/>
                <w:szCs w:val="24"/>
              </w:rPr>
              <w:t>⑧</w:t>
            </w:r>
            <w:r>
              <w:rPr>
                <w:rFonts w:hint="eastAsia"/>
                <w:color w:val="auto"/>
              </w:rPr>
              <w:t>包装入库</w:t>
            </w:r>
            <w:r>
              <w:rPr>
                <w:rFonts w:hint="eastAsia"/>
                <w:color w:val="auto"/>
                <w:lang w:eastAsia="zh-CN"/>
              </w:rPr>
              <w:t>：</w:t>
            </w:r>
            <w:r>
              <w:rPr>
                <w:rFonts w:hint="eastAsia" w:ascii="宋体" w:hAnsi="宋体"/>
                <w:color w:val="auto"/>
                <w:sz w:val="24"/>
                <w:szCs w:val="28"/>
              </w:rPr>
              <w:t>对成品进行包装，入库待售</w:t>
            </w:r>
            <w:r>
              <w:rPr>
                <w:rFonts w:hint="eastAsia" w:ascii="宋体" w:hAnsi="宋体"/>
                <w:color w:val="auto"/>
                <w:sz w:val="24"/>
                <w:szCs w:val="28"/>
                <w:lang w:eastAsia="zh-CN"/>
              </w:rPr>
              <w:t>。</w:t>
            </w:r>
          </w:p>
          <w:p w14:paraId="32B36720">
            <w:pPr>
              <w:spacing w:line="360" w:lineRule="auto"/>
              <w:ind w:firstLine="482" w:firstLineChars="200"/>
              <w:rPr>
                <w:rFonts w:ascii="Times New Roman" w:hAnsi="Times New Roman"/>
                <w:b/>
                <w:bCs/>
                <w:sz w:val="24"/>
                <w:szCs w:val="24"/>
              </w:rPr>
            </w:pPr>
            <w:r>
              <w:rPr>
                <w:rFonts w:ascii="Times New Roman" w:hAnsi="Times New Roman"/>
                <w:b/>
                <w:bCs/>
                <w:sz w:val="24"/>
                <w:szCs w:val="32"/>
              </w:rPr>
              <w:t>项目主要污染工序：</w:t>
            </w:r>
          </w:p>
          <w:p w14:paraId="7DBA83E7">
            <w:pPr>
              <w:adjustRightInd w:val="0"/>
              <w:snapToGrid w:val="0"/>
              <w:ind w:firstLine="482" w:firstLineChars="200"/>
              <w:jc w:val="center"/>
              <w:rPr>
                <w:rFonts w:ascii="Times New Roman" w:hAnsi="Times New Roman"/>
                <w:b/>
                <w:bCs/>
                <w:sz w:val="24"/>
                <w:szCs w:val="24"/>
              </w:rPr>
            </w:pPr>
            <w:r>
              <w:rPr>
                <w:rFonts w:ascii="Times New Roman" w:hAnsi="Times New Roman"/>
                <w:b/>
                <w:bCs/>
                <w:sz w:val="24"/>
                <w:szCs w:val="24"/>
              </w:rPr>
              <w:t>表2-1</w:t>
            </w:r>
            <w:r>
              <w:rPr>
                <w:rFonts w:hint="eastAsia" w:ascii="Times New Roman" w:hAnsi="Times New Roman"/>
                <w:b/>
                <w:bCs/>
                <w:sz w:val="24"/>
                <w:szCs w:val="24"/>
              </w:rPr>
              <w:t>3</w:t>
            </w:r>
            <w:r>
              <w:rPr>
                <w:rFonts w:ascii="Times New Roman" w:hAnsi="Times New Roman"/>
                <w:b/>
                <w:bCs/>
                <w:sz w:val="24"/>
                <w:szCs w:val="24"/>
              </w:rPr>
              <w:t>主要污染工序一览表</w:t>
            </w:r>
          </w:p>
          <w:tbl>
            <w:tblPr>
              <w:tblStyle w:val="28"/>
              <w:tblW w:w="83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77"/>
              <w:gridCol w:w="959"/>
              <w:gridCol w:w="1182"/>
              <w:gridCol w:w="1350"/>
              <w:gridCol w:w="4099"/>
            </w:tblGrid>
            <w:tr w14:paraId="401A2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8" w:hRule="atLeast"/>
                <w:jc w:val="center"/>
              </w:trPr>
              <w:tc>
                <w:tcPr>
                  <w:tcW w:w="464" w:type="pct"/>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77632887">
                  <w:pPr>
                    <w:jc w:val="center"/>
                    <w:rPr>
                      <w:rFonts w:ascii="Times New Roman" w:hAnsi="Times New Roman"/>
                      <w:bCs/>
                      <w:color w:val="000000"/>
                      <w:szCs w:val="21"/>
                    </w:rPr>
                  </w:pPr>
                  <w:bookmarkStart w:id="19" w:name="_Hlk132986019"/>
                  <w:r>
                    <w:rPr>
                      <w:rFonts w:ascii="Times New Roman" w:hAnsi="Times New Roman"/>
                      <w:bCs/>
                      <w:color w:val="000000"/>
                      <w:szCs w:val="21"/>
                    </w:rPr>
                    <w:t>类别</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6CDBD">
                  <w:pPr>
                    <w:jc w:val="center"/>
                    <w:rPr>
                      <w:rFonts w:ascii="Times New Roman" w:hAnsi="Times New Roman"/>
                      <w:bCs/>
                      <w:color w:val="000000"/>
                      <w:szCs w:val="21"/>
                    </w:rPr>
                  </w:pPr>
                  <w:r>
                    <w:rPr>
                      <w:rFonts w:ascii="Times New Roman" w:hAnsi="Times New Roman"/>
                      <w:bCs/>
                      <w:color w:val="000000"/>
                      <w:szCs w:val="21"/>
                    </w:rPr>
                    <w:t>产污节点</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F8787">
                  <w:pPr>
                    <w:jc w:val="center"/>
                    <w:rPr>
                      <w:rFonts w:ascii="Times New Roman" w:hAnsi="Times New Roman"/>
                      <w:bCs/>
                      <w:color w:val="000000"/>
                      <w:szCs w:val="21"/>
                    </w:rPr>
                  </w:pPr>
                  <w:r>
                    <w:rPr>
                      <w:rFonts w:ascii="Times New Roman" w:hAnsi="Times New Roman"/>
                      <w:bCs/>
                      <w:color w:val="000000"/>
                      <w:szCs w:val="21"/>
                    </w:rPr>
                    <w:t>污染物</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F24E7">
                  <w:pPr>
                    <w:jc w:val="center"/>
                    <w:rPr>
                      <w:rFonts w:ascii="Times New Roman" w:hAnsi="Times New Roman"/>
                      <w:bCs/>
                      <w:color w:val="000000"/>
                      <w:szCs w:val="21"/>
                    </w:rPr>
                  </w:pPr>
                  <w:r>
                    <w:rPr>
                      <w:rFonts w:ascii="Times New Roman" w:hAnsi="Times New Roman"/>
                      <w:bCs/>
                      <w:color w:val="000000"/>
                      <w:szCs w:val="21"/>
                    </w:rPr>
                    <w:t>污染因子</w:t>
                  </w:r>
                </w:p>
              </w:tc>
              <w:tc>
                <w:tcPr>
                  <w:tcW w:w="2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78A1C">
                  <w:pPr>
                    <w:jc w:val="center"/>
                    <w:rPr>
                      <w:rFonts w:ascii="Times New Roman" w:hAnsi="Times New Roman"/>
                      <w:bCs/>
                      <w:color w:val="000000"/>
                      <w:szCs w:val="21"/>
                    </w:rPr>
                  </w:pPr>
                  <w:r>
                    <w:rPr>
                      <w:rFonts w:ascii="Times New Roman" w:hAnsi="Times New Roman"/>
                      <w:bCs/>
                      <w:color w:val="000000"/>
                      <w:szCs w:val="21"/>
                    </w:rPr>
                    <w:t>治理措施</w:t>
                  </w:r>
                </w:p>
              </w:tc>
            </w:tr>
            <w:tr w14:paraId="0DA6A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06899">
                  <w:pPr>
                    <w:jc w:val="center"/>
                    <w:rPr>
                      <w:rFonts w:ascii="Times New Roman" w:hAnsi="Times New Roman"/>
                      <w:color w:val="000000"/>
                      <w:szCs w:val="21"/>
                    </w:rPr>
                  </w:pPr>
                  <w:r>
                    <w:rPr>
                      <w:rFonts w:ascii="Times New Roman" w:hAnsi="Times New Roman"/>
                      <w:color w:val="000000"/>
                      <w:szCs w:val="21"/>
                    </w:rPr>
                    <w:t>废气</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9A1EE">
                  <w:pPr>
                    <w:jc w:val="center"/>
                    <w:rPr>
                      <w:rFonts w:ascii="Times New Roman" w:hAnsi="Times New Roman"/>
                      <w:color w:val="000000"/>
                      <w:szCs w:val="21"/>
                    </w:rPr>
                  </w:pPr>
                  <w:r>
                    <w:rPr>
                      <w:rFonts w:ascii="Times New Roman" w:hAnsi="Times New Roman"/>
                      <w:color w:val="000000"/>
                      <w:szCs w:val="21"/>
                    </w:rPr>
                    <w:t>切割</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5F3F7">
                  <w:pPr>
                    <w:jc w:val="center"/>
                    <w:rPr>
                      <w:rFonts w:ascii="Times New Roman" w:hAnsi="Times New Roman"/>
                      <w:color w:val="000000"/>
                      <w:szCs w:val="21"/>
                    </w:rPr>
                  </w:pPr>
                  <w:r>
                    <w:rPr>
                      <w:rFonts w:ascii="Times New Roman" w:hAnsi="Times New Roman"/>
                      <w:color w:val="000000"/>
                      <w:szCs w:val="21"/>
                    </w:rPr>
                    <w:t>切割粉尘</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D0FAA">
                  <w:pPr>
                    <w:jc w:val="center"/>
                    <w:rPr>
                      <w:rFonts w:ascii="Times New Roman" w:hAnsi="Times New Roman"/>
                      <w:color w:val="000000"/>
                      <w:szCs w:val="21"/>
                    </w:rPr>
                  </w:pPr>
                  <w:r>
                    <w:rPr>
                      <w:rFonts w:ascii="Times New Roman" w:hAnsi="Times New Roman"/>
                      <w:color w:val="000000"/>
                      <w:szCs w:val="21"/>
                    </w:rPr>
                    <w:t>颗粒物</w:t>
                  </w:r>
                </w:p>
              </w:tc>
              <w:tc>
                <w:tcPr>
                  <w:tcW w:w="2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ECACB">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ascii="Times New Roman" w:hAnsi="Times New Roman"/>
                      <w:color w:val="000000"/>
                      <w:szCs w:val="21"/>
                    </w:rPr>
                  </w:pPr>
                  <w:r>
                    <w:rPr>
                      <w:rFonts w:eastAsia="宋体"/>
                      <w:bCs/>
                      <w:snapToGrid w:val="0"/>
                      <w:color w:val="000000" w:themeColor="text1"/>
                      <w:spacing w:val="-6"/>
                      <w:kern w:val="2"/>
                      <w:sz w:val="21"/>
                      <w:szCs w:val="21"/>
                      <w14:textFill>
                        <w14:solidFill>
                          <w14:schemeClr w14:val="tx1"/>
                        </w14:solidFill>
                      </w14:textFill>
                    </w:rPr>
                    <w:t>采用设备自带收集系统收集后通过滤筒除尘器</w:t>
                  </w:r>
                  <w:r>
                    <w:rPr>
                      <w:rFonts w:hint="eastAsia" w:eastAsia="宋体"/>
                      <w:bCs/>
                      <w:snapToGrid w:val="0"/>
                      <w:color w:val="000000" w:themeColor="text1"/>
                      <w:spacing w:val="-6"/>
                      <w:kern w:val="2"/>
                      <w:sz w:val="21"/>
                      <w:szCs w:val="21"/>
                      <w:lang w:eastAsia="zh-CN"/>
                      <w14:textFill>
                        <w14:solidFill>
                          <w14:schemeClr w14:val="tx1"/>
                        </w14:solidFill>
                      </w14:textFill>
                    </w:rPr>
                    <w:t>（</w:t>
                  </w:r>
                  <w:r>
                    <w:rPr>
                      <w:rFonts w:hint="eastAsia" w:eastAsia="宋体"/>
                      <w:bCs/>
                      <w:snapToGrid w:val="0"/>
                      <w:color w:val="000000" w:themeColor="text1"/>
                      <w:spacing w:val="-6"/>
                      <w:kern w:val="2"/>
                      <w:sz w:val="21"/>
                      <w:szCs w:val="21"/>
                      <w:lang w:val="en-US" w:eastAsia="zh-CN"/>
                      <w14:textFill>
                        <w14:solidFill>
                          <w14:schemeClr w14:val="tx1"/>
                        </w14:solidFill>
                      </w14:textFill>
                    </w:rPr>
                    <w:t>TA001</w:t>
                  </w:r>
                  <w:r>
                    <w:rPr>
                      <w:rFonts w:hint="eastAsia" w:eastAsia="宋体"/>
                      <w:bCs/>
                      <w:snapToGrid w:val="0"/>
                      <w:color w:val="000000" w:themeColor="text1"/>
                      <w:spacing w:val="-6"/>
                      <w:kern w:val="2"/>
                      <w:sz w:val="21"/>
                      <w:szCs w:val="21"/>
                      <w:lang w:eastAsia="zh-CN"/>
                      <w14:textFill>
                        <w14:solidFill>
                          <w14:schemeClr w14:val="tx1"/>
                        </w14:solidFill>
                      </w14:textFill>
                    </w:rPr>
                    <w:t>）</w:t>
                  </w:r>
                  <w:r>
                    <w:rPr>
                      <w:rFonts w:eastAsia="宋体"/>
                      <w:bCs/>
                      <w:snapToGrid w:val="0"/>
                      <w:color w:val="000000" w:themeColor="text1"/>
                      <w:spacing w:val="-6"/>
                      <w:kern w:val="2"/>
                      <w:sz w:val="21"/>
                      <w:szCs w:val="21"/>
                      <w14:textFill>
                        <w14:solidFill>
                          <w14:schemeClr w14:val="tx1"/>
                        </w14:solidFill>
                      </w14:textFill>
                    </w:rPr>
                    <w:t>处理</w:t>
                  </w:r>
                  <w:r>
                    <w:rPr>
                      <w:rFonts w:hint="eastAsia"/>
                      <w:bCs/>
                      <w:snapToGrid w:val="0"/>
                      <w:color w:val="000000" w:themeColor="text1"/>
                      <w:spacing w:val="-6"/>
                      <w:kern w:val="2"/>
                      <w:sz w:val="21"/>
                      <w:szCs w:val="21"/>
                      <w:lang w:eastAsia="zh-CN"/>
                      <w14:textFill>
                        <w14:solidFill>
                          <w14:schemeClr w14:val="tx1"/>
                        </w14:solidFill>
                      </w14:textFill>
                    </w:rPr>
                    <w:t>后</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1</w:t>
                  </w:r>
                </w:p>
              </w:tc>
            </w:tr>
            <w:tr w14:paraId="6CEFF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B99E1">
                  <w:pPr>
                    <w:jc w:val="center"/>
                    <w:rPr>
                      <w:rFonts w:ascii="Times New Roman" w:hAnsi="Times New Roman"/>
                      <w:color w:val="000000"/>
                      <w:szCs w:val="21"/>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B2FF3">
                  <w:pPr>
                    <w:jc w:val="center"/>
                    <w:rPr>
                      <w:rFonts w:ascii="Times New Roman" w:hAnsi="Times New Roman"/>
                      <w:color w:val="000000"/>
                      <w:szCs w:val="21"/>
                    </w:rPr>
                  </w:pPr>
                  <w:r>
                    <w:rPr>
                      <w:rFonts w:ascii="Times New Roman" w:hAnsi="Times New Roman"/>
                      <w:color w:val="000000"/>
                      <w:szCs w:val="21"/>
                    </w:rPr>
                    <w:t>焊接</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B1D46">
                  <w:pPr>
                    <w:jc w:val="center"/>
                    <w:rPr>
                      <w:rFonts w:ascii="Times New Roman" w:hAnsi="Times New Roman"/>
                      <w:color w:val="000000"/>
                      <w:szCs w:val="21"/>
                    </w:rPr>
                  </w:pPr>
                  <w:r>
                    <w:rPr>
                      <w:rFonts w:ascii="Times New Roman" w:hAnsi="Times New Roman"/>
                      <w:color w:val="000000"/>
                      <w:szCs w:val="21"/>
                    </w:rPr>
                    <w:t>焊接烟尘</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ECF6A">
                  <w:pPr>
                    <w:jc w:val="center"/>
                    <w:rPr>
                      <w:rFonts w:ascii="Times New Roman" w:hAnsi="Times New Roman"/>
                      <w:color w:val="000000"/>
                      <w:szCs w:val="21"/>
                    </w:rPr>
                  </w:pPr>
                  <w:r>
                    <w:rPr>
                      <w:rFonts w:ascii="Times New Roman" w:hAnsi="Times New Roman"/>
                      <w:color w:val="000000"/>
                      <w:szCs w:val="21"/>
                    </w:rPr>
                    <w:t>颗粒物</w:t>
                  </w:r>
                </w:p>
              </w:tc>
              <w:tc>
                <w:tcPr>
                  <w:tcW w:w="2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7DCD6">
                  <w:pPr>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firstLine="0" w:firstLineChars="0"/>
                    <w:jc w:val="center"/>
                    <w:textAlignment w:val="auto"/>
                    <w:rPr>
                      <w:rFonts w:ascii="Times New Roman" w:hAnsi="Times New Roman"/>
                      <w:color w:val="000000"/>
                      <w:szCs w:val="21"/>
                    </w:rPr>
                  </w:pPr>
                  <w:r>
                    <w:rPr>
                      <w:rFonts w:ascii="Times New Roman" w:hAnsi="Times New Roman"/>
                      <w:color w:val="000000" w:themeColor="text1"/>
                      <w:szCs w:val="21"/>
                      <w14:textFill>
                        <w14:solidFill>
                          <w14:schemeClr w14:val="tx1"/>
                        </w14:solidFill>
                      </w14:textFill>
                    </w:rPr>
                    <w:t>移动式焊接净化器处理后</w:t>
                  </w:r>
                  <w:r>
                    <w:rPr>
                      <w:rFonts w:hint="eastAsia"/>
                      <w:color w:val="000000" w:themeColor="text1"/>
                      <w:szCs w:val="21"/>
                      <w:lang w:eastAsia="zh-CN"/>
                      <w14:textFill>
                        <w14:solidFill>
                          <w14:schemeClr w14:val="tx1"/>
                        </w14:solidFill>
                      </w14:textFill>
                    </w:rPr>
                    <w:t>无组织</w:t>
                  </w:r>
                  <w:r>
                    <w:rPr>
                      <w:rFonts w:ascii="Times New Roman" w:hAnsi="Times New Roman"/>
                      <w:color w:val="000000" w:themeColor="text1"/>
                      <w:szCs w:val="21"/>
                      <w14:textFill>
                        <w14:solidFill>
                          <w14:schemeClr w14:val="tx1"/>
                        </w14:solidFill>
                      </w14:textFill>
                    </w:rPr>
                    <w:t>排放</w:t>
                  </w:r>
                </w:p>
              </w:tc>
            </w:tr>
            <w:tr w14:paraId="2B8CA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B03D5">
                  <w:pPr>
                    <w:jc w:val="center"/>
                    <w:rPr>
                      <w:rFonts w:ascii="Times New Roman" w:hAnsi="Times New Roman"/>
                      <w:color w:val="000000"/>
                      <w:szCs w:val="21"/>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EEE34">
                  <w:pPr>
                    <w:jc w:val="center"/>
                    <w:rPr>
                      <w:rFonts w:ascii="Times New Roman" w:hAnsi="Times New Roman"/>
                      <w:color w:val="000000"/>
                      <w:szCs w:val="21"/>
                    </w:rPr>
                  </w:pPr>
                  <w:r>
                    <w:rPr>
                      <w:rFonts w:ascii="Times New Roman" w:hAnsi="Times New Roman"/>
                      <w:color w:val="000000"/>
                      <w:szCs w:val="21"/>
                    </w:rPr>
                    <w:t>抛丸</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502FB">
                  <w:pPr>
                    <w:jc w:val="center"/>
                    <w:rPr>
                      <w:rFonts w:ascii="Times New Roman" w:hAnsi="Times New Roman"/>
                      <w:color w:val="000000"/>
                      <w:szCs w:val="21"/>
                    </w:rPr>
                  </w:pPr>
                  <w:r>
                    <w:rPr>
                      <w:rFonts w:ascii="Times New Roman" w:hAnsi="Times New Roman"/>
                      <w:color w:val="000000"/>
                      <w:szCs w:val="21"/>
                    </w:rPr>
                    <w:t>抛丸粉尘</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0129A">
                  <w:pPr>
                    <w:jc w:val="center"/>
                    <w:rPr>
                      <w:rFonts w:ascii="Times New Roman" w:hAnsi="Times New Roman"/>
                      <w:color w:val="000000"/>
                      <w:szCs w:val="21"/>
                    </w:rPr>
                  </w:pPr>
                  <w:r>
                    <w:rPr>
                      <w:rFonts w:ascii="Times New Roman" w:hAnsi="Times New Roman"/>
                      <w:color w:val="000000"/>
                      <w:szCs w:val="21"/>
                    </w:rPr>
                    <w:t>颗粒物</w:t>
                  </w:r>
                </w:p>
              </w:tc>
              <w:tc>
                <w:tcPr>
                  <w:tcW w:w="2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6905A">
                  <w:pPr>
                    <w:keepNext w:val="0"/>
                    <w:keepLines w:val="0"/>
                    <w:pageBreakBefore w:val="0"/>
                    <w:numPr>
                      <w:ilvl w:val="0"/>
                      <w:numId w:val="0"/>
                    </w:numPr>
                    <w:kinsoku/>
                    <w:wordWrap/>
                    <w:overflowPunct/>
                    <w:topLinePunct w:val="0"/>
                    <w:autoSpaceDE/>
                    <w:autoSpaceDN/>
                    <w:bidi w:val="0"/>
                    <w:adjustRightInd/>
                    <w:snapToGrid/>
                    <w:spacing w:before="0" w:after="0" w:line="240" w:lineRule="auto"/>
                    <w:ind w:left="0" w:leftChars="0" w:firstLine="0" w:firstLineChars="0"/>
                    <w:jc w:val="center"/>
                    <w:textAlignment w:val="auto"/>
                    <w:rPr>
                      <w:rFonts w:ascii="Times New Roman" w:hAnsi="Times New Roman"/>
                      <w:color w:val="000000"/>
                      <w:szCs w:val="21"/>
                    </w:rPr>
                  </w:pPr>
                  <w:r>
                    <w:rPr>
                      <w:rFonts w:ascii="Times New Roman" w:hAnsi="Times New Roman"/>
                      <w:color w:val="000000" w:themeColor="text1"/>
                      <w:szCs w:val="21"/>
                      <w14:textFill>
                        <w14:solidFill>
                          <w14:schemeClr w14:val="tx1"/>
                        </w14:solidFill>
                      </w14:textFill>
                    </w:rPr>
                    <w:t>设备自带粉尘收集系统+布袋除尘器（TA00</w:t>
                  </w:r>
                  <w:r>
                    <w:rPr>
                      <w:rFonts w:hint="eastAsia"/>
                      <w:color w:val="000000" w:themeColor="text1"/>
                      <w:szCs w:val="21"/>
                      <w:lang w:val="en-US" w:eastAsia="zh-CN"/>
                      <w14:textFill>
                        <w14:solidFill>
                          <w14:schemeClr w14:val="tx1"/>
                        </w14:solidFill>
                      </w14:textFill>
                    </w:rPr>
                    <w:t>2</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2</w:t>
                  </w:r>
                </w:p>
              </w:tc>
            </w:tr>
            <w:tr w14:paraId="33BF9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FA983">
                  <w:pPr>
                    <w:jc w:val="center"/>
                    <w:rPr>
                      <w:rFonts w:ascii="Times New Roman" w:hAnsi="Times New Roman"/>
                      <w:color w:val="000000"/>
                      <w:szCs w:val="21"/>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6D530">
                  <w:pPr>
                    <w:jc w:val="center"/>
                    <w:rPr>
                      <w:rFonts w:ascii="Times New Roman" w:hAnsi="Times New Roman"/>
                      <w:color w:val="000000"/>
                      <w:szCs w:val="21"/>
                    </w:rPr>
                  </w:pPr>
                  <w:r>
                    <w:rPr>
                      <w:rFonts w:ascii="Times New Roman" w:hAnsi="Times New Roman"/>
                      <w:color w:val="000000"/>
                      <w:szCs w:val="21"/>
                    </w:rPr>
                    <w:t>喷漆、晾干</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D8109">
                  <w:pPr>
                    <w:jc w:val="center"/>
                    <w:rPr>
                      <w:rFonts w:ascii="Times New Roman" w:hAnsi="Times New Roman"/>
                      <w:color w:val="000000"/>
                      <w:szCs w:val="21"/>
                    </w:rPr>
                  </w:pPr>
                  <w:r>
                    <w:rPr>
                      <w:rFonts w:ascii="Times New Roman" w:hAnsi="Times New Roman"/>
                      <w:color w:val="000000"/>
                      <w:szCs w:val="21"/>
                    </w:rPr>
                    <w:t>非甲烷总烃、漆雾</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BEDA4">
                  <w:pPr>
                    <w:jc w:val="center"/>
                    <w:rPr>
                      <w:rFonts w:ascii="Times New Roman" w:hAnsi="Times New Roman"/>
                      <w:color w:val="000000"/>
                      <w:szCs w:val="21"/>
                    </w:rPr>
                  </w:pPr>
                  <w:r>
                    <w:rPr>
                      <w:rFonts w:ascii="Times New Roman" w:hAnsi="Times New Roman"/>
                      <w:color w:val="000000"/>
                      <w:szCs w:val="21"/>
                    </w:rPr>
                    <w:t>非甲烷总烃</w:t>
                  </w:r>
                  <w:r>
                    <w:rPr>
                      <w:rFonts w:hint="eastAsia" w:ascii="Times New Roman" w:hAnsi="Times New Roman"/>
                      <w:color w:val="000000"/>
                      <w:szCs w:val="21"/>
                      <w:lang w:eastAsia="zh-CN"/>
                    </w:rPr>
                    <w:t>、</w:t>
                  </w:r>
                  <w:r>
                    <w:rPr>
                      <w:rFonts w:ascii="Times New Roman" w:hAnsi="Times New Roman"/>
                      <w:color w:val="000000"/>
                      <w:szCs w:val="21"/>
                    </w:rPr>
                    <w:t>颗粒物</w:t>
                  </w:r>
                </w:p>
              </w:tc>
              <w:tc>
                <w:tcPr>
                  <w:tcW w:w="2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88F55">
                  <w:pPr>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ascii="Times New Roman" w:hAnsi="Times New Roman"/>
                      <w:color w:val="000000"/>
                      <w:szCs w:val="21"/>
                    </w:rPr>
                  </w:pPr>
                  <w:r>
                    <w:rPr>
                      <w:rFonts w:ascii="Times New Roman" w:hAnsi="Times New Roman"/>
                      <w:color w:val="000000" w:themeColor="text1"/>
                      <w:szCs w:val="21"/>
                      <w14:textFill>
                        <w14:solidFill>
                          <w14:schemeClr w14:val="tx1"/>
                        </w14:solidFill>
                      </w14:textFill>
                    </w:rPr>
                    <w:t>采用密闭负压收集+</w:t>
                  </w:r>
                  <w:r>
                    <w:rPr>
                      <w:rFonts w:hint="eastAsia" w:ascii="Times New Roman" w:hAnsi="Times New Roman"/>
                      <w:color w:val="000000" w:themeColor="text1"/>
                      <w:szCs w:val="21"/>
                      <w14:textFill>
                        <w14:solidFill>
                          <w14:schemeClr w14:val="tx1"/>
                        </w14:solidFill>
                      </w14:textFill>
                    </w:rPr>
                    <w:t>过滤棉+</w:t>
                  </w:r>
                  <w:r>
                    <w:rPr>
                      <w:rFonts w:ascii="Times New Roman" w:hAnsi="Times New Roman"/>
                      <w:color w:val="000000" w:themeColor="text1"/>
                      <w:szCs w:val="21"/>
                      <w14:textFill>
                        <w14:solidFill>
                          <w14:schemeClr w14:val="tx1"/>
                        </w14:solidFill>
                      </w14:textFill>
                    </w:rPr>
                    <w:t>二级活性炭吸附（TA00</w:t>
                  </w:r>
                  <w:r>
                    <w:rPr>
                      <w:rFonts w:hint="eastAsia"/>
                      <w:color w:val="000000" w:themeColor="text1"/>
                      <w:szCs w:val="21"/>
                      <w:lang w:val="en-US" w:eastAsia="zh-CN"/>
                      <w14:textFill>
                        <w14:solidFill>
                          <w14:schemeClr w14:val="tx1"/>
                        </w14:solidFill>
                      </w14:textFill>
                    </w:rPr>
                    <w:t>3</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3</w:t>
                  </w:r>
                  <w:r>
                    <w:rPr>
                      <w:rFonts w:hint="eastAsia" w:ascii="Times New Roman" w:hAnsi="Times New Roman" w:cs="Times New Roman"/>
                      <w:b w:val="0"/>
                      <w:bCs w:val="0"/>
                      <w:color w:val="000000" w:themeColor="text1"/>
                      <w:kern w:val="2"/>
                      <w:sz w:val="21"/>
                      <w:szCs w:val="24"/>
                      <w:highlight w:val="none"/>
                      <w:vertAlign w:val="baseline"/>
                      <w:lang w:val="en-US" w:eastAsia="zh-CN" w:bidi="ar-SA"/>
                      <w14:textFill>
                        <w14:solidFill>
                          <w14:schemeClr w14:val="tx1"/>
                        </w14:solidFill>
                      </w14:textFill>
                    </w:rPr>
                    <w:t>。</w:t>
                  </w:r>
                </w:p>
              </w:tc>
            </w:tr>
            <w:tr w14:paraId="47644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34EF3">
                  <w:pPr>
                    <w:jc w:val="center"/>
                    <w:rPr>
                      <w:rFonts w:ascii="Times New Roman" w:hAnsi="Times New Roman"/>
                      <w:color w:val="000000"/>
                      <w:szCs w:val="21"/>
                    </w:rPr>
                  </w:pPr>
                  <w:r>
                    <w:rPr>
                      <w:rFonts w:ascii="Times New Roman" w:hAnsi="Times New Roman"/>
                      <w:color w:val="000000"/>
                      <w:szCs w:val="21"/>
                    </w:rPr>
                    <w:t>废水</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89BB0">
                  <w:pPr>
                    <w:jc w:val="center"/>
                    <w:rPr>
                      <w:rFonts w:ascii="Times New Roman" w:hAnsi="Times New Roman"/>
                      <w:color w:val="000000"/>
                      <w:szCs w:val="21"/>
                    </w:rPr>
                  </w:pPr>
                  <w:r>
                    <w:rPr>
                      <w:rFonts w:ascii="Times New Roman" w:hAnsi="Times New Roman"/>
                      <w:color w:val="000000"/>
                      <w:szCs w:val="21"/>
                    </w:rPr>
                    <w:t>员工生活</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99FDB">
                  <w:pPr>
                    <w:jc w:val="center"/>
                    <w:rPr>
                      <w:rFonts w:ascii="Times New Roman" w:hAnsi="Times New Roman"/>
                      <w:color w:val="000000"/>
                      <w:szCs w:val="21"/>
                    </w:rPr>
                  </w:pPr>
                  <w:r>
                    <w:rPr>
                      <w:rFonts w:ascii="Times New Roman" w:hAnsi="Times New Roman"/>
                      <w:color w:val="000000"/>
                      <w:szCs w:val="21"/>
                    </w:rPr>
                    <w:t>生活污水</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66436">
                  <w:pPr>
                    <w:jc w:val="center"/>
                    <w:rPr>
                      <w:rFonts w:ascii="Times New Roman" w:hAnsi="Times New Roman"/>
                      <w:color w:val="000000"/>
                      <w:szCs w:val="21"/>
                    </w:rPr>
                  </w:pPr>
                  <w:r>
                    <w:rPr>
                      <w:rFonts w:ascii="Times New Roman" w:hAnsi="Times New Roman" w:eastAsia="Times New Roman"/>
                      <w:color w:val="000000"/>
                      <w:szCs w:val="18"/>
                    </w:rPr>
                    <w:t>pH、COD、BOD</w:t>
                  </w:r>
                  <w:r>
                    <w:rPr>
                      <w:rFonts w:ascii="Times New Roman" w:hAnsi="Times New Roman" w:eastAsia="Times New Roman"/>
                      <w:color w:val="000000"/>
                      <w:szCs w:val="18"/>
                      <w:vertAlign w:val="subscript"/>
                    </w:rPr>
                    <w:t>5</w:t>
                  </w:r>
                  <w:r>
                    <w:rPr>
                      <w:rFonts w:ascii="Times New Roman" w:hAnsi="Times New Roman" w:eastAsia="Times New Roman"/>
                      <w:color w:val="000000"/>
                      <w:szCs w:val="18"/>
                    </w:rPr>
                    <w:t>、NH</w:t>
                  </w:r>
                  <w:r>
                    <w:rPr>
                      <w:rFonts w:ascii="Times New Roman" w:hAnsi="Times New Roman" w:eastAsia="Times New Roman"/>
                      <w:color w:val="000000"/>
                      <w:szCs w:val="18"/>
                      <w:vertAlign w:val="subscript"/>
                    </w:rPr>
                    <w:t>3</w:t>
                  </w:r>
                  <w:r>
                    <w:rPr>
                      <w:rFonts w:ascii="Times New Roman" w:hAnsi="Times New Roman" w:eastAsia="Times New Roman"/>
                      <w:color w:val="000000"/>
                      <w:szCs w:val="18"/>
                    </w:rPr>
                    <w:t>-N、SS</w:t>
                  </w:r>
                </w:p>
              </w:tc>
              <w:tc>
                <w:tcPr>
                  <w:tcW w:w="2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F2252">
                  <w:pPr>
                    <w:jc w:val="center"/>
                    <w:rPr>
                      <w:rFonts w:ascii="Times New Roman" w:hAnsi="Times New Roman"/>
                      <w:color w:val="000000"/>
                      <w:szCs w:val="21"/>
                    </w:rPr>
                  </w:pPr>
                  <w:r>
                    <w:rPr>
                      <w:color w:val="000000" w:themeColor="text1"/>
                      <w:kern w:val="0"/>
                      <w:szCs w:val="21"/>
                      <w14:textFill>
                        <w14:solidFill>
                          <w14:schemeClr w14:val="tx1"/>
                        </w14:solidFill>
                      </w14:textFill>
                    </w:rPr>
                    <w:t>经化粪池预处理后，接管网进入龙湖污水处理厂进一步深度处理，达标后排入龙河</w:t>
                  </w:r>
                </w:p>
              </w:tc>
            </w:tr>
            <w:tr w14:paraId="4FD05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6BE3C">
                  <w:pPr>
                    <w:jc w:val="center"/>
                    <w:rPr>
                      <w:rFonts w:ascii="Times New Roman" w:hAnsi="Times New Roman"/>
                      <w:color w:val="000000"/>
                      <w:szCs w:val="21"/>
                    </w:rPr>
                  </w:pPr>
                  <w:r>
                    <w:rPr>
                      <w:rFonts w:ascii="Times New Roman" w:hAnsi="Times New Roman"/>
                      <w:color w:val="000000"/>
                      <w:szCs w:val="21"/>
                    </w:rPr>
                    <w:t>噪声</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CCDD4">
                  <w:pPr>
                    <w:jc w:val="center"/>
                    <w:rPr>
                      <w:rFonts w:ascii="Times New Roman" w:hAnsi="Times New Roman"/>
                      <w:color w:val="000000"/>
                      <w:szCs w:val="21"/>
                    </w:rPr>
                  </w:pPr>
                  <w:r>
                    <w:rPr>
                      <w:rFonts w:ascii="Times New Roman" w:hAnsi="Times New Roman"/>
                      <w:color w:val="000000"/>
                      <w:szCs w:val="21"/>
                    </w:rPr>
                    <w:t>生产过程</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1032E">
                  <w:pPr>
                    <w:jc w:val="center"/>
                    <w:rPr>
                      <w:rFonts w:ascii="Times New Roman" w:hAnsi="Times New Roman"/>
                      <w:color w:val="000000"/>
                      <w:szCs w:val="21"/>
                    </w:rPr>
                  </w:pPr>
                  <w:r>
                    <w:rPr>
                      <w:rFonts w:ascii="Times New Roman" w:hAnsi="Times New Roman"/>
                      <w:color w:val="000000"/>
                      <w:szCs w:val="21"/>
                    </w:rPr>
                    <w:t>生产设备运行噪声</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3A1EC">
                  <w:pPr>
                    <w:jc w:val="center"/>
                    <w:rPr>
                      <w:rFonts w:ascii="Times New Roman" w:hAnsi="Times New Roman"/>
                      <w:color w:val="000000"/>
                      <w:szCs w:val="21"/>
                    </w:rPr>
                  </w:pPr>
                  <w:r>
                    <w:rPr>
                      <w:rFonts w:ascii="Times New Roman" w:hAnsi="Times New Roman"/>
                      <w:color w:val="000000"/>
                      <w:szCs w:val="21"/>
                    </w:rPr>
                    <w:t>等效连续A声级Leq（A）</w:t>
                  </w:r>
                </w:p>
              </w:tc>
              <w:tc>
                <w:tcPr>
                  <w:tcW w:w="2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7CD01">
                  <w:pPr>
                    <w:jc w:val="center"/>
                    <w:rPr>
                      <w:rFonts w:ascii="Times New Roman" w:hAnsi="Times New Roman"/>
                      <w:color w:val="000000"/>
                      <w:szCs w:val="21"/>
                    </w:rPr>
                  </w:pPr>
                  <w:r>
                    <w:rPr>
                      <w:rFonts w:ascii="Times New Roman" w:hAnsi="Times New Roman"/>
                      <w:color w:val="000000"/>
                      <w:szCs w:val="21"/>
                    </w:rPr>
                    <w:t>基础减振、厂房隔音、距离衰减</w:t>
                  </w:r>
                </w:p>
              </w:tc>
            </w:tr>
            <w:tr w14:paraId="13418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09B3A7">
                  <w:pPr>
                    <w:jc w:val="center"/>
                    <w:rPr>
                      <w:rFonts w:ascii="Times New Roman" w:hAnsi="Times New Roman"/>
                      <w:color w:val="000000"/>
                      <w:szCs w:val="21"/>
                    </w:rPr>
                  </w:pPr>
                  <w:r>
                    <w:rPr>
                      <w:rFonts w:ascii="Times New Roman" w:hAnsi="Times New Roman"/>
                      <w:color w:val="000000"/>
                      <w:szCs w:val="21"/>
                    </w:rPr>
                    <w:t>固体废弃物</w:t>
                  </w:r>
                </w:p>
              </w:tc>
              <w:tc>
                <w:tcPr>
                  <w:tcW w:w="573" w:type="pct"/>
                  <w:vMerge w:val="restart"/>
                  <w:tcBorders>
                    <w:top w:val="single" w:color="000000" w:sz="4" w:space="0"/>
                    <w:left w:val="single" w:color="000000" w:sz="4" w:space="0"/>
                    <w:right w:val="single" w:color="000000" w:sz="4" w:space="0"/>
                  </w:tcBorders>
                  <w:shd w:val="clear" w:color="auto" w:fill="auto"/>
                  <w:vAlign w:val="center"/>
                </w:tcPr>
                <w:p w14:paraId="22DC5185">
                  <w:pPr>
                    <w:pStyle w:val="89"/>
                    <w:jc w:val="center"/>
                    <w:rPr>
                      <w:rFonts w:hint="eastAsia" w:eastAsia="宋体"/>
                      <w:color w:val="000000"/>
                      <w:lang w:eastAsia="zh-CN"/>
                    </w:rPr>
                  </w:pPr>
                  <w:r>
                    <w:rPr>
                      <w:rFonts w:hint="eastAsia"/>
                      <w:color w:val="000000"/>
                      <w:lang w:eastAsia="zh-CN"/>
                    </w:rPr>
                    <w:t>一般固废</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82202">
                  <w:pPr>
                    <w:pStyle w:val="89"/>
                    <w:jc w:val="center"/>
                    <w:rPr>
                      <w:color w:val="000000"/>
                    </w:rPr>
                  </w:pPr>
                  <w:r>
                    <w:rPr>
                      <w:color w:val="000000"/>
                    </w:rPr>
                    <w:t>废边角料</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D4899">
                  <w:pPr>
                    <w:pStyle w:val="89"/>
                    <w:jc w:val="center"/>
                    <w:rPr>
                      <w:color w:val="000000"/>
                    </w:rPr>
                  </w:pPr>
                  <w:r>
                    <w:rPr>
                      <w:rFonts w:hint="eastAsia"/>
                      <w:color w:val="000000"/>
                      <w:lang w:eastAsia="zh-CN"/>
                    </w:rPr>
                    <w:t>板材</w:t>
                  </w:r>
                </w:p>
              </w:tc>
              <w:tc>
                <w:tcPr>
                  <w:tcW w:w="2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96CCF4">
                  <w:pPr>
                    <w:pStyle w:val="89"/>
                    <w:jc w:val="center"/>
                    <w:rPr>
                      <w:color w:val="000000"/>
                      <w:lang w:val="zh-CN"/>
                    </w:rPr>
                  </w:pPr>
                  <w:r>
                    <w:rPr>
                      <w:color w:val="000000"/>
                    </w:rPr>
                    <w:t>收集后出售</w:t>
                  </w:r>
                </w:p>
              </w:tc>
            </w:tr>
            <w:tr w14:paraId="73D5F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6FF1D">
                  <w:pPr>
                    <w:jc w:val="center"/>
                    <w:rPr>
                      <w:rFonts w:ascii="Times New Roman" w:hAnsi="Times New Roman"/>
                      <w:color w:val="000000"/>
                      <w:szCs w:val="21"/>
                    </w:rPr>
                  </w:pPr>
                </w:p>
              </w:tc>
              <w:tc>
                <w:tcPr>
                  <w:tcW w:w="573" w:type="pct"/>
                  <w:vMerge w:val="continue"/>
                  <w:tcBorders>
                    <w:left w:val="single" w:color="000000" w:sz="4" w:space="0"/>
                    <w:right w:val="single" w:color="000000" w:sz="4" w:space="0"/>
                  </w:tcBorders>
                  <w:shd w:val="clear" w:color="auto" w:fill="auto"/>
                  <w:vAlign w:val="center"/>
                </w:tcPr>
                <w:p w14:paraId="5415EB2D">
                  <w:pPr>
                    <w:pStyle w:val="89"/>
                    <w:jc w:val="center"/>
                    <w:rPr>
                      <w:color w:val="000000"/>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C0FE9">
                  <w:pPr>
                    <w:pStyle w:val="89"/>
                    <w:jc w:val="center"/>
                    <w:rPr>
                      <w:color w:val="000000"/>
                    </w:rPr>
                  </w:pPr>
                  <w:r>
                    <w:rPr>
                      <w:color w:val="000000"/>
                    </w:rPr>
                    <w:t>废钢丸</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B536E">
                  <w:pPr>
                    <w:pStyle w:val="89"/>
                    <w:jc w:val="center"/>
                    <w:rPr>
                      <w:color w:val="000000"/>
                    </w:rPr>
                  </w:pPr>
                  <w:r>
                    <w:rPr>
                      <w:color w:val="000000"/>
                    </w:rPr>
                    <w:t>钢丸</w:t>
                  </w:r>
                </w:p>
              </w:tc>
              <w:tc>
                <w:tcPr>
                  <w:tcW w:w="2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C917B">
                  <w:pPr>
                    <w:pStyle w:val="89"/>
                    <w:jc w:val="center"/>
                    <w:rPr>
                      <w:color w:val="000000"/>
                    </w:rPr>
                  </w:pPr>
                </w:p>
              </w:tc>
            </w:tr>
            <w:tr w14:paraId="7D6D4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30CA7">
                  <w:pPr>
                    <w:jc w:val="center"/>
                    <w:rPr>
                      <w:rFonts w:ascii="Times New Roman" w:hAnsi="Times New Roman"/>
                      <w:color w:val="000000"/>
                      <w:szCs w:val="21"/>
                    </w:rPr>
                  </w:pPr>
                </w:p>
              </w:tc>
              <w:tc>
                <w:tcPr>
                  <w:tcW w:w="573" w:type="pct"/>
                  <w:vMerge w:val="continue"/>
                  <w:tcBorders>
                    <w:left w:val="single" w:color="000000" w:sz="4" w:space="0"/>
                    <w:bottom w:val="single" w:color="000000" w:sz="4" w:space="0"/>
                    <w:right w:val="single" w:color="000000" w:sz="4" w:space="0"/>
                  </w:tcBorders>
                  <w:shd w:val="clear" w:color="auto" w:fill="auto"/>
                  <w:vAlign w:val="center"/>
                </w:tcPr>
                <w:p w14:paraId="62C94BA4">
                  <w:pPr>
                    <w:pStyle w:val="89"/>
                    <w:jc w:val="center"/>
                    <w:rPr>
                      <w:color w:val="000000"/>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7BED9">
                  <w:pPr>
                    <w:pStyle w:val="89"/>
                    <w:jc w:val="center"/>
                    <w:rPr>
                      <w:color w:val="000000"/>
                    </w:rPr>
                  </w:pPr>
                  <w:r>
                    <w:rPr>
                      <w:rFonts w:hint="eastAsia"/>
                      <w:color w:val="000000"/>
                      <w:lang w:eastAsia="zh-CN"/>
                    </w:rPr>
                    <w:t>废</w:t>
                  </w:r>
                  <w:r>
                    <w:rPr>
                      <w:color w:val="000000"/>
                    </w:rPr>
                    <w:t>布袋</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176BB">
                  <w:pPr>
                    <w:pStyle w:val="89"/>
                    <w:jc w:val="center"/>
                    <w:rPr>
                      <w:rFonts w:hint="eastAsia" w:eastAsia="宋体"/>
                      <w:color w:val="000000"/>
                      <w:lang w:eastAsia="zh-CN"/>
                    </w:rPr>
                  </w:pPr>
                  <w:r>
                    <w:rPr>
                      <w:rFonts w:hint="eastAsia"/>
                      <w:color w:val="000000"/>
                      <w:lang w:eastAsia="zh-CN"/>
                    </w:rPr>
                    <w:t>布袋</w:t>
                  </w:r>
                </w:p>
              </w:tc>
              <w:tc>
                <w:tcPr>
                  <w:tcW w:w="2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4ACFC">
                  <w:pPr>
                    <w:pStyle w:val="89"/>
                    <w:jc w:val="center"/>
                    <w:rPr>
                      <w:color w:val="000000"/>
                    </w:rPr>
                  </w:pPr>
                </w:p>
              </w:tc>
            </w:tr>
            <w:tr w14:paraId="6A99E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613F9">
                  <w:pPr>
                    <w:jc w:val="center"/>
                    <w:rPr>
                      <w:rFonts w:ascii="Times New Roman" w:hAnsi="Times New Roman"/>
                      <w:color w:val="000000"/>
                      <w:szCs w:val="21"/>
                    </w:rPr>
                  </w:pPr>
                </w:p>
              </w:tc>
              <w:tc>
                <w:tcPr>
                  <w:tcW w:w="573" w:type="pct"/>
                  <w:vMerge w:val="restart"/>
                  <w:tcBorders>
                    <w:top w:val="single" w:color="000000" w:sz="4" w:space="0"/>
                    <w:left w:val="single" w:color="000000" w:sz="4" w:space="0"/>
                    <w:right w:val="single" w:color="000000" w:sz="4" w:space="0"/>
                  </w:tcBorders>
                  <w:shd w:val="clear" w:color="auto" w:fill="auto"/>
                  <w:vAlign w:val="center"/>
                </w:tcPr>
                <w:p w14:paraId="40F932DD">
                  <w:pPr>
                    <w:pStyle w:val="89"/>
                    <w:jc w:val="center"/>
                    <w:rPr>
                      <w:color w:val="000000"/>
                    </w:rPr>
                  </w:pPr>
                  <w:r>
                    <w:rPr>
                      <w:rFonts w:hint="eastAsia"/>
                      <w:color w:val="000000"/>
                      <w:lang w:eastAsia="zh-CN"/>
                    </w:rPr>
                    <w:t>危险废物</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12858">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olor w:val="000000"/>
                      <w:szCs w:val="21"/>
                      <w:highlight w:val="yellow"/>
                    </w:rPr>
                  </w:pPr>
                  <w:r>
                    <w:rPr>
                      <w:rFonts w:hint="default" w:ascii="Times New Roman" w:hAnsi="Times New Roman" w:eastAsia="宋体" w:cs="Times New Roman"/>
                    </w:rPr>
                    <w:t>废活性炭</w:t>
                  </w:r>
                </w:p>
              </w:tc>
              <w:tc>
                <w:tcPr>
                  <w:tcW w:w="8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158C91">
                  <w:pPr>
                    <w:pStyle w:val="89"/>
                    <w:jc w:val="center"/>
                    <w:rPr>
                      <w:color w:val="000000"/>
                      <w:lang w:val="zh-CN"/>
                    </w:rPr>
                  </w:pPr>
                  <w:r>
                    <w:rPr>
                      <w:color w:val="000000"/>
                      <w:lang w:val="zh-CN"/>
                    </w:rPr>
                    <w:t>沾染有机物</w:t>
                  </w:r>
                </w:p>
              </w:tc>
              <w:tc>
                <w:tcPr>
                  <w:tcW w:w="2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E4CEC">
                  <w:pPr>
                    <w:pStyle w:val="89"/>
                    <w:jc w:val="center"/>
                    <w:rPr>
                      <w:color w:val="000000"/>
                    </w:rPr>
                  </w:pPr>
                  <w:r>
                    <w:rPr>
                      <w:color w:val="000000"/>
                    </w:rPr>
                    <w:t>委托资质单位处置</w:t>
                  </w:r>
                </w:p>
              </w:tc>
            </w:tr>
            <w:tr w14:paraId="5106D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D404C">
                  <w:pPr>
                    <w:jc w:val="center"/>
                    <w:rPr>
                      <w:rFonts w:ascii="Times New Roman" w:hAnsi="Times New Roman"/>
                      <w:color w:val="000000"/>
                      <w:szCs w:val="21"/>
                    </w:rPr>
                  </w:pPr>
                </w:p>
              </w:tc>
              <w:tc>
                <w:tcPr>
                  <w:tcW w:w="573" w:type="pct"/>
                  <w:vMerge w:val="continue"/>
                  <w:tcBorders>
                    <w:left w:val="single" w:color="000000" w:sz="4" w:space="0"/>
                    <w:right w:val="single" w:color="000000" w:sz="4" w:space="0"/>
                  </w:tcBorders>
                  <w:shd w:val="clear" w:color="auto" w:fill="auto"/>
                  <w:vAlign w:val="center"/>
                </w:tcPr>
                <w:p w14:paraId="173C1A04">
                  <w:pPr>
                    <w:pStyle w:val="89"/>
                    <w:jc w:val="center"/>
                    <w:rPr>
                      <w:color w:val="000000"/>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11CB0">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olor w:val="000000"/>
                      <w:szCs w:val="21"/>
                      <w:highlight w:val="yellow"/>
                    </w:rPr>
                  </w:pPr>
                  <w:r>
                    <w:rPr>
                      <w:rFonts w:hint="default" w:ascii="Times New Roman" w:hAnsi="Times New Roman" w:eastAsia="宋体" w:cs="Times New Roman"/>
                    </w:rPr>
                    <w:t>废过滤棉</w:t>
                  </w:r>
                </w:p>
              </w:tc>
              <w:tc>
                <w:tcPr>
                  <w:tcW w:w="806" w:type="pct"/>
                  <w:vMerge w:val="continue"/>
                  <w:tcBorders>
                    <w:left w:val="single" w:color="000000" w:sz="4" w:space="0"/>
                    <w:right w:val="single" w:color="000000" w:sz="4" w:space="0"/>
                  </w:tcBorders>
                  <w:shd w:val="clear" w:color="auto" w:fill="auto"/>
                  <w:vAlign w:val="center"/>
                </w:tcPr>
                <w:p w14:paraId="3F9CD863">
                  <w:pPr>
                    <w:pStyle w:val="89"/>
                    <w:jc w:val="center"/>
                    <w:rPr>
                      <w:color w:val="000000"/>
                      <w:lang w:val="zh-CN"/>
                    </w:rPr>
                  </w:pPr>
                </w:p>
              </w:tc>
              <w:tc>
                <w:tcPr>
                  <w:tcW w:w="2448" w:type="pct"/>
                  <w:vMerge w:val="continue"/>
                  <w:tcBorders>
                    <w:left w:val="single" w:color="000000" w:sz="4" w:space="0"/>
                    <w:right w:val="single" w:color="000000" w:sz="4" w:space="0"/>
                  </w:tcBorders>
                  <w:shd w:val="clear" w:color="auto" w:fill="auto"/>
                  <w:vAlign w:val="center"/>
                </w:tcPr>
                <w:p w14:paraId="2418B289">
                  <w:pPr>
                    <w:pStyle w:val="89"/>
                    <w:jc w:val="center"/>
                    <w:rPr>
                      <w:color w:val="000000"/>
                    </w:rPr>
                  </w:pPr>
                </w:p>
              </w:tc>
            </w:tr>
            <w:tr w14:paraId="5EF86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43D1F">
                  <w:pPr>
                    <w:jc w:val="center"/>
                    <w:rPr>
                      <w:rFonts w:ascii="Times New Roman" w:hAnsi="Times New Roman"/>
                      <w:color w:val="000000"/>
                      <w:szCs w:val="21"/>
                    </w:rPr>
                  </w:pPr>
                </w:p>
              </w:tc>
              <w:tc>
                <w:tcPr>
                  <w:tcW w:w="573" w:type="pct"/>
                  <w:vMerge w:val="continue"/>
                  <w:tcBorders>
                    <w:left w:val="single" w:color="000000" w:sz="4" w:space="0"/>
                    <w:right w:val="single" w:color="000000" w:sz="4" w:space="0"/>
                  </w:tcBorders>
                  <w:shd w:val="clear" w:color="auto" w:fill="auto"/>
                  <w:vAlign w:val="center"/>
                </w:tcPr>
                <w:p w14:paraId="12CAEA64">
                  <w:pPr>
                    <w:pStyle w:val="89"/>
                    <w:jc w:val="center"/>
                    <w:rPr>
                      <w:color w:val="000000"/>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13EE0">
                  <w:pPr>
                    <w:keepNext w:val="0"/>
                    <w:keepLines w:val="0"/>
                    <w:pageBreakBefore w:val="0"/>
                    <w:kinsoku/>
                    <w:wordWrap/>
                    <w:overflowPunct/>
                    <w:topLinePunct w:val="0"/>
                    <w:bidi w:val="0"/>
                    <w:spacing w:line="240" w:lineRule="auto"/>
                    <w:ind w:right="0" w:rightChars="0"/>
                    <w:jc w:val="center"/>
                    <w:rPr>
                      <w:rFonts w:ascii="Times New Roman" w:hAnsi="Times New Roman"/>
                      <w:szCs w:val="21"/>
                    </w:rPr>
                  </w:pPr>
                  <w:r>
                    <w:rPr>
                      <w:rFonts w:hint="default" w:ascii="Times New Roman" w:hAnsi="Times New Roman" w:cs="Times New Roman"/>
                      <w:color w:val="000000"/>
                      <w:szCs w:val="21"/>
                    </w:rPr>
                    <w:t>废机油</w:t>
                  </w:r>
                </w:p>
              </w:tc>
              <w:tc>
                <w:tcPr>
                  <w:tcW w:w="806" w:type="pct"/>
                  <w:vMerge w:val="continue"/>
                  <w:tcBorders>
                    <w:left w:val="single" w:color="000000" w:sz="4" w:space="0"/>
                    <w:right w:val="single" w:color="000000" w:sz="4" w:space="0"/>
                  </w:tcBorders>
                  <w:shd w:val="clear" w:color="auto" w:fill="auto"/>
                  <w:vAlign w:val="center"/>
                </w:tcPr>
                <w:p w14:paraId="6AB95A5B">
                  <w:pPr>
                    <w:pStyle w:val="89"/>
                    <w:jc w:val="center"/>
                    <w:rPr>
                      <w:color w:val="000000"/>
                      <w:lang w:val="zh-CN"/>
                    </w:rPr>
                  </w:pPr>
                </w:p>
              </w:tc>
              <w:tc>
                <w:tcPr>
                  <w:tcW w:w="2448" w:type="pct"/>
                  <w:vMerge w:val="continue"/>
                  <w:tcBorders>
                    <w:left w:val="single" w:color="000000" w:sz="4" w:space="0"/>
                    <w:right w:val="single" w:color="000000" w:sz="4" w:space="0"/>
                  </w:tcBorders>
                  <w:shd w:val="clear" w:color="auto" w:fill="auto"/>
                  <w:vAlign w:val="center"/>
                </w:tcPr>
                <w:p w14:paraId="5B85E887">
                  <w:pPr>
                    <w:pStyle w:val="89"/>
                    <w:jc w:val="center"/>
                    <w:rPr>
                      <w:color w:val="000000"/>
                    </w:rPr>
                  </w:pPr>
                </w:p>
              </w:tc>
            </w:tr>
            <w:tr w14:paraId="21324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F2585">
                  <w:pPr>
                    <w:jc w:val="center"/>
                    <w:rPr>
                      <w:rFonts w:ascii="Times New Roman" w:hAnsi="Times New Roman"/>
                      <w:color w:val="000000"/>
                      <w:szCs w:val="21"/>
                    </w:rPr>
                  </w:pPr>
                </w:p>
              </w:tc>
              <w:tc>
                <w:tcPr>
                  <w:tcW w:w="573" w:type="pct"/>
                  <w:vMerge w:val="continue"/>
                  <w:tcBorders>
                    <w:left w:val="single" w:color="000000" w:sz="4" w:space="0"/>
                    <w:right w:val="single" w:color="000000" w:sz="4" w:space="0"/>
                  </w:tcBorders>
                  <w:shd w:val="clear" w:color="auto" w:fill="auto"/>
                  <w:vAlign w:val="center"/>
                </w:tcPr>
                <w:p w14:paraId="52FFBDDD">
                  <w:pPr>
                    <w:pStyle w:val="89"/>
                    <w:jc w:val="center"/>
                    <w:rPr>
                      <w:color w:val="000000"/>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8B7D0">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highlight w:val="yellow"/>
                    </w:rPr>
                  </w:pPr>
                  <w:r>
                    <w:rPr>
                      <w:rFonts w:hint="default" w:ascii="Times New Roman" w:hAnsi="Times New Roman" w:cs="Times New Roman"/>
                      <w:color w:val="000000"/>
                      <w:szCs w:val="21"/>
                    </w:rPr>
                    <w:t>废液压油</w:t>
                  </w:r>
                </w:p>
              </w:tc>
              <w:tc>
                <w:tcPr>
                  <w:tcW w:w="8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4EAA6">
                  <w:pPr>
                    <w:pStyle w:val="89"/>
                    <w:jc w:val="center"/>
                    <w:rPr>
                      <w:color w:val="000000"/>
                      <w:lang w:val="zh-CN"/>
                    </w:rPr>
                  </w:pPr>
                </w:p>
              </w:tc>
              <w:tc>
                <w:tcPr>
                  <w:tcW w:w="2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ABBC5">
                  <w:pPr>
                    <w:pStyle w:val="89"/>
                    <w:jc w:val="center"/>
                    <w:rPr>
                      <w:color w:val="000000"/>
                    </w:rPr>
                  </w:pPr>
                </w:p>
              </w:tc>
            </w:tr>
            <w:tr w14:paraId="16758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48579">
                  <w:pPr>
                    <w:jc w:val="center"/>
                    <w:rPr>
                      <w:rFonts w:ascii="Times New Roman" w:hAnsi="Times New Roman"/>
                      <w:color w:val="000000"/>
                      <w:szCs w:val="21"/>
                    </w:rPr>
                  </w:pPr>
                </w:p>
              </w:tc>
              <w:tc>
                <w:tcPr>
                  <w:tcW w:w="573" w:type="pct"/>
                  <w:vMerge w:val="continue"/>
                  <w:tcBorders>
                    <w:left w:val="single" w:color="000000" w:sz="4" w:space="0"/>
                    <w:right w:val="single" w:color="000000" w:sz="4" w:space="0"/>
                  </w:tcBorders>
                  <w:shd w:val="clear" w:color="auto" w:fill="auto"/>
                  <w:vAlign w:val="center"/>
                </w:tcPr>
                <w:p w14:paraId="5CC13F4F">
                  <w:pPr>
                    <w:pStyle w:val="89"/>
                    <w:jc w:val="center"/>
                    <w:rPr>
                      <w:color w:val="000000"/>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6970E">
                  <w:pPr>
                    <w:keepNext w:val="0"/>
                    <w:keepLines w:val="0"/>
                    <w:pageBreakBefore w:val="0"/>
                    <w:kinsoku/>
                    <w:wordWrap/>
                    <w:overflowPunct/>
                    <w:topLinePunct w:val="0"/>
                    <w:bidi w:val="0"/>
                    <w:spacing w:line="240" w:lineRule="auto"/>
                    <w:ind w:right="0" w:rightChars="0"/>
                    <w:jc w:val="center"/>
                    <w:rPr>
                      <w:rFonts w:ascii="Times New Roman" w:hAnsi="Times New Roman"/>
                      <w:color w:val="000000"/>
                      <w:highlight w:val="yellow"/>
                    </w:rPr>
                  </w:pPr>
                  <w:r>
                    <w:rPr>
                      <w:rFonts w:hint="default" w:ascii="Times New Roman" w:hAnsi="Times New Roman" w:cs="Times New Roman"/>
                      <w:color w:val="000000"/>
                      <w:szCs w:val="21"/>
                    </w:rPr>
                    <w:t>废油桶</w:t>
                  </w:r>
                </w:p>
              </w:tc>
              <w:tc>
                <w:tcPr>
                  <w:tcW w:w="8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E00BB">
                  <w:pPr>
                    <w:pStyle w:val="89"/>
                    <w:jc w:val="center"/>
                    <w:rPr>
                      <w:color w:val="000000"/>
                      <w:lang w:val="zh-CN"/>
                    </w:rPr>
                  </w:pPr>
                </w:p>
              </w:tc>
              <w:tc>
                <w:tcPr>
                  <w:tcW w:w="2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EB72A">
                  <w:pPr>
                    <w:pStyle w:val="89"/>
                    <w:jc w:val="center"/>
                    <w:rPr>
                      <w:color w:val="000000"/>
                    </w:rPr>
                  </w:pPr>
                </w:p>
              </w:tc>
            </w:tr>
            <w:tr w14:paraId="0BE68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D3C99">
                  <w:pPr>
                    <w:jc w:val="center"/>
                    <w:rPr>
                      <w:rFonts w:ascii="Times New Roman" w:hAnsi="Times New Roman"/>
                      <w:color w:val="000000"/>
                      <w:szCs w:val="21"/>
                    </w:rPr>
                  </w:pPr>
                </w:p>
              </w:tc>
              <w:tc>
                <w:tcPr>
                  <w:tcW w:w="573" w:type="pct"/>
                  <w:vMerge w:val="continue"/>
                  <w:tcBorders>
                    <w:left w:val="single" w:color="000000" w:sz="4" w:space="0"/>
                    <w:right w:val="single" w:color="000000" w:sz="4" w:space="0"/>
                  </w:tcBorders>
                  <w:shd w:val="clear" w:color="auto" w:fill="auto"/>
                  <w:vAlign w:val="center"/>
                </w:tcPr>
                <w:p w14:paraId="37CA7C92">
                  <w:pPr>
                    <w:pStyle w:val="89"/>
                    <w:jc w:val="center"/>
                    <w:rPr>
                      <w:color w:val="000000"/>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371F">
                  <w:pPr>
                    <w:keepNext w:val="0"/>
                    <w:keepLines w:val="0"/>
                    <w:pageBreakBefore w:val="0"/>
                    <w:kinsoku/>
                    <w:wordWrap/>
                    <w:overflowPunct/>
                    <w:topLinePunct w:val="0"/>
                    <w:bidi w:val="0"/>
                    <w:spacing w:line="240" w:lineRule="auto"/>
                    <w:ind w:right="0" w:rightChars="0"/>
                    <w:jc w:val="center"/>
                    <w:rPr>
                      <w:rFonts w:ascii="Times New Roman" w:hAnsi="Times New Roman"/>
                      <w:color w:val="000000"/>
                      <w:highlight w:val="yellow"/>
                    </w:rPr>
                  </w:pPr>
                  <w:r>
                    <w:rPr>
                      <w:rFonts w:hint="default" w:ascii="Times New Roman" w:hAnsi="Times New Roman" w:cs="Times New Roman"/>
                      <w:color w:val="000000"/>
                      <w:szCs w:val="21"/>
                    </w:rPr>
                    <w:t>废乳化液</w:t>
                  </w:r>
                </w:p>
              </w:tc>
              <w:tc>
                <w:tcPr>
                  <w:tcW w:w="8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8E004">
                  <w:pPr>
                    <w:pStyle w:val="89"/>
                    <w:jc w:val="center"/>
                    <w:rPr>
                      <w:color w:val="000000"/>
                      <w:lang w:val="zh-CN"/>
                    </w:rPr>
                  </w:pPr>
                </w:p>
              </w:tc>
              <w:tc>
                <w:tcPr>
                  <w:tcW w:w="2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6EEDD">
                  <w:pPr>
                    <w:pStyle w:val="89"/>
                    <w:jc w:val="center"/>
                    <w:rPr>
                      <w:color w:val="000000"/>
                    </w:rPr>
                  </w:pPr>
                </w:p>
              </w:tc>
            </w:tr>
            <w:tr w14:paraId="3FC0F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E2E12">
                  <w:pPr>
                    <w:jc w:val="center"/>
                    <w:rPr>
                      <w:rFonts w:ascii="Times New Roman" w:hAnsi="Times New Roman"/>
                      <w:color w:val="000000"/>
                      <w:szCs w:val="21"/>
                    </w:rPr>
                  </w:pPr>
                </w:p>
              </w:tc>
              <w:tc>
                <w:tcPr>
                  <w:tcW w:w="573" w:type="pct"/>
                  <w:vMerge w:val="continue"/>
                  <w:tcBorders>
                    <w:left w:val="single" w:color="000000" w:sz="4" w:space="0"/>
                    <w:right w:val="single" w:color="000000" w:sz="4" w:space="0"/>
                  </w:tcBorders>
                  <w:shd w:val="clear" w:color="auto" w:fill="auto"/>
                  <w:vAlign w:val="center"/>
                </w:tcPr>
                <w:p w14:paraId="2E60D5D1">
                  <w:pPr>
                    <w:pStyle w:val="89"/>
                    <w:jc w:val="center"/>
                    <w:rPr>
                      <w:color w:val="000000"/>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9BA3F">
                  <w:pPr>
                    <w:keepNext w:val="0"/>
                    <w:keepLines w:val="0"/>
                    <w:pageBreakBefore w:val="0"/>
                    <w:kinsoku/>
                    <w:wordWrap/>
                    <w:overflowPunct/>
                    <w:topLinePunct w:val="0"/>
                    <w:bidi w:val="0"/>
                    <w:spacing w:line="240" w:lineRule="auto"/>
                    <w:ind w:right="0" w:rightChars="0"/>
                    <w:jc w:val="center"/>
                    <w:rPr>
                      <w:rFonts w:ascii="Times New Roman" w:hAnsi="Times New Roman"/>
                      <w:color w:val="000000"/>
                      <w:highlight w:val="yellow"/>
                    </w:rPr>
                  </w:pPr>
                  <w:r>
                    <w:rPr>
                      <w:rFonts w:hint="default" w:ascii="Times New Roman" w:hAnsi="Times New Roman" w:cs="Times New Roman"/>
                      <w:color w:val="000000"/>
                      <w:szCs w:val="21"/>
                      <w:lang w:eastAsia="zh-CN"/>
                    </w:rPr>
                    <w:t>含油抹布及废手套</w:t>
                  </w:r>
                </w:p>
              </w:tc>
              <w:tc>
                <w:tcPr>
                  <w:tcW w:w="8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A482B">
                  <w:pPr>
                    <w:pStyle w:val="89"/>
                    <w:jc w:val="center"/>
                    <w:rPr>
                      <w:color w:val="000000"/>
                      <w:lang w:val="zh-CN"/>
                    </w:rPr>
                  </w:pPr>
                </w:p>
              </w:tc>
              <w:tc>
                <w:tcPr>
                  <w:tcW w:w="2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4F247">
                  <w:pPr>
                    <w:pStyle w:val="89"/>
                    <w:jc w:val="center"/>
                    <w:rPr>
                      <w:color w:val="000000"/>
                    </w:rPr>
                  </w:pPr>
                </w:p>
              </w:tc>
            </w:tr>
            <w:tr w14:paraId="4B85C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2DEF4">
                  <w:pPr>
                    <w:jc w:val="center"/>
                    <w:rPr>
                      <w:rFonts w:ascii="Times New Roman" w:hAnsi="Times New Roman"/>
                      <w:color w:val="000000"/>
                      <w:szCs w:val="21"/>
                    </w:rPr>
                  </w:pPr>
                </w:p>
              </w:tc>
              <w:tc>
                <w:tcPr>
                  <w:tcW w:w="573" w:type="pct"/>
                  <w:vMerge w:val="continue"/>
                  <w:tcBorders>
                    <w:left w:val="single" w:color="000000" w:sz="4" w:space="0"/>
                    <w:right w:val="single" w:color="000000" w:sz="4" w:space="0"/>
                  </w:tcBorders>
                  <w:shd w:val="clear" w:color="auto" w:fill="auto"/>
                  <w:vAlign w:val="center"/>
                </w:tcPr>
                <w:p w14:paraId="766D5819">
                  <w:pPr>
                    <w:pStyle w:val="89"/>
                    <w:jc w:val="center"/>
                    <w:rPr>
                      <w:color w:val="000000"/>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FE7B7">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olor w:val="000000"/>
                      <w:highlight w:val="yellow"/>
                    </w:rPr>
                  </w:pPr>
                  <w:r>
                    <w:rPr>
                      <w:rFonts w:hint="default" w:ascii="Times New Roman" w:hAnsi="Times New Roman" w:cs="Times New Roman"/>
                      <w:lang w:eastAsia="zh-CN"/>
                    </w:rPr>
                    <w:t>漆渣</w:t>
                  </w:r>
                </w:p>
              </w:tc>
              <w:tc>
                <w:tcPr>
                  <w:tcW w:w="8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0B0E8">
                  <w:pPr>
                    <w:pStyle w:val="89"/>
                    <w:jc w:val="center"/>
                    <w:rPr>
                      <w:color w:val="000000"/>
                      <w:lang w:val="zh-CN"/>
                    </w:rPr>
                  </w:pPr>
                </w:p>
              </w:tc>
              <w:tc>
                <w:tcPr>
                  <w:tcW w:w="2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6DE42">
                  <w:pPr>
                    <w:pStyle w:val="89"/>
                    <w:jc w:val="center"/>
                    <w:rPr>
                      <w:color w:val="000000"/>
                    </w:rPr>
                  </w:pPr>
                </w:p>
              </w:tc>
            </w:tr>
            <w:tr w14:paraId="109C3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B196C">
                  <w:pPr>
                    <w:jc w:val="center"/>
                    <w:rPr>
                      <w:rFonts w:ascii="Times New Roman" w:hAnsi="Times New Roman"/>
                      <w:color w:val="000000"/>
                      <w:szCs w:val="21"/>
                    </w:rPr>
                  </w:pPr>
                </w:p>
              </w:tc>
              <w:tc>
                <w:tcPr>
                  <w:tcW w:w="573" w:type="pct"/>
                  <w:vMerge w:val="continue"/>
                  <w:tcBorders>
                    <w:left w:val="single" w:color="000000" w:sz="4" w:space="0"/>
                    <w:bottom w:val="single" w:color="000000" w:sz="4" w:space="0"/>
                    <w:right w:val="single" w:color="000000" w:sz="4" w:space="0"/>
                  </w:tcBorders>
                  <w:shd w:val="clear" w:color="auto" w:fill="auto"/>
                  <w:vAlign w:val="center"/>
                </w:tcPr>
                <w:p w14:paraId="39C63EAF">
                  <w:pPr>
                    <w:pStyle w:val="89"/>
                    <w:jc w:val="center"/>
                    <w:rPr>
                      <w:color w:val="000000"/>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F93B9">
                  <w:pPr>
                    <w:keepNext w:val="0"/>
                    <w:keepLines w:val="0"/>
                    <w:pageBreakBefore w:val="0"/>
                    <w:kinsoku/>
                    <w:wordWrap/>
                    <w:overflowPunct/>
                    <w:topLinePunct w:val="0"/>
                    <w:bidi w:val="0"/>
                    <w:spacing w:line="240" w:lineRule="auto"/>
                    <w:ind w:right="0" w:rightChars="0"/>
                    <w:jc w:val="center"/>
                    <w:rPr>
                      <w:color w:val="000000"/>
                    </w:rPr>
                  </w:pPr>
                  <w:r>
                    <w:rPr>
                      <w:rFonts w:hint="default" w:ascii="Times New Roman" w:hAnsi="Times New Roman" w:cs="Times New Roman"/>
                      <w:color w:val="000000"/>
                      <w:szCs w:val="21"/>
                    </w:rPr>
                    <w:t>废油漆桶</w:t>
                  </w:r>
                </w:p>
              </w:tc>
              <w:tc>
                <w:tcPr>
                  <w:tcW w:w="8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2D302">
                  <w:pPr>
                    <w:pStyle w:val="89"/>
                    <w:jc w:val="center"/>
                    <w:rPr>
                      <w:color w:val="000000"/>
                      <w:lang w:val="zh-CN"/>
                    </w:rPr>
                  </w:pPr>
                </w:p>
              </w:tc>
              <w:tc>
                <w:tcPr>
                  <w:tcW w:w="2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5D368">
                  <w:pPr>
                    <w:pStyle w:val="89"/>
                    <w:jc w:val="center"/>
                    <w:rPr>
                      <w:color w:val="000000"/>
                    </w:rPr>
                  </w:pPr>
                </w:p>
              </w:tc>
            </w:tr>
            <w:tr w14:paraId="4E62F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3A4F6">
                  <w:pPr>
                    <w:jc w:val="center"/>
                    <w:rPr>
                      <w:rFonts w:ascii="Times New Roman" w:hAnsi="Times New Roman"/>
                      <w:color w:val="000000"/>
                      <w:szCs w:val="21"/>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C27D7">
                  <w:pPr>
                    <w:jc w:val="center"/>
                    <w:rPr>
                      <w:rFonts w:ascii="Times New Roman" w:hAnsi="Times New Roman"/>
                      <w:color w:val="000000"/>
                      <w:szCs w:val="21"/>
                    </w:rPr>
                  </w:pPr>
                  <w:r>
                    <w:rPr>
                      <w:rFonts w:ascii="Times New Roman" w:hAnsi="Times New Roman"/>
                      <w:color w:val="000000"/>
                      <w:szCs w:val="21"/>
                    </w:rPr>
                    <w:t>员工生活</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13EF8">
                  <w:pPr>
                    <w:jc w:val="center"/>
                    <w:rPr>
                      <w:rFonts w:ascii="Times New Roman" w:hAnsi="Times New Roman"/>
                      <w:color w:val="000000"/>
                      <w:szCs w:val="21"/>
                    </w:rPr>
                  </w:pPr>
                  <w:r>
                    <w:rPr>
                      <w:rFonts w:ascii="Times New Roman" w:hAnsi="Times New Roman"/>
                      <w:color w:val="000000"/>
                      <w:szCs w:val="21"/>
                    </w:rPr>
                    <w:t>生活垃圾</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7E19">
                  <w:pPr>
                    <w:jc w:val="center"/>
                    <w:rPr>
                      <w:rFonts w:ascii="Times New Roman" w:hAnsi="Times New Roman"/>
                      <w:color w:val="000000"/>
                      <w:szCs w:val="21"/>
                    </w:rPr>
                  </w:pPr>
                  <w:r>
                    <w:rPr>
                      <w:rFonts w:ascii="Times New Roman" w:hAnsi="Times New Roman"/>
                      <w:color w:val="000000"/>
                      <w:szCs w:val="21"/>
                    </w:rPr>
                    <w:t>生活垃圾</w:t>
                  </w:r>
                </w:p>
              </w:tc>
              <w:tc>
                <w:tcPr>
                  <w:tcW w:w="2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73BEF">
                  <w:pPr>
                    <w:jc w:val="center"/>
                    <w:rPr>
                      <w:rFonts w:ascii="Times New Roman" w:hAnsi="Times New Roman"/>
                      <w:color w:val="000000"/>
                      <w:szCs w:val="21"/>
                    </w:rPr>
                  </w:pPr>
                  <w:r>
                    <w:rPr>
                      <w:rFonts w:ascii="Times New Roman" w:hAnsi="Times New Roman"/>
                      <w:color w:val="000000"/>
                      <w:szCs w:val="21"/>
                    </w:rPr>
                    <w:t>交环卫部门处置</w:t>
                  </w:r>
                </w:p>
              </w:tc>
            </w:tr>
            <w:bookmarkEnd w:id="19"/>
          </w:tbl>
          <w:p w14:paraId="2059D392">
            <w:pPr>
              <w:pStyle w:val="17"/>
              <w:rPr>
                <w:rFonts w:hint="eastAsia"/>
                <w:lang w:eastAsia="zh-CN"/>
              </w:rPr>
            </w:pPr>
          </w:p>
        </w:tc>
      </w:tr>
      <w:tr w14:paraId="61CBE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8" w:hRule="atLeast"/>
          <w:jc w:val="center"/>
        </w:trPr>
        <w:tc>
          <w:tcPr>
            <w:tcW w:w="600" w:type="dxa"/>
            <w:vAlign w:val="center"/>
          </w:tcPr>
          <w:p w14:paraId="7E4C647D">
            <w:pPr>
              <w:pStyle w:val="25"/>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562" w:type="dxa"/>
          </w:tcPr>
          <w:p w14:paraId="2C9AEC9A">
            <w:pPr>
              <w:keepNext w:val="0"/>
              <w:keepLines w:val="0"/>
              <w:widowControl/>
              <w:suppressLineNumbers w:val="0"/>
              <w:spacing w:line="360" w:lineRule="auto"/>
              <w:ind w:firstLine="482" w:firstLineChars="200"/>
              <w:jc w:val="left"/>
              <w:rPr>
                <w:rFonts w:hint="eastAsia" w:ascii="Times New Roman" w:hAnsi="Times New Roman" w:eastAsia="宋体" w:cs="Times New Roman"/>
                <w:b/>
                <w:bCs w:val="0"/>
                <w:color w:val="auto"/>
                <w:sz w:val="24"/>
                <w:highlight w:val="none"/>
                <w:lang w:val="en-US" w:eastAsia="zh-CN"/>
              </w:rPr>
            </w:pPr>
            <w:r>
              <w:rPr>
                <w:rFonts w:hint="eastAsia" w:cs="Times New Roman"/>
                <w:b/>
                <w:bCs w:val="0"/>
                <w:color w:val="auto"/>
                <w:sz w:val="24"/>
                <w:lang w:val="en-US" w:eastAsia="zh-CN"/>
              </w:rPr>
              <w:t>1</w:t>
            </w:r>
            <w:r>
              <w:rPr>
                <w:rFonts w:hint="eastAsia" w:ascii="Times New Roman" w:hAnsi="Times New Roman" w:eastAsia="宋体" w:cs="Times New Roman"/>
                <w:b/>
                <w:bCs w:val="0"/>
                <w:color w:val="auto"/>
                <w:sz w:val="24"/>
                <w:lang w:val="en-US" w:eastAsia="zh-CN"/>
              </w:rPr>
              <w:t>、现有工程建设</w:t>
            </w:r>
            <w:r>
              <w:rPr>
                <w:rFonts w:hint="eastAsia" w:ascii="Times New Roman" w:hAnsi="Times New Roman" w:eastAsia="宋体" w:cs="Times New Roman"/>
                <w:b/>
                <w:bCs w:val="0"/>
                <w:color w:val="auto"/>
                <w:sz w:val="24"/>
                <w:highlight w:val="none"/>
                <w:lang w:val="en-US" w:eastAsia="zh-CN"/>
              </w:rPr>
              <w:t>情况</w:t>
            </w:r>
          </w:p>
          <w:p w14:paraId="109DFC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color w:val="auto"/>
                <w:sz w:val="24"/>
                <w:lang w:val="en-US" w:eastAsia="zh-CN"/>
              </w:rPr>
            </w:pPr>
            <w:r>
              <w:rPr>
                <w:rFonts w:hint="eastAsia" w:ascii="Times New Roman" w:hAnsi="Times New Roman" w:cs="Times New Roman"/>
                <w:b w:val="0"/>
                <w:color w:val="auto"/>
                <w:sz w:val="24"/>
                <w:lang w:val="en-US" w:eastAsia="zh-CN"/>
              </w:rPr>
              <w:t>淮北科力机电设备有限责任公司，原址坐落于安徽省淮北市杜集区开发区腾飞中路，专注于液压装备支架配件的生产，其年生产能力达到年产7000吨液压装备支架配件。该公司采用的生产工艺包括分割、焊接、组装，属于环境影响评价豁免范围。该公司已于2022年3月完成排污许可登记，登记编号为91340600MA2NAM890B001W。鉴于租赁合同到期，该公司</w:t>
            </w:r>
            <w:r>
              <w:rPr>
                <w:rFonts w:hint="eastAsia" w:cs="Times New Roman"/>
                <w:b w:val="0"/>
                <w:color w:val="auto"/>
                <w:sz w:val="24"/>
                <w:lang w:val="en-US" w:eastAsia="zh-CN"/>
              </w:rPr>
              <w:t>已</w:t>
            </w:r>
            <w:r>
              <w:rPr>
                <w:rFonts w:hint="eastAsia" w:ascii="Times New Roman" w:hAnsi="Times New Roman" w:cs="Times New Roman"/>
                <w:b w:val="0"/>
                <w:color w:val="auto"/>
                <w:sz w:val="24"/>
                <w:lang w:val="en-US" w:eastAsia="zh-CN"/>
              </w:rPr>
              <w:t>于2025年5月迁至新的地址，即安徽省淮北市杜集区杜集经济开发区紫昱路16号。迁址后，其生产规模及工艺</w:t>
            </w:r>
            <w:r>
              <w:rPr>
                <w:rFonts w:hint="eastAsia" w:cs="Times New Roman"/>
                <w:b w:val="0"/>
                <w:color w:val="auto"/>
                <w:sz w:val="24"/>
                <w:lang w:val="en-US" w:eastAsia="zh-CN"/>
              </w:rPr>
              <w:t>等</w:t>
            </w:r>
            <w:r>
              <w:rPr>
                <w:rFonts w:hint="eastAsia" w:ascii="Times New Roman" w:hAnsi="Times New Roman" w:cs="Times New Roman"/>
                <w:b w:val="0"/>
                <w:color w:val="auto"/>
                <w:sz w:val="24"/>
                <w:lang w:val="en-US" w:eastAsia="zh-CN"/>
              </w:rPr>
              <w:t>保持不变。同时，排污许可证已进行</w:t>
            </w:r>
            <w:r>
              <w:rPr>
                <w:rFonts w:hint="eastAsia" w:cs="Times New Roman"/>
                <w:b w:val="0"/>
                <w:color w:val="auto"/>
                <w:sz w:val="24"/>
                <w:lang w:val="en-US" w:eastAsia="zh-CN"/>
              </w:rPr>
              <w:t>变更</w:t>
            </w:r>
            <w:r>
              <w:rPr>
                <w:rFonts w:hint="eastAsia" w:ascii="Times New Roman" w:hAnsi="Times New Roman" w:cs="Times New Roman"/>
                <w:b w:val="0"/>
                <w:color w:val="auto"/>
                <w:sz w:val="24"/>
                <w:lang w:val="en-US" w:eastAsia="zh-CN"/>
              </w:rPr>
              <w:t>，登记编号为91340600MA2NAM890B001W，有效期自2025年5月21日起至2030年5月20日止。目前，公司</w:t>
            </w:r>
            <w:r>
              <w:rPr>
                <w:rFonts w:hint="eastAsia" w:cs="Times New Roman"/>
                <w:b w:val="0"/>
                <w:color w:val="auto"/>
                <w:sz w:val="24"/>
                <w:lang w:val="en-US" w:eastAsia="zh-CN"/>
              </w:rPr>
              <w:t>具备</w:t>
            </w:r>
            <w:r>
              <w:rPr>
                <w:rFonts w:hint="eastAsia" w:ascii="Times New Roman" w:hAnsi="Times New Roman" w:cs="Times New Roman"/>
                <w:b w:val="0"/>
                <w:color w:val="auto"/>
                <w:sz w:val="24"/>
                <w:lang w:val="en-US" w:eastAsia="zh-CN"/>
              </w:rPr>
              <w:t>年产7000吨液压装备支架配件的生产能力。</w:t>
            </w:r>
          </w:p>
          <w:p w14:paraId="7A01835C">
            <w:pPr>
              <w:numPr>
                <w:ilvl w:val="0"/>
                <w:numId w:val="0"/>
              </w:numPr>
              <w:spacing w:line="360" w:lineRule="auto"/>
              <w:ind w:left="420" w:leftChars="0"/>
              <w:rPr>
                <w:rFonts w:ascii="Calibri" w:hAnsi="Calibri"/>
                <w:b/>
                <w:bCs w:val="0"/>
                <w:color w:val="auto"/>
                <w:sz w:val="24"/>
              </w:rPr>
            </w:pPr>
            <w:r>
              <w:rPr>
                <w:rFonts w:hint="eastAsia"/>
                <w:b/>
                <w:bCs w:val="0"/>
                <w:color w:val="auto"/>
                <w:sz w:val="24"/>
                <w:lang w:val="en-US" w:eastAsia="zh-CN"/>
              </w:rPr>
              <w:t>2、</w:t>
            </w:r>
            <w:r>
              <w:rPr>
                <w:rFonts w:hint="eastAsia" w:ascii="Calibri" w:hAnsi="Calibri"/>
                <w:b/>
                <w:bCs w:val="0"/>
                <w:color w:val="auto"/>
                <w:sz w:val="24"/>
              </w:rPr>
              <w:t>现有工程环保手续履行情况</w:t>
            </w:r>
          </w:p>
          <w:p w14:paraId="3DF7D1B3">
            <w:pPr>
              <w:pStyle w:val="79"/>
              <w:rPr>
                <w:color w:val="auto"/>
              </w:rPr>
            </w:pPr>
            <w:r>
              <w:rPr>
                <w:color w:val="auto"/>
              </w:rPr>
              <w:t>现有工程环保手续履行情况汇总见下表。</w:t>
            </w:r>
          </w:p>
          <w:p w14:paraId="3218119E">
            <w:pPr>
              <w:adjustRightInd w:val="0"/>
              <w:snapToGrid w:val="0"/>
              <w:spacing w:before="120" w:beforeLines="50" w:after="120" w:afterLines="50"/>
              <w:ind w:firstLine="482"/>
              <w:jc w:val="center"/>
              <w:rPr>
                <w:b/>
                <w:bCs/>
                <w:color w:val="auto"/>
                <w:sz w:val="24"/>
              </w:rPr>
            </w:pPr>
            <w:r>
              <w:rPr>
                <w:b/>
                <w:bCs/>
                <w:color w:val="auto"/>
                <w:sz w:val="24"/>
              </w:rPr>
              <w:t>表2-</w:t>
            </w:r>
            <w:r>
              <w:rPr>
                <w:rFonts w:hint="eastAsia"/>
                <w:b/>
                <w:bCs/>
                <w:color w:val="auto"/>
                <w:sz w:val="24"/>
                <w:lang w:val="en-US" w:eastAsia="zh-CN"/>
              </w:rPr>
              <w:t>13</w:t>
            </w:r>
            <w:r>
              <w:rPr>
                <w:b/>
                <w:bCs/>
                <w:color w:val="auto"/>
                <w:sz w:val="24"/>
              </w:rPr>
              <w:t xml:space="preserve">  现有工程环保手续履行情况汇总表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34"/>
              <w:gridCol w:w="1769"/>
              <w:gridCol w:w="1798"/>
              <w:gridCol w:w="3092"/>
            </w:tblGrid>
            <w:tr w14:paraId="7093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0" w:type="auto"/>
                  <w:vAlign w:val="center"/>
                </w:tcPr>
                <w:p w14:paraId="28A274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编号</w:t>
                  </w:r>
                </w:p>
              </w:tc>
              <w:tc>
                <w:tcPr>
                  <w:tcW w:w="0" w:type="auto"/>
                  <w:vAlign w:val="center"/>
                </w:tcPr>
                <w:p w14:paraId="4A6048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建设项目名称</w:t>
                  </w:r>
                </w:p>
              </w:tc>
              <w:tc>
                <w:tcPr>
                  <w:tcW w:w="0" w:type="auto"/>
                  <w:gridSpan w:val="2"/>
                  <w:vAlign w:val="center"/>
                </w:tcPr>
                <w:p w14:paraId="1FB75A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年产</w:t>
                  </w:r>
                  <w:r>
                    <w:rPr>
                      <w:rFonts w:hint="eastAsia" w:ascii="Times New Roman" w:hAnsi="Times New Roman" w:cs="Times New Roman"/>
                      <w:bCs/>
                      <w:color w:val="auto"/>
                      <w:sz w:val="21"/>
                      <w:szCs w:val="21"/>
                      <w:lang w:val="en-US" w:eastAsia="zh-CN"/>
                    </w:rPr>
                    <w:t>7</w:t>
                  </w:r>
                  <w:r>
                    <w:rPr>
                      <w:rFonts w:hint="default" w:ascii="Times New Roman" w:hAnsi="Times New Roman" w:cs="Times New Roman"/>
                      <w:bCs/>
                      <w:color w:val="auto"/>
                      <w:sz w:val="21"/>
                      <w:szCs w:val="21"/>
                      <w:lang w:val="en-US" w:eastAsia="zh-CN"/>
                    </w:rPr>
                    <w:t>000吨液压装备支架配件</w:t>
                  </w:r>
                </w:p>
              </w:tc>
              <w:tc>
                <w:tcPr>
                  <w:tcW w:w="0" w:type="auto"/>
                  <w:vAlign w:val="center"/>
                </w:tcPr>
                <w:p w14:paraId="1204C8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备注</w:t>
                  </w:r>
                </w:p>
              </w:tc>
            </w:tr>
            <w:tr w14:paraId="1822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0" w:type="auto"/>
                  <w:vAlign w:val="center"/>
                </w:tcPr>
                <w:p w14:paraId="278386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w:t>
                  </w:r>
                </w:p>
              </w:tc>
              <w:tc>
                <w:tcPr>
                  <w:tcW w:w="0" w:type="auto"/>
                  <w:vAlign w:val="center"/>
                </w:tcPr>
                <w:p w14:paraId="7FDB90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环境影响评价</w:t>
                  </w:r>
                </w:p>
              </w:tc>
              <w:tc>
                <w:tcPr>
                  <w:tcW w:w="0" w:type="auto"/>
                  <w:gridSpan w:val="2"/>
                  <w:vAlign w:val="center"/>
                </w:tcPr>
                <w:p w14:paraId="3EA4BB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豁免</w:t>
                  </w:r>
                  <w:r>
                    <w:rPr>
                      <w:rFonts w:hint="eastAsia" w:cs="Times New Roman"/>
                      <w:bCs/>
                      <w:color w:val="auto"/>
                      <w:sz w:val="21"/>
                      <w:szCs w:val="21"/>
                      <w:lang w:val="en-US" w:eastAsia="zh-CN"/>
                    </w:rPr>
                    <w:t>环评手续</w:t>
                  </w:r>
                </w:p>
              </w:tc>
              <w:tc>
                <w:tcPr>
                  <w:tcW w:w="0" w:type="auto"/>
                  <w:vAlign w:val="center"/>
                </w:tcPr>
                <w:p w14:paraId="0F405E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cs="Times New Roman"/>
                      <w:bCs/>
                      <w:color w:val="auto"/>
                      <w:sz w:val="21"/>
                      <w:szCs w:val="21"/>
                      <w:lang w:val="en-US" w:eastAsia="zh-CN"/>
                    </w:rPr>
                    <w:t>生产工艺为</w:t>
                  </w:r>
                  <w:r>
                    <w:rPr>
                      <w:rFonts w:hint="eastAsia" w:ascii="Times New Roman" w:hAnsi="Times New Roman" w:cs="Times New Roman"/>
                      <w:bCs/>
                      <w:color w:val="auto"/>
                      <w:sz w:val="21"/>
                      <w:szCs w:val="21"/>
                      <w:lang w:val="en-US" w:eastAsia="zh-CN"/>
                    </w:rPr>
                    <w:t>分割、焊接、组装</w:t>
                  </w:r>
                  <w:r>
                    <w:rPr>
                      <w:rFonts w:hint="eastAsia" w:cs="Times New Roman"/>
                      <w:bCs/>
                      <w:color w:val="auto"/>
                      <w:sz w:val="21"/>
                      <w:szCs w:val="21"/>
                      <w:lang w:val="en-US" w:eastAsia="zh-CN"/>
                    </w:rPr>
                    <w:t>。</w:t>
                  </w:r>
                </w:p>
              </w:tc>
            </w:tr>
            <w:tr w14:paraId="3985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0" w:type="auto"/>
                  <w:vMerge w:val="restart"/>
                  <w:vAlign w:val="center"/>
                </w:tcPr>
                <w:p w14:paraId="023004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w:t>
                  </w:r>
                </w:p>
              </w:tc>
              <w:tc>
                <w:tcPr>
                  <w:tcW w:w="0" w:type="auto"/>
                  <w:vMerge w:val="restart"/>
                  <w:vAlign w:val="center"/>
                </w:tcPr>
                <w:p w14:paraId="5A1A1E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排污许可申报</w:t>
                  </w:r>
                </w:p>
              </w:tc>
              <w:tc>
                <w:tcPr>
                  <w:tcW w:w="0" w:type="auto"/>
                  <w:vAlign w:val="center"/>
                </w:tcPr>
                <w:p w14:paraId="0564C0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申报情况</w:t>
                  </w:r>
                </w:p>
              </w:tc>
              <w:tc>
                <w:tcPr>
                  <w:tcW w:w="0" w:type="auto"/>
                  <w:gridSpan w:val="2"/>
                  <w:vAlign w:val="center"/>
                </w:tcPr>
                <w:p w14:paraId="7B634C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已申报</w:t>
                  </w:r>
                </w:p>
              </w:tc>
            </w:tr>
            <w:tr w14:paraId="2C28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0" w:type="auto"/>
                  <w:vMerge w:val="continue"/>
                  <w:vAlign w:val="center"/>
                </w:tcPr>
                <w:p w14:paraId="557FB0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p>
              </w:tc>
              <w:tc>
                <w:tcPr>
                  <w:tcW w:w="0" w:type="auto"/>
                  <w:vMerge w:val="continue"/>
                  <w:vAlign w:val="center"/>
                </w:tcPr>
                <w:p w14:paraId="14CB6A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p>
              </w:tc>
              <w:tc>
                <w:tcPr>
                  <w:tcW w:w="0" w:type="auto"/>
                  <w:vMerge w:val="restart"/>
                  <w:vAlign w:val="center"/>
                </w:tcPr>
                <w:p w14:paraId="3B3B1A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排污许可</w:t>
                  </w:r>
                  <w:r>
                    <w:rPr>
                      <w:rFonts w:hint="eastAsia" w:cs="Times New Roman"/>
                      <w:bCs/>
                      <w:color w:val="auto"/>
                      <w:sz w:val="21"/>
                      <w:szCs w:val="21"/>
                      <w:lang w:val="en-US" w:eastAsia="zh-CN"/>
                    </w:rPr>
                    <w:t>（登记管理）</w:t>
                  </w:r>
                </w:p>
              </w:tc>
              <w:tc>
                <w:tcPr>
                  <w:tcW w:w="0" w:type="auto"/>
                  <w:vAlign w:val="center"/>
                </w:tcPr>
                <w:p w14:paraId="42D16B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2022-03-01首次</w:t>
                  </w:r>
                  <w:r>
                    <w:rPr>
                      <w:rFonts w:hint="eastAsia" w:cs="Times New Roman"/>
                      <w:bCs/>
                      <w:color w:val="auto"/>
                      <w:sz w:val="21"/>
                      <w:szCs w:val="21"/>
                      <w:lang w:val="en-US" w:eastAsia="zh-CN"/>
                    </w:rPr>
                    <w:t>申请</w:t>
                  </w:r>
                </w:p>
              </w:tc>
              <w:tc>
                <w:tcPr>
                  <w:tcW w:w="0" w:type="auto"/>
                  <w:vAlign w:val="center"/>
                </w:tcPr>
                <w:p w14:paraId="41821E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91340600MA2NAM890B001W</w:t>
                  </w:r>
                </w:p>
              </w:tc>
            </w:tr>
            <w:tr w14:paraId="18C8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0" w:type="auto"/>
                  <w:vMerge w:val="continue"/>
                  <w:vAlign w:val="center"/>
                </w:tcPr>
                <w:p w14:paraId="1FA69D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p>
              </w:tc>
              <w:tc>
                <w:tcPr>
                  <w:tcW w:w="0" w:type="auto"/>
                  <w:vMerge w:val="continue"/>
                  <w:vAlign w:val="center"/>
                </w:tcPr>
                <w:p w14:paraId="3B75B5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p>
              </w:tc>
              <w:tc>
                <w:tcPr>
                  <w:tcW w:w="0" w:type="auto"/>
                  <w:vMerge w:val="continue"/>
                  <w:vAlign w:val="center"/>
                </w:tcPr>
                <w:p w14:paraId="34D924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p>
              </w:tc>
              <w:tc>
                <w:tcPr>
                  <w:tcW w:w="0" w:type="auto"/>
                  <w:vAlign w:val="center"/>
                </w:tcPr>
                <w:p w14:paraId="352182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2025-05-21 变更</w:t>
                  </w:r>
                </w:p>
              </w:tc>
              <w:tc>
                <w:tcPr>
                  <w:tcW w:w="0" w:type="auto"/>
                  <w:vAlign w:val="center"/>
                </w:tcPr>
                <w:p w14:paraId="620688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91340600MA2NAM890B001W</w:t>
                  </w:r>
                </w:p>
              </w:tc>
            </w:tr>
          </w:tbl>
          <w:p w14:paraId="3E13B0D9">
            <w:pPr>
              <w:keepNext w:val="0"/>
              <w:keepLines w:val="0"/>
              <w:widowControl/>
              <w:suppressLineNumbers w:val="0"/>
              <w:spacing w:line="360" w:lineRule="auto"/>
              <w:ind w:firstLine="482" w:firstLineChars="200"/>
              <w:jc w:val="left"/>
              <w:rPr>
                <w:rFonts w:hint="eastAsia"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3</w:t>
            </w:r>
            <w:r>
              <w:rPr>
                <w:rFonts w:hint="eastAsia" w:ascii="Times New Roman" w:hAnsi="Times New Roman" w:eastAsia="宋体" w:cs="Times New Roman"/>
                <w:b/>
                <w:bCs w:val="0"/>
                <w:color w:val="auto"/>
                <w:sz w:val="24"/>
                <w:lang w:val="en-US" w:eastAsia="zh-CN"/>
              </w:rPr>
              <w:t>、现有</w:t>
            </w:r>
            <w:r>
              <w:rPr>
                <w:rFonts w:hint="eastAsia" w:cs="Times New Roman"/>
                <w:b/>
                <w:bCs w:val="0"/>
                <w:color w:val="auto"/>
                <w:sz w:val="24"/>
                <w:lang w:val="en-US" w:eastAsia="zh-CN"/>
              </w:rPr>
              <w:t>工程</w:t>
            </w:r>
            <w:r>
              <w:rPr>
                <w:rFonts w:hint="eastAsia" w:ascii="Times New Roman" w:hAnsi="Times New Roman" w:eastAsia="宋体" w:cs="Times New Roman"/>
                <w:b/>
                <w:bCs w:val="0"/>
                <w:color w:val="auto"/>
                <w:sz w:val="24"/>
                <w:lang w:val="en-US" w:eastAsia="zh-CN"/>
              </w:rPr>
              <w:t>污染物排放情况</w:t>
            </w:r>
          </w:p>
          <w:p w14:paraId="01A1F22A">
            <w:pPr>
              <w:keepNext w:val="0"/>
              <w:keepLines w:val="0"/>
              <w:widowControl/>
              <w:suppressLineNumbers w:val="0"/>
              <w:spacing w:line="360" w:lineRule="auto"/>
              <w:ind w:firstLine="480" w:firstLineChars="200"/>
              <w:jc w:val="left"/>
              <w:rPr>
                <w:rFonts w:hint="default" w:cs="Times New Roman"/>
                <w:b w:val="0"/>
                <w:bCs/>
                <w:color w:val="auto"/>
                <w:sz w:val="24"/>
                <w:lang w:val="en-US" w:eastAsia="zh-CN"/>
              </w:rPr>
            </w:pPr>
            <w:r>
              <w:rPr>
                <w:rFonts w:hint="eastAsia" w:cs="Times New Roman"/>
                <w:b w:val="0"/>
                <w:bCs/>
                <w:color w:val="auto"/>
                <w:sz w:val="24"/>
                <w:lang w:val="en-US" w:eastAsia="zh-CN"/>
              </w:rPr>
              <w:t>根据现场调查，现有工程污染物排放情况如下：</w:t>
            </w:r>
          </w:p>
          <w:p w14:paraId="6CAA9890">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color w:val="auto"/>
                <w:sz w:val="24"/>
                <w:lang w:val="en-US" w:eastAsia="zh-CN"/>
              </w:rPr>
            </w:pPr>
            <w:r>
              <w:rPr>
                <w:rFonts w:hint="eastAsia" w:cs="Times New Roman"/>
                <w:b w:val="0"/>
                <w:bCs/>
                <w:color w:val="auto"/>
                <w:sz w:val="24"/>
                <w:lang w:val="en-US" w:eastAsia="zh-CN"/>
              </w:rPr>
              <w:t>（1）废水：现有工程在生产过程中无废水产生。生活</w:t>
            </w:r>
            <w:r>
              <w:rPr>
                <w:rFonts w:hint="eastAsia" w:ascii="Times New Roman" w:hAnsi="Times New Roman" w:eastAsia="宋体" w:cs="Times New Roman"/>
                <w:b w:val="0"/>
                <w:bCs/>
                <w:color w:val="auto"/>
                <w:sz w:val="24"/>
                <w:lang w:val="en-US" w:eastAsia="zh-CN"/>
              </w:rPr>
              <w:t>污水经化粪池处理后</w:t>
            </w:r>
            <w:r>
              <w:rPr>
                <w:rFonts w:hint="eastAsia" w:ascii="Times New Roman" w:hAnsi="Times New Roman" w:eastAsia="宋体" w:cs="Times New Roman"/>
                <w:bCs/>
                <w:color w:val="auto"/>
                <w:kern w:val="2"/>
                <w:sz w:val="24"/>
                <w:szCs w:val="24"/>
              </w:rPr>
              <w:t>接管网进入龙湖污水处理厂进一步深度处理，达标后排入龙河</w:t>
            </w:r>
            <w:r>
              <w:rPr>
                <w:rFonts w:hint="eastAsia" w:ascii="Times New Roman" w:hAnsi="Times New Roman" w:eastAsia="宋体" w:cs="Times New Roman"/>
                <w:b w:val="0"/>
                <w:bCs/>
                <w:color w:val="auto"/>
                <w:sz w:val="24"/>
                <w:lang w:val="en-US" w:eastAsia="zh-CN"/>
              </w:rPr>
              <w:t>。</w:t>
            </w:r>
          </w:p>
          <w:p w14:paraId="63654547">
            <w:pPr>
              <w:keepNext w:val="0"/>
              <w:keepLines w:val="0"/>
              <w:widowControl/>
              <w:suppressLineNumbers w:val="0"/>
              <w:spacing w:line="360" w:lineRule="auto"/>
              <w:ind w:firstLine="480" w:firstLineChars="200"/>
              <w:jc w:val="left"/>
              <w:rPr>
                <w:rFonts w:hint="eastAsia" w:cs="Times New Roman"/>
                <w:b w:val="0"/>
                <w:bCs/>
                <w:color w:val="0000FF"/>
                <w:sz w:val="24"/>
                <w:lang w:val="en-US" w:eastAsia="zh-CN"/>
              </w:rPr>
            </w:pPr>
            <w:r>
              <w:rPr>
                <w:rFonts w:hint="eastAsia" w:cs="Times New Roman"/>
                <w:b w:val="0"/>
                <w:bCs/>
                <w:color w:val="auto"/>
                <w:sz w:val="24"/>
                <w:lang w:val="en-US" w:eastAsia="zh-CN"/>
              </w:rPr>
              <w:t>（2）废气</w:t>
            </w:r>
            <w:r>
              <w:rPr>
                <w:rFonts w:hint="eastAsia" w:ascii="Times New Roman" w:hAnsi="Times New Roman" w:eastAsia="宋体" w:cs="Times New Roman"/>
                <w:b w:val="0"/>
                <w:bCs/>
                <w:color w:val="auto"/>
                <w:sz w:val="24"/>
                <w:lang w:val="en-US" w:eastAsia="zh-CN"/>
              </w:rPr>
              <w:t>：切割粉尘</w:t>
            </w:r>
            <w:r>
              <w:rPr>
                <w:rFonts w:hint="eastAsia" w:ascii="Times New Roman" w:hAnsi="Times New Roman" w:eastAsia="宋体" w:cs="Times New Roman"/>
                <w:bCs/>
                <w:snapToGrid/>
                <w:color w:val="auto"/>
                <w:spacing w:val="0"/>
                <w:kern w:val="2"/>
                <w:sz w:val="24"/>
                <w:szCs w:val="24"/>
              </w:rPr>
              <w:t>采用设备自带收集系统收集后</w:t>
            </w:r>
            <w:r>
              <w:rPr>
                <w:rFonts w:hint="eastAsia" w:ascii="Times New Roman" w:hAnsi="Times New Roman" w:eastAsia="宋体" w:cs="Times New Roman"/>
                <w:bCs/>
                <w:snapToGrid/>
                <w:color w:val="auto"/>
                <w:spacing w:val="0"/>
                <w:kern w:val="2"/>
                <w:sz w:val="24"/>
                <w:szCs w:val="24"/>
                <w:lang w:eastAsia="zh-CN"/>
              </w:rPr>
              <w:t>无组织排放；</w:t>
            </w:r>
            <w:r>
              <w:rPr>
                <w:rFonts w:hint="eastAsia" w:ascii="Times New Roman" w:hAnsi="Times New Roman" w:eastAsia="宋体" w:cs="Times New Roman"/>
                <w:bCs/>
                <w:color w:val="auto"/>
                <w:sz w:val="24"/>
                <w:szCs w:val="24"/>
                <w:lang w:eastAsia="zh-CN"/>
              </w:rPr>
              <w:t>焊接</w:t>
            </w:r>
            <w:r>
              <w:rPr>
                <w:rFonts w:hint="eastAsia" w:ascii="Times New Roman" w:hAnsi="Times New Roman" w:eastAsia="宋体" w:cs="Times New Roman"/>
                <w:bCs/>
                <w:color w:val="auto"/>
                <w:sz w:val="24"/>
                <w:szCs w:val="24"/>
              </w:rPr>
              <w:t>烟尘</w:t>
            </w:r>
            <w:r>
              <w:rPr>
                <w:rFonts w:hint="eastAsia" w:ascii="Times New Roman" w:hAnsi="Times New Roman" w:eastAsia="宋体" w:cs="Times New Roman"/>
                <w:bCs/>
                <w:color w:val="auto"/>
                <w:sz w:val="24"/>
                <w:szCs w:val="24"/>
                <w:lang w:eastAsia="zh-CN"/>
              </w:rPr>
              <w:t>采用</w:t>
            </w:r>
            <w:r>
              <w:rPr>
                <w:rFonts w:hint="eastAsia" w:ascii="Times New Roman" w:hAnsi="Times New Roman" w:eastAsia="宋体" w:cs="Times New Roman"/>
                <w:bCs/>
                <w:color w:val="auto"/>
                <w:sz w:val="24"/>
                <w:szCs w:val="24"/>
              </w:rPr>
              <w:t>移动式焊接净化器处理后</w:t>
            </w:r>
            <w:r>
              <w:rPr>
                <w:rFonts w:hint="eastAsia" w:ascii="Times New Roman" w:hAnsi="Times New Roman" w:eastAsia="宋体" w:cs="Times New Roman"/>
                <w:bCs/>
                <w:color w:val="auto"/>
                <w:sz w:val="24"/>
                <w:szCs w:val="24"/>
                <w:lang w:eastAsia="zh-CN"/>
              </w:rPr>
              <w:t>无组织</w:t>
            </w:r>
            <w:r>
              <w:rPr>
                <w:rFonts w:hint="eastAsia" w:ascii="Times New Roman" w:hAnsi="Times New Roman" w:eastAsia="宋体" w:cs="Times New Roman"/>
                <w:bCs/>
                <w:color w:val="auto"/>
                <w:sz w:val="24"/>
                <w:szCs w:val="24"/>
              </w:rPr>
              <w:t>排放</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 w:val="0"/>
                <w:bCs/>
                <w:color w:val="auto"/>
                <w:sz w:val="24"/>
                <w:lang w:val="en-US" w:eastAsia="zh-CN"/>
              </w:rPr>
              <w:t>现有工程在生产过程中产生的颗粒物能够满足</w:t>
            </w:r>
            <w:r>
              <w:rPr>
                <w:rFonts w:hint="eastAsia" w:ascii="Times New Roman" w:hAnsi="Times New Roman" w:eastAsia="宋体" w:cs="Times New Roman"/>
                <w:bCs/>
                <w:color w:val="auto"/>
                <w:sz w:val="24"/>
                <w:szCs w:val="24"/>
              </w:rPr>
              <w:t>《大气污染物综合排放标准》（GB16297-1996）表2无组织排放标准限值</w:t>
            </w:r>
            <w:r>
              <w:rPr>
                <w:rFonts w:hint="eastAsia" w:cs="Times New Roman"/>
                <w:bCs/>
                <w:color w:val="auto"/>
                <w:sz w:val="24"/>
                <w:szCs w:val="24"/>
                <w:lang w:eastAsia="zh-CN"/>
              </w:rPr>
              <w:t>。</w:t>
            </w:r>
          </w:p>
          <w:p w14:paraId="7BB1A661">
            <w:pPr>
              <w:keepNext w:val="0"/>
              <w:keepLines w:val="0"/>
              <w:widowControl/>
              <w:suppressLineNumbers w:val="0"/>
              <w:spacing w:line="360" w:lineRule="auto"/>
              <w:ind w:firstLine="480" w:firstLineChars="200"/>
              <w:jc w:val="left"/>
              <w:rPr>
                <w:rFonts w:hint="eastAsia" w:cs="Times New Roman"/>
                <w:bCs/>
                <w:color w:val="000000" w:themeColor="text1"/>
                <w:sz w:val="24"/>
                <w:szCs w:val="24"/>
                <w:lang w:eastAsia="zh-CN"/>
                <w14:textFill>
                  <w14:solidFill>
                    <w14:schemeClr w14:val="tx1"/>
                  </w14:solidFill>
                </w14:textFill>
              </w:rPr>
            </w:pPr>
            <w:r>
              <w:rPr>
                <w:rFonts w:hint="eastAsia" w:cs="Times New Roman"/>
                <w:b w:val="0"/>
                <w:bCs/>
                <w:color w:val="000000" w:themeColor="text1"/>
                <w:sz w:val="24"/>
                <w:lang w:val="en-US" w:eastAsia="zh-CN"/>
                <w14:textFill>
                  <w14:solidFill>
                    <w14:schemeClr w14:val="tx1"/>
                  </w14:solidFill>
                </w14:textFill>
              </w:rPr>
              <w:t>根据《污染源源强核算技术指南准则》（HJ884—2018），项目现有废气无组织排放，因此现有项目无组织选用类比法进行核算，</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切割粉尘</w:t>
            </w:r>
            <w:r>
              <w:rPr>
                <w:rFonts w:hint="eastAsia" w:ascii="Times New Roman" w:hAnsi="Times New Roman" w:eastAsia="宋体" w:cs="Times New Roman"/>
                <w:bCs/>
                <w:snapToGrid/>
                <w:color w:val="000000" w:themeColor="text1"/>
                <w:spacing w:val="0"/>
                <w:kern w:val="2"/>
                <w:sz w:val="24"/>
                <w:szCs w:val="24"/>
                <w14:textFill>
                  <w14:solidFill>
                    <w14:schemeClr w14:val="tx1"/>
                  </w14:solidFill>
                </w14:textFill>
              </w:rPr>
              <w:t>采用设备自带收集系统收集后</w:t>
            </w:r>
            <w:r>
              <w:rPr>
                <w:rFonts w:hint="eastAsia" w:ascii="Times New Roman" w:hAnsi="Times New Roman" w:eastAsia="宋体" w:cs="Times New Roman"/>
                <w:bCs/>
                <w:snapToGrid/>
                <w:color w:val="000000" w:themeColor="text1"/>
                <w:spacing w:val="0"/>
                <w:kern w:val="2"/>
                <w:sz w:val="24"/>
                <w:szCs w:val="24"/>
                <w:lang w:eastAsia="zh-CN"/>
                <w14:textFill>
                  <w14:solidFill>
                    <w14:schemeClr w14:val="tx1"/>
                  </w14:solidFill>
                </w14:textFill>
              </w:rPr>
              <w:t>无组织排放；</w:t>
            </w:r>
            <w:r>
              <w:rPr>
                <w:rFonts w:hint="eastAsia" w:ascii="Times New Roman" w:hAnsi="Times New Roman" w:eastAsia="宋体" w:cs="Times New Roman"/>
                <w:bCs/>
                <w:color w:val="000000" w:themeColor="text1"/>
                <w:sz w:val="24"/>
                <w:szCs w:val="24"/>
                <w:lang w:eastAsia="zh-CN"/>
                <w14:textFill>
                  <w14:solidFill>
                    <w14:schemeClr w14:val="tx1"/>
                  </w14:solidFill>
                </w14:textFill>
              </w:rPr>
              <w:t>焊接</w:t>
            </w:r>
            <w:r>
              <w:rPr>
                <w:rFonts w:hint="eastAsia" w:ascii="Times New Roman" w:hAnsi="Times New Roman" w:eastAsia="宋体" w:cs="Times New Roman"/>
                <w:bCs/>
                <w:color w:val="000000" w:themeColor="text1"/>
                <w:sz w:val="24"/>
                <w:szCs w:val="24"/>
                <w14:textFill>
                  <w14:solidFill>
                    <w14:schemeClr w14:val="tx1"/>
                  </w14:solidFill>
                </w14:textFill>
              </w:rPr>
              <w:t>烟尘</w:t>
            </w:r>
            <w:r>
              <w:rPr>
                <w:rFonts w:hint="eastAsia" w:ascii="Times New Roman" w:hAnsi="Times New Roman" w:eastAsia="宋体" w:cs="Times New Roman"/>
                <w:bCs/>
                <w:color w:val="000000" w:themeColor="text1"/>
                <w:sz w:val="24"/>
                <w:szCs w:val="24"/>
                <w:lang w:eastAsia="zh-CN"/>
                <w14:textFill>
                  <w14:solidFill>
                    <w14:schemeClr w14:val="tx1"/>
                  </w14:solidFill>
                </w14:textFill>
              </w:rPr>
              <w:t>采用</w:t>
            </w:r>
            <w:r>
              <w:rPr>
                <w:rFonts w:hint="eastAsia" w:ascii="Times New Roman" w:hAnsi="Times New Roman" w:eastAsia="宋体" w:cs="Times New Roman"/>
                <w:bCs/>
                <w:color w:val="000000" w:themeColor="text1"/>
                <w:sz w:val="24"/>
                <w:szCs w:val="24"/>
                <w14:textFill>
                  <w14:solidFill>
                    <w14:schemeClr w14:val="tx1"/>
                  </w14:solidFill>
                </w14:textFill>
              </w:rPr>
              <w:t>移动式焊接净化器处理后</w:t>
            </w:r>
            <w:r>
              <w:rPr>
                <w:rFonts w:hint="eastAsia" w:ascii="Times New Roman" w:hAnsi="Times New Roman" w:eastAsia="宋体" w:cs="Times New Roman"/>
                <w:bCs/>
                <w:color w:val="000000" w:themeColor="text1"/>
                <w:sz w:val="24"/>
                <w:szCs w:val="24"/>
                <w:lang w:eastAsia="zh-CN"/>
                <w14:textFill>
                  <w14:solidFill>
                    <w14:schemeClr w14:val="tx1"/>
                  </w14:solidFill>
                </w14:textFill>
              </w:rPr>
              <w:t>无组织</w:t>
            </w:r>
            <w:r>
              <w:rPr>
                <w:rFonts w:hint="eastAsia" w:ascii="Times New Roman" w:hAnsi="Times New Roman" w:eastAsia="宋体" w:cs="Times New Roman"/>
                <w:bCs/>
                <w:color w:val="000000" w:themeColor="text1"/>
                <w:sz w:val="24"/>
                <w:szCs w:val="24"/>
                <w14:textFill>
                  <w14:solidFill>
                    <w14:schemeClr w14:val="tx1"/>
                  </w14:solidFill>
                </w14:textFill>
              </w:rPr>
              <w:t>排放</w:t>
            </w:r>
            <w:r>
              <w:rPr>
                <w:rFonts w:hint="eastAsia" w:cs="Times New Roman"/>
                <w:bCs/>
                <w:color w:val="000000" w:themeColor="text1"/>
                <w:sz w:val="24"/>
                <w:szCs w:val="24"/>
                <w:lang w:eastAsia="zh-CN"/>
                <w14:textFill>
                  <w14:solidFill>
                    <w14:schemeClr w14:val="tx1"/>
                  </w14:solidFill>
                </w14:textFill>
              </w:rPr>
              <w:t>。</w:t>
            </w:r>
          </w:p>
          <w:p w14:paraId="1E3E9969">
            <w:pPr>
              <w:adjustRightInd w:val="0"/>
              <w:snapToGrid w:val="0"/>
              <w:spacing w:line="360" w:lineRule="auto"/>
              <w:ind w:firstLine="480" w:firstLineChars="200"/>
              <w:rPr>
                <w:rFonts w:hint="eastAsia" w:cs="Times New Roman"/>
                <w:bCs/>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根据《淮北智威机械有限公司矿山机械生产项目竣工环境保护验收报告》，该项目生产工艺、规模、采取的污染防治措施与本项目类似，具备类比可行性。类比项目</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激光切割机</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切割颗粒物</w:t>
            </w:r>
            <w:r>
              <w:rPr>
                <w:rFonts w:hint="eastAsia" w:cs="Times New Roman"/>
                <w:color w:val="000000" w:themeColor="text1"/>
                <w:kern w:val="0"/>
                <w:sz w:val="24"/>
                <w:szCs w:val="24"/>
                <w:lang w:val="en-US" w:eastAsia="zh-CN" w:bidi="ar-SA"/>
                <w14:textFill>
                  <w14:solidFill>
                    <w14:schemeClr w14:val="tx1"/>
                  </w14:solidFill>
                </w14:textFill>
              </w:rPr>
              <w:t>产生量</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为1.1千克/吨-原料</w:t>
            </w:r>
            <w:r>
              <w:rPr>
                <w:rFonts w:hint="eastAsia"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焊接工序</w:t>
            </w:r>
            <w:r>
              <w:rPr>
                <w:rFonts w:hint="eastAsia" w:cs="Times New Roman"/>
                <w:color w:val="000000" w:themeColor="text1"/>
                <w:kern w:val="0"/>
                <w:sz w:val="24"/>
                <w:szCs w:val="24"/>
                <w:lang w:val="en-US" w:eastAsia="zh-CN" w:bidi="ar-SA"/>
                <w14:textFill>
                  <w14:solidFill>
                    <w14:schemeClr w14:val="tx1"/>
                  </w14:solidFill>
                </w14:textFill>
              </w:rPr>
              <w:t>产生量</w:t>
            </w:r>
            <w:r>
              <w:rPr>
                <w:rFonts w:hint="default" w:ascii="Times New Roman" w:hAnsi="Times New Roman" w:cs="Times New Roman"/>
                <w:color w:val="000000" w:themeColor="text1"/>
                <w:sz w:val="24"/>
                <w14:textFill>
                  <w14:solidFill>
                    <w14:schemeClr w14:val="tx1"/>
                  </w14:solidFill>
                </w14:textFill>
              </w:rPr>
              <w:t>为20.2千克/吨-原料</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现有</w:t>
            </w:r>
            <w:r>
              <w:rPr>
                <w:rFonts w:hint="default" w:ascii="Times New Roman" w:hAnsi="Times New Roman" w:cs="Times New Roman"/>
                <w:bCs/>
                <w:color w:val="000000" w:themeColor="text1"/>
                <w:sz w:val="24"/>
                <w14:textFill>
                  <w14:solidFill>
                    <w14:schemeClr w14:val="tx1"/>
                  </w14:solidFill>
                </w14:textFill>
              </w:rPr>
              <w:t>项目板材使用量为</w:t>
            </w:r>
            <w:r>
              <w:rPr>
                <w:rFonts w:hint="eastAsia" w:cs="Times New Roman"/>
                <w:bCs/>
                <w:color w:val="000000" w:themeColor="text1"/>
                <w:sz w:val="24"/>
                <w:highlight w:val="none"/>
                <w:lang w:val="en-US" w:eastAsia="zh-CN"/>
                <w14:textFill>
                  <w14:solidFill>
                    <w14:schemeClr w14:val="tx1"/>
                  </w14:solidFill>
                </w14:textFill>
              </w:rPr>
              <w:t>6900</w:t>
            </w:r>
            <w:r>
              <w:rPr>
                <w:rFonts w:hint="default" w:ascii="Times New Roman" w:hAnsi="Times New Roman" w:cs="Times New Roman"/>
                <w:bCs/>
                <w:color w:val="000000" w:themeColor="text1"/>
                <w:sz w:val="24"/>
                <w:highlight w:val="none"/>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因此</w:t>
            </w:r>
            <w:r>
              <w:rPr>
                <w:rFonts w:hint="eastAsia" w:cs="Times New Roman"/>
                <w:color w:val="000000" w:themeColor="text1"/>
                <w:sz w:val="24"/>
                <w:lang w:val="en-US" w:eastAsia="zh-CN"/>
                <w14:textFill>
                  <w14:solidFill>
                    <w14:schemeClr w14:val="tx1"/>
                  </w14:solidFill>
                </w14:textFill>
              </w:rPr>
              <w:t>激光切割工序颗粒物的产生量为7.59t/a。现有</w:t>
            </w:r>
            <w:r>
              <w:rPr>
                <w:rFonts w:hint="default" w:ascii="Times New Roman" w:hAnsi="Times New Roman" w:cs="Times New Roman"/>
                <w:color w:val="000000" w:themeColor="text1"/>
                <w:sz w:val="24"/>
                <w14:textFill>
                  <w14:solidFill>
                    <w14:schemeClr w14:val="tx1"/>
                  </w14:solidFill>
                </w14:textFill>
              </w:rPr>
              <w:t>项目焊丝使用量约为</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t/a，则焊接烟尘产生量约为0.0</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t/a，焊接烟尘经可移动式焊接烟尘净化器进行处理，收集效率为80%，去除效率为90%，则</w:t>
            </w:r>
            <w:r>
              <w:rPr>
                <w:rFonts w:hint="eastAsia" w:cs="Times New Roman"/>
                <w:color w:val="000000" w:themeColor="text1"/>
                <w:sz w:val="24"/>
                <w:lang w:val="en-US" w:eastAsia="zh-CN"/>
                <w14:textFill>
                  <w14:solidFill>
                    <w14:schemeClr w14:val="tx1"/>
                  </w14:solidFill>
                </w14:textFill>
              </w:rPr>
              <w:t>现有项目</w:t>
            </w:r>
            <w:r>
              <w:rPr>
                <w:rFonts w:hint="default" w:ascii="Times New Roman" w:hAnsi="Times New Roman" w:cs="Times New Roman"/>
                <w:color w:val="000000" w:themeColor="text1"/>
                <w:sz w:val="24"/>
                <w14:textFill>
                  <w14:solidFill>
                    <w14:schemeClr w14:val="tx1"/>
                  </w14:solidFill>
                </w14:textFill>
              </w:rPr>
              <w:t>焊接烟尘排放量为</w:t>
            </w:r>
            <w:r>
              <w:rPr>
                <w:rFonts w:hint="default" w:ascii="Times New Roman" w:hAnsi="Times New Roman" w:cs="Times New Roman"/>
                <w:color w:val="000000" w:themeColor="text1"/>
                <w:kern w:val="0"/>
                <w:sz w:val="24"/>
                <w:szCs w:val="20"/>
                <w14:textFill>
                  <w14:solidFill>
                    <w14:schemeClr w14:val="tx1"/>
                  </w14:solidFill>
                </w14:textFill>
              </w:rPr>
              <w:t>0.0112</w:t>
            </w:r>
            <w:r>
              <w:rPr>
                <w:rFonts w:hint="default" w:ascii="Times New Roman" w:hAnsi="Times New Roman" w:cs="Times New Roman"/>
                <w:color w:val="000000" w:themeColor="text1"/>
                <w:sz w:val="24"/>
                <w14:textFill>
                  <w14:solidFill>
                    <w14:schemeClr w14:val="tx1"/>
                  </w14:solidFill>
                </w14:textFill>
              </w:rPr>
              <w:t>t/a。</w:t>
            </w:r>
          </w:p>
          <w:p w14:paraId="6952EF7D">
            <w:pPr>
              <w:keepNext w:val="0"/>
              <w:keepLines w:val="0"/>
              <w:widowControl/>
              <w:suppressLineNumbers w:val="0"/>
              <w:spacing w:line="360" w:lineRule="auto"/>
              <w:ind w:firstLine="480" w:firstLineChars="200"/>
              <w:jc w:val="left"/>
              <w:rPr>
                <w:rFonts w:hint="eastAsia" w:cs="Times New Roman"/>
                <w:b w:val="0"/>
                <w:bCs/>
                <w:color w:val="auto"/>
                <w:sz w:val="24"/>
                <w:lang w:val="en-US" w:eastAsia="zh-CN"/>
              </w:rPr>
            </w:pPr>
            <w:r>
              <w:rPr>
                <w:rFonts w:hint="eastAsia" w:cs="Times New Roman"/>
                <w:b w:val="0"/>
                <w:bCs/>
                <w:color w:val="auto"/>
                <w:sz w:val="24"/>
                <w:lang w:val="en-US" w:eastAsia="zh-CN"/>
              </w:rPr>
              <w:t>（3）噪声：现有工程在生产过程中昼间噪声满足《工业企业厂界环境噪声排放标准》（GB12348-2008）3类标准要求。</w:t>
            </w:r>
          </w:p>
          <w:p w14:paraId="73DBB881">
            <w:pPr>
              <w:keepNext w:val="0"/>
              <w:keepLines w:val="0"/>
              <w:widowControl/>
              <w:suppressLineNumbers w:val="0"/>
              <w:spacing w:line="360" w:lineRule="auto"/>
              <w:ind w:firstLine="480" w:firstLineChars="200"/>
              <w:jc w:val="left"/>
              <w:rPr>
                <w:rFonts w:hint="eastAsia" w:cs="Times New Roman"/>
                <w:b w:val="0"/>
                <w:bCs/>
                <w:color w:val="auto"/>
                <w:sz w:val="24"/>
                <w:lang w:val="en-US" w:eastAsia="zh-CN"/>
              </w:rPr>
            </w:pPr>
            <w:r>
              <w:rPr>
                <w:rFonts w:hint="eastAsia" w:cs="Times New Roman"/>
                <w:b w:val="0"/>
                <w:bCs/>
                <w:color w:val="auto"/>
                <w:sz w:val="24"/>
                <w:lang w:val="en-US" w:eastAsia="zh-CN"/>
              </w:rPr>
              <w:t>（4）固体废物：现有工程生活垃圾、废手套棉纱由环卫部门统一处理；产生的废边角料、金属废料收集后外售综合利用；产生的废乳化液、废机油，暂存于危废暂存间，交有资质单位处理。</w:t>
            </w:r>
          </w:p>
          <w:p w14:paraId="22C19156">
            <w:pPr>
              <w:keepNext w:val="0"/>
              <w:keepLines w:val="0"/>
              <w:widowControl/>
              <w:suppressLineNumbers w:val="0"/>
              <w:spacing w:line="360" w:lineRule="auto"/>
              <w:ind w:firstLine="482" w:firstLineChars="200"/>
              <w:jc w:val="left"/>
              <w:rPr>
                <w:rFonts w:hint="eastAsia"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4</w:t>
            </w:r>
            <w:r>
              <w:rPr>
                <w:rFonts w:hint="eastAsia" w:ascii="Times New Roman" w:hAnsi="Times New Roman" w:eastAsia="宋体" w:cs="Times New Roman"/>
                <w:b/>
                <w:bCs w:val="0"/>
                <w:color w:val="auto"/>
                <w:sz w:val="24"/>
                <w:lang w:val="en-US" w:eastAsia="zh-CN"/>
              </w:rPr>
              <w:t>、现有</w:t>
            </w:r>
            <w:r>
              <w:rPr>
                <w:rFonts w:hint="eastAsia" w:cs="Times New Roman"/>
                <w:b/>
                <w:bCs w:val="0"/>
                <w:color w:val="auto"/>
                <w:sz w:val="24"/>
                <w:lang w:val="en-US" w:eastAsia="zh-CN"/>
              </w:rPr>
              <w:t>工程</w:t>
            </w:r>
            <w:r>
              <w:rPr>
                <w:rFonts w:hint="eastAsia" w:ascii="Times New Roman" w:hAnsi="Times New Roman" w:eastAsia="宋体" w:cs="Times New Roman"/>
                <w:b/>
                <w:bCs w:val="0"/>
                <w:color w:val="auto"/>
                <w:sz w:val="24"/>
                <w:lang w:val="en-US" w:eastAsia="zh-CN"/>
              </w:rPr>
              <w:t>存在的主要环保问题及整改要求</w:t>
            </w:r>
          </w:p>
          <w:p w14:paraId="147A7BD2">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（1）</w:t>
            </w:r>
            <w:r>
              <w:rPr>
                <w:rFonts w:hint="eastAsia" w:cs="Times New Roman"/>
                <w:b w:val="0"/>
                <w:bCs/>
                <w:color w:val="auto"/>
                <w:sz w:val="24"/>
                <w:lang w:val="en-US" w:eastAsia="zh-CN"/>
              </w:rPr>
              <w:t>激光切割无组织排放不满足管理要求。</w:t>
            </w:r>
          </w:p>
          <w:p w14:paraId="0755D0A7">
            <w:pPr>
              <w:keepNext w:val="0"/>
              <w:keepLines w:val="0"/>
              <w:widowControl/>
              <w:suppressLineNumbers w:val="0"/>
              <w:spacing w:line="360" w:lineRule="auto"/>
              <w:ind w:firstLine="480" w:firstLineChars="200"/>
              <w:jc w:val="left"/>
              <w:rPr>
                <w:rFonts w:hint="eastAsia"/>
                <w:color w:val="auto"/>
                <w:sz w:val="24"/>
                <w:lang w:val="en-US" w:eastAsia="zh-CN"/>
              </w:rPr>
            </w:pPr>
            <w:r>
              <w:rPr>
                <w:rFonts w:hint="eastAsia"/>
                <w:color w:val="auto"/>
                <w:sz w:val="24"/>
                <w:lang w:val="en-US" w:eastAsia="zh-CN"/>
              </w:rPr>
              <w:t>整改措施及要求：</w:t>
            </w:r>
          </w:p>
          <w:p w14:paraId="6E2C2882">
            <w:pPr>
              <w:keepNext w:val="0"/>
              <w:keepLines w:val="0"/>
              <w:widowControl/>
              <w:suppressLineNumbers w:val="0"/>
              <w:spacing w:line="360" w:lineRule="auto"/>
              <w:ind w:firstLine="480" w:firstLineChars="200"/>
              <w:jc w:val="left"/>
              <w:rPr>
                <w:rFonts w:hint="default"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（1）</w:t>
            </w:r>
            <w:r>
              <w:rPr>
                <w:rFonts w:hint="eastAsia" w:cs="Times New Roman"/>
                <w:b w:val="0"/>
                <w:bCs/>
                <w:color w:val="auto"/>
                <w:sz w:val="24"/>
                <w:lang w:val="en-US" w:eastAsia="zh-CN"/>
              </w:rPr>
              <w:t>项目建成后激光切割产生的</w:t>
            </w:r>
            <w:r>
              <w:rPr>
                <w:rFonts w:hint="eastAsia" w:ascii="Times New Roman" w:hAnsi="Times New Roman" w:eastAsia="宋体" w:cs="Times New Roman"/>
                <w:b w:val="0"/>
                <w:bCs/>
                <w:color w:val="auto"/>
                <w:sz w:val="24"/>
                <w:lang w:val="en-US" w:eastAsia="zh-CN"/>
              </w:rPr>
              <w:t>颗粒物</w:t>
            </w:r>
            <w:r>
              <w:rPr>
                <w:rFonts w:hint="eastAsia" w:cs="Times New Roman"/>
                <w:b w:val="0"/>
                <w:bCs/>
                <w:color w:val="auto"/>
                <w:sz w:val="24"/>
                <w:lang w:val="en-US" w:eastAsia="zh-CN"/>
              </w:rPr>
              <w:t>统一</w:t>
            </w:r>
            <w:r>
              <w:rPr>
                <w:rFonts w:hint="eastAsia" w:ascii="Times New Roman" w:hAnsi="Times New Roman" w:eastAsia="宋体" w:cs="Times New Roman"/>
                <w:bCs/>
                <w:snapToGrid/>
                <w:color w:val="auto"/>
                <w:spacing w:val="0"/>
                <w:kern w:val="2"/>
                <w:sz w:val="24"/>
                <w:szCs w:val="24"/>
              </w:rPr>
              <w:t>采用设备自带收集系统收集后通过滤筒除尘器</w:t>
            </w:r>
            <w:r>
              <w:rPr>
                <w:rFonts w:hint="eastAsia" w:ascii="Times New Roman" w:hAnsi="Times New Roman" w:eastAsia="宋体" w:cs="Times New Roman"/>
                <w:bCs/>
                <w:snapToGrid/>
                <w:color w:val="auto"/>
                <w:spacing w:val="0"/>
                <w:kern w:val="2"/>
                <w:sz w:val="24"/>
                <w:szCs w:val="24"/>
                <w:lang w:eastAsia="zh-CN"/>
              </w:rPr>
              <w:t>（</w:t>
            </w:r>
            <w:r>
              <w:rPr>
                <w:rFonts w:hint="eastAsia" w:ascii="Times New Roman" w:hAnsi="Times New Roman" w:eastAsia="宋体" w:cs="Times New Roman"/>
                <w:bCs/>
                <w:snapToGrid/>
                <w:color w:val="auto"/>
                <w:spacing w:val="0"/>
                <w:kern w:val="2"/>
                <w:sz w:val="24"/>
                <w:szCs w:val="24"/>
                <w:lang w:val="en-US" w:eastAsia="zh-CN"/>
              </w:rPr>
              <w:t>TA001</w:t>
            </w:r>
            <w:r>
              <w:rPr>
                <w:rFonts w:hint="eastAsia" w:ascii="Times New Roman" w:hAnsi="Times New Roman" w:eastAsia="宋体" w:cs="Times New Roman"/>
                <w:bCs/>
                <w:snapToGrid/>
                <w:color w:val="auto"/>
                <w:spacing w:val="0"/>
                <w:kern w:val="2"/>
                <w:sz w:val="24"/>
                <w:szCs w:val="24"/>
                <w:lang w:eastAsia="zh-CN"/>
              </w:rPr>
              <w:t>）</w:t>
            </w:r>
            <w:r>
              <w:rPr>
                <w:rFonts w:hint="eastAsia" w:ascii="Times New Roman" w:hAnsi="Times New Roman" w:eastAsia="宋体" w:cs="Times New Roman"/>
                <w:bCs/>
                <w:snapToGrid/>
                <w:color w:val="auto"/>
                <w:spacing w:val="0"/>
                <w:kern w:val="2"/>
                <w:sz w:val="24"/>
                <w:szCs w:val="24"/>
              </w:rPr>
              <w:t>处理</w:t>
            </w:r>
            <w:r>
              <w:rPr>
                <w:rFonts w:hint="eastAsia" w:ascii="Times New Roman" w:hAnsi="Times New Roman" w:eastAsia="宋体" w:cs="Times New Roman"/>
                <w:bCs/>
                <w:snapToGrid/>
                <w:color w:val="auto"/>
                <w:spacing w:val="0"/>
                <w:kern w:val="2"/>
                <w:sz w:val="24"/>
                <w:szCs w:val="24"/>
                <w:lang w:eastAsia="zh-CN"/>
              </w:rPr>
              <w:t>后</w:t>
            </w:r>
            <w:r>
              <w:rPr>
                <w:rFonts w:hint="eastAsia" w:ascii="Times New Roman" w:hAnsi="Times New Roman" w:eastAsia="宋体" w:cs="Times New Roman"/>
                <w:bCs/>
                <w:color w:val="auto"/>
                <w:sz w:val="24"/>
                <w:szCs w:val="24"/>
              </w:rPr>
              <w:t>+20米高排气筒DA00</w:t>
            </w:r>
            <w:r>
              <w:rPr>
                <w:rFonts w:hint="eastAsia" w:ascii="Times New Roman" w:hAnsi="Times New Roman" w:eastAsia="宋体" w:cs="Times New Roman"/>
                <w:bCs/>
                <w:color w:val="auto"/>
                <w:sz w:val="24"/>
                <w:szCs w:val="24"/>
                <w:lang w:val="en-US" w:eastAsia="zh-CN"/>
              </w:rPr>
              <w:t>1。</w:t>
            </w:r>
          </w:p>
        </w:tc>
      </w:tr>
    </w:tbl>
    <w:p w14:paraId="48B7399C">
      <w:pPr>
        <w:pStyle w:val="25"/>
        <w:jc w:val="center"/>
        <w:rPr>
          <w:rFonts w:ascii="黑体" w:hAnsi="黑体" w:eastAsia="黑体"/>
          <w:snapToGrid w:val="0"/>
          <w:color w:val="auto"/>
          <w:sz w:val="36"/>
          <w:szCs w:val="36"/>
        </w:rPr>
        <w:sectPr>
          <w:footerReference r:id="rId9" w:type="default"/>
          <w:pgSz w:w="11906" w:h="16838"/>
          <w:pgMar w:top="1701" w:right="1531" w:bottom="1134" w:left="1531" w:header="851" w:footer="851" w:gutter="0"/>
          <w:pgBorders>
            <w:top w:val="none" w:sz="0" w:space="0"/>
            <w:left w:val="none" w:sz="0" w:space="0"/>
            <w:bottom w:val="none" w:sz="0" w:space="0"/>
            <w:right w:val="none" w:sz="0" w:space="0"/>
          </w:pgBorders>
          <w:cols w:space="720" w:num="1"/>
          <w:docGrid w:linePitch="312" w:charSpace="0"/>
        </w:sectPr>
      </w:pPr>
    </w:p>
    <w:p w14:paraId="32A1BEBF">
      <w:pPr>
        <w:pStyle w:val="25"/>
        <w:jc w:val="center"/>
        <w:outlineLvl w:val="0"/>
        <w:rPr>
          <w:rFonts w:ascii="黑体" w:hAnsi="黑体" w:eastAsia="黑体"/>
          <w:snapToGrid w:val="0"/>
          <w:color w:val="auto"/>
          <w:sz w:val="30"/>
          <w:szCs w:val="30"/>
        </w:rPr>
      </w:pPr>
      <w:bookmarkStart w:id="38" w:name="_GoBack"/>
      <w:bookmarkEnd w:id="38"/>
      <w:r>
        <w:rPr>
          <w:rFonts w:hint="eastAsia" w:ascii="黑体" w:hAnsi="黑体" w:eastAsia="黑体"/>
          <w:snapToGrid w:val="0"/>
          <w:color w:val="auto"/>
          <w:sz w:val="30"/>
          <w:szCs w:val="30"/>
        </w:rPr>
        <w:t>三、区域环境质量现状、环境保护目标及评价标准</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76"/>
      </w:tblGrid>
      <w:tr w14:paraId="3A86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1" w:hRule="atLeast"/>
          <w:jc w:val="center"/>
        </w:trPr>
        <w:tc>
          <w:tcPr>
            <w:tcW w:w="800" w:type="dxa"/>
            <w:vAlign w:val="center"/>
          </w:tcPr>
          <w:p w14:paraId="71044285">
            <w:pPr>
              <w:adjustRightInd w:val="0"/>
              <w:snapToGrid w:val="0"/>
              <w:jc w:val="center"/>
              <w:rPr>
                <w:rFonts w:ascii="宋体" w:hAnsi="宋体" w:cs="宋体"/>
                <w:color w:val="auto"/>
                <w:kern w:val="0"/>
                <w:szCs w:val="21"/>
              </w:rPr>
            </w:pPr>
            <w:r>
              <w:rPr>
                <w:rFonts w:hint="eastAsia" w:ascii="宋体" w:hAnsi="宋体" w:cs="宋体"/>
                <w:color w:val="auto"/>
                <w:kern w:val="0"/>
                <w:szCs w:val="21"/>
              </w:rPr>
              <w:t>区域</w:t>
            </w:r>
          </w:p>
          <w:p w14:paraId="758F2049">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14:paraId="21493853">
            <w:pPr>
              <w:adjustRightInd w:val="0"/>
              <w:snapToGrid w:val="0"/>
              <w:jc w:val="center"/>
              <w:rPr>
                <w:rFonts w:ascii="宋体" w:hAnsi="宋体" w:cs="宋体"/>
                <w:color w:val="auto"/>
                <w:kern w:val="0"/>
                <w:szCs w:val="21"/>
              </w:rPr>
            </w:pPr>
            <w:r>
              <w:rPr>
                <w:rFonts w:hint="eastAsia" w:ascii="宋体" w:hAnsi="宋体" w:cs="宋体"/>
                <w:color w:val="auto"/>
                <w:kern w:val="0"/>
                <w:szCs w:val="21"/>
              </w:rPr>
              <w:t>质量</w:t>
            </w:r>
          </w:p>
          <w:p w14:paraId="6C0F9F0C">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190" w:type="dxa"/>
            <w:vAlign w:val="center"/>
          </w:tcPr>
          <w:p w14:paraId="5A5EED73">
            <w:pPr>
              <w:keepNext w:val="0"/>
              <w:keepLines w:val="0"/>
              <w:pageBreakBefore w:val="0"/>
              <w:widowControl w:val="0"/>
              <w:shd w:val="clear"/>
              <w:kinsoku/>
              <w:wordWrap/>
              <w:overflowPunct/>
              <w:topLinePunct w:val="0"/>
              <w:autoSpaceDE/>
              <w:autoSpaceDN/>
              <w:bidi w:val="0"/>
              <w:adjustRightInd/>
              <w:snapToGrid/>
              <w:spacing w:before="313" w:beforeLines="100" w:line="360" w:lineRule="auto"/>
              <w:ind w:firstLine="480" w:firstLineChars="200"/>
              <w:textAlignment w:val="auto"/>
              <w:rPr>
                <w:color w:val="auto"/>
                <w:sz w:val="24"/>
              </w:rPr>
            </w:pPr>
            <w:r>
              <w:rPr>
                <w:color w:val="auto"/>
                <w:sz w:val="24"/>
              </w:rPr>
              <w:t>根据《</w:t>
            </w:r>
            <w:r>
              <w:rPr>
                <w:rFonts w:hint="eastAsia"/>
                <w:color w:val="auto"/>
                <w:sz w:val="24"/>
              </w:rPr>
              <w:t>建设项目环境影响报告表编制技术指南</w:t>
            </w:r>
            <w:r>
              <w:rPr>
                <w:color w:val="auto"/>
                <w:sz w:val="24"/>
              </w:rPr>
              <w:t>》</w:t>
            </w:r>
            <w:r>
              <w:rPr>
                <w:rFonts w:hint="eastAsia"/>
                <w:color w:val="auto"/>
                <w:sz w:val="24"/>
              </w:rPr>
              <w:t>中要求：大气环境，常规污染物引用与建设项目距离近的有效数据，包括近3年的规划环境影响评价的监测数据，国家、地方环境空气质量监测网数据或生态环境部门公开发布的质量数据等。</w:t>
            </w:r>
            <w:r>
              <w:rPr>
                <w:rFonts w:ascii="宋体" w:hAnsi="宋体" w:eastAsia="宋体" w:cs="宋体"/>
                <w:b w:val="0"/>
                <w:bCs w:val="0"/>
                <w:color w:val="000000"/>
                <w:sz w:val="24"/>
                <w:szCs w:val="24"/>
              </w:rPr>
              <w:t>本项目引用淮北市</w:t>
            </w:r>
            <w:r>
              <w:rPr>
                <w:rFonts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年度环境公报，进行本项目的环境质量现状评价。</w:t>
            </w:r>
          </w:p>
          <w:p w14:paraId="7B9BFD8E">
            <w:pPr>
              <w:shd w:val="clear"/>
              <w:spacing w:line="360" w:lineRule="auto"/>
              <w:ind w:firstLine="482" w:firstLineChars="200"/>
              <w:rPr>
                <w:b/>
                <w:bCs/>
                <w:color w:val="auto"/>
                <w:sz w:val="24"/>
              </w:rPr>
            </w:pPr>
            <w:r>
              <w:rPr>
                <w:b/>
                <w:bCs/>
                <w:color w:val="auto"/>
                <w:sz w:val="24"/>
              </w:rPr>
              <w:t>一、城市空气环境质量</w:t>
            </w:r>
          </w:p>
          <w:p w14:paraId="3F602921">
            <w:pPr>
              <w:shd w:val="clear"/>
              <w:spacing w:line="360" w:lineRule="auto"/>
              <w:ind w:firstLine="482" w:firstLineChars="200"/>
              <w:rPr>
                <w:rFonts w:hint="eastAsia"/>
                <w:b/>
                <w:bCs/>
                <w:color w:val="auto"/>
                <w:sz w:val="24"/>
              </w:rPr>
            </w:pPr>
            <w:r>
              <w:rPr>
                <w:rFonts w:hint="eastAsia"/>
                <w:b/>
                <w:bCs/>
                <w:color w:val="auto"/>
                <w:sz w:val="24"/>
                <w:lang w:val="en-US" w:eastAsia="zh-CN"/>
              </w:rPr>
              <w:t>1</w:t>
            </w:r>
            <w:r>
              <w:rPr>
                <w:rFonts w:hint="eastAsia"/>
                <w:b/>
                <w:bCs/>
                <w:color w:val="auto"/>
                <w:sz w:val="24"/>
              </w:rPr>
              <w:t>、</w:t>
            </w:r>
            <w:r>
              <w:rPr>
                <w:b/>
                <w:bCs/>
                <w:color w:val="auto"/>
                <w:sz w:val="24"/>
              </w:rPr>
              <w:t>基本污染物环境质量现状评价</w:t>
            </w:r>
          </w:p>
          <w:p w14:paraId="1311DC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b w:val="0"/>
                <w:bCs w:val="0"/>
                <w:color w:val="000000"/>
                <w:sz w:val="24"/>
                <w:szCs w:val="24"/>
              </w:rPr>
            </w:pPr>
            <w:r>
              <w:rPr>
                <w:rFonts w:ascii="宋体" w:hAnsi="宋体" w:eastAsia="宋体" w:cs="宋体"/>
                <w:b w:val="0"/>
                <w:bCs w:val="0"/>
                <w:color w:val="000000"/>
                <w:sz w:val="24"/>
                <w:szCs w:val="24"/>
              </w:rPr>
              <w:t>本项目根据《</w:t>
            </w:r>
            <w:r>
              <w:rPr>
                <w:rFonts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年度淮北市生态环境状况公报》中监测数据进行评价， 基本污染物环境质量现状评价见表</w:t>
            </w:r>
            <w:r>
              <w:rPr>
                <w:rFonts w:hint="default" w:ascii="TimesNewRomanPSMT" w:hAnsi="TimesNewRomanPSMT" w:eastAsia="TimesNewRomanPSMT" w:cs="TimesNewRomanPSMT"/>
                <w:b w:val="0"/>
                <w:bCs w:val="0"/>
                <w:color w:val="000000"/>
                <w:sz w:val="24"/>
                <w:szCs w:val="24"/>
              </w:rPr>
              <w:t>3-1</w:t>
            </w:r>
            <w:r>
              <w:rPr>
                <w:rFonts w:ascii="宋体" w:hAnsi="宋体" w:eastAsia="宋体" w:cs="宋体"/>
                <w:b w:val="0"/>
                <w:bCs w:val="0"/>
                <w:color w:val="000000"/>
                <w:sz w:val="24"/>
                <w:szCs w:val="24"/>
              </w:rPr>
              <w:t>。</w:t>
            </w:r>
          </w:p>
          <w:p w14:paraId="693A8B6B">
            <w:pPr>
              <w:shd w:val="clear"/>
              <w:spacing w:line="240" w:lineRule="auto"/>
              <w:jc w:val="center"/>
              <w:rPr>
                <w:rFonts w:hint="default" w:ascii="Times New Roman" w:hAnsi="Times New Roman" w:eastAsia="宋体" w:cs="Times New Roman"/>
                <w:b/>
                <w:bCs/>
                <w:color w:val="auto"/>
                <w:sz w:val="24"/>
                <w:szCs w:val="24"/>
                <w:highlight w:val="none"/>
                <w:shd w:val="clear" w:color="auto" w:fill="FFFFFF"/>
              </w:rPr>
            </w:pPr>
            <w:r>
              <w:rPr>
                <w:rFonts w:hint="default" w:ascii="Times New Roman" w:hAnsi="Times New Roman" w:eastAsia="宋体" w:cs="Times New Roman"/>
                <w:b/>
                <w:bCs/>
                <w:color w:val="auto"/>
                <w:sz w:val="24"/>
                <w:szCs w:val="24"/>
                <w:highlight w:val="none"/>
              </w:rPr>
              <w:t xml:space="preserve">表3-1 </w:t>
            </w:r>
            <w:r>
              <w:rPr>
                <w:rFonts w:hint="default" w:ascii="Times New Roman" w:hAnsi="Times New Roman" w:eastAsia="宋体" w:cs="Times New Roman"/>
                <w:b/>
                <w:bCs/>
                <w:color w:val="auto"/>
                <w:sz w:val="24"/>
                <w:szCs w:val="24"/>
                <w:highlight w:val="none"/>
                <w:shd w:val="clear" w:color="auto" w:fill="FFFFFF"/>
              </w:rPr>
              <w:t>基本污染物环境质量现状</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2808"/>
              <w:gridCol w:w="1158"/>
              <w:gridCol w:w="1185"/>
              <w:gridCol w:w="1092"/>
              <w:gridCol w:w="1092"/>
            </w:tblGrid>
            <w:tr w14:paraId="3BF0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restart"/>
                  <w:noWrap w:val="0"/>
                  <w:vAlign w:val="center"/>
                </w:tcPr>
                <w:p w14:paraId="02F07660">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污染物</w:t>
                  </w:r>
                </w:p>
              </w:tc>
              <w:tc>
                <w:tcPr>
                  <w:tcW w:w="1722" w:type="pct"/>
                  <w:vMerge w:val="restart"/>
                  <w:noWrap w:val="0"/>
                  <w:vAlign w:val="center"/>
                </w:tcPr>
                <w:p w14:paraId="137D144B">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年评价指标</w:t>
                  </w:r>
                </w:p>
              </w:tc>
              <w:tc>
                <w:tcPr>
                  <w:tcW w:w="710" w:type="pct"/>
                  <w:vMerge w:val="restart"/>
                  <w:noWrap w:val="0"/>
                  <w:vAlign w:val="center"/>
                </w:tcPr>
                <w:p w14:paraId="661EA3E2">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现状浓度/（μg/m³）</w:t>
                  </w:r>
                </w:p>
              </w:tc>
              <w:tc>
                <w:tcPr>
                  <w:tcW w:w="727" w:type="pct"/>
                  <w:vMerge w:val="restart"/>
                  <w:noWrap w:val="0"/>
                  <w:vAlign w:val="center"/>
                </w:tcPr>
                <w:p w14:paraId="3B312242">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标准值</w:t>
                  </w:r>
                </w:p>
                <w:p w14:paraId="20A7DDED">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（μg/m³）</w:t>
                  </w:r>
                </w:p>
              </w:tc>
              <w:tc>
                <w:tcPr>
                  <w:tcW w:w="1340" w:type="pct"/>
                  <w:gridSpan w:val="2"/>
                  <w:noWrap w:val="0"/>
                  <w:vAlign w:val="center"/>
                </w:tcPr>
                <w:p w14:paraId="58F44273">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达标情况</w:t>
                  </w:r>
                </w:p>
              </w:tc>
            </w:tr>
            <w:tr w14:paraId="5AC7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continue"/>
                  <w:noWrap w:val="0"/>
                  <w:vAlign w:val="center"/>
                </w:tcPr>
                <w:p w14:paraId="1F8AEB50">
                  <w:pPr>
                    <w:widowControl w:val="0"/>
                    <w:shd w:val="clear"/>
                    <w:tabs>
                      <w:tab w:val="left" w:pos="893"/>
                    </w:tabs>
                    <w:adjustRightInd w:val="0"/>
                    <w:snapToGrid w:val="0"/>
                    <w:spacing w:before="60" w:beforeLines="0" w:after="100" w:afterLines="0" w:line="240" w:lineRule="auto"/>
                    <w:ind w:left="0" w:firstLine="0" w:firstLineChars="0"/>
                    <w:jc w:val="center"/>
                  </w:pPr>
                </w:p>
              </w:tc>
              <w:tc>
                <w:tcPr>
                  <w:tcW w:w="1722" w:type="pct"/>
                  <w:vMerge w:val="continue"/>
                  <w:noWrap w:val="0"/>
                  <w:vAlign w:val="center"/>
                </w:tcPr>
                <w:p w14:paraId="0278533D">
                  <w:pPr>
                    <w:widowControl w:val="0"/>
                    <w:shd w:val="clear"/>
                    <w:tabs>
                      <w:tab w:val="left" w:pos="893"/>
                    </w:tabs>
                    <w:adjustRightInd w:val="0"/>
                    <w:snapToGrid w:val="0"/>
                    <w:spacing w:before="60" w:beforeLines="0" w:after="100" w:afterLines="0" w:line="240" w:lineRule="auto"/>
                    <w:ind w:left="0" w:firstLine="0" w:firstLineChars="0"/>
                    <w:jc w:val="center"/>
                  </w:pPr>
                </w:p>
              </w:tc>
              <w:tc>
                <w:tcPr>
                  <w:tcW w:w="710" w:type="pct"/>
                  <w:vMerge w:val="continue"/>
                  <w:noWrap w:val="0"/>
                  <w:vAlign w:val="center"/>
                </w:tcPr>
                <w:p w14:paraId="46A98FD1">
                  <w:pPr>
                    <w:widowControl w:val="0"/>
                    <w:shd w:val="clear"/>
                    <w:tabs>
                      <w:tab w:val="left" w:pos="893"/>
                    </w:tabs>
                    <w:adjustRightInd w:val="0"/>
                    <w:snapToGrid w:val="0"/>
                    <w:spacing w:before="60" w:beforeLines="0" w:after="100" w:afterLines="0" w:line="240" w:lineRule="auto"/>
                    <w:ind w:left="0" w:firstLine="0" w:firstLineChars="0"/>
                    <w:jc w:val="center"/>
                  </w:pPr>
                </w:p>
              </w:tc>
              <w:tc>
                <w:tcPr>
                  <w:tcW w:w="727" w:type="pct"/>
                  <w:vMerge w:val="continue"/>
                  <w:noWrap w:val="0"/>
                  <w:vAlign w:val="center"/>
                </w:tcPr>
                <w:p w14:paraId="7AD5C1A6">
                  <w:pPr>
                    <w:widowControl w:val="0"/>
                    <w:shd w:val="clear"/>
                    <w:tabs>
                      <w:tab w:val="left" w:pos="893"/>
                    </w:tabs>
                    <w:adjustRightInd w:val="0"/>
                    <w:snapToGrid w:val="0"/>
                    <w:spacing w:before="60" w:beforeLines="0" w:after="100" w:afterLines="0" w:line="240" w:lineRule="auto"/>
                    <w:ind w:left="0" w:firstLine="0" w:firstLineChars="0"/>
                    <w:jc w:val="center"/>
                  </w:pPr>
                </w:p>
              </w:tc>
              <w:tc>
                <w:tcPr>
                  <w:tcW w:w="670" w:type="pct"/>
                  <w:noWrap w:val="0"/>
                  <w:vAlign w:val="center"/>
                </w:tcPr>
                <w:p w14:paraId="1FAEFD57">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分项</w:t>
                  </w:r>
                </w:p>
              </w:tc>
              <w:tc>
                <w:tcPr>
                  <w:tcW w:w="670" w:type="pct"/>
                  <w:noWrap w:val="0"/>
                  <w:vAlign w:val="center"/>
                </w:tcPr>
                <w:p w14:paraId="1BF95660">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总体</w:t>
                  </w:r>
                </w:p>
              </w:tc>
            </w:tr>
            <w:tr w14:paraId="60CA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8" w:type="pct"/>
                  <w:noWrap w:val="0"/>
                  <w:vAlign w:val="center"/>
                </w:tcPr>
                <w:p w14:paraId="62418655">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PM</w:t>
                  </w:r>
                  <w:r>
                    <w:rPr>
                      <w:rFonts w:hint="eastAsia" w:cs="Times New Roman"/>
                      <w:color w:val="auto"/>
                      <w:kern w:val="0"/>
                      <w:sz w:val="21"/>
                      <w:szCs w:val="21"/>
                      <w:highlight w:val="none"/>
                      <w:vertAlign w:val="subscript"/>
                      <w:lang w:val="en-US" w:eastAsia="zh-CN" w:bidi="ar-SA"/>
                    </w:rPr>
                    <w:t>2.5</w:t>
                  </w:r>
                </w:p>
              </w:tc>
              <w:tc>
                <w:tcPr>
                  <w:tcW w:w="1722" w:type="pct"/>
                  <w:noWrap w:val="0"/>
                  <w:vAlign w:val="center"/>
                </w:tcPr>
                <w:p w14:paraId="62CBDE24">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年平均浓度</w:t>
                  </w:r>
                </w:p>
              </w:tc>
              <w:tc>
                <w:tcPr>
                  <w:tcW w:w="710" w:type="pct"/>
                  <w:noWrap w:val="0"/>
                  <w:vAlign w:val="center"/>
                </w:tcPr>
                <w:p w14:paraId="3BED721F">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42</w:t>
                  </w:r>
                </w:p>
              </w:tc>
              <w:tc>
                <w:tcPr>
                  <w:tcW w:w="727" w:type="pct"/>
                  <w:noWrap w:val="0"/>
                  <w:vAlign w:val="center"/>
                </w:tcPr>
                <w:p w14:paraId="4592C2F4">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35</w:t>
                  </w:r>
                </w:p>
              </w:tc>
              <w:tc>
                <w:tcPr>
                  <w:tcW w:w="670" w:type="pct"/>
                  <w:noWrap w:val="0"/>
                  <w:vAlign w:val="center"/>
                </w:tcPr>
                <w:p w14:paraId="753581A2">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超标</w:t>
                  </w:r>
                </w:p>
              </w:tc>
              <w:tc>
                <w:tcPr>
                  <w:tcW w:w="670" w:type="pct"/>
                  <w:vMerge w:val="restart"/>
                  <w:noWrap w:val="0"/>
                  <w:vAlign w:val="center"/>
                </w:tcPr>
                <w:p w14:paraId="189DA6AD">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不达标</w:t>
                  </w:r>
                </w:p>
              </w:tc>
            </w:tr>
            <w:tr w14:paraId="2CC1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8" w:type="pct"/>
                  <w:noWrap w:val="0"/>
                  <w:vAlign w:val="center"/>
                </w:tcPr>
                <w:p w14:paraId="3F12249E">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PM</w:t>
                  </w:r>
                  <w:r>
                    <w:rPr>
                      <w:rFonts w:hint="default" w:ascii="Times New Roman" w:hAnsi="Times New Roman" w:eastAsia="宋体" w:cs="Times New Roman"/>
                      <w:color w:val="auto"/>
                      <w:kern w:val="0"/>
                      <w:sz w:val="21"/>
                      <w:szCs w:val="21"/>
                      <w:highlight w:val="none"/>
                      <w:vertAlign w:val="subscript"/>
                      <w:lang w:val="en-US" w:eastAsia="zh-CN" w:bidi="ar-SA"/>
                    </w:rPr>
                    <w:t>10</w:t>
                  </w:r>
                </w:p>
              </w:tc>
              <w:tc>
                <w:tcPr>
                  <w:tcW w:w="1722" w:type="pct"/>
                  <w:noWrap w:val="0"/>
                  <w:vAlign w:val="center"/>
                </w:tcPr>
                <w:p w14:paraId="1854873F">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年平均浓度</w:t>
                  </w:r>
                </w:p>
              </w:tc>
              <w:tc>
                <w:tcPr>
                  <w:tcW w:w="710" w:type="pct"/>
                  <w:noWrap w:val="0"/>
                  <w:vAlign w:val="center"/>
                </w:tcPr>
                <w:p w14:paraId="669A51E0">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70</w:t>
                  </w:r>
                </w:p>
              </w:tc>
              <w:tc>
                <w:tcPr>
                  <w:tcW w:w="727" w:type="pct"/>
                  <w:noWrap w:val="0"/>
                  <w:vAlign w:val="center"/>
                </w:tcPr>
                <w:p w14:paraId="2A9D945A">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70</w:t>
                  </w:r>
                </w:p>
              </w:tc>
              <w:tc>
                <w:tcPr>
                  <w:tcW w:w="670" w:type="pct"/>
                  <w:noWrap w:val="0"/>
                  <w:vAlign w:val="center"/>
                </w:tcPr>
                <w:p w14:paraId="43DB7FEC">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达标</w:t>
                  </w:r>
                </w:p>
              </w:tc>
              <w:tc>
                <w:tcPr>
                  <w:tcW w:w="670" w:type="pct"/>
                  <w:vMerge w:val="continue"/>
                  <w:noWrap w:val="0"/>
                  <w:vAlign w:val="center"/>
                </w:tcPr>
                <w:p w14:paraId="79904002">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022B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8" w:type="pct"/>
                  <w:noWrap w:val="0"/>
                  <w:vAlign w:val="center"/>
                </w:tcPr>
                <w:p w14:paraId="78D4E598">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ascii="TimesNewRomanPSMT" w:hAnsi="TimesNewRomanPSMT" w:eastAsia="TimesNewRomanPSMT" w:cs="TimesNewRomanPSMT"/>
                      <w:b w:val="0"/>
                      <w:bCs w:val="0"/>
                      <w:color w:val="000000"/>
                      <w:sz w:val="20"/>
                      <w:szCs w:val="20"/>
                    </w:rPr>
                    <w:t>SO</w:t>
                  </w:r>
                  <w:r>
                    <w:rPr>
                      <w:rFonts w:hint="default" w:ascii="TimesNewRomanPSMT" w:hAnsi="TimesNewRomanPSMT" w:eastAsia="TimesNewRomanPSMT" w:cs="TimesNewRomanPSMT"/>
                      <w:b w:val="0"/>
                      <w:bCs w:val="0"/>
                      <w:color w:val="000000"/>
                      <w:sz w:val="13"/>
                      <w:szCs w:val="13"/>
                    </w:rPr>
                    <w:t>2</w:t>
                  </w:r>
                </w:p>
              </w:tc>
              <w:tc>
                <w:tcPr>
                  <w:tcW w:w="1722" w:type="pct"/>
                  <w:noWrap w:val="0"/>
                  <w:vAlign w:val="center"/>
                </w:tcPr>
                <w:p w14:paraId="25DB0189">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年平均浓度</w:t>
                  </w:r>
                </w:p>
              </w:tc>
              <w:tc>
                <w:tcPr>
                  <w:tcW w:w="710" w:type="pct"/>
                  <w:noWrap w:val="0"/>
                  <w:vAlign w:val="center"/>
                </w:tcPr>
                <w:p w14:paraId="23DAA0E3">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w:t>
                  </w:r>
                </w:p>
              </w:tc>
              <w:tc>
                <w:tcPr>
                  <w:tcW w:w="727" w:type="pct"/>
                  <w:noWrap w:val="0"/>
                  <w:vAlign w:val="center"/>
                </w:tcPr>
                <w:p w14:paraId="2B70DF2C">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60</w:t>
                  </w:r>
                </w:p>
              </w:tc>
              <w:tc>
                <w:tcPr>
                  <w:tcW w:w="670" w:type="pct"/>
                  <w:noWrap w:val="0"/>
                  <w:vAlign w:val="center"/>
                </w:tcPr>
                <w:p w14:paraId="56203305">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达标</w:t>
                  </w:r>
                </w:p>
              </w:tc>
              <w:tc>
                <w:tcPr>
                  <w:tcW w:w="670" w:type="pct"/>
                  <w:vMerge w:val="continue"/>
                  <w:noWrap w:val="0"/>
                  <w:vAlign w:val="center"/>
                </w:tcPr>
                <w:p w14:paraId="7EA54562">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23F7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8" w:type="pct"/>
                  <w:noWrap w:val="0"/>
                  <w:vAlign w:val="center"/>
                </w:tcPr>
                <w:p w14:paraId="2304649B">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NO</w:t>
                  </w:r>
                  <w:r>
                    <w:rPr>
                      <w:rFonts w:hint="eastAsia" w:cs="Times New Roman"/>
                      <w:color w:val="auto"/>
                      <w:kern w:val="0"/>
                      <w:sz w:val="21"/>
                      <w:szCs w:val="21"/>
                      <w:highlight w:val="none"/>
                      <w:vertAlign w:val="subscript"/>
                      <w:lang w:val="en-US" w:eastAsia="zh-CN" w:bidi="ar-SA"/>
                    </w:rPr>
                    <w:t>2</w:t>
                  </w:r>
                </w:p>
              </w:tc>
              <w:tc>
                <w:tcPr>
                  <w:tcW w:w="1722" w:type="pct"/>
                  <w:noWrap w:val="0"/>
                  <w:vAlign w:val="center"/>
                </w:tcPr>
                <w:p w14:paraId="6832E523">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年平均浓度</w:t>
                  </w:r>
                </w:p>
              </w:tc>
              <w:tc>
                <w:tcPr>
                  <w:tcW w:w="710" w:type="pct"/>
                  <w:noWrap w:val="0"/>
                  <w:vAlign w:val="center"/>
                </w:tcPr>
                <w:p w14:paraId="21C2097F">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23</w:t>
                  </w:r>
                </w:p>
              </w:tc>
              <w:tc>
                <w:tcPr>
                  <w:tcW w:w="727" w:type="pct"/>
                  <w:noWrap w:val="0"/>
                  <w:vAlign w:val="center"/>
                </w:tcPr>
                <w:p w14:paraId="67C3B7DF">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40</w:t>
                  </w:r>
                </w:p>
              </w:tc>
              <w:tc>
                <w:tcPr>
                  <w:tcW w:w="670" w:type="pct"/>
                  <w:noWrap w:val="0"/>
                  <w:vAlign w:val="center"/>
                </w:tcPr>
                <w:p w14:paraId="5BF37B8B">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达标</w:t>
                  </w:r>
                </w:p>
              </w:tc>
              <w:tc>
                <w:tcPr>
                  <w:tcW w:w="670" w:type="pct"/>
                  <w:vMerge w:val="continue"/>
                  <w:noWrap w:val="0"/>
                  <w:vAlign w:val="center"/>
                </w:tcPr>
                <w:p w14:paraId="76C1E8C1">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413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8" w:type="pct"/>
                  <w:noWrap w:val="0"/>
                  <w:vAlign w:val="center"/>
                </w:tcPr>
                <w:p w14:paraId="26C72AE0">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CO</w:t>
                  </w:r>
                </w:p>
              </w:tc>
              <w:tc>
                <w:tcPr>
                  <w:tcW w:w="1722" w:type="pct"/>
                  <w:noWrap w:val="0"/>
                  <w:vAlign w:val="center"/>
                </w:tcPr>
                <w:p w14:paraId="1E5BA9BA">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日平均第95百分位数质量浓度</w:t>
                  </w:r>
                </w:p>
              </w:tc>
              <w:tc>
                <w:tcPr>
                  <w:tcW w:w="710" w:type="pct"/>
                  <w:noWrap w:val="0"/>
                  <w:vAlign w:val="center"/>
                </w:tcPr>
                <w:p w14:paraId="252B918D">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0.9mg/m³</w:t>
                  </w:r>
                </w:p>
              </w:tc>
              <w:tc>
                <w:tcPr>
                  <w:tcW w:w="727" w:type="pct"/>
                  <w:noWrap w:val="0"/>
                  <w:vAlign w:val="center"/>
                </w:tcPr>
                <w:p w14:paraId="6452F84E">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4mg/m³</w:t>
                  </w:r>
                </w:p>
              </w:tc>
              <w:tc>
                <w:tcPr>
                  <w:tcW w:w="670" w:type="pct"/>
                  <w:noWrap w:val="0"/>
                  <w:vAlign w:val="center"/>
                </w:tcPr>
                <w:p w14:paraId="3910AC0D">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达标</w:t>
                  </w:r>
                </w:p>
              </w:tc>
              <w:tc>
                <w:tcPr>
                  <w:tcW w:w="670" w:type="pct"/>
                  <w:vMerge w:val="continue"/>
                  <w:noWrap w:val="0"/>
                  <w:vAlign w:val="center"/>
                </w:tcPr>
                <w:p w14:paraId="415E9C24">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C7B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98" w:type="pct"/>
                  <w:noWrap w:val="0"/>
                  <w:vAlign w:val="center"/>
                </w:tcPr>
                <w:p w14:paraId="5680DE84">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O</w:t>
                  </w:r>
                  <w:r>
                    <w:rPr>
                      <w:rFonts w:hint="default" w:ascii="Times New Roman" w:hAnsi="Times New Roman" w:eastAsia="宋体" w:cs="Times New Roman"/>
                      <w:color w:val="auto"/>
                      <w:kern w:val="0"/>
                      <w:sz w:val="21"/>
                      <w:szCs w:val="21"/>
                      <w:highlight w:val="none"/>
                      <w:vertAlign w:val="subscript"/>
                      <w:lang w:val="en-US" w:eastAsia="zh-CN" w:bidi="ar-SA"/>
                    </w:rPr>
                    <w:t>3</w:t>
                  </w:r>
                </w:p>
              </w:tc>
              <w:tc>
                <w:tcPr>
                  <w:tcW w:w="1722" w:type="pct"/>
                  <w:noWrap w:val="0"/>
                  <w:vAlign w:val="center"/>
                </w:tcPr>
                <w:p w14:paraId="58D7A578">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最大8h平均浓度第90百分位数</w:t>
                  </w:r>
                </w:p>
              </w:tc>
              <w:tc>
                <w:tcPr>
                  <w:tcW w:w="710" w:type="pct"/>
                  <w:noWrap w:val="0"/>
                  <w:vAlign w:val="center"/>
                </w:tcPr>
                <w:p w14:paraId="13CCE827">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166</w:t>
                  </w:r>
                </w:p>
              </w:tc>
              <w:tc>
                <w:tcPr>
                  <w:tcW w:w="727" w:type="pct"/>
                  <w:noWrap w:val="0"/>
                  <w:vAlign w:val="center"/>
                </w:tcPr>
                <w:p w14:paraId="23F3D5F4">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160</w:t>
                  </w:r>
                </w:p>
              </w:tc>
              <w:tc>
                <w:tcPr>
                  <w:tcW w:w="670" w:type="pct"/>
                  <w:noWrap w:val="0"/>
                  <w:vAlign w:val="center"/>
                </w:tcPr>
                <w:p w14:paraId="6125BAF2">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超标</w:t>
                  </w:r>
                </w:p>
              </w:tc>
              <w:tc>
                <w:tcPr>
                  <w:tcW w:w="670" w:type="pct"/>
                  <w:vMerge w:val="continue"/>
                  <w:noWrap w:val="0"/>
                  <w:vAlign w:val="center"/>
                </w:tcPr>
                <w:p w14:paraId="71E4FEBE">
                  <w:pPr>
                    <w:widowControl w:val="0"/>
                    <w:shd w:val="clear"/>
                    <w:tabs>
                      <w:tab w:val="left" w:pos="893"/>
                    </w:tabs>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bl>
          <w:p w14:paraId="3204ADF2">
            <w:pPr>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由上表可知，</w:t>
            </w:r>
            <w:r>
              <w:rPr>
                <w:rFonts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年淮北市</w:t>
            </w:r>
            <w:r>
              <w:rPr>
                <w:rFonts w:hint="default" w:ascii="TimesNewRomanPSMT" w:hAnsi="TimesNewRomanPSMT" w:eastAsia="TimesNewRomanPSMT" w:cs="TimesNewRomanPSMT"/>
                <w:b w:val="0"/>
                <w:bCs w:val="0"/>
                <w:color w:val="000000"/>
                <w:sz w:val="24"/>
                <w:szCs w:val="24"/>
              </w:rPr>
              <w:t>O</w:t>
            </w:r>
            <w:r>
              <w:rPr>
                <w:rFonts w:hint="default" w:ascii="TimesNewRomanPSMT" w:hAnsi="TimesNewRomanPSMT" w:eastAsia="TimesNewRomanPSMT" w:cs="TimesNewRomanPSMT"/>
                <w:b w:val="0"/>
                <w:bCs w:val="0"/>
                <w:color w:val="000000"/>
                <w:sz w:val="15"/>
                <w:szCs w:val="15"/>
              </w:rPr>
              <w:t>3</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PM</w:t>
            </w:r>
            <w:r>
              <w:rPr>
                <w:rFonts w:hint="default" w:ascii="TimesNewRomanPSMT" w:hAnsi="TimesNewRomanPSMT" w:eastAsia="TimesNewRomanPSMT" w:cs="TimesNewRomanPSMT"/>
                <w:b w:val="0"/>
                <w:bCs w:val="0"/>
                <w:color w:val="000000"/>
                <w:sz w:val="15"/>
                <w:szCs w:val="15"/>
              </w:rPr>
              <w:t>2.5</w:t>
            </w:r>
            <w:r>
              <w:rPr>
                <w:rFonts w:ascii="宋体" w:hAnsi="宋体" w:eastAsia="宋体" w:cs="宋体"/>
                <w:b w:val="0"/>
                <w:bCs w:val="0"/>
                <w:color w:val="000000"/>
                <w:sz w:val="24"/>
                <w:szCs w:val="24"/>
              </w:rPr>
              <w:t>的评价指标不能满足《环境空气质量标准》（</w:t>
            </w:r>
            <w:r>
              <w:rPr>
                <w:rFonts w:hint="default" w:ascii="TimesNewRomanPSMT" w:hAnsi="TimesNewRomanPSMT" w:eastAsia="TimesNewRomanPSMT" w:cs="TimesNewRomanPSMT"/>
                <w:b w:val="0"/>
                <w:bCs w:val="0"/>
                <w:color w:val="000000"/>
                <w:sz w:val="24"/>
                <w:szCs w:val="24"/>
              </w:rPr>
              <w:t>GB3095-2012</w:t>
            </w:r>
            <w:r>
              <w:rPr>
                <w:rFonts w:ascii="宋体" w:hAnsi="宋体" w:eastAsia="宋体" w:cs="宋体"/>
                <w:b w:val="0"/>
                <w:bCs w:val="0"/>
                <w:color w:val="000000"/>
                <w:sz w:val="24"/>
                <w:szCs w:val="24"/>
              </w:rPr>
              <w:t>）及其修改单二级标准限值要求，项目所在区域为不达标区。</w:t>
            </w:r>
          </w:p>
          <w:p w14:paraId="0247B078">
            <w:pPr>
              <w:spacing w:line="360" w:lineRule="auto"/>
              <w:ind w:firstLine="480" w:firstLineChars="200"/>
              <w:rPr>
                <w:rFonts w:hint="eastAsia" w:ascii="宋体" w:hAnsi="宋体" w:eastAsia="宋体" w:cs="宋体"/>
                <w:color w:val="auto"/>
                <w:sz w:val="24"/>
                <w:szCs w:val="24"/>
                <w:lang w:val="en-US" w:eastAsia="zh-CN"/>
              </w:rPr>
            </w:pPr>
            <w:r>
              <w:rPr>
                <w:rFonts w:ascii="宋体" w:hAnsi="宋体" w:eastAsia="宋体" w:cs="宋体"/>
                <w:b w:val="0"/>
                <w:bCs w:val="0"/>
                <w:color w:val="000000"/>
                <w:sz w:val="24"/>
                <w:szCs w:val="24"/>
              </w:rPr>
              <w:t>根据《淮北市生态环境保护</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十四五</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规划》（</w:t>
            </w:r>
            <w:r>
              <w:rPr>
                <w:rFonts w:hint="default" w:ascii="TimesNewRomanPSMT" w:hAnsi="TimesNewRomanPSMT" w:eastAsia="TimesNewRomanPSMT" w:cs="TimesNewRomanPSMT"/>
                <w:b w:val="0"/>
                <w:bCs w:val="0"/>
                <w:color w:val="000000"/>
                <w:sz w:val="24"/>
                <w:szCs w:val="24"/>
              </w:rPr>
              <w:t>2022</w:t>
            </w:r>
            <w:r>
              <w:rPr>
                <w:rFonts w:ascii="宋体" w:hAnsi="宋体" w:eastAsia="宋体" w:cs="宋体"/>
                <w:b w:val="0"/>
                <w:bCs w:val="0"/>
                <w:color w:val="000000"/>
                <w:sz w:val="24"/>
                <w:szCs w:val="24"/>
              </w:rPr>
              <w:t>年</w:t>
            </w:r>
            <w:r>
              <w:rPr>
                <w:rFonts w:hint="default" w:ascii="TimesNewRomanPSMT" w:hAnsi="TimesNewRomanPSMT" w:eastAsia="TimesNewRomanPSMT" w:cs="TimesNewRomanPSMT"/>
                <w:b w:val="0"/>
                <w:bCs w:val="0"/>
                <w:color w:val="000000"/>
                <w:sz w:val="24"/>
                <w:szCs w:val="24"/>
              </w:rPr>
              <w:t>1</w:t>
            </w:r>
            <w:r>
              <w:rPr>
                <w:rFonts w:ascii="宋体" w:hAnsi="宋体" w:eastAsia="宋体" w:cs="宋体"/>
                <w:b w:val="0"/>
                <w:bCs w:val="0"/>
                <w:color w:val="000000"/>
                <w:sz w:val="24"/>
                <w:szCs w:val="24"/>
              </w:rPr>
              <w:t>月，淮环〔</w:t>
            </w:r>
            <w:r>
              <w:rPr>
                <w:rFonts w:hint="default" w:ascii="TimesNewRomanPSMT" w:hAnsi="TimesNewRomanPSMT" w:eastAsia="TimesNewRomanPSMT" w:cs="TimesNewRomanPSMT"/>
                <w:b w:val="0"/>
                <w:bCs w:val="0"/>
                <w:color w:val="000000"/>
                <w:sz w:val="24"/>
                <w:szCs w:val="24"/>
              </w:rPr>
              <w:t>2022</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1</w:t>
            </w:r>
            <w:r>
              <w:rPr>
                <w:rFonts w:ascii="宋体" w:hAnsi="宋体" w:eastAsia="宋体" w:cs="宋体"/>
                <w:b w:val="0"/>
                <w:bCs w:val="0"/>
                <w:color w:val="000000"/>
                <w:sz w:val="24"/>
                <w:szCs w:val="24"/>
              </w:rPr>
              <w:t>号，：</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以降低</w:t>
            </w:r>
            <w:r>
              <w:rPr>
                <w:rFonts w:hint="default" w:ascii="TimesNewRomanPSMT" w:hAnsi="TimesNewRomanPSMT" w:eastAsia="TimesNewRomanPSMT" w:cs="TimesNewRomanPSMT"/>
                <w:b w:val="0"/>
                <w:bCs w:val="0"/>
                <w:color w:val="000000"/>
                <w:sz w:val="24"/>
                <w:szCs w:val="24"/>
              </w:rPr>
              <w:t>PM</w:t>
            </w:r>
            <w:r>
              <w:rPr>
                <w:rFonts w:hint="default" w:ascii="TimesNewRomanPSMT" w:hAnsi="TimesNewRomanPSMT" w:eastAsia="TimesNewRomanPSMT" w:cs="TimesNewRomanPSMT"/>
                <w:b w:val="0"/>
                <w:bCs w:val="0"/>
                <w:color w:val="000000"/>
                <w:sz w:val="15"/>
                <w:szCs w:val="15"/>
              </w:rPr>
              <w:t>2.5</w:t>
            </w:r>
            <w:r>
              <w:rPr>
                <w:rFonts w:ascii="宋体" w:hAnsi="宋体" w:eastAsia="宋体" w:cs="宋体"/>
                <w:b w:val="0"/>
                <w:bCs w:val="0"/>
                <w:color w:val="000000"/>
                <w:sz w:val="24"/>
                <w:szCs w:val="24"/>
              </w:rPr>
              <w:t>污染为环境空气质量改善的核心目标，推动</w:t>
            </w:r>
            <w:r>
              <w:rPr>
                <w:rFonts w:hint="default" w:ascii="TimesNewRomanPSMT" w:hAnsi="TimesNewRomanPSMT" w:eastAsia="TimesNewRomanPSMT" w:cs="TimesNewRomanPSMT"/>
                <w:b w:val="0"/>
                <w:bCs w:val="0"/>
                <w:color w:val="000000"/>
                <w:sz w:val="24"/>
                <w:szCs w:val="24"/>
              </w:rPr>
              <w:t>O</w:t>
            </w:r>
            <w:r>
              <w:rPr>
                <w:rFonts w:hint="default" w:ascii="TimesNewRomanPSMT" w:hAnsi="TimesNewRomanPSMT" w:eastAsia="TimesNewRomanPSMT" w:cs="TimesNewRomanPSMT"/>
                <w:b w:val="0"/>
                <w:bCs w:val="0"/>
                <w:color w:val="000000"/>
                <w:sz w:val="15"/>
                <w:szCs w:val="15"/>
              </w:rPr>
              <w:t>3</w:t>
            </w:r>
            <w:r>
              <w:rPr>
                <w:rFonts w:ascii="宋体" w:hAnsi="宋体" w:eastAsia="宋体" w:cs="宋体"/>
                <w:b w:val="0"/>
                <w:bCs w:val="0"/>
                <w:color w:val="000000"/>
                <w:sz w:val="24"/>
                <w:szCs w:val="24"/>
              </w:rPr>
              <w:t>污染的协同控制，以质量改善目标引领大气污染防治布局，采取多种手段推动环境空气质量持续改善，到</w:t>
            </w:r>
            <w:r>
              <w:rPr>
                <w:rFonts w:hint="default" w:ascii="TimesNewRomanPSMT" w:hAnsi="TimesNewRomanPSMT" w:eastAsia="TimesNewRomanPSMT" w:cs="TimesNewRomanPSMT"/>
                <w:b w:val="0"/>
                <w:bCs w:val="0"/>
                <w:color w:val="000000"/>
                <w:sz w:val="24"/>
                <w:szCs w:val="24"/>
              </w:rPr>
              <w:t>2025</w:t>
            </w:r>
            <w:r>
              <w:rPr>
                <w:rFonts w:ascii="宋体" w:hAnsi="宋体" w:eastAsia="宋体" w:cs="宋体"/>
                <w:b w:val="0"/>
                <w:bCs w:val="0"/>
                <w:color w:val="000000"/>
                <w:sz w:val="24"/>
                <w:szCs w:val="24"/>
              </w:rPr>
              <w:t>年，确保</w:t>
            </w:r>
            <w:r>
              <w:rPr>
                <w:rFonts w:hint="default" w:ascii="TimesNewRomanPSMT" w:hAnsi="TimesNewRomanPSMT" w:eastAsia="TimesNewRomanPSMT" w:cs="TimesNewRomanPSMT"/>
                <w:b w:val="0"/>
                <w:bCs w:val="0"/>
                <w:color w:val="000000"/>
                <w:sz w:val="24"/>
                <w:szCs w:val="24"/>
              </w:rPr>
              <w:t>PM</w:t>
            </w:r>
            <w:r>
              <w:rPr>
                <w:rFonts w:hint="default" w:ascii="TimesNewRomanPSMT" w:hAnsi="TimesNewRomanPSMT" w:eastAsia="TimesNewRomanPSMT" w:cs="TimesNewRomanPSMT"/>
                <w:b w:val="0"/>
                <w:bCs w:val="0"/>
                <w:color w:val="000000"/>
                <w:sz w:val="15"/>
                <w:szCs w:val="15"/>
              </w:rPr>
              <w:t>2.5</w:t>
            </w:r>
            <w:r>
              <w:rPr>
                <w:rFonts w:ascii="宋体" w:hAnsi="宋体" w:eastAsia="宋体" w:cs="宋体"/>
                <w:b w:val="0"/>
                <w:bCs w:val="0"/>
                <w:color w:val="000000"/>
                <w:sz w:val="24"/>
                <w:szCs w:val="24"/>
              </w:rPr>
              <w:t>年均浓度不高于</w:t>
            </w:r>
            <w:r>
              <w:rPr>
                <w:rFonts w:hint="default" w:ascii="TimesNewRomanPSMT" w:hAnsi="TimesNewRomanPSMT" w:eastAsia="TimesNewRomanPSMT" w:cs="TimesNewRomanPSMT"/>
                <w:b w:val="0"/>
                <w:bCs w:val="0"/>
                <w:color w:val="000000"/>
                <w:sz w:val="24"/>
                <w:szCs w:val="24"/>
              </w:rPr>
              <w:t>39</w:t>
            </w:r>
            <w:r>
              <w:rPr>
                <w:rFonts w:ascii="宋体" w:hAnsi="宋体" w:eastAsia="宋体" w:cs="宋体"/>
                <w:b w:val="0"/>
                <w:bCs w:val="0"/>
                <w:color w:val="000000"/>
                <w:sz w:val="24"/>
                <w:szCs w:val="24"/>
              </w:rPr>
              <w:t>微克</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立方米，优良天数比例达到</w:t>
            </w:r>
            <w:r>
              <w:rPr>
                <w:rFonts w:hint="default" w:ascii="TimesNewRomanPSMT" w:hAnsi="TimesNewRomanPSMT" w:eastAsia="TimesNewRomanPSMT" w:cs="TimesNewRomanPSMT"/>
                <w:b w:val="0"/>
                <w:bCs w:val="0"/>
                <w:color w:val="000000"/>
                <w:sz w:val="24"/>
                <w:szCs w:val="24"/>
              </w:rPr>
              <w:t>75%</w:t>
            </w:r>
            <w:r>
              <w:rPr>
                <w:rFonts w:ascii="宋体" w:hAnsi="宋体" w:eastAsia="宋体" w:cs="宋体"/>
                <w:b w:val="0"/>
                <w:bCs w:val="0"/>
                <w:color w:val="000000"/>
                <w:sz w:val="24"/>
                <w:szCs w:val="24"/>
              </w:rPr>
              <w:t>以上，为</w:t>
            </w:r>
            <w:r>
              <w:rPr>
                <w:rFonts w:hint="default" w:ascii="TimesNewRomanPSMT" w:hAnsi="TimesNewRomanPSMT" w:eastAsia="TimesNewRomanPSMT" w:cs="TimesNewRomanPSMT"/>
                <w:b w:val="0"/>
                <w:bCs w:val="0"/>
                <w:color w:val="000000"/>
                <w:sz w:val="24"/>
                <w:szCs w:val="24"/>
              </w:rPr>
              <w:t>2035</w:t>
            </w:r>
            <w:r>
              <w:rPr>
                <w:rFonts w:ascii="宋体" w:hAnsi="宋体" w:eastAsia="宋体" w:cs="宋体"/>
                <w:b w:val="0"/>
                <w:bCs w:val="0"/>
                <w:color w:val="000000"/>
                <w:sz w:val="24"/>
                <w:szCs w:val="24"/>
              </w:rPr>
              <w:t>年环境空气质量全面达标奠定基础。</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且本项目排放的颗粒物均采取相应的环保措施处理后达标排放。因此，不会突破项目区大气环境质量底线。</w:t>
            </w:r>
          </w:p>
          <w:p w14:paraId="63BC36DA">
            <w:pPr>
              <w:spacing w:line="360" w:lineRule="auto"/>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2、</w:t>
            </w:r>
            <w:r>
              <w:rPr>
                <w:rFonts w:ascii="宋体" w:hAnsi="宋体" w:eastAsia="宋体" w:cs="宋体"/>
                <w:b/>
                <w:bCs/>
                <w:color w:val="000000"/>
                <w:sz w:val="24"/>
                <w:szCs w:val="24"/>
              </w:rPr>
              <w:t>特征污染物环境质量现状评价</w:t>
            </w:r>
          </w:p>
          <w:p w14:paraId="2C9E45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eastAsia="宋体" w:cs="宋体"/>
                <w:b w:val="0"/>
                <w:bCs w:val="0"/>
                <w:color w:val="000000"/>
                <w:sz w:val="24"/>
                <w:szCs w:val="24"/>
              </w:rPr>
            </w:pPr>
            <w:r>
              <w:rPr>
                <w:rFonts w:ascii="宋体" w:hAnsi="宋体" w:eastAsia="宋体" w:cs="宋体"/>
                <w:b w:val="0"/>
                <w:bCs w:val="0"/>
                <w:color w:val="000000"/>
                <w:sz w:val="24"/>
                <w:szCs w:val="24"/>
              </w:rPr>
              <w:t>本项目</w:t>
            </w:r>
            <w:r>
              <w:rPr>
                <w:rFonts w:ascii="宋体" w:hAnsi="宋体" w:eastAsia="宋体" w:cs="宋体"/>
                <w:b w:val="0"/>
                <w:bCs w:val="0"/>
                <w:color w:val="000000"/>
                <w:sz w:val="24"/>
                <w:szCs w:val="24"/>
                <w:highlight w:val="none"/>
              </w:rPr>
              <w:t>位于</w:t>
            </w:r>
            <w:r>
              <w:rPr>
                <w:rFonts w:hint="eastAsia"/>
                <w:color w:val="auto"/>
                <w:sz w:val="24"/>
                <w:szCs w:val="24"/>
                <w:highlight w:val="none"/>
                <w:lang w:eastAsia="zh-CN"/>
              </w:rPr>
              <w:t>安</w:t>
            </w:r>
            <w:r>
              <w:rPr>
                <w:rFonts w:hint="eastAsia"/>
                <w:color w:val="auto"/>
                <w:sz w:val="24"/>
                <w:szCs w:val="24"/>
                <w:lang w:eastAsia="zh-CN"/>
              </w:rPr>
              <w:t>徽省淮北市杜集区杜集经济开发区紫昱路</w:t>
            </w:r>
            <w:r>
              <w:rPr>
                <w:rFonts w:hint="eastAsia"/>
                <w:color w:val="auto"/>
                <w:sz w:val="24"/>
                <w:szCs w:val="24"/>
                <w:lang w:val="en-US" w:eastAsia="zh-CN"/>
              </w:rPr>
              <w:t>16号</w:t>
            </w:r>
            <w:r>
              <w:rPr>
                <w:rFonts w:ascii="宋体" w:hAnsi="宋体" w:eastAsia="宋体" w:cs="宋体"/>
                <w:b w:val="0"/>
                <w:bCs w:val="0"/>
                <w:color w:val="000000"/>
                <w:sz w:val="24"/>
                <w:szCs w:val="24"/>
              </w:rPr>
              <w:t>，特征污染因子主要为颗粒物、非甲烷总烃。本项目污染物引用《安徽淮北杜集经济开发区总体发展规划（</w:t>
            </w:r>
            <w:r>
              <w:rPr>
                <w:rFonts w:hint="default" w:ascii="TimesNewRomanPSMT" w:hAnsi="TimesNewRomanPSMT" w:eastAsia="TimesNewRomanPSMT" w:cs="TimesNewRomanPSMT"/>
                <w:b w:val="0"/>
                <w:bCs w:val="0"/>
                <w:color w:val="000000"/>
                <w:sz w:val="24"/>
                <w:szCs w:val="24"/>
              </w:rPr>
              <w:t>2023-2035</w:t>
            </w:r>
            <w:r>
              <w:rPr>
                <w:rFonts w:ascii="宋体" w:hAnsi="宋体" w:eastAsia="宋体" w:cs="宋体"/>
                <w:b w:val="0"/>
                <w:bCs w:val="0"/>
                <w:color w:val="000000"/>
                <w:sz w:val="24"/>
                <w:szCs w:val="24"/>
              </w:rPr>
              <w:t>年）环境影响报告书》环境质量现状。监测时间</w:t>
            </w:r>
            <w:r>
              <w:rPr>
                <w:rFonts w:hint="default"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年</w:t>
            </w:r>
            <w:r>
              <w:rPr>
                <w:rFonts w:hint="default" w:ascii="TimesNewRomanPSMT" w:hAnsi="TimesNewRomanPSMT" w:eastAsia="TimesNewRomanPSMT" w:cs="TimesNewRomanPSMT"/>
                <w:b w:val="0"/>
                <w:bCs w:val="0"/>
                <w:color w:val="000000"/>
                <w:sz w:val="24"/>
                <w:szCs w:val="24"/>
              </w:rPr>
              <w:t>7</w:t>
            </w:r>
            <w:r>
              <w:rPr>
                <w:rFonts w:ascii="宋体" w:hAnsi="宋体" w:eastAsia="宋体" w:cs="宋体"/>
                <w:b w:val="0"/>
                <w:bCs w:val="0"/>
                <w:color w:val="000000"/>
                <w:sz w:val="24"/>
                <w:szCs w:val="24"/>
              </w:rPr>
              <w:t>月</w:t>
            </w:r>
            <w:r>
              <w:rPr>
                <w:rFonts w:hint="default" w:ascii="TimesNewRomanPSMT" w:hAnsi="TimesNewRomanPSMT" w:eastAsia="TimesNewRomanPSMT" w:cs="TimesNewRomanPSMT"/>
                <w:b w:val="0"/>
                <w:bCs w:val="0"/>
                <w:color w:val="000000"/>
                <w:sz w:val="24"/>
                <w:szCs w:val="24"/>
              </w:rPr>
              <w:t>16</w:t>
            </w:r>
            <w:r>
              <w:rPr>
                <w:rFonts w:ascii="宋体" w:hAnsi="宋体" w:eastAsia="宋体" w:cs="宋体"/>
                <w:b w:val="0"/>
                <w:bCs w:val="0"/>
                <w:color w:val="000000"/>
                <w:sz w:val="24"/>
                <w:szCs w:val="24"/>
              </w:rPr>
              <w:t>日</w:t>
            </w:r>
            <w:r>
              <w:rPr>
                <w:rFonts w:hint="default" w:ascii="TimesNewRomanPSMT" w:hAnsi="TimesNewRomanPSMT" w:eastAsia="TimesNewRomanPSMT" w:cs="TimesNewRomanPSMT"/>
                <w:b w:val="0"/>
                <w:bCs w:val="0"/>
                <w:color w:val="000000"/>
                <w:sz w:val="24"/>
                <w:szCs w:val="24"/>
              </w:rPr>
              <w:t>~7</w:t>
            </w:r>
            <w:r>
              <w:rPr>
                <w:rFonts w:ascii="宋体" w:hAnsi="宋体" w:eastAsia="宋体" w:cs="宋体"/>
                <w:b w:val="0"/>
                <w:bCs w:val="0"/>
                <w:color w:val="000000"/>
                <w:sz w:val="24"/>
                <w:szCs w:val="24"/>
              </w:rPr>
              <w:t>月</w:t>
            </w:r>
            <w:r>
              <w:rPr>
                <w:rFonts w:hint="default" w:ascii="TimesNewRomanPSMT" w:hAnsi="TimesNewRomanPSMT" w:eastAsia="TimesNewRomanPSMT" w:cs="TimesNewRomanPSMT"/>
                <w:b w:val="0"/>
                <w:bCs w:val="0"/>
                <w:color w:val="000000"/>
                <w:sz w:val="24"/>
                <w:szCs w:val="24"/>
              </w:rPr>
              <w:t>22</w:t>
            </w:r>
            <w:r>
              <w:rPr>
                <w:rFonts w:ascii="宋体" w:hAnsi="宋体" w:eastAsia="宋体" w:cs="宋体"/>
                <w:b w:val="0"/>
                <w:bCs w:val="0"/>
                <w:color w:val="000000"/>
                <w:sz w:val="24"/>
                <w:szCs w:val="24"/>
              </w:rPr>
              <w:t>日（共计</w:t>
            </w:r>
            <w:r>
              <w:rPr>
                <w:rFonts w:hint="default" w:ascii="TimesNewRomanPSMT" w:hAnsi="TimesNewRomanPSMT" w:eastAsia="TimesNewRomanPSMT" w:cs="TimesNewRomanPSMT"/>
                <w:b w:val="0"/>
                <w:bCs w:val="0"/>
                <w:color w:val="000000"/>
                <w:sz w:val="24"/>
                <w:szCs w:val="24"/>
              </w:rPr>
              <w:t>7</w:t>
            </w:r>
            <w:r>
              <w:rPr>
                <w:rFonts w:ascii="宋体" w:hAnsi="宋体" w:eastAsia="宋体" w:cs="宋体"/>
                <w:b w:val="0"/>
                <w:bCs w:val="0"/>
                <w:color w:val="000000"/>
                <w:sz w:val="24"/>
                <w:szCs w:val="24"/>
              </w:rPr>
              <w:t>天），监测点为中</w:t>
            </w:r>
            <w:r>
              <w:rPr>
                <w:rFonts w:hint="default" w:ascii="TimesNewRomanPSMT" w:hAnsi="TimesNewRomanPSMT" w:eastAsia="TimesNewRomanPSMT" w:cs="TimesNewRomanPSMT"/>
                <w:b w:val="0"/>
                <w:bCs w:val="0"/>
                <w:color w:val="000000"/>
                <w:sz w:val="24"/>
                <w:szCs w:val="24"/>
              </w:rPr>
              <w:t>G1</w:t>
            </w:r>
            <w:r>
              <w:rPr>
                <w:rFonts w:ascii="宋体" w:hAnsi="宋体" w:eastAsia="宋体" w:cs="宋体"/>
                <w:b w:val="0"/>
                <w:bCs w:val="0"/>
                <w:color w:val="000000"/>
                <w:sz w:val="24"/>
                <w:szCs w:val="24"/>
              </w:rPr>
              <w:t>纵楼村，检测方法为《环境空气总悬浮颗粒物的测定重量法》（</w:t>
            </w:r>
            <w:r>
              <w:rPr>
                <w:rFonts w:hint="default" w:ascii="TimesNewRomanPSMT" w:hAnsi="TimesNewRomanPSMT" w:eastAsia="TimesNewRomanPSMT" w:cs="TimesNewRomanPSMT"/>
                <w:b w:val="0"/>
                <w:bCs w:val="0"/>
                <w:color w:val="000000"/>
                <w:sz w:val="24"/>
                <w:szCs w:val="24"/>
              </w:rPr>
              <w:t>GB/T15432-1995</w:t>
            </w:r>
            <w:r>
              <w:rPr>
                <w:rFonts w:ascii="宋体" w:hAnsi="宋体" w:eastAsia="宋体" w:cs="宋体"/>
                <w:b w:val="0"/>
                <w:bCs w:val="0"/>
                <w:color w:val="000000"/>
                <w:sz w:val="24"/>
                <w:szCs w:val="24"/>
              </w:rPr>
              <w:t>）及《环境空气总烃、甲烷和非甲烷总烃的测定直接进样</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气相色谱法</w:t>
            </w:r>
            <w:r>
              <w:rPr>
                <w:rFonts w:hint="default" w:ascii="TimesNewRomanPSMT" w:hAnsi="TimesNewRomanPSMT" w:eastAsia="TimesNewRomanPSMT" w:cs="TimesNewRomanPSMT"/>
                <w:b w:val="0"/>
                <w:bCs w:val="0"/>
                <w:color w:val="000000"/>
                <w:sz w:val="24"/>
                <w:szCs w:val="24"/>
              </w:rPr>
              <w:t>HJ604-2017</w:t>
            </w:r>
            <w:r>
              <w:rPr>
                <w:rFonts w:ascii="宋体" w:hAnsi="宋体" w:eastAsia="宋体" w:cs="宋体"/>
                <w:b w:val="0"/>
                <w:bCs w:val="0"/>
                <w:color w:val="000000"/>
                <w:sz w:val="24"/>
                <w:szCs w:val="24"/>
              </w:rPr>
              <w:t>》。</w:t>
            </w:r>
          </w:p>
          <w:p w14:paraId="577753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eastAsia="宋体" w:cs="宋体"/>
                <w:b w:val="0"/>
                <w:bCs w:val="0"/>
                <w:color w:val="000000"/>
                <w:sz w:val="24"/>
                <w:szCs w:val="24"/>
              </w:rPr>
            </w:pPr>
            <w:r>
              <w:rPr>
                <w:rFonts w:ascii="宋体" w:hAnsi="宋体" w:eastAsia="宋体" w:cs="宋体"/>
                <w:b w:val="0"/>
                <w:bCs w:val="0"/>
                <w:color w:val="000000"/>
                <w:sz w:val="24"/>
                <w:szCs w:val="24"/>
              </w:rPr>
              <w:t>根据建设项目环境影响报告表编制技术指南（污染影响类）（试行）中要求：“引用数据应在项目周边</w:t>
            </w:r>
            <w:r>
              <w:rPr>
                <w:rFonts w:hint="default" w:ascii="TimesNewRomanPSMT" w:hAnsi="TimesNewRomanPSMT" w:eastAsia="TimesNewRomanPSMT" w:cs="TimesNewRomanPSMT"/>
                <w:b w:val="0"/>
                <w:bCs w:val="0"/>
                <w:color w:val="000000"/>
                <w:sz w:val="24"/>
                <w:szCs w:val="24"/>
              </w:rPr>
              <w:t>5</w:t>
            </w:r>
            <w:r>
              <w:rPr>
                <w:rFonts w:ascii="宋体" w:hAnsi="宋体" w:eastAsia="宋体" w:cs="宋体"/>
                <w:b w:val="0"/>
                <w:bCs w:val="0"/>
                <w:color w:val="000000"/>
                <w:sz w:val="24"/>
                <w:szCs w:val="24"/>
              </w:rPr>
              <w:t>千米范围内近</w:t>
            </w:r>
            <w:r>
              <w:rPr>
                <w:rFonts w:hint="default" w:ascii="TimesNewRomanPSMT" w:hAnsi="TimesNewRomanPSMT" w:eastAsia="TimesNewRomanPSMT" w:cs="TimesNewRomanPSMT"/>
                <w:b w:val="0"/>
                <w:bCs w:val="0"/>
                <w:color w:val="000000"/>
                <w:sz w:val="24"/>
                <w:szCs w:val="24"/>
              </w:rPr>
              <w:t>3</w:t>
            </w:r>
            <w:r>
              <w:rPr>
                <w:rFonts w:ascii="宋体" w:hAnsi="宋体" w:eastAsia="宋体" w:cs="宋体"/>
                <w:b w:val="0"/>
                <w:bCs w:val="0"/>
                <w:color w:val="000000"/>
                <w:sz w:val="24"/>
                <w:szCs w:val="24"/>
              </w:rPr>
              <w:t>年的现有监测数据”。引用数据位于本项目</w:t>
            </w:r>
            <w:r>
              <w:rPr>
                <w:rFonts w:ascii="宋体" w:hAnsi="宋体" w:eastAsia="宋体" w:cs="宋体"/>
                <w:b w:val="0"/>
                <w:bCs w:val="0"/>
                <w:color w:val="000000"/>
                <w:sz w:val="24"/>
                <w:szCs w:val="24"/>
                <w:highlight w:val="none"/>
              </w:rPr>
              <w:t>区</w:t>
            </w:r>
            <w:r>
              <w:rPr>
                <w:rFonts w:hint="eastAsia" w:ascii="宋体" w:hAnsi="宋体" w:eastAsia="宋体" w:cs="宋体"/>
                <w:b w:val="0"/>
                <w:bCs w:val="0"/>
                <w:color w:val="000000"/>
                <w:sz w:val="24"/>
                <w:szCs w:val="24"/>
                <w:highlight w:val="none"/>
                <w:lang w:eastAsia="zh-CN"/>
              </w:rPr>
              <w:t>东</w:t>
            </w:r>
            <w:r>
              <w:rPr>
                <w:rFonts w:hint="eastAsia" w:ascii="宋体" w:hAnsi="宋体" w:cs="宋体"/>
                <w:b w:val="0"/>
                <w:bCs w:val="0"/>
                <w:color w:val="000000"/>
                <w:sz w:val="24"/>
                <w:szCs w:val="24"/>
                <w:highlight w:val="none"/>
                <w:lang w:eastAsia="zh-CN"/>
              </w:rPr>
              <w:t>北</w:t>
            </w:r>
            <w:r>
              <w:rPr>
                <w:rFonts w:hint="eastAsia" w:ascii="TimesNewRomanPSMT" w:hAnsi="TimesNewRomanPSMT" w:eastAsia="宋体" w:cs="TimesNewRomanPSMT"/>
                <w:b w:val="0"/>
                <w:bCs w:val="0"/>
                <w:color w:val="000000"/>
                <w:sz w:val="24"/>
                <w:szCs w:val="24"/>
                <w:highlight w:val="none"/>
                <w:lang w:val="en-US" w:eastAsia="zh-CN"/>
              </w:rPr>
              <w:t>4302</w:t>
            </w:r>
            <w:r>
              <w:rPr>
                <w:rFonts w:hint="default" w:ascii="TimesNewRomanPSMT" w:hAnsi="TimesNewRomanPSMT" w:eastAsia="TimesNewRomanPSMT" w:cs="TimesNewRomanPSMT"/>
                <w:b w:val="0"/>
                <w:bCs w:val="0"/>
                <w:color w:val="000000"/>
                <w:sz w:val="24"/>
                <w:szCs w:val="24"/>
                <w:highlight w:val="none"/>
              </w:rPr>
              <w:t>m</w:t>
            </w:r>
            <w:r>
              <w:rPr>
                <w:rFonts w:ascii="宋体" w:hAnsi="宋体" w:eastAsia="宋体" w:cs="宋体"/>
                <w:b w:val="0"/>
                <w:bCs w:val="0"/>
                <w:color w:val="000000"/>
                <w:sz w:val="24"/>
                <w:szCs w:val="24"/>
                <w:highlight w:val="none"/>
              </w:rPr>
              <w:t>，</w:t>
            </w:r>
            <w:r>
              <w:rPr>
                <w:rFonts w:ascii="宋体" w:hAnsi="宋体" w:eastAsia="宋体" w:cs="宋体"/>
                <w:b w:val="0"/>
                <w:bCs w:val="0"/>
                <w:color w:val="000000"/>
                <w:sz w:val="24"/>
                <w:szCs w:val="24"/>
              </w:rPr>
              <w:t>监测时间为</w:t>
            </w:r>
            <w:r>
              <w:rPr>
                <w:rFonts w:hint="default"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年，因此满足引用数据要求。</w:t>
            </w:r>
          </w:p>
          <w:p w14:paraId="733F04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eastAsia="宋体" w:cs="宋体"/>
                <w:b w:val="0"/>
                <w:bCs w:val="0"/>
                <w:color w:val="000000"/>
                <w:sz w:val="24"/>
                <w:szCs w:val="24"/>
              </w:rPr>
            </w:pPr>
            <w:r>
              <w:rPr>
                <w:rFonts w:ascii="宋体" w:hAnsi="宋体" w:eastAsia="宋体" w:cs="宋体"/>
                <w:b w:val="0"/>
                <w:bCs w:val="0"/>
                <w:color w:val="000000"/>
                <w:sz w:val="24"/>
                <w:szCs w:val="24"/>
              </w:rPr>
              <w:t>综上所述，本项目引用的监测数据是可行的。</w:t>
            </w:r>
          </w:p>
          <w:p w14:paraId="029909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eastAsia="宋体" w:cs="宋体"/>
                <w:b w:val="0"/>
                <w:bCs w:val="0"/>
                <w:color w:val="000000"/>
                <w:sz w:val="24"/>
                <w:szCs w:val="24"/>
              </w:rPr>
            </w:pPr>
            <w:r>
              <w:rPr>
                <w:rFonts w:ascii="宋体" w:hAnsi="宋体" w:eastAsia="宋体" w:cs="宋体"/>
                <w:b w:val="0"/>
                <w:bCs w:val="0"/>
                <w:color w:val="000000"/>
                <w:sz w:val="24"/>
                <w:szCs w:val="24"/>
              </w:rPr>
              <w:t>本项目大气环境监测点位示意图见下图。</w:t>
            </w:r>
          </w:p>
          <w:p w14:paraId="46FF38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drawing>
                <wp:inline distT="0" distB="0" distL="114300" distR="114300">
                  <wp:extent cx="4484370" cy="3713480"/>
                  <wp:effectExtent l="0" t="0" r="11430" b="1270"/>
                  <wp:docPr id="45" name="图片 45" descr="G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G1图"/>
                          <pic:cNvPicPr>
                            <a:picLocks noChangeAspect="1"/>
                          </pic:cNvPicPr>
                        </pic:nvPicPr>
                        <pic:blipFill>
                          <a:blip r:embed="rId17"/>
                          <a:stretch>
                            <a:fillRect/>
                          </a:stretch>
                        </pic:blipFill>
                        <pic:spPr>
                          <a:xfrm>
                            <a:off x="0" y="0"/>
                            <a:ext cx="4484370" cy="3713480"/>
                          </a:xfrm>
                          <a:prstGeom prst="rect">
                            <a:avLst/>
                          </a:prstGeom>
                        </pic:spPr>
                      </pic:pic>
                    </a:graphicData>
                  </a:graphic>
                </wp:inline>
              </w:drawing>
            </w:r>
            <w:r>
              <w:rPr>
                <w:sz w:val="24"/>
              </w:rPr>
              <mc:AlternateContent>
                <mc:Choice Requires="wps">
                  <w:drawing>
                    <wp:anchor distT="0" distB="0" distL="114300" distR="114300" simplePos="0" relativeHeight="251662336" behindDoc="0" locked="0" layoutInCell="1" allowOverlap="1">
                      <wp:simplePos x="0" y="0"/>
                      <wp:positionH relativeFrom="column">
                        <wp:posOffset>1012190</wp:posOffset>
                      </wp:positionH>
                      <wp:positionV relativeFrom="paragraph">
                        <wp:posOffset>943610</wp:posOffset>
                      </wp:positionV>
                      <wp:extent cx="2200275" cy="1714500"/>
                      <wp:effectExtent l="5715" t="0" r="3810" b="19050"/>
                      <wp:wrapNone/>
                      <wp:docPr id="56" name="直接箭头连接符 56"/>
                      <wp:cNvGraphicFramePr/>
                      <a:graphic xmlns:a="http://schemas.openxmlformats.org/drawingml/2006/main">
                        <a:graphicData uri="http://schemas.microsoft.com/office/word/2010/wordprocessingShape">
                          <wps:wsp>
                            <wps:cNvCnPr/>
                            <wps:spPr>
                              <a:xfrm flipV="1">
                                <a:off x="2356485" y="5774690"/>
                                <a:ext cx="2200275" cy="1714500"/>
                              </a:xfrm>
                              <a:prstGeom prst="straightConnector1">
                                <a:avLst/>
                              </a:prstGeom>
                              <a:ln w="1905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79.7pt;margin-top:74.3pt;height:135pt;width:173.25pt;z-index:251662336;mso-width-relative:page;mso-height-relative:page;" filled="f" stroked="t" coordsize="21600,21600" o:gfxdata="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R2&#10;gMPaAAAACwEAAA8AAAAAAAAAAQAgAAAAIgAAAGRycy9kb3ducmV2LnhtbFBLAQIUABQAAAAIAIdO&#10;4kDVGw0aIQIAAP0DAAAOAAAAAAAAAAEAIAAAACkBAABkcnMvZTJvRG9jLnhtbFBLBQYAAAAABgAG&#10;AFkBAAC8BQAAAAA=&#10;">
                      <v:fill on="f" focussize="0,0"/>
                      <v:stroke weight="1.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2016125</wp:posOffset>
                      </wp:positionH>
                      <wp:positionV relativeFrom="paragraph">
                        <wp:posOffset>1729740</wp:posOffset>
                      </wp:positionV>
                      <wp:extent cx="618490" cy="209550"/>
                      <wp:effectExtent l="0" t="0" r="0" b="0"/>
                      <wp:wrapNone/>
                      <wp:docPr id="57" name="文本框 57"/>
                      <wp:cNvGraphicFramePr/>
                      <a:graphic xmlns:a="http://schemas.openxmlformats.org/drawingml/2006/main">
                        <a:graphicData uri="http://schemas.microsoft.com/office/word/2010/wordprocessingShape">
                          <wps:wsp>
                            <wps:cNvSpPr txBox="1"/>
                            <wps:spPr>
                              <a:xfrm>
                                <a:off x="3785235" y="7155815"/>
                                <a:ext cx="618490"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03A38">
                                  <w:pPr>
                                    <w:rPr>
                                      <w:rFonts w:hint="default" w:eastAsia="宋体"/>
                                      <w:b/>
                                      <w:bCs/>
                                      <w:color w:val="FF0000"/>
                                      <w:lang w:val="en-US" w:eastAsia="zh-CN"/>
                                    </w:rPr>
                                  </w:pPr>
                                  <w:r>
                                    <w:rPr>
                                      <w:rFonts w:hint="eastAsia"/>
                                      <w:b/>
                                      <w:bCs/>
                                      <w:color w:val="FF0000"/>
                                      <w:lang w:val="en-US" w:eastAsia="zh-CN"/>
                                    </w:rPr>
                                    <w:t>4032m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75pt;margin-top:136.2pt;height:16.5pt;width:48.7pt;z-index:251663360;mso-width-relative:page;mso-height-relative:page;" filled="f" stroked="f" coordsize="21600,21600" o:gfxdata="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bQ+v7cAAAACwEAAA8AAAAA&#10;AAAAAQAgAAAAIgAAAGRycy9kb3ducmV2LnhtbFBLAQIUABQAAAAIAIdO4kBaZdepSQIAAHMEAAAO&#10;AAAAAAAAAAEAIAAAACsBAABkcnMvZTJvRG9jLnhtbFBLBQYAAAAABgAGAFkBAADmBQAAAAA=&#10;">
                      <v:fill on="f" focussize="0,0"/>
                      <v:stroke on="f" weight="0.5pt"/>
                      <v:imagedata o:title=""/>
                      <o:lock v:ext="edit" aspectratio="f"/>
                      <v:textbox>
                        <w:txbxContent>
                          <w:p w14:paraId="20103A38">
                            <w:pPr>
                              <w:rPr>
                                <w:rFonts w:hint="default" w:eastAsia="宋体"/>
                                <w:b/>
                                <w:bCs/>
                                <w:color w:val="FF0000"/>
                                <w:lang w:val="en-US" w:eastAsia="zh-CN"/>
                              </w:rPr>
                            </w:pPr>
                            <w:r>
                              <w:rPr>
                                <w:rFonts w:hint="eastAsia"/>
                                <w:b/>
                                <w:bCs/>
                                <w:color w:val="FF0000"/>
                                <w:lang w:val="en-US" w:eastAsia="zh-CN"/>
                              </w:rPr>
                              <w:t>4032m</w:t>
                            </w:r>
                          </w:p>
                        </w:txbxContent>
                      </v:textbox>
                    </v:shape>
                  </w:pict>
                </mc:Fallback>
              </mc:AlternateContent>
            </w:r>
          </w:p>
          <w:p w14:paraId="46E8491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宋体" w:hAnsi="宋体" w:eastAsia="宋体" w:cs="宋体"/>
                <w:b/>
                <w:bCs/>
                <w:color w:val="000000"/>
                <w:sz w:val="24"/>
                <w:szCs w:val="24"/>
                <w:lang w:val="en-US" w:eastAsia="zh-CN"/>
              </w:rPr>
            </w:pPr>
            <w:r>
              <w:rPr>
                <w:rFonts w:hint="default" w:ascii="Times New Roman" w:hAnsi="Times New Roman" w:eastAsia="宋体" w:cs="Times New Roman"/>
                <w:b/>
                <w:bCs/>
                <w:color w:val="000000"/>
                <w:sz w:val="24"/>
                <w:szCs w:val="24"/>
                <w:lang w:eastAsia="zh-CN"/>
              </w:rPr>
              <w:t>图</w:t>
            </w:r>
            <w:r>
              <w:rPr>
                <w:rFonts w:hint="default" w:ascii="Times New Roman" w:hAnsi="Times New Roman" w:eastAsia="宋体" w:cs="Times New Roman"/>
                <w:b/>
                <w:bCs/>
                <w:color w:val="000000"/>
                <w:sz w:val="24"/>
                <w:szCs w:val="24"/>
                <w:lang w:val="en-US" w:eastAsia="zh-CN"/>
              </w:rPr>
              <w:t xml:space="preserve">3-1 </w:t>
            </w:r>
            <w:r>
              <w:rPr>
                <w:rFonts w:hint="default" w:ascii="Times New Roman" w:hAnsi="Times New Roman" w:eastAsia="宋体" w:cs="Times New Roman"/>
                <w:b/>
                <w:bCs/>
                <w:color w:val="000000"/>
                <w:sz w:val="24"/>
                <w:szCs w:val="24"/>
              </w:rPr>
              <w:t>项</w:t>
            </w:r>
            <w:r>
              <w:rPr>
                <w:rFonts w:ascii="宋体" w:hAnsi="宋体" w:eastAsia="宋体" w:cs="宋体"/>
                <w:b/>
                <w:bCs/>
                <w:color w:val="000000"/>
                <w:sz w:val="24"/>
                <w:szCs w:val="24"/>
              </w:rPr>
              <w:t>目大气环境引用监测点位示意图</w:t>
            </w:r>
          </w:p>
          <w:p w14:paraId="769502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color w:val="000000"/>
                <w:sz w:val="24"/>
                <w:szCs w:val="24"/>
              </w:rPr>
              <w:t>表 3-2其它污染物引用监测点位基本信息表</w:t>
            </w:r>
          </w:p>
          <w:tbl>
            <w:tblPr>
              <w:tblStyle w:val="28"/>
              <w:tblW w:w="81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40"/>
              <w:gridCol w:w="1978"/>
              <w:gridCol w:w="1301"/>
              <w:gridCol w:w="1304"/>
              <w:gridCol w:w="1517"/>
              <w:gridCol w:w="1517"/>
            </w:tblGrid>
            <w:tr w14:paraId="14CA1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31" w:type="pct"/>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5C8146DF">
                  <w:pPr>
                    <w:adjustRightInd w:val="0"/>
                    <w:snapToGrid w:val="0"/>
                    <w:jc w:val="center"/>
                    <w:rPr>
                      <w:rFonts w:ascii="Times New Roman" w:hAnsi="Times New Roman" w:eastAsia="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编号</w:t>
                  </w:r>
                </w:p>
              </w:tc>
              <w:tc>
                <w:tcPr>
                  <w:tcW w:w="12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11090">
                  <w:pPr>
                    <w:adjustRightInd w:val="0"/>
                    <w:snapToGrid w:val="0"/>
                    <w:jc w:val="center"/>
                    <w:rPr>
                      <w:rFonts w:ascii="Times New Roman" w:hAnsi="Times New Roman" w:eastAsia="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坐标</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1B8F8">
                  <w:pPr>
                    <w:adjustRightInd w:val="0"/>
                    <w:snapToGrid w:val="0"/>
                    <w:jc w:val="center"/>
                    <w:rPr>
                      <w:rFonts w:ascii="Times New Roman" w:hAnsi="Times New Roman" w:eastAsia="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相对本项目方位</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4447C">
                  <w:pPr>
                    <w:adjustRightInd w:val="0"/>
                    <w:snapToGrid w:val="0"/>
                    <w:jc w:val="center"/>
                    <w:rPr>
                      <w:rFonts w:ascii="Times New Roman" w:hAnsi="Times New Roman" w:eastAsia="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与本项目距离</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5EE33">
                  <w:pPr>
                    <w:adjustRightInd w:val="0"/>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监测时段</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CF2D8">
                  <w:pPr>
                    <w:adjustRightInd w:val="0"/>
                    <w:snapToGrid w:val="0"/>
                    <w:jc w:val="center"/>
                    <w:rPr>
                      <w:rFonts w:ascii="Times New Roman" w:hAnsi="Times New Roman" w:eastAsia="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监测因子</w:t>
                  </w:r>
                </w:p>
              </w:tc>
            </w:tr>
            <w:tr w14:paraId="2C792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31" w:type="pct"/>
                  <w:vMerge w:val="restart"/>
                  <w:tcBorders>
                    <w:top w:val="single" w:color="000000" w:sz="4" w:space="0"/>
                    <w:left w:val="single" w:color="000000" w:sz="4" w:space="0"/>
                    <w:right w:val="single" w:color="000000" w:sz="4" w:space="0"/>
                  </w:tcBorders>
                  <w:shd w:val="clear" w:color="auto" w:fill="auto"/>
                  <w:vAlign w:val="center"/>
                </w:tcPr>
                <w:p w14:paraId="33B05830">
                  <w:pPr>
                    <w:adjustRightInd w:val="0"/>
                    <w:snapToGrid w:val="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Times New Roman"/>
                      <w:color w:val="000000" w:themeColor="text1"/>
                      <w:sz w:val="21"/>
                      <w:szCs w:val="21"/>
                      <w14:textFill>
                        <w14:solidFill>
                          <w14:schemeClr w14:val="tx1"/>
                        </w14:solidFill>
                      </w14:textFill>
                    </w:rPr>
                    <w:t>G</w:t>
                  </w:r>
                  <w:r>
                    <w:rPr>
                      <w:rFonts w:hint="eastAsia" w:ascii="Times New Roman" w:hAnsi="Times New Roman" w:eastAsia="宋体"/>
                      <w:color w:val="000000" w:themeColor="text1"/>
                      <w:sz w:val="21"/>
                      <w:szCs w:val="21"/>
                      <w:lang w:val="en-US" w:eastAsia="zh-CN"/>
                      <w14:textFill>
                        <w14:solidFill>
                          <w14:schemeClr w14:val="tx1"/>
                        </w14:solidFill>
                      </w14:textFill>
                    </w:rPr>
                    <w:t>1</w:t>
                  </w:r>
                  <w:r>
                    <w:rPr>
                      <w:rFonts w:ascii="宋体" w:hAnsi="宋体" w:eastAsia="宋体" w:cs="宋体"/>
                      <w:b w:val="0"/>
                      <w:bCs w:val="0"/>
                      <w:color w:val="000000"/>
                      <w:sz w:val="21"/>
                      <w:szCs w:val="21"/>
                    </w:rPr>
                    <w:t>纵楼村</w:t>
                  </w:r>
                </w:p>
              </w:tc>
              <w:tc>
                <w:tcPr>
                  <w:tcW w:w="1212" w:type="pct"/>
                  <w:vMerge w:val="restart"/>
                  <w:tcBorders>
                    <w:top w:val="single" w:color="000000" w:sz="4" w:space="0"/>
                    <w:left w:val="single" w:color="000000" w:sz="4" w:space="0"/>
                    <w:right w:val="single" w:color="000000" w:sz="4" w:space="0"/>
                  </w:tcBorders>
                  <w:shd w:val="clear" w:color="auto" w:fill="auto"/>
                  <w:vAlign w:val="center"/>
                </w:tcPr>
                <w:p w14:paraId="433D5836">
                  <w:pPr>
                    <w:adjustRightInd w:val="0"/>
                    <w:snapToGrid w:val="0"/>
                    <w:jc w:val="center"/>
                    <w:rPr>
                      <w:rFonts w:ascii="Times New Roman" w:hAnsi="Times New Roman"/>
                      <w:bCs/>
                      <w:color w:val="000000" w:themeColor="text1"/>
                      <w:sz w:val="21"/>
                      <w:szCs w:val="21"/>
                      <w:highlight w:val="none"/>
                      <w14:textFill>
                        <w14:solidFill>
                          <w14:schemeClr w14:val="tx1"/>
                        </w14:solidFill>
                      </w14:textFill>
                    </w:rPr>
                  </w:pPr>
                  <w:r>
                    <w:rPr>
                      <w:rFonts w:ascii="Times New Roman" w:hAnsi="Times New Roman" w:eastAsia="Times New Roman"/>
                      <w:bCs/>
                      <w:color w:val="000000" w:themeColor="text1"/>
                      <w:sz w:val="21"/>
                      <w:szCs w:val="21"/>
                      <w:highlight w:val="none"/>
                      <w14:textFill>
                        <w14:solidFill>
                          <w14:schemeClr w14:val="tx1"/>
                        </w14:solidFill>
                      </w14:textFill>
                    </w:rPr>
                    <w:t>116°5</w:t>
                  </w:r>
                  <w:r>
                    <w:rPr>
                      <w:rFonts w:hint="eastAsia" w:eastAsia="宋体"/>
                      <w:bCs/>
                      <w:color w:val="000000" w:themeColor="text1"/>
                      <w:sz w:val="21"/>
                      <w:szCs w:val="21"/>
                      <w:highlight w:val="none"/>
                      <w:lang w:val="en-US" w:eastAsia="zh-CN"/>
                      <w14:textFill>
                        <w14:solidFill>
                          <w14:schemeClr w14:val="tx1"/>
                        </w14:solidFill>
                      </w14:textFill>
                    </w:rPr>
                    <w:t>0</w:t>
                  </w:r>
                  <w:r>
                    <w:rPr>
                      <w:rFonts w:ascii="Times New Roman" w:hAnsi="Times New Roman" w:eastAsia="Times New Roman"/>
                      <w:bCs/>
                      <w:color w:val="000000" w:themeColor="text1"/>
                      <w:sz w:val="21"/>
                      <w:szCs w:val="21"/>
                      <w:highlight w:val="none"/>
                      <w14:textFill>
                        <w14:solidFill>
                          <w14:schemeClr w14:val="tx1"/>
                        </w14:solidFill>
                      </w14:textFill>
                    </w:rPr>
                    <w:t>′</w:t>
                  </w:r>
                  <w:r>
                    <w:rPr>
                      <w:rFonts w:hint="eastAsia" w:eastAsia="宋体"/>
                      <w:bCs/>
                      <w:color w:val="000000" w:themeColor="text1"/>
                      <w:sz w:val="21"/>
                      <w:szCs w:val="21"/>
                      <w:highlight w:val="none"/>
                      <w:lang w:val="en-US" w:eastAsia="zh-CN"/>
                      <w14:textFill>
                        <w14:solidFill>
                          <w14:schemeClr w14:val="tx1"/>
                        </w14:solidFill>
                      </w14:textFill>
                    </w:rPr>
                    <w:t>54</w:t>
                  </w:r>
                  <w:r>
                    <w:rPr>
                      <w:rFonts w:ascii="Times New Roman" w:hAnsi="Times New Roman" w:eastAsia="Times New Roman"/>
                      <w:bCs/>
                      <w:color w:val="000000" w:themeColor="text1"/>
                      <w:sz w:val="21"/>
                      <w:szCs w:val="21"/>
                      <w:highlight w:val="none"/>
                      <w14:textFill>
                        <w14:solidFill>
                          <w14:schemeClr w14:val="tx1"/>
                        </w14:solidFill>
                      </w14:textFill>
                    </w:rPr>
                    <w:t>.0</w:t>
                  </w:r>
                  <w:r>
                    <w:rPr>
                      <w:rFonts w:hint="eastAsia" w:eastAsia="宋体"/>
                      <w:bCs/>
                      <w:color w:val="000000" w:themeColor="text1"/>
                      <w:sz w:val="21"/>
                      <w:szCs w:val="21"/>
                      <w:highlight w:val="none"/>
                      <w:lang w:val="en-US" w:eastAsia="zh-CN"/>
                      <w14:textFill>
                        <w14:solidFill>
                          <w14:schemeClr w14:val="tx1"/>
                        </w14:solidFill>
                      </w14:textFill>
                    </w:rPr>
                    <w:t>63</w:t>
                  </w:r>
                  <w:r>
                    <w:rPr>
                      <w:rFonts w:ascii="Times New Roman" w:hAnsi="Times New Roman" w:eastAsia="Times New Roman"/>
                      <w:bCs/>
                      <w:color w:val="000000" w:themeColor="text1"/>
                      <w:sz w:val="21"/>
                      <w:szCs w:val="21"/>
                      <w:highlight w:val="none"/>
                      <w14:textFill>
                        <w14:solidFill>
                          <w14:schemeClr w14:val="tx1"/>
                        </w14:solidFill>
                      </w14:textFill>
                    </w:rPr>
                    <w:t>″</w:t>
                  </w:r>
                </w:p>
                <w:p w14:paraId="05F684AD">
                  <w:pPr>
                    <w:adjustRightInd w:val="0"/>
                    <w:snapToGrid w:val="0"/>
                    <w:jc w:val="center"/>
                    <w:rPr>
                      <w:rFonts w:ascii="Times New Roman" w:hAnsi="Times New Roman"/>
                      <w:bCs/>
                      <w:color w:val="000000" w:themeColor="text1"/>
                      <w:sz w:val="21"/>
                      <w:szCs w:val="21"/>
                      <w:highlight w:val="yellow"/>
                      <w14:textFill>
                        <w14:solidFill>
                          <w14:schemeClr w14:val="tx1"/>
                        </w14:solidFill>
                      </w14:textFill>
                    </w:rPr>
                  </w:pPr>
                  <w:r>
                    <w:rPr>
                      <w:rFonts w:ascii="Times New Roman" w:hAnsi="Times New Roman" w:eastAsia="Times New Roman"/>
                      <w:bCs/>
                      <w:color w:val="000000" w:themeColor="text1"/>
                      <w:sz w:val="21"/>
                      <w:szCs w:val="21"/>
                      <w:highlight w:val="none"/>
                      <w14:textFill>
                        <w14:solidFill>
                          <w14:schemeClr w14:val="tx1"/>
                        </w14:solidFill>
                      </w14:textFill>
                    </w:rPr>
                    <w:t>34°</w:t>
                  </w:r>
                  <w:r>
                    <w:rPr>
                      <w:rFonts w:hint="eastAsia" w:eastAsia="宋体"/>
                      <w:bCs/>
                      <w:color w:val="000000" w:themeColor="text1"/>
                      <w:sz w:val="21"/>
                      <w:szCs w:val="21"/>
                      <w:highlight w:val="none"/>
                      <w:lang w:val="en-US" w:eastAsia="zh-CN"/>
                      <w14:textFill>
                        <w14:solidFill>
                          <w14:schemeClr w14:val="tx1"/>
                        </w14:solidFill>
                      </w14:textFill>
                    </w:rPr>
                    <w:t>4</w:t>
                  </w:r>
                  <w:r>
                    <w:rPr>
                      <w:rFonts w:ascii="Times New Roman" w:hAnsi="Times New Roman" w:eastAsia="Times New Roman"/>
                      <w:bCs/>
                      <w:color w:val="000000" w:themeColor="text1"/>
                      <w:sz w:val="21"/>
                      <w:szCs w:val="21"/>
                      <w:highlight w:val="none"/>
                      <w14:textFill>
                        <w14:solidFill>
                          <w14:schemeClr w14:val="tx1"/>
                        </w14:solidFill>
                      </w14:textFill>
                    </w:rPr>
                    <w:t>′</w:t>
                  </w:r>
                  <w:r>
                    <w:rPr>
                      <w:rFonts w:hint="eastAsia" w:eastAsia="宋体"/>
                      <w:bCs/>
                      <w:color w:val="000000" w:themeColor="text1"/>
                      <w:sz w:val="21"/>
                      <w:szCs w:val="21"/>
                      <w:highlight w:val="none"/>
                      <w:lang w:val="en-US" w:eastAsia="zh-CN"/>
                      <w14:textFill>
                        <w14:solidFill>
                          <w14:schemeClr w14:val="tx1"/>
                        </w14:solidFill>
                      </w14:textFill>
                    </w:rPr>
                    <w:t>34</w:t>
                  </w:r>
                  <w:r>
                    <w:rPr>
                      <w:rFonts w:ascii="Times New Roman" w:hAnsi="Times New Roman" w:eastAsia="Times New Roman"/>
                      <w:bCs/>
                      <w:color w:val="000000" w:themeColor="text1"/>
                      <w:sz w:val="21"/>
                      <w:szCs w:val="21"/>
                      <w:highlight w:val="none"/>
                      <w14:textFill>
                        <w14:solidFill>
                          <w14:schemeClr w14:val="tx1"/>
                        </w14:solidFill>
                      </w14:textFill>
                    </w:rPr>
                    <w:t>.</w:t>
                  </w:r>
                  <w:r>
                    <w:rPr>
                      <w:rFonts w:hint="eastAsia" w:eastAsia="宋体"/>
                      <w:bCs/>
                      <w:color w:val="000000" w:themeColor="text1"/>
                      <w:sz w:val="21"/>
                      <w:szCs w:val="21"/>
                      <w:highlight w:val="none"/>
                      <w:lang w:val="en-US" w:eastAsia="zh-CN"/>
                      <w14:textFill>
                        <w14:solidFill>
                          <w14:schemeClr w14:val="tx1"/>
                        </w14:solidFill>
                      </w14:textFill>
                    </w:rPr>
                    <w:t>276</w:t>
                  </w:r>
                  <w:r>
                    <w:rPr>
                      <w:rFonts w:ascii="Times New Roman" w:hAnsi="Times New Roman" w:eastAsia="Times New Roman"/>
                      <w:bCs/>
                      <w:color w:val="000000" w:themeColor="text1"/>
                      <w:sz w:val="21"/>
                      <w:szCs w:val="21"/>
                      <w:highlight w:val="none"/>
                      <w14:textFill>
                        <w14:solidFill>
                          <w14:schemeClr w14:val="tx1"/>
                        </w14:solidFill>
                      </w14:textFill>
                    </w:rPr>
                    <w:t>″</w:t>
                  </w:r>
                </w:p>
              </w:tc>
              <w:tc>
                <w:tcPr>
                  <w:tcW w:w="797" w:type="pct"/>
                  <w:vMerge w:val="restart"/>
                  <w:tcBorders>
                    <w:top w:val="single" w:color="000000" w:sz="4" w:space="0"/>
                    <w:left w:val="single" w:color="000000" w:sz="4" w:space="0"/>
                    <w:right w:val="single" w:color="000000" w:sz="4" w:space="0"/>
                  </w:tcBorders>
                  <w:shd w:val="clear" w:color="auto" w:fill="auto"/>
                  <w:vAlign w:val="center"/>
                </w:tcPr>
                <w:p w14:paraId="2F60F0F7">
                  <w:pPr>
                    <w:adjustRightInd w:val="0"/>
                    <w:snapToGrid w:val="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东</w:t>
                  </w:r>
                  <w:r>
                    <w:rPr>
                      <w:rFonts w:hint="eastAsia"/>
                      <w:bCs/>
                      <w:color w:val="000000" w:themeColor="text1"/>
                      <w:sz w:val="21"/>
                      <w:szCs w:val="21"/>
                      <w:highlight w:val="none"/>
                      <w:lang w:val="en-US" w:eastAsia="zh-CN"/>
                      <w14:textFill>
                        <w14:solidFill>
                          <w14:schemeClr w14:val="tx1"/>
                        </w14:solidFill>
                      </w14:textFill>
                    </w:rPr>
                    <w:t>北</w:t>
                  </w:r>
                </w:p>
              </w:tc>
              <w:tc>
                <w:tcPr>
                  <w:tcW w:w="799" w:type="pct"/>
                  <w:vMerge w:val="restart"/>
                  <w:tcBorders>
                    <w:top w:val="single" w:color="000000" w:sz="4" w:space="0"/>
                    <w:left w:val="single" w:color="000000" w:sz="4" w:space="0"/>
                    <w:right w:val="single" w:color="000000" w:sz="4" w:space="0"/>
                  </w:tcBorders>
                  <w:shd w:val="clear" w:color="auto" w:fill="auto"/>
                  <w:vAlign w:val="center"/>
                </w:tcPr>
                <w:p w14:paraId="15B21C9D">
                  <w:pPr>
                    <w:adjustRightInd w:val="0"/>
                    <w:snapToGrid w:val="0"/>
                    <w:jc w:val="center"/>
                    <w:rPr>
                      <w:rFonts w:ascii="Times New Roman" w:hAnsi="Times New Roman" w:eastAsia="Times New Roman"/>
                      <w:bCs/>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lang w:val="en-US" w:eastAsia="zh-CN"/>
                      <w14:textFill>
                        <w14:solidFill>
                          <w14:schemeClr w14:val="tx1"/>
                        </w14:solidFill>
                      </w14:textFill>
                    </w:rPr>
                    <w:t>4032</w:t>
                  </w:r>
                  <w:r>
                    <w:rPr>
                      <w:rFonts w:ascii="Times New Roman" w:hAnsi="Times New Roman" w:eastAsia="Times New Roman"/>
                      <w:bCs/>
                      <w:color w:val="000000" w:themeColor="text1"/>
                      <w:sz w:val="21"/>
                      <w:szCs w:val="21"/>
                      <w:highlight w:val="none"/>
                      <w14:textFill>
                        <w14:solidFill>
                          <w14:schemeClr w14:val="tx1"/>
                        </w14:solidFill>
                      </w14:textFill>
                    </w:rPr>
                    <w:t>m</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943EC">
                  <w:pPr>
                    <w:adjustRightInd w:val="0"/>
                    <w:snapToGrid w:val="0"/>
                    <w:jc w:val="center"/>
                    <w:rPr>
                      <w:rFonts w:hint="eastAsia"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日均值</w:t>
                  </w:r>
                </w:p>
              </w:tc>
              <w:tc>
                <w:tcPr>
                  <w:tcW w:w="929" w:type="pct"/>
                  <w:tcBorders>
                    <w:top w:val="single" w:color="000000" w:sz="4" w:space="0"/>
                    <w:left w:val="single" w:color="000000" w:sz="4" w:space="0"/>
                    <w:right w:val="single" w:color="000000" w:sz="4" w:space="0"/>
                  </w:tcBorders>
                  <w:shd w:val="clear" w:color="auto" w:fill="auto"/>
                  <w:vAlign w:val="center"/>
                </w:tcPr>
                <w:p w14:paraId="282EB7D9">
                  <w:pPr>
                    <w:adjustRightInd w:val="0"/>
                    <w:snapToGrid w:val="0"/>
                    <w:jc w:val="center"/>
                    <w:rPr>
                      <w:rFonts w:ascii="Times New Roman" w:hAnsi="Times New Roman" w:eastAsia="Times New Roman"/>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TSP</w:t>
                  </w:r>
                </w:p>
              </w:tc>
            </w:tr>
            <w:tr w14:paraId="59BE3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31" w:type="pct"/>
                  <w:vMerge w:val="continue"/>
                  <w:tcBorders>
                    <w:left w:val="single" w:color="000000" w:sz="4" w:space="0"/>
                    <w:bottom w:val="single" w:color="000000" w:sz="4" w:space="0"/>
                    <w:right w:val="single" w:color="000000" w:sz="4" w:space="0"/>
                  </w:tcBorders>
                  <w:shd w:val="clear" w:color="auto" w:fill="auto"/>
                  <w:vAlign w:val="center"/>
                </w:tcPr>
                <w:p w14:paraId="6F816CED">
                  <w:pPr>
                    <w:adjustRightInd w:val="0"/>
                    <w:snapToGrid w:val="0"/>
                    <w:jc w:val="center"/>
                    <w:rPr>
                      <w:sz w:val="21"/>
                      <w:szCs w:val="21"/>
                    </w:rPr>
                  </w:pPr>
                </w:p>
              </w:tc>
              <w:tc>
                <w:tcPr>
                  <w:tcW w:w="1212" w:type="pct"/>
                  <w:vMerge w:val="continue"/>
                  <w:tcBorders>
                    <w:left w:val="single" w:color="000000" w:sz="4" w:space="0"/>
                    <w:bottom w:val="single" w:color="000000" w:sz="4" w:space="0"/>
                    <w:right w:val="single" w:color="000000" w:sz="4" w:space="0"/>
                  </w:tcBorders>
                  <w:shd w:val="clear" w:color="auto" w:fill="auto"/>
                  <w:vAlign w:val="center"/>
                </w:tcPr>
                <w:p w14:paraId="43634243">
                  <w:pPr>
                    <w:adjustRightInd w:val="0"/>
                    <w:snapToGrid w:val="0"/>
                    <w:jc w:val="center"/>
                    <w:rPr>
                      <w:sz w:val="21"/>
                      <w:szCs w:val="21"/>
                    </w:rPr>
                  </w:pPr>
                </w:p>
              </w:tc>
              <w:tc>
                <w:tcPr>
                  <w:tcW w:w="797" w:type="pct"/>
                  <w:vMerge w:val="continue"/>
                  <w:tcBorders>
                    <w:left w:val="single" w:color="000000" w:sz="4" w:space="0"/>
                    <w:bottom w:val="single" w:color="000000" w:sz="4" w:space="0"/>
                    <w:right w:val="single" w:color="000000" w:sz="4" w:space="0"/>
                  </w:tcBorders>
                  <w:shd w:val="clear" w:color="auto" w:fill="auto"/>
                  <w:vAlign w:val="center"/>
                </w:tcPr>
                <w:p w14:paraId="02574A3F">
                  <w:pPr>
                    <w:adjustRightInd w:val="0"/>
                    <w:snapToGrid w:val="0"/>
                    <w:jc w:val="center"/>
                    <w:rPr>
                      <w:sz w:val="21"/>
                      <w:szCs w:val="21"/>
                    </w:rPr>
                  </w:pPr>
                </w:p>
              </w:tc>
              <w:tc>
                <w:tcPr>
                  <w:tcW w:w="799" w:type="pct"/>
                  <w:vMerge w:val="continue"/>
                  <w:tcBorders>
                    <w:left w:val="single" w:color="000000" w:sz="4" w:space="0"/>
                    <w:bottom w:val="single" w:color="000000" w:sz="4" w:space="0"/>
                    <w:right w:val="single" w:color="000000" w:sz="4" w:space="0"/>
                  </w:tcBorders>
                  <w:shd w:val="clear" w:color="auto" w:fill="auto"/>
                  <w:vAlign w:val="center"/>
                </w:tcPr>
                <w:p w14:paraId="273F754D">
                  <w:pPr>
                    <w:adjustRightInd w:val="0"/>
                    <w:snapToGrid w:val="0"/>
                    <w:jc w:val="center"/>
                    <w:rPr>
                      <w:sz w:val="21"/>
                      <w:szCs w:val="21"/>
                    </w:rPr>
                  </w:pP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1C823">
                  <w:pPr>
                    <w:adjustRightInd w:val="0"/>
                    <w:snapToGrid w:val="0"/>
                    <w:jc w:val="center"/>
                    <w:rPr>
                      <w:rFonts w:hint="eastAsia"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一次值</w:t>
                  </w:r>
                </w:p>
              </w:tc>
              <w:tc>
                <w:tcPr>
                  <w:tcW w:w="929" w:type="pct"/>
                  <w:tcBorders>
                    <w:left w:val="single" w:color="000000" w:sz="4" w:space="0"/>
                    <w:bottom w:val="single" w:color="000000" w:sz="4" w:space="0"/>
                    <w:right w:val="single" w:color="000000" w:sz="4" w:space="0"/>
                  </w:tcBorders>
                  <w:shd w:val="clear" w:color="auto" w:fill="auto"/>
                  <w:vAlign w:val="center"/>
                </w:tcPr>
                <w:p w14:paraId="6FD095B4">
                  <w:pPr>
                    <w:adjustRightInd w:val="0"/>
                    <w:snapToGrid w:val="0"/>
                    <w:jc w:val="center"/>
                    <w:rPr>
                      <w:rFonts w:hint="eastAsia" w:ascii="Times New Roman" w:hAnsi="Times New Roman"/>
                      <w:bCs/>
                      <w:color w:val="000000" w:themeColor="text1"/>
                      <w:sz w:val="21"/>
                      <w:szCs w:val="21"/>
                      <w:lang w:val="en-US" w:eastAsia="zh-CN"/>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非甲烷总烃</w:t>
                  </w:r>
                </w:p>
              </w:tc>
            </w:tr>
          </w:tbl>
          <w:p w14:paraId="048A146E">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表 3-3 其它污染物环境质量现状（监测结果）表</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73"/>
              <w:gridCol w:w="1748"/>
              <w:gridCol w:w="1077"/>
              <w:gridCol w:w="426"/>
              <w:gridCol w:w="3"/>
              <w:gridCol w:w="1229"/>
              <w:gridCol w:w="1270"/>
              <w:gridCol w:w="854"/>
              <w:gridCol w:w="534"/>
              <w:gridCol w:w="539"/>
            </w:tblGrid>
            <w:tr w14:paraId="5AE1C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9" w:hRule="atLeast"/>
                <w:jc w:val="center"/>
              </w:trPr>
              <w:tc>
                <w:tcPr>
                  <w:tcW w:w="288" w:type="pct"/>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2F7B9B0A">
                  <w:pPr>
                    <w:adjustRightInd w:val="0"/>
                    <w:snapToGrid w:val="0"/>
                    <w:jc w:val="center"/>
                    <w:rPr>
                      <w:rFonts w:ascii="Times New Roman" w:hAnsi="Times New Roman" w:eastAsia="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编号</w:t>
                  </w:r>
                </w:p>
              </w:tc>
              <w:tc>
                <w:tcPr>
                  <w:tcW w:w="1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8C683">
                  <w:pPr>
                    <w:adjustRightInd w:val="0"/>
                    <w:snapToGrid w:val="0"/>
                    <w:jc w:val="center"/>
                    <w:rPr>
                      <w:rFonts w:ascii="Times New Roman" w:hAnsi="Times New Roman" w:eastAsia="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坐标</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7234D">
                  <w:pPr>
                    <w:adjustRightInd w:val="0"/>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污染物</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DF876">
                  <w:pPr>
                    <w:adjustRightInd w:val="0"/>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时间</w:t>
                  </w:r>
                </w:p>
              </w:tc>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513488">
                  <w:pPr>
                    <w:adjustRightInd w:val="0"/>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评价标准（</w:t>
                  </w:r>
                  <w:r>
                    <w:rPr>
                      <w:rFonts w:hint="eastAsia" w:ascii="Times New Roman" w:hAnsi="Times New Roman"/>
                      <w:color w:val="000000" w:themeColor="text1"/>
                      <w:sz w:val="21"/>
                      <w:szCs w:val="21"/>
                      <w:lang w:val="en-US" w:eastAsia="zh-CN"/>
                      <w14:textFill>
                        <w14:solidFill>
                          <w14:schemeClr w14:val="tx1"/>
                        </w14:solidFill>
                      </w14:textFill>
                    </w:rPr>
                    <w:t>mg/m3</w:t>
                  </w:r>
                  <w:r>
                    <w:rPr>
                      <w:rFonts w:hint="eastAsia" w:ascii="Times New Roman" w:hAnsi="Times New Roman"/>
                      <w:color w:val="000000" w:themeColor="text1"/>
                      <w:sz w:val="21"/>
                      <w:szCs w:val="21"/>
                      <w:lang w:eastAsia="zh-CN"/>
                      <w14:textFill>
                        <w14:solidFill>
                          <w14:schemeClr w14:val="tx1"/>
                        </w14:solidFill>
                      </w14:textFill>
                    </w:rPr>
                    <w:t>）</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B3180">
                  <w:pPr>
                    <w:adjustRightInd w:val="0"/>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监测</w:t>
                  </w:r>
                  <w:r>
                    <w:rPr>
                      <w:rFonts w:hint="eastAsia" w:ascii="Times New Roman" w:hAnsi="Times New Roman"/>
                      <w:color w:val="000000" w:themeColor="text1"/>
                      <w:sz w:val="21"/>
                      <w:szCs w:val="21"/>
                      <w:lang w:eastAsia="zh-CN"/>
                      <w14:textFill>
                        <w14:solidFill>
                          <w14:schemeClr w14:val="tx1"/>
                        </w14:solidFill>
                      </w14:textFill>
                    </w:rPr>
                    <w:t>浓度（</w:t>
                  </w:r>
                  <w:r>
                    <w:rPr>
                      <w:rFonts w:hint="eastAsia" w:ascii="Times New Roman" w:hAnsi="Times New Roman"/>
                      <w:color w:val="000000" w:themeColor="text1"/>
                      <w:sz w:val="21"/>
                      <w:szCs w:val="21"/>
                      <w:lang w:val="en-US" w:eastAsia="zh-CN"/>
                      <w14:textFill>
                        <w14:solidFill>
                          <w14:schemeClr w14:val="tx1"/>
                        </w14:solidFill>
                      </w14:textFill>
                    </w:rPr>
                    <w:t>mg/m3</w:t>
                  </w:r>
                  <w:r>
                    <w:rPr>
                      <w:rFonts w:hint="eastAsia" w:ascii="Times New Roman" w:hAnsi="Times New Roman"/>
                      <w:color w:val="000000" w:themeColor="text1"/>
                      <w:sz w:val="21"/>
                      <w:szCs w:val="21"/>
                      <w:lang w:eastAsia="zh-CN"/>
                      <w14:textFill>
                        <w14:solidFill>
                          <w14:schemeClr w14:val="tx1"/>
                        </w14:solidFill>
                      </w14:textFill>
                    </w:rPr>
                    <w:t>）</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78128">
                  <w:pPr>
                    <w:adjustRightInd w:val="0"/>
                    <w:snapToGrid w:val="0"/>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最大浓度占标率</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D2A4">
                  <w:pPr>
                    <w:adjustRightInd w:val="0"/>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超标率</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C480">
                  <w:pPr>
                    <w:adjustRightInd w:val="0"/>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达标情况</w:t>
                  </w:r>
                </w:p>
              </w:tc>
            </w:tr>
            <w:tr w14:paraId="251C9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88" w:type="pct"/>
                  <w:vMerge w:val="restart"/>
                  <w:tcBorders>
                    <w:top w:val="single" w:color="000000" w:sz="4" w:space="0"/>
                    <w:left w:val="single" w:color="000000" w:sz="4" w:space="0"/>
                    <w:right w:val="single" w:color="000000" w:sz="4" w:space="0"/>
                  </w:tcBorders>
                  <w:shd w:val="clear" w:color="auto" w:fill="auto"/>
                  <w:vAlign w:val="center"/>
                </w:tcPr>
                <w:p w14:paraId="3880CDD6">
                  <w:pPr>
                    <w:adjustRightInd w:val="0"/>
                    <w:snapToGrid w:val="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Times New Roman"/>
                      <w:color w:val="000000" w:themeColor="text1"/>
                      <w:sz w:val="21"/>
                      <w:szCs w:val="21"/>
                      <w14:textFill>
                        <w14:solidFill>
                          <w14:schemeClr w14:val="tx1"/>
                        </w14:solidFill>
                      </w14:textFill>
                    </w:rPr>
                    <w:t>G</w:t>
                  </w:r>
                  <w:r>
                    <w:rPr>
                      <w:rFonts w:hint="eastAsia" w:ascii="Times New Roman" w:hAnsi="Times New Roman" w:eastAsia="宋体"/>
                      <w:color w:val="000000" w:themeColor="text1"/>
                      <w:sz w:val="21"/>
                      <w:szCs w:val="21"/>
                      <w:lang w:val="en-US" w:eastAsia="zh-CN"/>
                      <w14:textFill>
                        <w14:solidFill>
                          <w14:schemeClr w14:val="tx1"/>
                        </w14:solidFill>
                      </w14:textFill>
                    </w:rPr>
                    <w:t>1</w:t>
                  </w:r>
                  <w:r>
                    <w:rPr>
                      <w:rFonts w:ascii="宋体" w:hAnsi="宋体" w:eastAsia="宋体" w:cs="宋体"/>
                      <w:b w:val="0"/>
                      <w:bCs w:val="0"/>
                      <w:color w:val="000000"/>
                      <w:sz w:val="21"/>
                      <w:szCs w:val="21"/>
                    </w:rPr>
                    <w:t>纵楼村</w:t>
                  </w:r>
                </w:p>
              </w:tc>
              <w:tc>
                <w:tcPr>
                  <w:tcW w:w="1108" w:type="pct"/>
                  <w:vMerge w:val="restart"/>
                  <w:tcBorders>
                    <w:top w:val="single" w:color="000000" w:sz="4" w:space="0"/>
                    <w:left w:val="single" w:color="000000" w:sz="4" w:space="0"/>
                    <w:right w:val="single" w:color="000000" w:sz="4" w:space="0"/>
                  </w:tcBorders>
                  <w:shd w:val="clear" w:color="auto" w:fill="auto"/>
                  <w:vAlign w:val="center"/>
                </w:tcPr>
                <w:p w14:paraId="21C86096">
                  <w:pPr>
                    <w:adjustRightInd w:val="0"/>
                    <w:snapToGrid w:val="0"/>
                    <w:jc w:val="center"/>
                    <w:rPr>
                      <w:rFonts w:ascii="Times New Roman" w:hAnsi="Times New Roman"/>
                      <w:bCs/>
                      <w:color w:val="000000" w:themeColor="text1"/>
                      <w:sz w:val="21"/>
                      <w:szCs w:val="21"/>
                      <w:highlight w:val="none"/>
                      <w14:textFill>
                        <w14:solidFill>
                          <w14:schemeClr w14:val="tx1"/>
                        </w14:solidFill>
                      </w14:textFill>
                    </w:rPr>
                  </w:pPr>
                  <w:r>
                    <w:rPr>
                      <w:rFonts w:ascii="Times New Roman" w:hAnsi="Times New Roman" w:eastAsia="Times New Roman"/>
                      <w:bCs/>
                      <w:color w:val="000000" w:themeColor="text1"/>
                      <w:sz w:val="21"/>
                      <w:szCs w:val="21"/>
                      <w:highlight w:val="none"/>
                      <w14:textFill>
                        <w14:solidFill>
                          <w14:schemeClr w14:val="tx1"/>
                        </w14:solidFill>
                      </w14:textFill>
                    </w:rPr>
                    <w:t>116°5</w:t>
                  </w:r>
                  <w:r>
                    <w:rPr>
                      <w:rFonts w:hint="eastAsia" w:eastAsia="宋体"/>
                      <w:bCs/>
                      <w:color w:val="000000" w:themeColor="text1"/>
                      <w:sz w:val="21"/>
                      <w:szCs w:val="21"/>
                      <w:highlight w:val="none"/>
                      <w:lang w:val="en-US" w:eastAsia="zh-CN"/>
                      <w14:textFill>
                        <w14:solidFill>
                          <w14:schemeClr w14:val="tx1"/>
                        </w14:solidFill>
                      </w14:textFill>
                    </w:rPr>
                    <w:t>0</w:t>
                  </w:r>
                  <w:r>
                    <w:rPr>
                      <w:rFonts w:ascii="Times New Roman" w:hAnsi="Times New Roman" w:eastAsia="Times New Roman"/>
                      <w:bCs/>
                      <w:color w:val="000000" w:themeColor="text1"/>
                      <w:sz w:val="21"/>
                      <w:szCs w:val="21"/>
                      <w:highlight w:val="none"/>
                      <w14:textFill>
                        <w14:solidFill>
                          <w14:schemeClr w14:val="tx1"/>
                        </w14:solidFill>
                      </w14:textFill>
                    </w:rPr>
                    <w:t>′</w:t>
                  </w:r>
                  <w:r>
                    <w:rPr>
                      <w:rFonts w:hint="eastAsia" w:eastAsia="宋体"/>
                      <w:bCs/>
                      <w:color w:val="000000" w:themeColor="text1"/>
                      <w:sz w:val="21"/>
                      <w:szCs w:val="21"/>
                      <w:highlight w:val="none"/>
                      <w:lang w:val="en-US" w:eastAsia="zh-CN"/>
                      <w14:textFill>
                        <w14:solidFill>
                          <w14:schemeClr w14:val="tx1"/>
                        </w14:solidFill>
                      </w14:textFill>
                    </w:rPr>
                    <w:t>54</w:t>
                  </w:r>
                  <w:r>
                    <w:rPr>
                      <w:rFonts w:ascii="Times New Roman" w:hAnsi="Times New Roman" w:eastAsia="Times New Roman"/>
                      <w:bCs/>
                      <w:color w:val="000000" w:themeColor="text1"/>
                      <w:sz w:val="21"/>
                      <w:szCs w:val="21"/>
                      <w:highlight w:val="none"/>
                      <w14:textFill>
                        <w14:solidFill>
                          <w14:schemeClr w14:val="tx1"/>
                        </w14:solidFill>
                      </w14:textFill>
                    </w:rPr>
                    <w:t>.0</w:t>
                  </w:r>
                  <w:r>
                    <w:rPr>
                      <w:rFonts w:hint="eastAsia" w:eastAsia="宋体"/>
                      <w:bCs/>
                      <w:color w:val="000000" w:themeColor="text1"/>
                      <w:sz w:val="21"/>
                      <w:szCs w:val="21"/>
                      <w:highlight w:val="none"/>
                      <w:lang w:val="en-US" w:eastAsia="zh-CN"/>
                      <w14:textFill>
                        <w14:solidFill>
                          <w14:schemeClr w14:val="tx1"/>
                        </w14:solidFill>
                      </w14:textFill>
                    </w:rPr>
                    <w:t>63</w:t>
                  </w:r>
                  <w:r>
                    <w:rPr>
                      <w:rFonts w:ascii="Times New Roman" w:hAnsi="Times New Roman" w:eastAsia="Times New Roman"/>
                      <w:bCs/>
                      <w:color w:val="000000" w:themeColor="text1"/>
                      <w:sz w:val="21"/>
                      <w:szCs w:val="21"/>
                      <w:highlight w:val="none"/>
                      <w14:textFill>
                        <w14:solidFill>
                          <w14:schemeClr w14:val="tx1"/>
                        </w14:solidFill>
                      </w14:textFill>
                    </w:rPr>
                    <w:t>″</w:t>
                  </w:r>
                </w:p>
                <w:p w14:paraId="44157C37">
                  <w:pPr>
                    <w:adjustRightInd w:val="0"/>
                    <w:snapToGrid w:val="0"/>
                    <w:jc w:val="center"/>
                    <w:rPr>
                      <w:rFonts w:ascii="Times New Roman" w:hAnsi="Times New Roman"/>
                      <w:bCs/>
                      <w:color w:val="000000" w:themeColor="text1"/>
                      <w:sz w:val="21"/>
                      <w:szCs w:val="21"/>
                      <w:highlight w:val="yellow"/>
                      <w14:textFill>
                        <w14:solidFill>
                          <w14:schemeClr w14:val="tx1"/>
                        </w14:solidFill>
                      </w14:textFill>
                    </w:rPr>
                  </w:pPr>
                  <w:r>
                    <w:rPr>
                      <w:rFonts w:ascii="Times New Roman" w:hAnsi="Times New Roman" w:eastAsia="Times New Roman"/>
                      <w:bCs/>
                      <w:color w:val="000000" w:themeColor="text1"/>
                      <w:sz w:val="21"/>
                      <w:szCs w:val="21"/>
                      <w:highlight w:val="none"/>
                      <w14:textFill>
                        <w14:solidFill>
                          <w14:schemeClr w14:val="tx1"/>
                        </w14:solidFill>
                      </w14:textFill>
                    </w:rPr>
                    <w:t>34°</w:t>
                  </w:r>
                  <w:r>
                    <w:rPr>
                      <w:rFonts w:hint="eastAsia" w:eastAsia="宋体"/>
                      <w:bCs/>
                      <w:color w:val="000000" w:themeColor="text1"/>
                      <w:sz w:val="21"/>
                      <w:szCs w:val="21"/>
                      <w:highlight w:val="none"/>
                      <w:lang w:val="en-US" w:eastAsia="zh-CN"/>
                      <w14:textFill>
                        <w14:solidFill>
                          <w14:schemeClr w14:val="tx1"/>
                        </w14:solidFill>
                      </w14:textFill>
                    </w:rPr>
                    <w:t>4</w:t>
                  </w:r>
                  <w:r>
                    <w:rPr>
                      <w:rFonts w:ascii="Times New Roman" w:hAnsi="Times New Roman" w:eastAsia="Times New Roman"/>
                      <w:bCs/>
                      <w:color w:val="000000" w:themeColor="text1"/>
                      <w:sz w:val="21"/>
                      <w:szCs w:val="21"/>
                      <w:highlight w:val="none"/>
                      <w14:textFill>
                        <w14:solidFill>
                          <w14:schemeClr w14:val="tx1"/>
                        </w14:solidFill>
                      </w14:textFill>
                    </w:rPr>
                    <w:t>′</w:t>
                  </w:r>
                  <w:r>
                    <w:rPr>
                      <w:rFonts w:hint="eastAsia" w:eastAsia="宋体"/>
                      <w:bCs/>
                      <w:color w:val="000000" w:themeColor="text1"/>
                      <w:sz w:val="21"/>
                      <w:szCs w:val="21"/>
                      <w:highlight w:val="none"/>
                      <w:lang w:val="en-US" w:eastAsia="zh-CN"/>
                      <w14:textFill>
                        <w14:solidFill>
                          <w14:schemeClr w14:val="tx1"/>
                        </w14:solidFill>
                      </w14:textFill>
                    </w:rPr>
                    <w:t>34</w:t>
                  </w:r>
                  <w:r>
                    <w:rPr>
                      <w:rFonts w:ascii="Times New Roman" w:hAnsi="Times New Roman" w:eastAsia="Times New Roman"/>
                      <w:bCs/>
                      <w:color w:val="000000" w:themeColor="text1"/>
                      <w:sz w:val="21"/>
                      <w:szCs w:val="21"/>
                      <w:highlight w:val="none"/>
                      <w14:textFill>
                        <w14:solidFill>
                          <w14:schemeClr w14:val="tx1"/>
                        </w14:solidFill>
                      </w14:textFill>
                    </w:rPr>
                    <w:t>.</w:t>
                  </w:r>
                  <w:r>
                    <w:rPr>
                      <w:rFonts w:hint="eastAsia" w:eastAsia="宋体"/>
                      <w:bCs/>
                      <w:color w:val="000000" w:themeColor="text1"/>
                      <w:sz w:val="21"/>
                      <w:szCs w:val="21"/>
                      <w:highlight w:val="none"/>
                      <w:lang w:val="en-US" w:eastAsia="zh-CN"/>
                      <w14:textFill>
                        <w14:solidFill>
                          <w14:schemeClr w14:val="tx1"/>
                        </w14:solidFill>
                      </w14:textFill>
                    </w:rPr>
                    <w:t>276</w:t>
                  </w:r>
                  <w:r>
                    <w:rPr>
                      <w:rFonts w:ascii="Times New Roman" w:hAnsi="Times New Roman" w:eastAsia="Times New Roman"/>
                      <w:bCs/>
                      <w:color w:val="000000" w:themeColor="text1"/>
                      <w:sz w:val="21"/>
                      <w:szCs w:val="21"/>
                      <w:highlight w:val="none"/>
                      <w14:textFill>
                        <w14:solidFill>
                          <w14:schemeClr w14:val="tx1"/>
                        </w14:solidFill>
                      </w14:textFill>
                    </w:rPr>
                    <w:t>″</w:t>
                  </w:r>
                </w:p>
              </w:tc>
              <w:tc>
                <w:tcPr>
                  <w:tcW w:w="697" w:type="pct"/>
                  <w:tcBorders>
                    <w:top w:val="single" w:color="000000" w:sz="4" w:space="0"/>
                    <w:left w:val="single" w:color="000000" w:sz="4" w:space="0"/>
                    <w:right w:val="single" w:color="000000" w:sz="4" w:space="0"/>
                  </w:tcBorders>
                  <w:shd w:val="clear" w:color="auto" w:fill="auto"/>
                  <w:vAlign w:val="center"/>
                </w:tcPr>
                <w:p w14:paraId="3F52DBC3">
                  <w:pPr>
                    <w:adjustRightInd w:val="0"/>
                    <w:snapToGrid w:val="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TSP</w:t>
                  </w:r>
                </w:p>
              </w:tc>
              <w:tc>
                <w:tcPr>
                  <w:tcW w:w="299" w:type="pct"/>
                  <w:gridSpan w:val="2"/>
                  <w:tcBorders>
                    <w:top w:val="single" w:color="000000" w:sz="4" w:space="0"/>
                    <w:left w:val="single" w:color="000000" w:sz="4" w:space="0"/>
                    <w:right w:val="single" w:color="000000" w:sz="4" w:space="0"/>
                  </w:tcBorders>
                  <w:shd w:val="clear" w:color="auto" w:fill="auto"/>
                  <w:vAlign w:val="center"/>
                </w:tcPr>
                <w:p w14:paraId="69D3C9F8">
                  <w:pPr>
                    <w:adjustRightInd w:val="0"/>
                    <w:snapToGrid w:val="0"/>
                    <w:jc w:val="center"/>
                    <w:rPr>
                      <w:rFonts w:hint="eastAsia" w:ascii="Times New Roman" w:hAnsi="Times New Roman" w:eastAsia="宋体"/>
                      <w:bCs/>
                      <w:color w:val="000000" w:themeColor="text1"/>
                      <w:sz w:val="21"/>
                      <w:szCs w:val="21"/>
                      <w:highlight w:val="none"/>
                      <w:lang w:eastAsia="zh-CN"/>
                      <w14:textFill>
                        <w14:solidFill>
                          <w14:schemeClr w14:val="tx1"/>
                        </w14:solidFill>
                      </w14:textFill>
                    </w:rPr>
                  </w:pPr>
                  <w:r>
                    <w:rPr>
                      <w:rFonts w:hint="eastAsia" w:ascii="Times New Roman" w:hAnsi="Times New Roman" w:eastAsia="宋体"/>
                      <w:bCs/>
                      <w:color w:val="000000" w:themeColor="text1"/>
                      <w:sz w:val="21"/>
                      <w:szCs w:val="21"/>
                      <w:highlight w:val="none"/>
                      <w:lang w:eastAsia="zh-CN"/>
                      <w14:textFill>
                        <w14:solidFill>
                          <w14:schemeClr w14:val="tx1"/>
                        </w14:solidFill>
                      </w14:textFill>
                    </w:rPr>
                    <w:t>日均值</w:t>
                  </w:r>
                </w:p>
              </w:tc>
              <w:tc>
                <w:tcPr>
                  <w:tcW w:w="753" w:type="pct"/>
                  <w:tcBorders>
                    <w:top w:val="single" w:color="000000" w:sz="4" w:space="0"/>
                    <w:left w:val="single" w:color="000000" w:sz="4" w:space="0"/>
                    <w:right w:val="single" w:color="000000" w:sz="4" w:space="0"/>
                  </w:tcBorders>
                  <w:shd w:val="clear" w:color="auto" w:fill="auto"/>
                  <w:vAlign w:val="center"/>
                </w:tcPr>
                <w:p w14:paraId="17EC03EB">
                  <w:pPr>
                    <w:adjustRightInd w:val="0"/>
                    <w:snapToGrid w:val="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0.3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7A872">
                  <w:pPr>
                    <w:adjustRightInd w:val="0"/>
                    <w:snapToGrid w:val="0"/>
                    <w:jc w:val="center"/>
                    <w:rPr>
                      <w:rFonts w:hint="default"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0.101</w:t>
                  </w:r>
                  <w:r>
                    <w:rPr>
                      <w:rFonts w:ascii="TimesNewRomanPSMT" w:hAnsi="TimesNewRomanPSMT" w:eastAsia="TimesNewRomanPSMT" w:cs="TimesNewRomanPSMT"/>
                      <w:b w:val="0"/>
                      <w:bCs w:val="0"/>
                      <w:color w:val="000000"/>
                      <w:sz w:val="20"/>
                      <w:szCs w:val="20"/>
                    </w:rPr>
                    <w:t>~</w:t>
                  </w:r>
                  <w:r>
                    <w:rPr>
                      <w:rFonts w:hint="eastAsia" w:ascii="Times New Roman" w:hAnsi="Times New Roman"/>
                      <w:bCs/>
                      <w:color w:val="000000" w:themeColor="text1"/>
                      <w:sz w:val="21"/>
                      <w:szCs w:val="21"/>
                      <w:lang w:val="en-US" w:eastAsia="zh-CN"/>
                      <w14:textFill>
                        <w14:solidFill>
                          <w14:schemeClr w14:val="tx1"/>
                        </w14:solidFill>
                      </w14:textFill>
                    </w:rPr>
                    <w:t>0.136</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01F0E">
                  <w:pPr>
                    <w:adjustRightInd w:val="0"/>
                    <w:snapToGrid w:val="0"/>
                    <w:jc w:val="center"/>
                    <w:rPr>
                      <w:rFonts w:hint="default"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45.33</w:t>
                  </w:r>
                </w:p>
              </w:tc>
              <w:tc>
                <w:tcPr>
                  <w:tcW w:w="364" w:type="pct"/>
                  <w:tcBorders>
                    <w:top w:val="single" w:color="000000" w:sz="4" w:space="0"/>
                    <w:left w:val="single" w:color="000000" w:sz="4" w:space="0"/>
                    <w:right w:val="single" w:color="000000" w:sz="4" w:space="0"/>
                  </w:tcBorders>
                  <w:shd w:val="clear" w:color="auto" w:fill="auto"/>
                  <w:vAlign w:val="center"/>
                </w:tcPr>
                <w:p w14:paraId="12017BF3">
                  <w:pPr>
                    <w:adjustRightInd w:val="0"/>
                    <w:snapToGrid w:val="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c>
                <w:tcPr>
                  <w:tcW w:w="365" w:type="pct"/>
                  <w:tcBorders>
                    <w:top w:val="single" w:color="000000" w:sz="4" w:space="0"/>
                    <w:left w:val="single" w:color="000000" w:sz="4" w:space="0"/>
                    <w:right w:val="single" w:color="000000" w:sz="4" w:space="0"/>
                  </w:tcBorders>
                  <w:shd w:val="clear" w:color="auto" w:fill="auto"/>
                  <w:vAlign w:val="center"/>
                </w:tcPr>
                <w:p w14:paraId="641E91F5">
                  <w:pPr>
                    <w:adjustRightInd w:val="0"/>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达标</w:t>
                  </w:r>
                </w:p>
              </w:tc>
            </w:tr>
            <w:tr w14:paraId="75F35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88" w:type="pct"/>
                  <w:vMerge w:val="continue"/>
                  <w:tcBorders>
                    <w:left w:val="single" w:color="000000" w:sz="4" w:space="0"/>
                    <w:bottom w:val="single" w:color="000000" w:sz="4" w:space="0"/>
                    <w:right w:val="single" w:color="000000" w:sz="4" w:space="0"/>
                  </w:tcBorders>
                  <w:shd w:val="clear" w:color="auto" w:fill="auto"/>
                  <w:vAlign w:val="center"/>
                </w:tcPr>
                <w:p w14:paraId="5909E985">
                  <w:pPr>
                    <w:adjustRightInd w:val="0"/>
                    <w:snapToGrid w:val="0"/>
                    <w:jc w:val="center"/>
                    <w:rPr>
                      <w:sz w:val="21"/>
                      <w:szCs w:val="21"/>
                    </w:rPr>
                  </w:pPr>
                </w:p>
              </w:tc>
              <w:tc>
                <w:tcPr>
                  <w:tcW w:w="1108" w:type="pct"/>
                  <w:vMerge w:val="continue"/>
                  <w:tcBorders>
                    <w:left w:val="single" w:color="000000" w:sz="4" w:space="0"/>
                    <w:bottom w:val="single" w:color="000000" w:sz="4" w:space="0"/>
                    <w:right w:val="single" w:color="000000" w:sz="4" w:space="0"/>
                  </w:tcBorders>
                  <w:shd w:val="clear" w:color="auto" w:fill="auto"/>
                  <w:vAlign w:val="center"/>
                </w:tcPr>
                <w:p w14:paraId="669921C9">
                  <w:pPr>
                    <w:adjustRightInd w:val="0"/>
                    <w:snapToGrid w:val="0"/>
                    <w:jc w:val="center"/>
                    <w:rPr>
                      <w:sz w:val="21"/>
                      <w:szCs w:val="21"/>
                    </w:rPr>
                  </w:pPr>
                </w:p>
              </w:tc>
              <w:tc>
                <w:tcPr>
                  <w:tcW w:w="697" w:type="pct"/>
                  <w:tcBorders>
                    <w:left w:val="single" w:color="000000" w:sz="4" w:space="0"/>
                    <w:bottom w:val="single" w:color="000000" w:sz="4" w:space="0"/>
                    <w:right w:val="single" w:color="000000" w:sz="4" w:space="0"/>
                  </w:tcBorders>
                  <w:shd w:val="clear" w:color="auto" w:fill="auto"/>
                  <w:vAlign w:val="center"/>
                </w:tcPr>
                <w:p w14:paraId="200D05B9">
                  <w:pPr>
                    <w:adjustRightInd w:val="0"/>
                    <w:snapToGrid w:val="0"/>
                    <w:jc w:val="center"/>
                    <w:rPr>
                      <w:rFonts w:hint="eastAsia" w:eastAsia="宋体"/>
                      <w:sz w:val="21"/>
                      <w:szCs w:val="21"/>
                      <w:lang w:eastAsia="zh-CN"/>
                    </w:rPr>
                  </w:pPr>
                  <w:r>
                    <w:rPr>
                      <w:rFonts w:hint="eastAsia"/>
                      <w:sz w:val="21"/>
                      <w:szCs w:val="21"/>
                      <w:lang w:eastAsia="zh-CN"/>
                    </w:rPr>
                    <w:t>非甲烷总烃</w:t>
                  </w:r>
                </w:p>
              </w:tc>
              <w:tc>
                <w:tcPr>
                  <w:tcW w:w="299" w:type="pct"/>
                  <w:gridSpan w:val="2"/>
                  <w:tcBorders>
                    <w:left w:val="single" w:color="000000" w:sz="4" w:space="0"/>
                    <w:bottom w:val="single" w:color="000000" w:sz="4" w:space="0"/>
                    <w:right w:val="single" w:color="000000" w:sz="4" w:space="0"/>
                  </w:tcBorders>
                  <w:shd w:val="clear" w:color="auto" w:fill="auto"/>
                  <w:vAlign w:val="center"/>
                </w:tcPr>
                <w:p w14:paraId="5CF7E296">
                  <w:pPr>
                    <w:adjustRightInd w:val="0"/>
                    <w:snapToGrid w:val="0"/>
                    <w:jc w:val="center"/>
                    <w:rPr>
                      <w:rFonts w:hint="eastAsia" w:eastAsia="宋体"/>
                      <w:sz w:val="21"/>
                      <w:szCs w:val="21"/>
                      <w:lang w:eastAsia="zh-CN"/>
                    </w:rPr>
                  </w:pPr>
                  <w:r>
                    <w:rPr>
                      <w:rFonts w:hint="eastAsia"/>
                      <w:sz w:val="21"/>
                      <w:szCs w:val="21"/>
                      <w:lang w:eastAsia="zh-CN"/>
                    </w:rPr>
                    <w:t>一次值</w:t>
                  </w:r>
                </w:p>
              </w:tc>
              <w:tc>
                <w:tcPr>
                  <w:tcW w:w="753" w:type="pct"/>
                  <w:tcBorders>
                    <w:left w:val="single" w:color="000000" w:sz="4" w:space="0"/>
                    <w:bottom w:val="single" w:color="000000" w:sz="4" w:space="0"/>
                    <w:right w:val="single" w:color="000000" w:sz="4" w:space="0"/>
                  </w:tcBorders>
                  <w:shd w:val="clear" w:color="auto" w:fill="auto"/>
                  <w:vAlign w:val="center"/>
                </w:tcPr>
                <w:p w14:paraId="220F30FB">
                  <w:pPr>
                    <w:adjustRightInd w:val="0"/>
                    <w:snapToGrid w:val="0"/>
                    <w:jc w:val="center"/>
                    <w:rPr>
                      <w:rFonts w:hint="default" w:eastAsia="宋体"/>
                      <w:sz w:val="21"/>
                      <w:szCs w:val="21"/>
                      <w:lang w:val="en-US" w:eastAsia="zh-CN"/>
                    </w:rPr>
                  </w:pPr>
                  <w:r>
                    <w:rPr>
                      <w:rFonts w:hint="eastAsia"/>
                      <w:sz w:val="21"/>
                      <w:szCs w:val="21"/>
                      <w:lang w:val="en-US" w:eastAsia="zh-CN"/>
                    </w:rPr>
                    <w:t>0.2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80710">
                  <w:pPr>
                    <w:adjustRightInd w:val="0"/>
                    <w:snapToGrid w:val="0"/>
                    <w:jc w:val="center"/>
                    <w:rPr>
                      <w:rFonts w:hint="default"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0.42</w:t>
                  </w:r>
                  <w:r>
                    <w:rPr>
                      <w:rFonts w:ascii="TimesNewRomanPSMT" w:hAnsi="TimesNewRomanPSMT" w:eastAsia="TimesNewRomanPSMT" w:cs="TimesNewRomanPSMT"/>
                      <w:b w:val="0"/>
                      <w:bCs w:val="0"/>
                      <w:color w:val="000000"/>
                      <w:sz w:val="20"/>
                      <w:szCs w:val="20"/>
                    </w:rPr>
                    <w:t>~</w:t>
                  </w:r>
                  <w:r>
                    <w:rPr>
                      <w:rFonts w:hint="eastAsia" w:ascii="Times New Roman" w:hAnsi="Times New Roman"/>
                      <w:bCs/>
                      <w:color w:val="000000" w:themeColor="text1"/>
                      <w:sz w:val="21"/>
                      <w:szCs w:val="21"/>
                      <w:lang w:val="en-US" w:eastAsia="zh-CN"/>
                      <w14:textFill>
                        <w14:solidFill>
                          <w14:schemeClr w14:val="tx1"/>
                        </w14:solidFill>
                      </w14:textFill>
                    </w:rPr>
                    <w:t>0.59</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FA8B1">
                  <w:pPr>
                    <w:adjustRightInd w:val="0"/>
                    <w:snapToGrid w:val="0"/>
                    <w:jc w:val="center"/>
                    <w:rPr>
                      <w:rFonts w:hint="default"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29.5</w:t>
                  </w:r>
                </w:p>
              </w:tc>
              <w:tc>
                <w:tcPr>
                  <w:tcW w:w="364" w:type="pct"/>
                  <w:tcBorders>
                    <w:left w:val="single" w:color="000000" w:sz="4" w:space="0"/>
                    <w:bottom w:val="single" w:color="000000" w:sz="4" w:space="0"/>
                    <w:right w:val="single" w:color="000000" w:sz="4" w:space="0"/>
                  </w:tcBorders>
                  <w:shd w:val="clear" w:color="auto" w:fill="auto"/>
                  <w:vAlign w:val="center"/>
                </w:tcPr>
                <w:p w14:paraId="36AB9F58">
                  <w:pPr>
                    <w:adjustRightInd w:val="0"/>
                    <w:snapToGrid w:val="0"/>
                    <w:jc w:val="center"/>
                    <w:rPr>
                      <w:rFonts w:hint="default"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0</w:t>
                  </w:r>
                </w:p>
              </w:tc>
              <w:tc>
                <w:tcPr>
                  <w:tcW w:w="365" w:type="pct"/>
                  <w:tcBorders>
                    <w:left w:val="single" w:color="000000" w:sz="4" w:space="0"/>
                    <w:bottom w:val="single" w:color="000000" w:sz="4" w:space="0"/>
                    <w:right w:val="single" w:color="000000" w:sz="4" w:space="0"/>
                  </w:tcBorders>
                  <w:shd w:val="clear" w:color="auto" w:fill="auto"/>
                  <w:vAlign w:val="center"/>
                </w:tcPr>
                <w:p w14:paraId="077BA493">
                  <w:pPr>
                    <w:adjustRightInd w:val="0"/>
                    <w:snapToGrid w:val="0"/>
                    <w:jc w:val="center"/>
                    <w:rPr>
                      <w:rFonts w:hint="eastAsia"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达标</w:t>
                  </w:r>
                </w:p>
              </w:tc>
            </w:tr>
          </w:tbl>
          <w:p w14:paraId="12F25EB8">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b/>
                <w:bCs/>
                <w:color w:val="000000"/>
                <w:sz w:val="24"/>
                <w:szCs w:val="24"/>
              </w:rPr>
            </w:pPr>
            <w:r>
              <w:rPr>
                <w:rFonts w:ascii="宋体" w:hAnsi="宋体" w:eastAsia="宋体" w:cs="宋体"/>
                <w:b w:val="0"/>
                <w:bCs w:val="0"/>
                <w:color w:val="000000"/>
                <w:sz w:val="24"/>
                <w:szCs w:val="24"/>
              </w:rPr>
              <w:t>综上，项目所在区域特征污染物总悬浮颗粒物质量现状满足《环境空气质量标准》（</w:t>
            </w:r>
            <w:r>
              <w:rPr>
                <w:rFonts w:ascii="TimesNewRomanPSMT" w:hAnsi="TimesNewRomanPSMT" w:eastAsia="TimesNewRomanPSMT" w:cs="TimesNewRomanPSMT"/>
                <w:b w:val="0"/>
                <w:bCs w:val="0"/>
                <w:color w:val="000000"/>
                <w:sz w:val="24"/>
                <w:szCs w:val="24"/>
              </w:rPr>
              <w:t>GB3095-2012</w:t>
            </w:r>
            <w:r>
              <w:rPr>
                <w:rFonts w:ascii="宋体" w:hAnsi="宋体" w:eastAsia="宋体" w:cs="宋体"/>
                <w:b w:val="0"/>
                <w:bCs w:val="0"/>
                <w:color w:val="000000"/>
                <w:sz w:val="24"/>
                <w:szCs w:val="24"/>
              </w:rPr>
              <w:t>）及其修改单中二级标准</w:t>
            </w:r>
            <w:r>
              <w:rPr>
                <w:rFonts w:hint="default" w:ascii="TimesNewRomanPSMT" w:hAnsi="TimesNewRomanPSMT" w:eastAsia="TimesNewRomanPSMT" w:cs="TimesNewRomanPSMT"/>
                <w:b w:val="0"/>
                <w:bCs w:val="0"/>
                <w:color w:val="000000"/>
                <w:sz w:val="24"/>
                <w:szCs w:val="24"/>
              </w:rPr>
              <w:t>24</w:t>
            </w:r>
            <w:r>
              <w:rPr>
                <w:rFonts w:ascii="宋体" w:hAnsi="宋体" w:eastAsia="宋体" w:cs="宋体"/>
                <w:b w:val="0"/>
                <w:bCs w:val="0"/>
                <w:color w:val="000000"/>
                <w:sz w:val="24"/>
                <w:szCs w:val="24"/>
              </w:rPr>
              <w:t>小时平均值（</w:t>
            </w:r>
            <w:r>
              <w:rPr>
                <w:rFonts w:hint="default" w:ascii="TimesNewRomanPSMT" w:hAnsi="TimesNewRomanPSMT" w:eastAsia="TimesNewRomanPSMT" w:cs="TimesNewRomanPSMT"/>
                <w:b w:val="0"/>
                <w:bCs w:val="0"/>
                <w:color w:val="000000"/>
                <w:sz w:val="24"/>
                <w:szCs w:val="24"/>
              </w:rPr>
              <w:t>300µg/m</w:t>
            </w:r>
            <w:r>
              <w:rPr>
                <w:rFonts w:hint="default" w:ascii="TimesNewRomanPSMT" w:hAnsi="TimesNewRomanPSMT" w:eastAsia="TimesNewRomanPSMT" w:cs="TimesNewRomanPSMT"/>
                <w:b w:val="0"/>
                <w:bCs w:val="0"/>
                <w:color w:val="000000"/>
                <w:sz w:val="15"/>
                <w:szCs w:val="15"/>
              </w:rPr>
              <w:t>3</w:t>
            </w:r>
            <w:r>
              <w:rPr>
                <w:rFonts w:ascii="宋体" w:hAnsi="宋体" w:eastAsia="宋体" w:cs="宋体"/>
                <w:b w:val="0"/>
                <w:bCs w:val="0"/>
                <w:color w:val="000000"/>
                <w:sz w:val="24"/>
                <w:szCs w:val="24"/>
              </w:rPr>
              <w:t>）；非甲烷总烃满足《大气污染物综合排放标准详解》中的推荐值。项目区环境底质较好。</w:t>
            </w:r>
          </w:p>
          <w:p w14:paraId="6CC9AD87">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2" w:firstLineChars="200"/>
              <w:jc w:val="both"/>
              <w:textAlignment w:val="auto"/>
              <w:rPr>
                <w:b/>
                <w:bCs/>
                <w:color w:val="auto"/>
                <w:sz w:val="24"/>
              </w:rPr>
            </w:pPr>
            <w:r>
              <w:rPr>
                <w:b/>
                <w:bCs/>
                <w:color w:val="auto"/>
                <w:sz w:val="24"/>
              </w:rPr>
              <w:t>地表水水环境质量</w:t>
            </w:r>
          </w:p>
          <w:p w14:paraId="695578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lang w:val="en-US" w:eastAsia="zh-CN"/>
              </w:rPr>
            </w:pPr>
            <w:r>
              <w:rPr>
                <w:rFonts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年淮北市地表水四条主要河流</w:t>
            </w:r>
            <w:r>
              <w:rPr>
                <w:rFonts w:hint="default" w:ascii="TimesNewRomanPSMT" w:hAnsi="TimesNewRomanPSMT" w:eastAsia="TimesNewRomanPSMT" w:cs="TimesNewRomanPSMT"/>
                <w:b w:val="0"/>
                <w:bCs w:val="0"/>
                <w:color w:val="000000"/>
                <w:sz w:val="24"/>
                <w:szCs w:val="24"/>
              </w:rPr>
              <w:t>10</w:t>
            </w:r>
            <w:r>
              <w:rPr>
                <w:rFonts w:ascii="宋体" w:hAnsi="宋体" w:eastAsia="宋体" w:cs="宋体"/>
                <w:b w:val="0"/>
                <w:bCs w:val="0"/>
                <w:color w:val="000000"/>
                <w:sz w:val="24"/>
                <w:szCs w:val="24"/>
              </w:rPr>
              <w:t>个国控（省控）断面中，水质为</w:t>
            </w:r>
            <w:r>
              <w:rPr>
                <w:rFonts w:hint="default" w:ascii="TimesNewRomanPSMT" w:hAnsi="TimesNewRomanPSMT" w:eastAsia="TimesNewRomanPSMT" w:cs="TimesNewRomanPSMT"/>
                <w:b w:val="0"/>
                <w:bCs w:val="0"/>
                <w:color w:val="000000"/>
                <w:sz w:val="24"/>
                <w:szCs w:val="24"/>
              </w:rPr>
              <w:t>Ⅲ</w:t>
            </w:r>
            <w:r>
              <w:rPr>
                <w:rFonts w:ascii="宋体" w:hAnsi="宋体" w:eastAsia="宋体" w:cs="宋体"/>
                <w:b w:val="0"/>
                <w:bCs w:val="0"/>
                <w:color w:val="000000"/>
                <w:sz w:val="24"/>
                <w:szCs w:val="24"/>
              </w:rPr>
              <w:t>类的断面</w:t>
            </w:r>
            <w:r>
              <w:rPr>
                <w:rFonts w:hint="default" w:ascii="TimesNewRomanPSMT" w:hAnsi="TimesNewRomanPSMT" w:eastAsia="TimesNewRomanPSMT" w:cs="TimesNewRomanPSMT"/>
                <w:b w:val="0"/>
                <w:bCs w:val="0"/>
                <w:color w:val="000000"/>
                <w:sz w:val="24"/>
                <w:szCs w:val="24"/>
              </w:rPr>
              <w:t>2</w:t>
            </w:r>
            <w:r>
              <w:rPr>
                <w:rFonts w:ascii="宋体" w:hAnsi="宋体" w:eastAsia="宋体" w:cs="宋体"/>
                <w:b w:val="0"/>
                <w:bCs w:val="0"/>
                <w:color w:val="000000"/>
                <w:sz w:val="24"/>
                <w:szCs w:val="24"/>
              </w:rPr>
              <w:t>个，占</w:t>
            </w:r>
            <w:r>
              <w:rPr>
                <w:rFonts w:hint="default" w:ascii="TimesNewRomanPSMT" w:hAnsi="TimesNewRomanPSMT" w:eastAsia="TimesNewRomanPSMT" w:cs="TimesNewRomanPSMT"/>
                <w:b w:val="0"/>
                <w:bCs w:val="0"/>
                <w:color w:val="000000"/>
                <w:sz w:val="24"/>
                <w:szCs w:val="24"/>
              </w:rPr>
              <w:t>20%</w:t>
            </w:r>
            <w:r>
              <w:rPr>
                <w:rFonts w:ascii="宋体" w:hAnsi="宋体" w:eastAsia="宋体" w:cs="宋体"/>
                <w:b w:val="0"/>
                <w:bCs w:val="0"/>
                <w:color w:val="000000"/>
                <w:sz w:val="24"/>
                <w:szCs w:val="24"/>
              </w:rPr>
              <w:t>，分别为濉河符离闸（出境）、澥河李大桥闸（出境）；水质为</w:t>
            </w:r>
            <w:r>
              <w:rPr>
                <w:rFonts w:hint="default" w:ascii="TimesNewRomanPSMT" w:hAnsi="TimesNewRomanPSMT" w:eastAsia="TimesNewRomanPSMT" w:cs="TimesNewRomanPSMT"/>
                <w:b w:val="0"/>
                <w:bCs w:val="0"/>
                <w:color w:val="000000"/>
                <w:sz w:val="24"/>
                <w:szCs w:val="24"/>
              </w:rPr>
              <w:t>Ⅳ</w:t>
            </w:r>
            <w:r>
              <w:rPr>
                <w:rFonts w:ascii="宋体" w:hAnsi="宋体" w:eastAsia="宋体" w:cs="宋体"/>
                <w:b w:val="0"/>
                <w:bCs w:val="0"/>
                <w:color w:val="000000"/>
                <w:sz w:val="24"/>
                <w:szCs w:val="24"/>
              </w:rPr>
              <w:t>类的断面</w:t>
            </w:r>
            <w:r>
              <w:rPr>
                <w:rFonts w:hint="default" w:ascii="TimesNewRomanPSMT" w:hAnsi="TimesNewRomanPSMT" w:eastAsia="TimesNewRomanPSMT" w:cs="TimesNewRomanPSMT"/>
                <w:b w:val="0"/>
                <w:bCs w:val="0"/>
                <w:color w:val="000000"/>
                <w:sz w:val="24"/>
                <w:szCs w:val="24"/>
              </w:rPr>
              <w:t>7</w:t>
            </w:r>
            <w:r>
              <w:rPr>
                <w:rFonts w:ascii="宋体" w:hAnsi="宋体" w:eastAsia="宋体" w:cs="宋体"/>
                <w:b w:val="0"/>
                <w:bCs w:val="0"/>
                <w:color w:val="000000"/>
                <w:sz w:val="24"/>
                <w:szCs w:val="24"/>
              </w:rPr>
              <w:t>个，占</w:t>
            </w:r>
            <w:r>
              <w:rPr>
                <w:rFonts w:hint="default" w:ascii="TimesNewRomanPSMT" w:hAnsi="TimesNewRomanPSMT" w:eastAsia="TimesNewRomanPSMT" w:cs="TimesNewRomanPSMT"/>
                <w:b w:val="0"/>
                <w:bCs w:val="0"/>
                <w:color w:val="000000"/>
                <w:sz w:val="24"/>
                <w:szCs w:val="24"/>
              </w:rPr>
              <w:t>70%</w:t>
            </w:r>
            <w:r>
              <w:rPr>
                <w:rFonts w:ascii="宋体" w:hAnsi="宋体" w:eastAsia="宋体" w:cs="宋体"/>
                <w:b w:val="0"/>
                <w:bCs w:val="0"/>
                <w:color w:val="000000"/>
                <w:sz w:val="24"/>
                <w:szCs w:val="24"/>
              </w:rPr>
              <w:t>，分别为濉河后黄里（入境）、濉河淮纺闸、濉河黄桥闸、沱河肖家、沱河后常桥（出境）、浍河三姓楼（入境）、浍河东坪集（出境）；水质为</w:t>
            </w:r>
            <w:r>
              <w:rPr>
                <w:rFonts w:hint="default" w:ascii="TimesNewRomanPSMT" w:hAnsi="TimesNewRomanPSMT" w:eastAsia="TimesNewRomanPSMT" w:cs="TimesNewRomanPSMT"/>
                <w:b w:val="0"/>
                <w:bCs w:val="0"/>
                <w:color w:val="000000"/>
                <w:sz w:val="24"/>
                <w:szCs w:val="24"/>
              </w:rPr>
              <w:t>Ⅴ</w:t>
            </w:r>
            <w:r>
              <w:rPr>
                <w:rFonts w:ascii="宋体" w:hAnsi="宋体" w:eastAsia="宋体" w:cs="宋体"/>
                <w:b w:val="0"/>
                <w:bCs w:val="0"/>
                <w:color w:val="000000"/>
                <w:sz w:val="24"/>
                <w:szCs w:val="24"/>
              </w:rPr>
              <w:t>类的断面</w:t>
            </w:r>
            <w:r>
              <w:rPr>
                <w:rFonts w:hint="default" w:ascii="TimesNewRomanPSMT" w:hAnsi="TimesNewRomanPSMT" w:eastAsia="TimesNewRomanPSMT" w:cs="TimesNewRomanPSMT"/>
                <w:b w:val="0"/>
                <w:bCs w:val="0"/>
                <w:color w:val="000000"/>
                <w:sz w:val="24"/>
                <w:szCs w:val="24"/>
              </w:rPr>
              <w:t>1</w:t>
            </w:r>
            <w:r>
              <w:rPr>
                <w:rFonts w:ascii="宋体" w:hAnsi="宋体" w:eastAsia="宋体" w:cs="宋体"/>
                <w:b w:val="0"/>
                <w:bCs w:val="0"/>
                <w:color w:val="000000"/>
                <w:sz w:val="24"/>
                <w:szCs w:val="24"/>
              </w:rPr>
              <w:t>个，占</w:t>
            </w:r>
            <w:r>
              <w:rPr>
                <w:rFonts w:hint="default" w:ascii="TimesNewRomanPSMT" w:hAnsi="TimesNewRomanPSMT" w:eastAsia="TimesNewRomanPSMT" w:cs="TimesNewRomanPSMT"/>
                <w:b w:val="0"/>
                <w:bCs w:val="0"/>
                <w:color w:val="000000"/>
                <w:sz w:val="24"/>
                <w:szCs w:val="24"/>
              </w:rPr>
              <w:t>10%</w:t>
            </w:r>
            <w:r>
              <w:rPr>
                <w:rFonts w:ascii="宋体" w:hAnsi="宋体" w:eastAsia="宋体" w:cs="宋体"/>
                <w:b w:val="0"/>
                <w:bCs w:val="0"/>
                <w:color w:val="000000"/>
                <w:sz w:val="24"/>
                <w:szCs w:val="24"/>
              </w:rPr>
              <w:t>，为沱河小王桥（入境）。</w:t>
            </w:r>
            <w:r>
              <w:rPr>
                <w:rFonts w:hint="default"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年水污染防治考核目标责任书确定的淮北市</w:t>
            </w:r>
            <w:r>
              <w:rPr>
                <w:rFonts w:hint="default" w:ascii="TimesNewRomanPSMT" w:hAnsi="TimesNewRomanPSMT" w:eastAsia="TimesNewRomanPSMT" w:cs="TimesNewRomanPSMT"/>
                <w:b w:val="0"/>
                <w:bCs w:val="0"/>
                <w:color w:val="000000"/>
                <w:sz w:val="24"/>
                <w:szCs w:val="24"/>
              </w:rPr>
              <w:t>4</w:t>
            </w:r>
            <w:r>
              <w:rPr>
                <w:rFonts w:ascii="宋体" w:hAnsi="宋体" w:eastAsia="宋体" w:cs="宋体"/>
                <w:b w:val="0"/>
                <w:bCs w:val="0"/>
                <w:color w:val="000000"/>
                <w:sz w:val="24"/>
                <w:szCs w:val="24"/>
              </w:rPr>
              <w:t>个国控地表水考核断面中，扣除氟化物本底值影响后，水质达标率为</w:t>
            </w:r>
            <w:r>
              <w:rPr>
                <w:rFonts w:hint="default" w:ascii="TimesNewRomanPSMT" w:hAnsi="TimesNewRomanPSMT" w:eastAsia="TimesNewRomanPSMT" w:cs="TimesNewRomanPSMT"/>
                <w:b w:val="0"/>
                <w:bCs w:val="0"/>
                <w:color w:val="000000"/>
                <w:sz w:val="24"/>
                <w:szCs w:val="24"/>
              </w:rPr>
              <w:t>75%</w:t>
            </w:r>
            <w:r>
              <w:rPr>
                <w:rFonts w:ascii="宋体" w:hAnsi="宋体" w:eastAsia="宋体" w:cs="宋体"/>
                <w:b w:val="0"/>
                <w:bCs w:val="0"/>
                <w:color w:val="000000"/>
                <w:sz w:val="24"/>
                <w:szCs w:val="24"/>
              </w:rPr>
              <w:t>，沱河后常桥（出境）断面水质未达标。出境断面中，水质断面优良率达</w:t>
            </w:r>
            <w:r>
              <w:rPr>
                <w:rFonts w:hint="default" w:ascii="TimesNewRomanPSMT" w:hAnsi="TimesNewRomanPSMT" w:eastAsia="TimesNewRomanPSMT" w:cs="TimesNewRomanPSMT"/>
                <w:b w:val="0"/>
                <w:bCs w:val="0"/>
                <w:color w:val="000000"/>
                <w:sz w:val="24"/>
                <w:szCs w:val="24"/>
              </w:rPr>
              <w:t>75%</w:t>
            </w:r>
            <w:r>
              <w:rPr>
                <w:rFonts w:ascii="宋体" w:hAnsi="宋体" w:eastAsia="宋体" w:cs="宋体"/>
                <w:b w:val="0"/>
                <w:bCs w:val="0"/>
                <w:color w:val="000000"/>
                <w:sz w:val="24"/>
                <w:szCs w:val="24"/>
              </w:rPr>
              <w:t>。</w:t>
            </w:r>
          </w:p>
          <w:p w14:paraId="5F39BE34">
            <w:pPr>
              <w:shd w:val="clear"/>
              <w:spacing w:line="360" w:lineRule="auto"/>
              <w:ind w:firstLine="482" w:firstLineChars="200"/>
              <w:rPr>
                <w:b/>
                <w:bCs/>
                <w:color w:val="auto"/>
                <w:sz w:val="24"/>
              </w:rPr>
            </w:pPr>
            <w:r>
              <w:rPr>
                <w:rFonts w:hint="eastAsia"/>
                <w:b/>
                <w:bCs/>
                <w:color w:val="auto"/>
                <w:sz w:val="24"/>
              </w:rPr>
              <w:t>三、</w:t>
            </w:r>
            <w:r>
              <w:rPr>
                <w:b/>
                <w:bCs/>
                <w:color w:val="auto"/>
                <w:sz w:val="24"/>
              </w:rPr>
              <w:t>声环境质量</w:t>
            </w:r>
            <w:r>
              <w:rPr>
                <w:rFonts w:hint="eastAsia"/>
                <w:b/>
                <w:bCs/>
                <w:color w:val="auto"/>
                <w:sz w:val="24"/>
              </w:rPr>
              <w:t>现状</w:t>
            </w:r>
          </w:p>
          <w:p w14:paraId="0DD9E5D7">
            <w:pPr>
              <w:spacing w:line="360" w:lineRule="auto"/>
              <w:ind w:firstLine="57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本项目厂界四周及周边敏感点噪声监测委托</w:t>
            </w:r>
            <w:r>
              <w:rPr>
                <w:rFonts w:hint="eastAsia"/>
                <w:color w:val="000000" w:themeColor="text1"/>
                <w:sz w:val="24"/>
                <w:lang w:eastAsia="zh-CN"/>
                <w14:textFill>
                  <w14:solidFill>
                    <w14:schemeClr w14:val="tx1"/>
                  </w14:solidFill>
                </w14:textFill>
              </w:rPr>
              <w:t>山东中环检验检测有限公司</w:t>
            </w:r>
            <w:r>
              <w:rPr>
                <w:rFonts w:hint="eastAsia" w:eastAsia="宋体"/>
                <w:color w:val="000000" w:themeColor="text1"/>
                <w:sz w:val="24"/>
                <w14:textFill>
                  <w14:solidFill>
                    <w14:schemeClr w14:val="tx1"/>
                  </w14:solidFill>
                </w14:textFill>
              </w:rPr>
              <w:t>进</w:t>
            </w:r>
            <w:r>
              <w:rPr>
                <w:rFonts w:hint="eastAsia"/>
                <w:color w:val="000000" w:themeColor="text1"/>
                <w:sz w:val="24"/>
                <w14:textFill>
                  <w14:solidFill>
                    <w14:schemeClr w14:val="tx1"/>
                  </w14:solidFill>
                </w14:textFill>
              </w:rPr>
              <w:t>行检测</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检测期间现有项目正常生产</w:t>
            </w:r>
            <w:r>
              <w:rPr>
                <w:rFonts w:hint="eastAsia"/>
                <w:color w:val="000000" w:themeColor="text1"/>
                <w:sz w:val="24"/>
                <w14:textFill>
                  <w14:solidFill>
                    <w14:schemeClr w14:val="tx1"/>
                  </w14:solidFill>
                </w14:textFill>
              </w:rPr>
              <w:t>，检测时间为202</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w:t>
            </w:r>
            <w:r>
              <w:rPr>
                <w:rFonts w:hint="eastAsia"/>
                <w:color w:val="000000" w:themeColor="text1"/>
                <w:sz w:val="24"/>
                <w:lang w:eastAsia="zh-CN"/>
                <w14:textFill>
                  <w14:solidFill>
                    <w14:schemeClr w14:val="tx1"/>
                  </w14:solidFill>
                </w14:textFill>
              </w:rPr>
              <w:t>下旬</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监测结果如下：</w:t>
            </w:r>
          </w:p>
          <w:p w14:paraId="1484ED09">
            <w:pPr>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 xml:space="preserve">3-4  </w:t>
            </w:r>
            <w:r>
              <w:rPr>
                <w:b/>
                <w:bCs/>
                <w:color w:val="000000" w:themeColor="text1"/>
                <w:sz w:val="24"/>
                <w14:textFill>
                  <w14:solidFill>
                    <w14:schemeClr w14:val="tx1"/>
                  </w14:solidFill>
                </w14:textFill>
              </w:rPr>
              <w:t>声环境监测结果一览表</w:t>
            </w:r>
            <w:r>
              <w:rPr>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单位：dB</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A</w:t>
            </w:r>
            <w:r>
              <w:rPr>
                <w:rFonts w:hint="eastAsia"/>
                <w:b/>
                <w:bCs/>
                <w:color w:val="000000" w:themeColor="text1"/>
                <w:sz w:val="24"/>
                <w14:textFill>
                  <w14:solidFill>
                    <w14:schemeClr w14:val="tx1"/>
                  </w14:solidFill>
                </w14:textFill>
              </w:rPr>
              <w:t>）</w:t>
            </w:r>
          </w:p>
          <w:tbl>
            <w:tblPr>
              <w:tblStyle w:val="28"/>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99"/>
              <w:gridCol w:w="1733"/>
              <w:gridCol w:w="4720"/>
            </w:tblGrid>
            <w:tr w14:paraId="2D11DB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2105" w:type="pct"/>
                  <w:gridSpan w:val="2"/>
                  <w:vMerge w:val="restart"/>
                  <w:tcBorders>
                    <w:tl2br w:val="nil"/>
                    <w:tr2bl w:val="nil"/>
                  </w:tcBorders>
                  <w:vAlign w:val="center"/>
                </w:tcPr>
                <w:p w14:paraId="5012AB17">
                  <w:pPr>
                    <w:autoSpaceDE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检测位置</w:t>
                  </w:r>
                </w:p>
              </w:tc>
              <w:tc>
                <w:tcPr>
                  <w:tcW w:w="2895" w:type="pct"/>
                  <w:tcBorders>
                    <w:tl2br w:val="nil"/>
                    <w:tr2bl w:val="nil"/>
                  </w:tcBorders>
                  <w:vAlign w:val="center"/>
                </w:tcPr>
                <w:p w14:paraId="05EAB509">
                  <w:pPr>
                    <w:autoSpaceDE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检测结果</w:t>
                  </w:r>
                </w:p>
              </w:tc>
            </w:tr>
            <w:tr w14:paraId="213067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2105" w:type="pct"/>
                  <w:gridSpan w:val="2"/>
                  <w:vMerge w:val="continue"/>
                  <w:tcBorders>
                    <w:tl2br w:val="nil"/>
                    <w:tr2bl w:val="nil"/>
                  </w:tcBorders>
                  <w:vAlign w:val="center"/>
                </w:tcPr>
                <w:p w14:paraId="35816357">
                  <w:pPr>
                    <w:widowControl/>
                    <w:jc w:val="center"/>
                    <w:rPr>
                      <w:b/>
                      <w:bCs/>
                      <w:color w:val="000000" w:themeColor="text1"/>
                      <w:szCs w:val="21"/>
                      <w14:textFill>
                        <w14:solidFill>
                          <w14:schemeClr w14:val="tx1"/>
                        </w14:solidFill>
                      </w14:textFill>
                    </w:rPr>
                  </w:pPr>
                </w:p>
              </w:tc>
              <w:tc>
                <w:tcPr>
                  <w:tcW w:w="2895" w:type="pct"/>
                  <w:tcBorders>
                    <w:tl2br w:val="nil"/>
                    <w:tr2bl w:val="nil"/>
                  </w:tcBorders>
                  <w:vAlign w:val="center"/>
                </w:tcPr>
                <w:p w14:paraId="7EB77BDF">
                  <w:pPr>
                    <w:autoSpaceDE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昼间dB</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w:t>
                  </w:r>
                </w:p>
              </w:tc>
            </w:tr>
            <w:tr w14:paraId="767CA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2105" w:type="pct"/>
                  <w:gridSpan w:val="2"/>
                  <w:vMerge w:val="continue"/>
                  <w:tcBorders>
                    <w:tl2br w:val="nil"/>
                    <w:tr2bl w:val="nil"/>
                  </w:tcBorders>
                  <w:vAlign w:val="center"/>
                </w:tcPr>
                <w:p w14:paraId="13BD38B4">
                  <w:pPr>
                    <w:widowControl/>
                    <w:jc w:val="center"/>
                    <w:rPr>
                      <w:b/>
                      <w:bCs/>
                      <w:color w:val="000000" w:themeColor="text1"/>
                      <w:szCs w:val="21"/>
                      <w14:textFill>
                        <w14:solidFill>
                          <w14:schemeClr w14:val="tx1"/>
                        </w14:solidFill>
                      </w14:textFill>
                    </w:rPr>
                  </w:pPr>
                </w:p>
              </w:tc>
              <w:tc>
                <w:tcPr>
                  <w:tcW w:w="2895" w:type="pct"/>
                  <w:tcBorders>
                    <w:tl2br w:val="nil"/>
                    <w:tr2bl w:val="nil"/>
                  </w:tcBorders>
                  <w:vAlign w:val="center"/>
                </w:tcPr>
                <w:p w14:paraId="204EBFB6">
                  <w:pPr>
                    <w:autoSpaceDE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Leq</w:t>
                  </w:r>
                </w:p>
              </w:tc>
            </w:tr>
            <w:tr w14:paraId="280B93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42" w:type="pct"/>
                  <w:tcBorders>
                    <w:tl2br w:val="nil"/>
                    <w:tr2bl w:val="nil"/>
                  </w:tcBorders>
                  <w:vAlign w:val="center"/>
                </w:tcPr>
                <w:p w14:paraId="23150C50">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w:t>
                  </w:r>
                  <w:r>
                    <w:rPr>
                      <w:rFonts w:hint="eastAsia"/>
                      <w:color w:val="000000" w:themeColor="text1"/>
                      <w:szCs w:val="21"/>
                      <w14:textFill>
                        <w14:solidFill>
                          <w14:schemeClr w14:val="tx1"/>
                        </w14:solidFill>
                      </w14:textFill>
                    </w:rPr>
                    <w:t>1</w:t>
                  </w:r>
                </w:p>
              </w:tc>
              <w:tc>
                <w:tcPr>
                  <w:tcW w:w="1063" w:type="pct"/>
                  <w:tcBorders>
                    <w:tl2br w:val="nil"/>
                    <w:tr2bl w:val="nil"/>
                  </w:tcBorders>
                  <w:vAlign w:val="center"/>
                </w:tcPr>
                <w:p w14:paraId="40435909">
                  <w:pPr>
                    <w:autoSpaceDE w:val="0"/>
                    <w:jc w:val="center"/>
                    <w:rPr>
                      <w:color w:val="000000" w:themeColor="text1"/>
                      <w:szCs w:val="21"/>
                      <w14:textFill>
                        <w14:solidFill>
                          <w14:schemeClr w14:val="tx1"/>
                        </w14:solidFill>
                      </w14:textFill>
                    </w:rPr>
                  </w:pPr>
                  <w:r>
                    <w:rPr>
                      <w:rFonts w:hint="eastAsia" w:cs="Times New Roman"/>
                      <w:color w:val="auto"/>
                      <w:lang w:eastAsia="zh-CN"/>
                    </w:rPr>
                    <w:t>杜集区经济开发区管委会</w:t>
                  </w:r>
                </w:p>
              </w:tc>
              <w:tc>
                <w:tcPr>
                  <w:tcW w:w="2895" w:type="pct"/>
                  <w:tcBorders>
                    <w:tl2br w:val="nil"/>
                    <w:tr2bl w:val="nil"/>
                  </w:tcBorders>
                  <w:vAlign w:val="center"/>
                </w:tcPr>
                <w:p w14:paraId="614A0D35">
                  <w:pPr>
                    <w:autoSpaceDE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zCs w:val="21"/>
                      <w:lang w:val="en-US" w:eastAsia="zh-CN"/>
                    </w:rPr>
                    <w:t>51</w:t>
                  </w:r>
                </w:p>
              </w:tc>
            </w:tr>
            <w:tr w14:paraId="72AD2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42" w:type="pct"/>
                  <w:tcBorders>
                    <w:tl2br w:val="nil"/>
                    <w:tr2bl w:val="nil"/>
                  </w:tcBorders>
                  <w:vAlign w:val="center"/>
                </w:tcPr>
                <w:p w14:paraId="3E24D62A">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N2</w:t>
                  </w:r>
                </w:p>
              </w:tc>
              <w:tc>
                <w:tcPr>
                  <w:tcW w:w="1733" w:type="dxa"/>
                  <w:tcBorders>
                    <w:tl2br w:val="nil"/>
                    <w:tr2bl w:val="nil"/>
                  </w:tcBorders>
                  <w:vAlign w:val="center"/>
                </w:tcPr>
                <w:p w14:paraId="31F96129">
                  <w:pPr>
                    <w:autoSpaceDE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厂界东</w:t>
                  </w:r>
                </w:p>
              </w:tc>
              <w:tc>
                <w:tcPr>
                  <w:tcW w:w="2895" w:type="pct"/>
                  <w:tcBorders>
                    <w:tl2br w:val="nil"/>
                    <w:tr2bl w:val="nil"/>
                  </w:tcBorders>
                  <w:vAlign w:val="center"/>
                </w:tcPr>
                <w:p w14:paraId="10CB15A3">
                  <w:pPr>
                    <w:autoSpaceDE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zCs w:val="21"/>
                      <w:lang w:val="en-US" w:eastAsia="zh-CN"/>
                    </w:rPr>
                    <w:t>54</w:t>
                  </w:r>
                </w:p>
              </w:tc>
            </w:tr>
            <w:tr w14:paraId="05AA06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42" w:type="pct"/>
                  <w:tcBorders>
                    <w:tl2br w:val="nil"/>
                    <w:tr2bl w:val="nil"/>
                  </w:tcBorders>
                  <w:vAlign w:val="center"/>
                </w:tcPr>
                <w:p w14:paraId="19F1C32C">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N3</w:t>
                  </w:r>
                </w:p>
              </w:tc>
              <w:tc>
                <w:tcPr>
                  <w:tcW w:w="1733" w:type="dxa"/>
                  <w:tcBorders>
                    <w:tl2br w:val="nil"/>
                    <w:tr2bl w:val="nil"/>
                  </w:tcBorders>
                  <w:vAlign w:val="center"/>
                </w:tcPr>
                <w:p w14:paraId="7AF65774">
                  <w:pPr>
                    <w:autoSpaceDE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厂界南</w:t>
                  </w:r>
                </w:p>
              </w:tc>
              <w:tc>
                <w:tcPr>
                  <w:tcW w:w="2895" w:type="pct"/>
                  <w:tcBorders>
                    <w:tl2br w:val="nil"/>
                    <w:tr2bl w:val="nil"/>
                  </w:tcBorders>
                  <w:vAlign w:val="center"/>
                </w:tcPr>
                <w:p w14:paraId="441D40C0">
                  <w:pPr>
                    <w:autoSpaceDE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zCs w:val="21"/>
                      <w:lang w:val="en-US" w:eastAsia="zh-CN"/>
                    </w:rPr>
                    <w:t>53</w:t>
                  </w:r>
                </w:p>
              </w:tc>
            </w:tr>
            <w:tr w14:paraId="7A4C16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42" w:type="pct"/>
                  <w:tcBorders>
                    <w:tl2br w:val="nil"/>
                    <w:tr2bl w:val="nil"/>
                  </w:tcBorders>
                  <w:vAlign w:val="center"/>
                </w:tcPr>
                <w:p w14:paraId="61F3CB85">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N4</w:t>
                  </w:r>
                </w:p>
              </w:tc>
              <w:tc>
                <w:tcPr>
                  <w:tcW w:w="1733" w:type="dxa"/>
                  <w:tcBorders>
                    <w:tl2br w:val="nil"/>
                    <w:tr2bl w:val="nil"/>
                  </w:tcBorders>
                  <w:vAlign w:val="center"/>
                </w:tcPr>
                <w:p w14:paraId="4E34D747">
                  <w:pPr>
                    <w:autoSpaceDE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厂界西</w:t>
                  </w:r>
                </w:p>
              </w:tc>
              <w:tc>
                <w:tcPr>
                  <w:tcW w:w="2895" w:type="pct"/>
                  <w:tcBorders>
                    <w:tl2br w:val="nil"/>
                    <w:tr2bl w:val="nil"/>
                  </w:tcBorders>
                  <w:vAlign w:val="center"/>
                </w:tcPr>
                <w:p w14:paraId="53832858">
                  <w:pPr>
                    <w:autoSpaceDE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zCs w:val="21"/>
                      <w:lang w:val="en-US" w:eastAsia="zh-CN"/>
                    </w:rPr>
                    <w:t>54</w:t>
                  </w:r>
                </w:p>
              </w:tc>
            </w:tr>
            <w:tr w14:paraId="3B32E7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42" w:type="pct"/>
                  <w:tcBorders>
                    <w:tl2br w:val="nil"/>
                    <w:tr2bl w:val="nil"/>
                  </w:tcBorders>
                  <w:vAlign w:val="center"/>
                </w:tcPr>
                <w:p w14:paraId="6B5C6433">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N5</w:t>
                  </w:r>
                </w:p>
              </w:tc>
              <w:tc>
                <w:tcPr>
                  <w:tcW w:w="1733" w:type="dxa"/>
                  <w:tcBorders>
                    <w:tl2br w:val="nil"/>
                    <w:tr2bl w:val="nil"/>
                  </w:tcBorders>
                  <w:vAlign w:val="center"/>
                </w:tcPr>
                <w:p w14:paraId="1FA36BED">
                  <w:pPr>
                    <w:autoSpaceDE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厂界北</w:t>
                  </w:r>
                </w:p>
              </w:tc>
              <w:tc>
                <w:tcPr>
                  <w:tcW w:w="2895" w:type="pct"/>
                  <w:tcBorders>
                    <w:tl2br w:val="nil"/>
                    <w:tr2bl w:val="nil"/>
                  </w:tcBorders>
                  <w:vAlign w:val="center"/>
                </w:tcPr>
                <w:p w14:paraId="5C290DE4">
                  <w:pPr>
                    <w:autoSpaceDE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zCs w:val="21"/>
                      <w:lang w:val="en-US" w:eastAsia="zh-CN"/>
                    </w:rPr>
                    <w:t>52</w:t>
                  </w:r>
                </w:p>
              </w:tc>
            </w:tr>
          </w:tbl>
          <w:p w14:paraId="03213B10">
            <w:pPr>
              <w:pStyle w:val="3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由上表可见，</w:t>
            </w:r>
            <w:r>
              <w:rPr>
                <w:rFonts w:hint="eastAsia" w:cs="Times New Roman"/>
                <w:b w:val="0"/>
                <w:bCs w:val="0"/>
                <w:color w:val="000000" w:themeColor="text1"/>
                <w:kern w:val="2"/>
                <w:sz w:val="24"/>
                <w:szCs w:val="24"/>
                <w:lang w:val="en-US" w:eastAsia="zh-CN" w:bidi="ar-SA"/>
                <w14:textFill>
                  <w14:solidFill>
                    <w14:schemeClr w14:val="tx1"/>
                  </w14:solidFill>
                </w14:textFill>
              </w:rPr>
              <w:t>项目厂界噪</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声满足</w:t>
            </w:r>
            <w:r>
              <w:rPr>
                <w:rFonts w:hint="default" w:ascii="Times New Roman" w:hAnsi="Times New Roman" w:eastAsia="宋体" w:cs="Times New Roman"/>
                <w:b w:val="0"/>
                <w:bCs w:val="0"/>
                <w:color w:val="000000" w:themeColor="text1"/>
                <w:kern w:val="2"/>
                <w:sz w:val="24"/>
                <w:szCs w:val="24"/>
                <w:lang w:val="en-GB" w:eastAsia="zh-CN" w:bidi="ar-SA"/>
                <w14:textFill>
                  <w14:solidFill>
                    <w14:schemeClr w14:val="tx1"/>
                  </w14:solidFill>
                </w14:textFill>
              </w:rPr>
              <w:t>《工业企业厂界环境噪声排放标准》（GB12348-2008）中3类标准的要求</w:t>
            </w:r>
            <w:r>
              <w:rPr>
                <w:rFonts w:hint="eastAsia" w:ascii="Times New Roman" w:hAnsi="Times New Roman" w:eastAsia="宋体" w:cs="Times New Roman"/>
                <w:b w:val="0"/>
                <w:bCs w:val="0"/>
                <w:color w:val="000000" w:themeColor="text1"/>
                <w:kern w:val="2"/>
                <w:sz w:val="24"/>
                <w:szCs w:val="24"/>
                <w:lang w:val="en-GB"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杜集区经济开发区管委会声环境达到《声环境质量标准》（GB3096-2008）中2类标准要求。</w:t>
            </w:r>
          </w:p>
          <w:p w14:paraId="7F2209B5">
            <w:pPr>
              <w:numPr>
                <w:ilvl w:val="0"/>
                <w:numId w:val="0"/>
              </w:numPr>
              <w:autoSpaceDE w:val="0"/>
              <w:autoSpaceDN w:val="0"/>
              <w:adjustRightInd w:val="0"/>
              <w:snapToGrid w:val="0"/>
              <w:spacing w:line="360" w:lineRule="auto"/>
              <w:ind w:left="0" w:leftChars="0" w:firstLine="482" w:firstLineChars="200"/>
              <w:rPr>
                <w:rFonts w:hint="eastAsia"/>
                <w:b/>
                <w:bCs/>
                <w:color w:val="auto"/>
                <w:sz w:val="24"/>
              </w:rPr>
            </w:pPr>
            <w:r>
              <w:rPr>
                <w:rFonts w:hint="eastAsia" w:cs="Times New Roman"/>
                <w:b/>
                <w:bCs/>
                <w:color w:val="auto"/>
                <w:kern w:val="2"/>
                <w:sz w:val="24"/>
                <w:szCs w:val="24"/>
                <w:lang w:val="en-US" w:eastAsia="zh-CN" w:bidi="ar-SA"/>
              </w:rPr>
              <w:t>四</w:t>
            </w:r>
            <w:r>
              <w:rPr>
                <w:rFonts w:hint="eastAsia" w:ascii="Times New Roman" w:hAnsi="Times New Roman" w:eastAsia="宋体" w:cs="Times New Roman"/>
                <w:b/>
                <w:bCs/>
                <w:color w:val="auto"/>
                <w:kern w:val="2"/>
                <w:sz w:val="24"/>
                <w:szCs w:val="24"/>
                <w:lang w:val="en-US" w:eastAsia="zh-CN" w:bidi="ar-SA"/>
              </w:rPr>
              <w:t>、</w:t>
            </w:r>
            <w:r>
              <w:rPr>
                <w:rFonts w:hint="eastAsia"/>
                <w:b/>
                <w:bCs/>
                <w:color w:val="auto"/>
                <w:sz w:val="24"/>
              </w:rPr>
              <w:t>地下水</w:t>
            </w:r>
            <w:r>
              <w:rPr>
                <w:rFonts w:hint="eastAsia"/>
                <w:b/>
                <w:bCs/>
                <w:color w:val="auto"/>
                <w:sz w:val="24"/>
                <w:lang w:eastAsia="zh-CN"/>
              </w:rPr>
              <w:t>、土壤</w:t>
            </w:r>
            <w:r>
              <w:rPr>
                <w:rFonts w:hint="eastAsia"/>
                <w:b/>
                <w:bCs/>
                <w:color w:val="auto"/>
                <w:sz w:val="24"/>
              </w:rPr>
              <w:t>质量</w:t>
            </w:r>
          </w:p>
          <w:p w14:paraId="2454DD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年淮北市城市集中饮用水源地（地下水）监测指标均达到《地下水质量标准》</w:t>
            </w:r>
            <w:r>
              <w:rPr>
                <w:rFonts w:hint="default" w:ascii="TimesNewRomanPSMT" w:hAnsi="TimesNewRomanPSMT" w:eastAsia="TimesNewRomanPSMT" w:cs="TimesNewRomanPSMT"/>
                <w:b w:val="0"/>
                <w:bCs w:val="0"/>
                <w:color w:val="000000"/>
                <w:sz w:val="24"/>
                <w:szCs w:val="24"/>
              </w:rPr>
              <w:t>GB/T14848-2017</w:t>
            </w:r>
            <w:r>
              <w:rPr>
                <w:rFonts w:ascii="宋体" w:hAnsi="宋体" w:eastAsia="宋体" w:cs="宋体"/>
                <w:b w:val="0"/>
                <w:bCs w:val="0"/>
                <w:color w:val="000000"/>
                <w:sz w:val="24"/>
                <w:szCs w:val="24"/>
              </w:rPr>
              <w:t>中</w:t>
            </w:r>
            <w:r>
              <w:rPr>
                <w:rFonts w:hint="default" w:ascii="TimesNewRomanPSMT" w:hAnsi="TimesNewRomanPSMT" w:eastAsia="TimesNewRomanPSMT" w:cs="TimesNewRomanPSMT"/>
                <w:b w:val="0"/>
                <w:bCs w:val="0"/>
                <w:color w:val="000000"/>
                <w:sz w:val="24"/>
                <w:szCs w:val="24"/>
              </w:rPr>
              <w:t>Ⅲ</w:t>
            </w:r>
            <w:r>
              <w:rPr>
                <w:rFonts w:ascii="宋体" w:hAnsi="宋体" w:eastAsia="宋体" w:cs="宋体"/>
                <w:b w:val="0"/>
                <w:bCs w:val="0"/>
                <w:color w:val="000000"/>
                <w:sz w:val="24"/>
                <w:szCs w:val="24"/>
              </w:rPr>
              <w:t>类标准，</w:t>
            </w:r>
            <w:r>
              <w:rPr>
                <w:rFonts w:hint="default" w:ascii="TimesNewRomanPSMT" w:hAnsi="TimesNewRomanPSMT" w:eastAsia="TimesNewRomanPSMT" w:cs="TimesNewRomanPSMT"/>
                <w:b w:val="0"/>
                <w:bCs w:val="0"/>
                <w:color w:val="000000"/>
                <w:sz w:val="24"/>
                <w:szCs w:val="24"/>
              </w:rPr>
              <w:t>2023</w:t>
            </w:r>
            <w:r>
              <w:rPr>
                <w:rFonts w:ascii="宋体" w:hAnsi="宋体" w:eastAsia="宋体" w:cs="宋体"/>
                <w:b w:val="0"/>
                <w:bCs w:val="0"/>
                <w:color w:val="000000"/>
                <w:sz w:val="24"/>
                <w:szCs w:val="24"/>
              </w:rPr>
              <w:t>年淮北市饮用水源地（地下水）取水总量为</w:t>
            </w:r>
            <w:r>
              <w:rPr>
                <w:rFonts w:hint="default" w:ascii="TimesNewRomanPSMT" w:hAnsi="TimesNewRomanPSMT" w:eastAsia="TimesNewRomanPSMT" w:cs="TimesNewRomanPSMT"/>
                <w:b w:val="0"/>
                <w:bCs w:val="0"/>
                <w:color w:val="000000"/>
                <w:sz w:val="24"/>
                <w:szCs w:val="24"/>
              </w:rPr>
              <w:t>1369</w:t>
            </w:r>
            <w:r>
              <w:rPr>
                <w:rFonts w:ascii="宋体" w:hAnsi="宋体" w:eastAsia="宋体" w:cs="宋体"/>
                <w:b w:val="0"/>
                <w:bCs w:val="0"/>
                <w:color w:val="000000"/>
                <w:sz w:val="24"/>
                <w:szCs w:val="24"/>
              </w:rPr>
              <w:t>万吨，饮用水源地（地下水）水质达标率为</w:t>
            </w:r>
            <w:r>
              <w:rPr>
                <w:rFonts w:hint="default" w:ascii="TimesNewRomanPSMT" w:hAnsi="TimesNewRomanPSMT" w:eastAsia="TimesNewRomanPSMT" w:cs="TimesNewRomanPSMT"/>
                <w:b w:val="0"/>
                <w:bCs w:val="0"/>
                <w:color w:val="000000"/>
                <w:sz w:val="24"/>
                <w:szCs w:val="24"/>
              </w:rPr>
              <w:t>100%</w:t>
            </w:r>
            <w:r>
              <w:rPr>
                <w:rFonts w:ascii="宋体" w:hAnsi="宋体" w:eastAsia="宋体" w:cs="宋体"/>
                <w:b w:val="0"/>
                <w:bCs w:val="0"/>
                <w:color w:val="000000"/>
                <w:sz w:val="24"/>
                <w:szCs w:val="24"/>
              </w:rPr>
              <w:t>。</w:t>
            </w:r>
          </w:p>
          <w:p w14:paraId="780DCD2B">
            <w:pPr>
              <w:widowControl/>
              <w:spacing w:line="500" w:lineRule="exact"/>
              <w:jc w:val="left"/>
              <w:rPr>
                <w:b/>
                <w:bCs/>
                <w:color w:val="auto"/>
                <w:sz w:val="24"/>
              </w:rPr>
            </w:pPr>
            <w:r>
              <w:rPr>
                <w:rFonts w:hint="eastAsia"/>
                <w:b/>
                <w:bCs/>
                <w:color w:val="auto"/>
                <w:sz w:val="24"/>
                <w:lang w:val="en-US" w:eastAsia="zh-CN"/>
              </w:rPr>
              <w:t>六</w:t>
            </w:r>
            <w:r>
              <w:rPr>
                <w:rFonts w:hint="eastAsia"/>
                <w:b/>
                <w:bCs/>
                <w:color w:val="auto"/>
                <w:sz w:val="24"/>
              </w:rPr>
              <w:t>、生态环境</w:t>
            </w:r>
          </w:p>
          <w:p w14:paraId="6A015069">
            <w:pPr>
              <w:widowControl/>
              <w:spacing w:line="500" w:lineRule="exact"/>
              <w:ind w:firstLine="480" w:firstLineChars="200"/>
              <w:jc w:val="left"/>
              <w:rPr>
                <w:color w:val="auto"/>
              </w:rPr>
            </w:pPr>
            <w:r>
              <w:rPr>
                <w:rFonts w:hint="eastAsia" w:ascii="宋体" w:hAnsi="宋体" w:eastAsia="宋体" w:cs="宋体"/>
                <w:color w:val="auto"/>
                <w:sz w:val="24"/>
              </w:rPr>
              <w:t>本项目用地为</w:t>
            </w:r>
            <w:r>
              <w:rPr>
                <w:rFonts w:hint="eastAsia" w:ascii="宋体" w:hAnsi="宋体" w:eastAsia="宋体" w:cs="宋体"/>
                <w:color w:val="auto"/>
                <w:sz w:val="24"/>
                <w:lang w:eastAsia="zh-CN"/>
              </w:rPr>
              <w:t>安徽省淮北市杜集区杜集经济开发区紫昱路16号</w:t>
            </w:r>
            <w:r>
              <w:rPr>
                <w:rFonts w:hint="eastAsia" w:ascii="宋体" w:hAnsi="宋体" w:eastAsia="宋体" w:cs="宋体"/>
                <w:color w:val="auto"/>
                <w:sz w:val="24"/>
              </w:rPr>
              <w:t>，不涉及新增用地，用地范围内不涉及野生保护动植物等生态环境保护目标。</w:t>
            </w:r>
          </w:p>
        </w:tc>
      </w:tr>
      <w:tr w14:paraId="7D10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2" w:hRule="atLeast"/>
          <w:jc w:val="center"/>
        </w:trPr>
        <w:tc>
          <w:tcPr>
            <w:tcW w:w="800" w:type="dxa"/>
            <w:vAlign w:val="center"/>
          </w:tcPr>
          <w:p w14:paraId="2A1E330F">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14:paraId="0440381B">
            <w:pPr>
              <w:adjustRightInd w:val="0"/>
              <w:snapToGrid w:val="0"/>
              <w:jc w:val="center"/>
              <w:rPr>
                <w:rFonts w:ascii="宋体" w:hAnsi="宋体" w:cs="宋体"/>
                <w:color w:val="auto"/>
                <w:kern w:val="0"/>
                <w:szCs w:val="21"/>
              </w:rPr>
            </w:pPr>
            <w:r>
              <w:rPr>
                <w:rFonts w:hint="eastAsia" w:ascii="宋体" w:hAnsi="宋体" w:cs="宋体"/>
                <w:color w:val="auto"/>
                <w:kern w:val="0"/>
                <w:szCs w:val="21"/>
              </w:rPr>
              <w:t>保护</w:t>
            </w:r>
          </w:p>
          <w:p w14:paraId="175F733F">
            <w:pPr>
              <w:adjustRightInd w:val="0"/>
              <w:snapToGrid w:val="0"/>
              <w:jc w:val="center"/>
              <w:rPr>
                <w:rFonts w:ascii="宋体" w:hAnsi="宋体" w:cs="宋体"/>
                <w:color w:val="auto"/>
                <w:kern w:val="0"/>
                <w:szCs w:val="21"/>
              </w:rPr>
            </w:pPr>
            <w:r>
              <w:rPr>
                <w:rFonts w:hint="eastAsia" w:ascii="宋体" w:hAnsi="宋体" w:cs="宋体"/>
                <w:color w:val="auto"/>
                <w:kern w:val="0"/>
                <w:szCs w:val="21"/>
              </w:rPr>
              <w:t>目标</w:t>
            </w:r>
          </w:p>
        </w:tc>
        <w:tc>
          <w:tcPr>
            <w:tcW w:w="8190" w:type="dxa"/>
          </w:tcPr>
          <w:p w14:paraId="59E0DB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评价范围内无自然保护区、风景名胜区和文物古迹等需要特殊保护的环境敏感对象，总体上不因本项目的实施而改变区域环境现有功能。具体环境保护目标如下：</w:t>
            </w:r>
          </w:p>
          <w:p w14:paraId="5113FAA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rPr>
              <w:t>大气环境：本项目所在区域执行《环境空气质量标准》（GB3095-2012）及其修改单中的二级标准。</w:t>
            </w:r>
          </w:p>
          <w:p w14:paraId="40A740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z w:val="24"/>
                <w:lang w:bidi="en-US"/>
              </w:rPr>
            </w:pPr>
            <w:r>
              <w:rPr>
                <w:rFonts w:hint="default" w:ascii="Times New Roman" w:hAnsi="Times New Roman" w:eastAsia="宋体" w:cs="Times New Roman"/>
                <w:b w:val="0"/>
                <w:bCs w:val="0"/>
                <w:color w:val="000000"/>
                <w:sz w:val="24"/>
                <w:szCs w:val="24"/>
              </w:rPr>
              <w:t>2、地表水：项目所在区域地表水岱河、龙河执行《地表水环境质量标准》（GB3838-2002）中IV类水质标准。</w:t>
            </w:r>
          </w:p>
          <w:p w14:paraId="480DC4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3、声环境：</w:t>
            </w:r>
            <w:r>
              <w:rPr>
                <w:rFonts w:hint="eastAsia"/>
                <w:color w:val="000000" w:themeColor="text1"/>
                <w:sz w:val="24"/>
                <w14:textFill>
                  <w14:solidFill>
                    <w14:schemeClr w14:val="tx1"/>
                  </w14:solidFill>
                </w14:textFill>
              </w:rPr>
              <w:t>本项目厂界外50米范围内有声环境保护目标</w:t>
            </w:r>
            <w:r>
              <w:rPr>
                <w:rFonts w:hint="default" w:ascii="Times New Roman" w:hAnsi="Times New Roman" w:eastAsia="宋体" w:cs="Times New Roman"/>
                <w:b w:val="0"/>
                <w:bCs w:val="0"/>
                <w:color w:val="000000"/>
                <w:sz w:val="24"/>
                <w:szCs w:val="24"/>
              </w:rPr>
              <w:t>，区域声环境质量执行《声环境质量标准》</w:t>
            </w:r>
            <w:r>
              <w:rPr>
                <w:rFonts w:hint="default" w:ascii="Times New Roman" w:hAnsi="Times New Roman" w:eastAsia="宋体" w:cs="Times New Roman"/>
                <w:b w:val="0"/>
                <w:bCs w:val="0"/>
                <w:color w:val="000000"/>
                <w:sz w:val="20"/>
                <w:szCs w:val="20"/>
              </w:rPr>
              <w:t>（</w:t>
            </w:r>
            <w:r>
              <w:rPr>
                <w:rFonts w:hint="default" w:ascii="Times New Roman" w:hAnsi="Times New Roman" w:eastAsia="宋体" w:cs="Times New Roman"/>
                <w:b w:val="0"/>
                <w:bCs w:val="0"/>
                <w:color w:val="000000"/>
                <w:sz w:val="24"/>
                <w:szCs w:val="24"/>
              </w:rPr>
              <w:t>GB3096-2008</w:t>
            </w:r>
            <w:r>
              <w:rPr>
                <w:rFonts w:hint="default" w:ascii="Times New Roman" w:hAnsi="Times New Roman" w:eastAsia="宋体" w:cs="Times New Roman"/>
                <w:b w:val="0"/>
                <w:bCs w:val="0"/>
                <w:color w:val="000000"/>
                <w:sz w:val="20"/>
                <w:szCs w:val="20"/>
              </w:rPr>
              <w:t>）</w:t>
            </w:r>
            <w:r>
              <w:rPr>
                <w:rFonts w:hint="default" w:ascii="Times New Roman" w:hAnsi="Times New Roman" w:eastAsia="宋体" w:cs="Times New Roman"/>
                <w:b w:val="0"/>
                <w:bCs w:val="0"/>
                <w:color w:val="000000"/>
                <w:sz w:val="24"/>
                <w:szCs w:val="24"/>
              </w:rPr>
              <w:t>中的3类标准。</w:t>
            </w:r>
          </w:p>
          <w:p w14:paraId="6E4B77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4、地下水环境：本项目厂界外500米范围内无地下水集中式饮用水水源和热水、矿泉水、温泉等特殊地下水资源，区域地下水环境执行《地下水质量标准》（GB/T14848-2017）中的Ⅲ类标准。</w:t>
            </w:r>
          </w:p>
          <w:p w14:paraId="294E28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center"/>
              <w:textAlignment w:val="auto"/>
              <w:rPr>
                <w:rFonts w:hAnsi="宋体" w:cs="宋体"/>
                <w:b/>
                <w:bCs/>
                <w:color w:val="auto"/>
                <w:sz w:val="24"/>
                <w:highlight w:val="none"/>
                <w:lang w:bidi="en-US"/>
              </w:rPr>
            </w:pPr>
            <w:r>
              <w:rPr>
                <w:rFonts w:hint="eastAsia" w:hAnsi="宋体" w:cs="宋体"/>
                <w:b/>
                <w:bCs/>
                <w:color w:val="auto"/>
                <w:sz w:val="24"/>
                <w:highlight w:val="none"/>
                <w:lang w:bidi="en-US"/>
              </w:rPr>
              <w:t>表3-</w:t>
            </w:r>
            <w:r>
              <w:rPr>
                <w:rFonts w:hint="eastAsia" w:hAnsi="宋体" w:cs="宋体"/>
                <w:b/>
                <w:bCs/>
                <w:color w:val="auto"/>
                <w:sz w:val="24"/>
                <w:highlight w:val="none"/>
                <w:lang w:val="en-US" w:eastAsia="zh-CN" w:bidi="en-US"/>
              </w:rPr>
              <w:t>3</w:t>
            </w:r>
            <w:r>
              <w:rPr>
                <w:rFonts w:hint="eastAsia" w:hAnsi="宋体" w:cs="宋体"/>
                <w:b/>
                <w:bCs/>
                <w:color w:val="auto"/>
                <w:sz w:val="24"/>
                <w:highlight w:val="none"/>
                <w:lang w:bidi="en-US"/>
              </w:rPr>
              <w:t>环境保护目标一览表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6"/>
              <w:gridCol w:w="1151"/>
              <w:gridCol w:w="796"/>
              <w:gridCol w:w="959"/>
              <w:gridCol w:w="2669"/>
              <w:gridCol w:w="778"/>
              <w:gridCol w:w="1038"/>
            </w:tblGrid>
            <w:tr w14:paraId="681EE3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458" w:type="pct"/>
                  <w:vMerge w:val="restart"/>
                  <w:tcBorders>
                    <w:tl2br w:val="nil"/>
                    <w:tr2bl w:val="nil"/>
                  </w:tcBorders>
                  <w:vAlign w:val="center"/>
                </w:tcPr>
                <w:p w14:paraId="73786546">
                  <w:pPr>
                    <w:jc w:val="center"/>
                    <w:rPr>
                      <w:rFonts w:ascii="Times New Roman" w:hAnsi="Times New Roman" w:eastAsia="宋体" w:cs="Times New Roman"/>
                      <w:color w:val="auto"/>
                    </w:rPr>
                  </w:pPr>
                  <w:r>
                    <w:rPr>
                      <w:rFonts w:hint="eastAsia" w:ascii="Times New Roman" w:hAnsi="Times New Roman" w:eastAsia="宋体" w:cs="Times New Roman"/>
                      <w:color w:val="auto"/>
                    </w:rPr>
                    <w:t>类别</w:t>
                  </w:r>
                </w:p>
              </w:tc>
              <w:tc>
                <w:tcPr>
                  <w:tcW w:w="707" w:type="pct"/>
                  <w:vMerge w:val="restart"/>
                  <w:tcBorders>
                    <w:tl2br w:val="nil"/>
                    <w:tr2bl w:val="nil"/>
                  </w:tcBorders>
                  <w:vAlign w:val="center"/>
                </w:tcPr>
                <w:p w14:paraId="66849FAA">
                  <w:pPr>
                    <w:jc w:val="center"/>
                    <w:rPr>
                      <w:rFonts w:ascii="Times New Roman" w:hAnsi="Times New Roman" w:eastAsia="宋体" w:cs="Times New Roman"/>
                      <w:color w:val="auto"/>
                    </w:rPr>
                  </w:pPr>
                  <w:r>
                    <w:rPr>
                      <w:rFonts w:hint="eastAsia" w:ascii="Times New Roman" w:hAnsi="Times New Roman" w:eastAsia="宋体" w:cs="Times New Roman"/>
                      <w:color w:val="auto"/>
                    </w:rPr>
                    <w:t>名称</w:t>
                  </w:r>
                </w:p>
              </w:tc>
              <w:tc>
                <w:tcPr>
                  <w:tcW w:w="489" w:type="pct"/>
                  <w:vMerge w:val="restart"/>
                  <w:tcBorders>
                    <w:tl2br w:val="nil"/>
                    <w:tr2bl w:val="nil"/>
                  </w:tcBorders>
                  <w:vAlign w:val="center"/>
                </w:tcPr>
                <w:p w14:paraId="0D4E4BC1">
                  <w:pPr>
                    <w:jc w:val="center"/>
                    <w:rPr>
                      <w:rFonts w:ascii="Times New Roman" w:hAnsi="Times New Roman" w:eastAsia="宋体" w:cs="Times New Roman"/>
                      <w:color w:val="auto"/>
                    </w:rPr>
                  </w:pPr>
                  <w:r>
                    <w:rPr>
                      <w:rFonts w:hint="eastAsia" w:ascii="Times New Roman" w:hAnsi="Times New Roman" w:eastAsia="宋体" w:cs="Times New Roman"/>
                      <w:color w:val="auto"/>
                    </w:rPr>
                    <w:t>保护对象</w:t>
                  </w:r>
                </w:p>
              </w:tc>
              <w:tc>
                <w:tcPr>
                  <w:tcW w:w="589" w:type="pct"/>
                  <w:vMerge w:val="restart"/>
                  <w:tcBorders>
                    <w:tl2br w:val="nil"/>
                    <w:tr2bl w:val="nil"/>
                  </w:tcBorders>
                  <w:vAlign w:val="center"/>
                </w:tcPr>
                <w:p w14:paraId="4A2E21F6">
                  <w:pPr>
                    <w:jc w:val="center"/>
                    <w:rPr>
                      <w:rFonts w:ascii="Times New Roman" w:hAnsi="Times New Roman" w:eastAsia="宋体" w:cs="Times New Roman"/>
                      <w:color w:val="auto"/>
                    </w:rPr>
                  </w:pPr>
                  <w:r>
                    <w:rPr>
                      <w:rFonts w:hint="eastAsia" w:ascii="Times New Roman" w:hAnsi="Times New Roman" w:eastAsia="宋体" w:cs="Times New Roman"/>
                      <w:color w:val="auto"/>
                    </w:rPr>
                    <w:t>保护内容</w:t>
                  </w:r>
                </w:p>
              </w:tc>
              <w:tc>
                <w:tcPr>
                  <w:tcW w:w="1639" w:type="pct"/>
                  <w:vMerge w:val="restart"/>
                  <w:tcBorders>
                    <w:tl2br w:val="nil"/>
                    <w:tr2bl w:val="nil"/>
                  </w:tcBorders>
                  <w:vAlign w:val="center"/>
                </w:tcPr>
                <w:p w14:paraId="50C9B4D0">
                  <w:pPr>
                    <w:jc w:val="center"/>
                    <w:rPr>
                      <w:rFonts w:ascii="Times New Roman" w:hAnsi="Times New Roman" w:eastAsia="宋体" w:cs="Times New Roman"/>
                      <w:color w:val="auto"/>
                    </w:rPr>
                  </w:pPr>
                  <w:r>
                    <w:rPr>
                      <w:rFonts w:hint="eastAsia" w:ascii="Times New Roman" w:hAnsi="Times New Roman" w:eastAsia="宋体" w:cs="Times New Roman"/>
                      <w:color w:val="auto"/>
                    </w:rPr>
                    <w:t>环境功能区</w:t>
                  </w:r>
                </w:p>
              </w:tc>
              <w:tc>
                <w:tcPr>
                  <w:tcW w:w="478" w:type="pct"/>
                  <w:vMerge w:val="restart"/>
                  <w:tcBorders>
                    <w:tl2br w:val="nil"/>
                    <w:tr2bl w:val="nil"/>
                  </w:tcBorders>
                  <w:vAlign w:val="center"/>
                </w:tcPr>
                <w:p w14:paraId="05C3C38F">
                  <w:pPr>
                    <w:jc w:val="center"/>
                    <w:rPr>
                      <w:rFonts w:ascii="Times New Roman" w:hAnsi="Times New Roman" w:eastAsia="宋体" w:cs="Times New Roman"/>
                      <w:color w:val="auto"/>
                    </w:rPr>
                  </w:pPr>
                  <w:r>
                    <w:rPr>
                      <w:rFonts w:hint="eastAsia" w:ascii="Times New Roman" w:hAnsi="Times New Roman" w:eastAsia="宋体" w:cs="Times New Roman"/>
                      <w:color w:val="auto"/>
                    </w:rPr>
                    <w:t>相对厂址方位</w:t>
                  </w:r>
                </w:p>
              </w:tc>
              <w:tc>
                <w:tcPr>
                  <w:tcW w:w="637" w:type="pct"/>
                  <w:vMerge w:val="restart"/>
                  <w:tcBorders>
                    <w:tl2br w:val="nil"/>
                    <w:tr2bl w:val="nil"/>
                  </w:tcBorders>
                  <w:vAlign w:val="center"/>
                </w:tcPr>
                <w:p w14:paraId="25859D65">
                  <w:pPr>
                    <w:jc w:val="center"/>
                    <w:rPr>
                      <w:rFonts w:ascii="Times New Roman" w:hAnsi="Times New Roman" w:eastAsia="宋体" w:cs="Times New Roman"/>
                      <w:color w:val="auto"/>
                    </w:rPr>
                  </w:pPr>
                  <w:r>
                    <w:rPr>
                      <w:rFonts w:hint="eastAsia" w:ascii="Times New Roman" w:hAnsi="Times New Roman" w:eastAsia="宋体" w:cs="Times New Roman"/>
                      <w:color w:val="auto"/>
                    </w:rPr>
                    <w:t>相对本项目最近距离/m</w:t>
                  </w:r>
                </w:p>
              </w:tc>
            </w:tr>
            <w:tr w14:paraId="472B9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jc w:val="center"/>
              </w:trPr>
              <w:tc>
                <w:tcPr>
                  <w:tcW w:w="458" w:type="pct"/>
                  <w:vMerge w:val="continue"/>
                  <w:tcBorders>
                    <w:tl2br w:val="nil"/>
                    <w:tr2bl w:val="nil"/>
                  </w:tcBorders>
                  <w:vAlign w:val="center"/>
                </w:tcPr>
                <w:p w14:paraId="3F22CE62">
                  <w:pPr>
                    <w:jc w:val="center"/>
                    <w:rPr>
                      <w:rFonts w:ascii="Times New Roman" w:hAnsi="Times New Roman" w:eastAsia="宋体" w:cs="Times New Roman"/>
                      <w:color w:val="auto"/>
                    </w:rPr>
                  </w:pPr>
                </w:p>
              </w:tc>
              <w:tc>
                <w:tcPr>
                  <w:tcW w:w="707" w:type="pct"/>
                  <w:vMerge w:val="continue"/>
                  <w:tcBorders>
                    <w:tl2br w:val="nil"/>
                    <w:tr2bl w:val="nil"/>
                  </w:tcBorders>
                  <w:vAlign w:val="center"/>
                </w:tcPr>
                <w:p w14:paraId="68B151CE">
                  <w:pPr>
                    <w:jc w:val="center"/>
                    <w:rPr>
                      <w:rFonts w:ascii="Times New Roman" w:hAnsi="Times New Roman" w:eastAsia="宋体" w:cs="Times New Roman"/>
                      <w:color w:val="auto"/>
                    </w:rPr>
                  </w:pPr>
                </w:p>
              </w:tc>
              <w:tc>
                <w:tcPr>
                  <w:tcW w:w="489" w:type="pct"/>
                  <w:vMerge w:val="continue"/>
                  <w:tcBorders>
                    <w:tl2br w:val="nil"/>
                    <w:tr2bl w:val="nil"/>
                  </w:tcBorders>
                  <w:vAlign w:val="center"/>
                </w:tcPr>
                <w:p w14:paraId="63532481">
                  <w:pPr>
                    <w:jc w:val="center"/>
                    <w:rPr>
                      <w:rFonts w:ascii="Times New Roman" w:hAnsi="Times New Roman" w:eastAsia="宋体" w:cs="Times New Roman"/>
                      <w:color w:val="auto"/>
                    </w:rPr>
                  </w:pPr>
                </w:p>
              </w:tc>
              <w:tc>
                <w:tcPr>
                  <w:tcW w:w="589" w:type="pct"/>
                  <w:vMerge w:val="continue"/>
                  <w:tcBorders>
                    <w:tl2br w:val="nil"/>
                    <w:tr2bl w:val="nil"/>
                  </w:tcBorders>
                  <w:vAlign w:val="center"/>
                </w:tcPr>
                <w:p w14:paraId="5138B1F8">
                  <w:pPr>
                    <w:jc w:val="center"/>
                    <w:rPr>
                      <w:rFonts w:ascii="Times New Roman" w:hAnsi="Times New Roman" w:eastAsia="宋体" w:cs="Times New Roman"/>
                      <w:color w:val="auto"/>
                    </w:rPr>
                  </w:pPr>
                </w:p>
              </w:tc>
              <w:tc>
                <w:tcPr>
                  <w:tcW w:w="1639" w:type="pct"/>
                  <w:vMerge w:val="continue"/>
                  <w:tcBorders>
                    <w:tl2br w:val="nil"/>
                    <w:tr2bl w:val="nil"/>
                  </w:tcBorders>
                  <w:vAlign w:val="center"/>
                </w:tcPr>
                <w:p w14:paraId="24E111D2">
                  <w:pPr>
                    <w:jc w:val="center"/>
                    <w:rPr>
                      <w:rFonts w:ascii="Times New Roman" w:hAnsi="Times New Roman" w:eastAsia="宋体" w:cs="Times New Roman"/>
                      <w:color w:val="auto"/>
                    </w:rPr>
                  </w:pPr>
                </w:p>
              </w:tc>
              <w:tc>
                <w:tcPr>
                  <w:tcW w:w="478" w:type="pct"/>
                  <w:vMerge w:val="continue"/>
                  <w:tcBorders>
                    <w:tl2br w:val="nil"/>
                    <w:tr2bl w:val="nil"/>
                  </w:tcBorders>
                  <w:vAlign w:val="center"/>
                </w:tcPr>
                <w:p w14:paraId="2C53B1FB">
                  <w:pPr>
                    <w:jc w:val="center"/>
                    <w:rPr>
                      <w:rFonts w:ascii="Times New Roman" w:hAnsi="Times New Roman" w:eastAsia="宋体" w:cs="Times New Roman"/>
                      <w:color w:val="auto"/>
                    </w:rPr>
                  </w:pPr>
                </w:p>
              </w:tc>
              <w:tc>
                <w:tcPr>
                  <w:tcW w:w="637" w:type="pct"/>
                  <w:vMerge w:val="continue"/>
                  <w:tcBorders>
                    <w:tl2br w:val="nil"/>
                    <w:tr2bl w:val="nil"/>
                  </w:tcBorders>
                  <w:vAlign w:val="center"/>
                </w:tcPr>
                <w:p w14:paraId="04E3AA9B">
                  <w:pPr>
                    <w:jc w:val="center"/>
                    <w:rPr>
                      <w:rFonts w:ascii="Times New Roman" w:hAnsi="Times New Roman" w:eastAsia="宋体" w:cs="Times New Roman"/>
                      <w:color w:val="auto"/>
                    </w:rPr>
                  </w:pPr>
                </w:p>
              </w:tc>
            </w:tr>
            <w:tr w14:paraId="0761BD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jc w:val="center"/>
              </w:trPr>
              <w:tc>
                <w:tcPr>
                  <w:tcW w:w="458" w:type="pct"/>
                  <w:vMerge w:val="restart"/>
                  <w:tcBorders>
                    <w:tl2br w:val="nil"/>
                    <w:tr2bl w:val="nil"/>
                  </w:tcBorders>
                  <w:vAlign w:val="center"/>
                </w:tcPr>
                <w:p w14:paraId="2A8C564F">
                  <w:pPr>
                    <w:jc w:val="center"/>
                    <w:rPr>
                      <w:rFonts w:ascii="Times New Roman" w:hAnsi="Times New Roman" w:eastAsia="宋体" w:cs="Times New Roman"/>
                      <w:color w:val="auto"/>
                    </w:rPr>
                  </w:pPr>
                  <w:r>
                    <w:rPr>
                      <w:rFonts w:hint="eastAsia" w:ascii="Times New Roman" w:hAnsi="Times New Roman" w:eastAsia="宋体" w:cs="Times New Roman"/>
                      <w:color w:val="auto"/>
                    </w:rPr>
                    <w:t>大气环境</w:t>
                  </w:r>
                </w:p>
              </w:tc>
              <w:tc>
                <w:tcPr>
                  <w:tcW w:w="707" w:type="pct"/>
                  <w:tcBorders>
                    <w:tl2br w:val="nil"/>
                    <w:tr2bl w:val="nil"/>
                  </w:tcBorders>
                  <w:vAlign w:val="center"/>
                </w:tcPr>
                <w:p w14:paraId="45BAF5A1">
                  <w:pPr>
                    <w:jc w:val="center"/>
                    <w:rPr>
                      <w:rFonts w:hint="eastAsia" w:ascii="Times New Roman" w:hAnsi="Times New Roman" w:eastAsia="宋体" w:cs="Times New Roman"/>
                      <w:color w:val="auto"/>
                      <w:lang w:eastAsia="zh-CN"/>
                    </w:rPr>
                  </w:pPr>
                  <w:r>
                    <w:rPr>
                      <w:rFonts w:hint="eastAsia" w:cs="Times New Roman"/>
                      <w:color w:val="auto"/>
                      <w:lang w:eastAsia="zh-CN"/>
                    </w:rPr>
                    <w:t>罗里村</w:t>
                  </w:r>
                </w:p>
              </w:tc>
              <w:tc>
                <w:tcPr>
                  <w:tcW w:w="489" w:type="pct"/>
                  <w:tcBorders>
                    <w:tl2br w:val="nil"/>
                    <w:tr2bl w:val="nil"/>
                  </w:tcBorders>
                  <w:vAlign w:val="center"/>
                </w:tcPr>
                <w:p w14:paraId="7343C516">
                  <w:pPr>
                    <w:jc w:val="center"/>
                    <w:rPr>
                      <w:rFonts w:hint="eastAsia" w:ascii="Times New Roman" w:hAnsi="Times New Roman" w:eastAsia="宋体" w:cs="Times New Roman"/>
                      <w:color w:val="auto"/>
                      <w:lang w:eastAsia="zh-CN"/>
                    </w:rPr>
                  </w:pPr>
                  <w:r>
                    <w:rPr>
                      <w:rFonts w:hint="eastAsia" w:cs="Times New Roman"/>
                      <w:color w:val="auto"/>
                      <w:lang w:eastAsia="zh-CN"/>
                    </w:rPr>
                    <w:t>居民</w:t>
                  </w:r>
                </w:p>
              </w:tc>
              <w:tc>
                <w:tcPr>
                  <w:tcW w:w="589" w:type="pct"/>
                  <w:tcBorders>
                    <w:tl2br w:val="nil"/>
                    <w:tr2bl w:val="nil"/>
                  </w:tcBorders>
                  <w:vAlign w:val="center"/>
                </w:tcPr>
                <w:p w14:paraId="127F9325">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1000人</w:t>
                  </w:r>
                </w:p>
              </w:tc>
              <w:tc>
                <w:tcPr>
                  <w:tcW w:w="1639" w:type="pct"/>
                  <w:vMerge w:val="restart"/>
                  <w:tcBorders>
                    <w:tl2br w:val="nil"/>
                    <w:tr2bl w:val="nil"/>
                  </w:tcBorders>
                  <w:vAlign w:val="center"/>
                </w:tcPr>
                <w:p w14:paraId="27431DCB">
                  <w:pPr>
                    <w:jc w:val="center"/>
                    <w:rPr>
                      <w:rFonts w:ascii="Times New Roman" w:hAnsi="Times New Roman" w:eastAsia="宋体" w:cs="Times New Roman"/>
                      <w:color w:val="auto"/>
                    </w:rPr>
                  </w:pPr>
                  <w:r>
                    <w:rPr>
                      <w:rFonts w:hint="eastAsia" w:ascii="Times New Roman" w:hAnsi="Times New Roman" w:eastAsia="宋体" w:cs="Times New Roman"/>
                      <w:color w:val="auto"/>
                    </w:rPr>
                    <w:t>二类环境空气功能区</w:t>
                  </w:r>
                </w:p>
              </w:tc>
              <w:tc>
                <w:tcPr>
                  <w:tcW w:w="478" w:type="pct"/>
                  <w:tcBorders>
                    <w:tl2br w:val="nil"/>
                    <w:tr2bl w:val="nil"/>
                  </w:tcBorders>
                  <w:vAlign w:val="center"/>
                </w:tcPr>
                <w:p w14:paraId="371BDE57">
                  <w:pPr>
                    <w:jc w:val="center"/>
                    <w:rPr>
                      <w:rFonts w:hint="eastAsia" w:ascii="Times New Roman" w:hAnsi="Times New Roman" w:eastAsia="宋体" w:cs="Times New Roman"/>
                      <w:color w:val="auto"/>
                      <w:lang w:eastAsia="zh-CN"/>
                    </w:rPr>
                  </w:pPr>
                  <w:r>
                    <w:rPr>
                      <w:rFonts w:hint="eastAsia" w:cs="Times New Roman"/>
                      <w:color w:val="auto"/>
                      <w:lang w:eastAsia="zh-CN"/>
                    </w:rPr>
                    <w:t>北</w:t>
                  </w:r>
                </w:p>
              </w:tc>
              <w:tc>
                <w:tcPr>
                  <w:tcW w:w="637" w:type="pct"/>
                  <w:tcBorders>
                    <w:tl2br w:val="nil"/>
                    <w:tr2bl w:val="nil"/>
                  </w:tcBorders>
                  <w:vAlign w:val="center"/>
                </w:tcPr>
                <w:p w14:paraId="2CF7E90C">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165</w:t>
                  </w:r>
                </w:p>
              </w:tc>
            </w:tr>
            <w:tr w14:paraId="132260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jc w:val="center"/>
              </w:trPr>
              <w:tc>
                <w:tcPr>
                  <w:tcW w:w="458" w:type="pct"/>
                  <w:vMerge w:val="continue"/>
                  <w:tcBorders>
                    <w:tl2br w:val="nil"/>
                    <w:tr2bl w:val="nil"/>
                  </w:tcBorders>
                  <w:vAlign w:val="center"/>
                </w:tcPr>
                <w:p w14:paraId="0B9E65CE">
                  <w:pPr>
                    <w:jc w:val="center"/>
                    <w:rPr>
                      <w:rFonts w:hint="eastAsia" w:ascii="Times New Roman" w:hAnsi="Times New Roman" w:eastAsia="宋体" w:cs="Times New Roman"/>
                      <w:color w:val="auto"/>
                    </w:rPr>
                  </w:pPr>
                </w:p>
              </w:tc>
              <w:tc>
                <w:tcPr>
                  <w:tcW w:w="707" w:type="pct"/>
                  <w:tcBorders>
                    <w:tl2br w:val="nil"/>
                    <w:tr2bl w:val="nil"/>
                  </w:tcBorders>
                  <w:vAlign w:val="center"/>
                </w:tcPr>
                <w:p w14:paraId="255DA05C">
                  <w:pPr>
                    <w:jc w:val="center"/>
                    <w:rPr>
                      <w:rFonts w:hint="eastAsia" w:cs="Times New Roman"/>
                      <w:color w:val="auto"/>
                      <w:lang w:eastAsia="zh-CN"/>
                    </w:rPr>
                  </w:pPr>
                  <w:r>
                    <w:rPr>
                      <w:rFonts w:hint="eastAsia" w:cs="Times New Roman"/>
                      <w:color w:val="auto"/>
                      <w:lang w:eastAsia="zh-CN"/>
                    </w:rPr>
                    <w:t>高岳街道社区</w:t>
                  </w:r>
                </w:p>
              </w:tc>
              <w:tc>
                <w:tcPr>
                  <w:tcW w:w="489" w:type="pct"/>
                  <w:tcBorders>
                    <w:tl2br w:val="nil"/>
                    <w:tr2bl w:val="nil"/>
                  </w:tcBorders>
                  <w:vAlign w:val="center"/>
                </w:tcPr>
                <w:p w14:paraId="311F62CA">
                  <w:pPr>
                    <w:jc w:val="center"/>
                    <w:rPr>
                      <w:rFonts w:hint="eastAsia" w:cs="Times New Roman"/>
                      <w:color w:val="auto"/>
                      <w:lang w:eastAsia="zh-CN"/>
                    </w:rPr>
                  </w:pPr>
                  <w:r>
                    <w:rPr>
                      <w:rFonts w:hint="eastAsia" w:cs="Times New Roman"/>
                      <w:color w:val="auto"/>
                      <w:lang w:eastAsia="zh-CN"/>
                    </w:rPr>
                    <w:t>居民</w:t>
                  </w:r>
                </w:p>
              </w:tc>
              <w:tc>
                <w:tcPr>
                  <w:tcW w:w="589" w:type="pct"/>
                  <w:tcBorders>
                    <w:tl2br w:val="nil"/>
                    <w:tr2bl w:val="nil"/>
                  </w:tcBorders>
                  <w:vAlign w:val="center"/>
                </w:tcPr>
                <w:p w14:paraId="4255755E">
                  <w:pPr>
                    <w:jc w:val="center"/>
                    <w:rPr>
                      <w:rFonts w:hint="default" w:cs="Times New Roman"/>
                      <w:color w:val="auto"/>
                      <w:lang w:val="en-US" w:eastAsia="zh-CN"/>
                    </w:rPr>
                  </w:pPr>
                  <w:r>
                    <w:rPr>
                      <w:rFonts w:hint="eastAsia" w:cs="Times New Roman"/>
                      <w:color w:val="auto"/>
                      <w:lang w:val="en-US" w:eastAsia="zh-CN"/>
                    </w:rPr>
                    <w:t>800人</w:t>
                  </w:r>
                </w:p>
              </w:tc>
              <w:tc>
                <w:tcPr>
                  <w:tcW w:w="1639" w:type="pct"/>
                  <w:vMerge w:val="continue"/>
                  <w:tcBorders>
                    <w:tl2br w:val="nil"/>
                    <w:tr2bl w:val="nil"/>
                  </w:tcBorders>
                  <w:vAlign w:val="center"/>
                </w:tcPr>
                <w:p w14:paraId="257EDDB5">
                  <w:pPr>
                    <w:jc w:val="center"/>
                    <w:rPr>
                      <w:rFonts w:hint="eastAsia" w:ascii="Times New Roman" w:hAnsi="Times New Roman" w:eastAsia="宋体" w:cs="Times New Roman"/>
                      <w:color w:val="auto"/>
                    </w:rPr>
                  </w:pPr>
                </w:p>
              </w:tc>
              <w:tc>
                <w:tcPr>
                  <w:tcW w:w="478" w:type="pct"/>
                  <w:tcBorders>
                    <w:tl2br w:val="nil"/>
                    <w:tr2bl w:val="nil"/>
                  </w:tcBorders>
                  <w:vAlign w:val="center"/>
                </w:tcPr>
                <w:p w14:paraId="492199FC">
                  <w:pPr>
                    <w:jc w:val="center"/>
                    <w:rPr>
                      <w:rFonts w:hint="eastAsia" w:cs="Times New Roman"/>
                      <w:color w:val="auto"/>
                      <w:lang w:eastAsia="zh-CN"/>
                    </w:rPr>
                  </w:pPr>
                  <w:r>
                    <w:rPr>
                      <w:rFonts w:hint="eastAsia" w:cs="Times New Roman"/>
                      <w:color w:val="auto"/>
                      <w:lang w:eastAsia="zh-CN"/>
                    </w:rPr>
                    <w:t>东南</w:t>
                  </w:r>
                </w:p>
              </w:tc>
              <w:tc>
                <w:tcPr>
                  <w:tcW w:w="637" w:type="pct"/>
                  <w:tcBorders>
                    <w:tl2br w:val="nil"/>
                    <w:tr2bl w:val="nil"/>
                  </w:tcBorders>
                  <w:vAlign w:val="center"/>
                </w:tcPr>
                <w:p w14:paraId="6BF73AD2">
                  <w:pPr>
                    <w:jc w:val="center"/>
                    <w:rPr>
                      <w:rFonts w:hint="default" w:cs="Times New Roman"/>
                      <w:color w:val="auto"/>
                      <w:lang w:val="en-US" w:eastAsia="zh-CN"/>
                    </w:rPr>
                  </w:pPr>
                  <w:r>
                    <w:rPr>
                      <w:rFonts w:hint="eastAsia" w:cs="Times New Roman"/>
                      <w:color w:val="auto"/>
                      <w:lang w:val="en-US" w:eastAsia="zh-CN"/>
                    </w:rPr>
                    <w:t>489</w:t>
                  </w:r>
                </w:p>
              </w:tc>
            </w:tr>
            <w:tr w14:paraId="6D810C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5" w:hRule="atLeast"/>
                <w:jc w:val="center"/>
              </w:trPr>
              <w:tc>
                <w:tcPr>
                  <w:tcW w:w="458" w:type="pct"/>
                  <w:vMerge w:val="continue"/>
                  <w:tcBorders>
                    <w:tl2br w:val="nil"/>
                    <w:tr2bl w:val="nil"/>
                  </w:tcBorders>
                  <w:vAlign w:val="center"/>
                </w:tcPr>
                <w:p w14:paraId="5E6BE007">
                  <w:pPr>
                    <w:jc w:val="center"/>
                    <w:rPr>
                      <w:rFonts w:ascii="Times New Roman" w:hAnsi="Times New Roman" w:eastAsia="宋体" w:cs="Times New Roman"/>
                      <w:color w:val="auto"/>
                    </w:rPr>
                  </w:pPr>
                </w:p>
              </w:tc>
              <w:tc>
                <w:tcPr>
                  <w:tcW w:w="707" w:type="pct"/>
                  <w:tcBorders>
                    <w:tl2br w:val="nil"/>
                    <w:tr2bl w:val="nil"/>
                  </w:tcBorders>
                  <w:vAlign w:val="center"/>
                </w:tcPr>
                <w:p w14:paraId="3DB63085">
                  <w:pPr>
                    <w:jc w:val="center"/>
                    <w:rPr>
                      <w:rFonts w:hint="eastAsia" w:ascii="Times New Roman" w:hAnsi="Times New Roman" w:eastAsia="宋体" w:cs="Times New Roman"/>
                      <w:color w:val="auto"/>
                      <w:lang w:eastAsia="zh-CN"/>
                    </w:rPr>
                  </w:pPr>
                  <w:r>
                    <w:rPr>
                      <w:rFonts w:hint="eastAsia" w:cs="Times New Roman"/>
                      <w:color w:val="auto"/>
                      <w:lang w:eastAsia="zh-CN"/>
                    </w:rPr>
                    <w:t>杜集区经济开发区管委会</w:t>
                  </w:r>
                </w:p>
              </w:tc>
              <w:tc>
                <w:tcPr>
                  <w:tcW w:w="489" w:type="pct"/>
                  <w:tcBorders>
                    <w:tl2br w:val="nil"/>
                    <w:tr2bl w:val="nil"/>
                  </w:tcBorders>
                  <w:vAlign w:val="center"/>
                </w:tcPr>
                <w:p w14:paraId="24678775">
                  <w:pPr>
                    <w:jc w:val="center"/>
                    <w:rPr>
                      <w:rFonts w:ascii="Times New Roman" w:hAnsi="Times New Roman" w:eastAsia="宋体" w:cs="Times New Roman"/>
                      <w:color w:val="auto"/>
                    </w:rPr>
                  </w:pPr>
                  <w:r>
                    <w:rPr>
                      <w:rFonts w:hint="eastAsia" w:ascii="Times New Roman" w:hAnsi="Times New Roman" w:eastAsia="宋体" w:cs="Times New Roman"/>
                      <w:color w:val="auto"/>
                    </w:rPr>
                    <w:t>居民</w:t>
                  </w:r>
                </w:p>
              </w:tc>
              <w:tc>
                <w:tcPr>
                  <w:tcW w:w="589" w:type="pct"/>
                  <w:tcBorders>
                    <w:tl2br w:val="nil"/>
                    <w:tr2bl w:val="nil"/>
                  </w:tcBorders>
                  <w:vAlign w:val="center"/>
                </w:tcPr>
                <w:p w14:paraId="4C9FF3E1">
                  <w:pPr>
                    <w:jc w:val="center"/>
                    <w:rPr>
                      <w:rFonts w:ascii="Times New Roman" w:hAnsi="Times New Roman" w:eastAsia="宋体" w:cs="Times New Roman"/>
                      <w:color w:val="auto"/>
                    </w:rPr>
                  </w:pPr>
                  <w:r>
                    <w:rPr>
                      <w:rFonts w:hint="eastAsia" w:cs="Times New Roman"/>
                      <w:color w:val="auto"/>
                      <w:lang w:val="en-US" w:eastAsia="zh-CN"/>
                    </w:rPr>
                    <w:t>60</w:t>
                  </w:r>
                  <w:r>
                    <w:rPr>
                      <w:rFonts w:hint="eastAsia" w:ascii="Times New Roman" w:hAnsi="Times New Roman" w:eastAsia="宋体" w:cs="Times New Roman"/>
                      <w:color w:val="auto"/>
                    </w:rPr>
                    <w:t>人</w:t>
                  </w:r>
                </w:p>
              </w:tc>
              <w:tc>
                <w:tcPr>
                  <w:tcW w:w="1639" w:type="pct"/>
                  <w:vMerge w:val="continue"/>
                  <w:tcBorders>
                    <w:tl2br w:val="nil"/>
                    <w:tr2bl w:val="nil"/>
                  </w:tcBorders>
                  <w:vAlign w:val="center"/>
                </w:tcPr>
                <w:p w14:paraId="0E870A44">
                  <w:pPr>
                    <w:jc w:val="center"/>
                    <w:rPr>
                      <w:rFonts w:ascii="Times New Roman" w:hAnsi="Times New Roman" w:eastAsia="宋体" w:cs="Times New Roman"/>
                      <w:color w:val="auto"/>
                    </w:rPr>
                  </w:pPr>
                </w:p>
              </w:tc>
              <w:tc>
                <w:tcPr>
                  <w:tcW w:w="478" w:type="pct"/>
                  <w:tcBorders>
                    <w:tl2br w:val="nil"/>
                    <w:tr2bl w:val="nil"/>
                  </w:tcBorders>
                  <w:vAlign w:val="center"/>
                </w:tcPr>
                <w:p w14:paraId="0DF69EDF">
                  <w:pPr>
                    <w:jc w:val="center"/>
                    <w:rPr>
                      <w:rFonts w:hint="eastAsia" w:ascii="Times New Roman" w:hAnsi="Times New Roman" w:eastAsia="宋体" w:cs="Times New Roman"/>
                      <w:color w:val="auto"/>
                      <w:lang w:eastAsia="zh-CN"/>
                    </w:rPr>
                  </w:pPr>
                  <w:r>
                    <w:rPr>
                      <w:rFonts w:hint="eastAsia" w:cs="Times New Roman"/>
                      <w:color w:val="auto"/>
                      <w:lang w:eastAsia="zh-CN"/>
                    </w:rPr>
                    <w:t>东</w:t>
                  </w:r>
                </w:p>
              </w:tc>
              <w:tc>
                <w:tcPr>
                  <w:tcW w:w="637" w:type="pct"/>
                  <w:tcBorders>
                    <w:tl2br w:val="nil"/>
                    <w:tr2bl w:val="nil"/>
                  </w:tcBorders>
                  <w:vAlign w:val="center"/>
                </w:tcPr>
                <w:p w14:paraId="05F7ED02">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r>
                    <w:rPr>
                      <w:rFonts w:hint="eastAsia" w:cs="Times New Roman"/>
                      <w:color w:val="auto"/>
                      <w:lang w:val="en-US" w:eastAsia="zh-CN"/>
                    </w:rPr>
                    <w:t>2</w:t>
                  </w:r>
                </w:p>
              </w:tc>
            </w:tr>
            <w:tr w14:paraId="2E25A8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8" w:hRule="atLeast"/>
                <w:jc w:val="center"/>
              </w:trPr>
              <w:tc>
                <w:tcPr>
                  <w:tcW w:w="458" w:type="pct"/>
                  <w:tcBorders>
                    <w:tl2br w:val="nil"/>
                    <w:tr2bl w:val="nil"/>
                  </w:tcBorders>
                  <w:vAlign w:val="center"/>
                </w:tcPr>
                <w:p w14:paraId="39F400CC">
                  <w:pPr>
                    <w:jc w:val="center"/>
                    <w:rPr>
                      <w:rFonts w:ascii="Times New Roman" w:hAnsi="Times New Roman" w:eastAsia="宋体" w:cs="Times New Roman"/>
                      <w:color w:val="auto"/>
                    </w:rPr>
                  </w:pPr>
                  <w:r>
                    <w:rPr>
                      <w:rFonts w:hint="eastAsia" w:ascii="Times New Roman" w:hAnsi="Times New Roman" w:eastAsia="宋体" w:cs="Times New Roman"/>
                      <w:color w:val="auto"/>
                    </w:rPr>
                    <w:t>声环境</w:t>
                  </w:r>
                </w:p>
              </w:tc>
              <w:tc>
                <w:tcPr>
                  <w:tcW w:w="707" w:type="pct"/>
                  <w:tcBorders>
                    <w:tl2br w:val="nil"/>
                    <w:tr2bl w:val="nil"/>
                  </w:tcBorders>
                  <w:vAlign w:val="center"/>
                </w:tcPr>
                <w:p w14:paraId="337090B9">
                  <w:pPr>
                    <w:jc w:val="center"/>
                    <w:rPr>
                      <w:rFonts w:ascii="Times New Roman" w:hAnsi="Times New Roman" w:eastAsia="宋体" w:cs="Times New Roman"/>
                      <w:color w:val="auto"/>
                    </w:rPr>
                  </w:pPr>
                  <w:r>
                    <w:rPr>
                      <w:rFonts w:hint="eastAsia" w:cs="Times New Roman"/>
                      <w:color w:val="auto"/>
                      <w:lang w:eastAsia="zh-CN"/>
                    </w:rPr>
                    <w:t>杜集区经济开发区管委会</w:t>
                  </w:r>
                </w:p>
              </w:tc>
              <w:tc>
                <w:tcPr>
                  <w:tcW w:w="489" w:type="pct"/>
                  <w:tcBorders>
                    <w:tl2br w:val="nil"/>
                    <w:tr2bl w:val="nil"/>
                  </w:tcBorders>
                  <w:vAlign w:val="center"/>
                </w:tcPr>
                <w:p w14:paraId="22BA4C7A">
                  <w:pPr>
                    <w:jc w:val="center"/>
                    <w:rPr>
                      <w:rFonts w:ascii="Times New Roman" w:hAnsi="Times New Roman" w:eastAsia="宋体" w:cs="Times New Roman"/>
                      <w:color w:val="auto"/>
                    </w:rPr>
                  </w:pPr>
                  <w:r>
                    <w:rPr>
                      <w:rFonts w:hint="eastAsia" w:ascii="Times New Roman" w:hAnsi="Times New Roman" w:eastAsia="宋体" w:cs="Times New Roman"/>
                      <w:color w:val="auto"/>
                    </w:rPr>
                    <w:t>居民</w:t>
                  </w:r>
                </w:p>
              </w:tc>
              <w:tc>
                <w:tcPr>
                  <w:tcW w:w="589" w:type="pct"/>
                  <w:tcBorders>
                    <w:tl2br w:val="nil"/>
                    <w:tr2bl w:val="nil"/>
                  </w:tcBorders>
                  <w:vAlign w:val="center"/>
                </w:tcPr>
                <w:p w14:paraId="23742168">
                  <w:pPr>
                    <w:jc w:val="center"/>
                    <w:rPr>
                      <w:rFonts w:ascii="Times New Roman" w:hAnsi="Times New Roman" w:eastAsia="宋体" w:cs="Times New Roman"/>
                      <w:color w:val="auto"/>
                    </w:rPr>
                  </w:pPr>
                  <w:r>
                    <w:rPr>
                      <w:rFonts w:hint="eastAsia" w:cs="Times New Roman"/>
                      <w:color w:val="auto"/>
                      <w:lang w:val="en-US" w:eastAsia="zh-CN"/>
                    </w:rPr>
                    <w:t>60</w:t>
                  </w:r>
                  <w:r>
                    <w:rPr>
                      <w:rFonts w:hint="eastAsia" w:ascii="Times New Roman" w:hAnsi="Times New Roman" w:eastAsia="宋体" w:cs="Times New Roman"/>
                      <w:color w:val="auto"/>
                    </w:rPr>
                    <w:t>人</w:t>
                  </w:r>
                </w:p>
              </w:tc>
              <w:tc>
                <w:tcPr>
                  <w:tcW w:w="1639" w:type="pct"/>
                  <w:tcBorders>
                    <w:tl2br w:val="nil"/>
                    <w:tr2bl w:val="nil"/>
                  </w:tcBorders>
                  <w:vAlign w:val="center"/>
                </w:tcPr>
                <w:p w14:paraId="1C1A6F66">
                  <w:pPr>
                    <w:jc w:val="center"/>
                    <w:rPr>
                      <w:rFonts w:ascii="Times New Roman" w:hAnsi="Times New Roman" w:eastAsia="宋体" w:cs="Times New Roman"/>
                      <w:color w:val="auto"/>
                    </w:rPr>
                  </w:pPr>
                  <w:r>
                    <w:rPr>
                      <w:rFonts w:hint="eastAsia" w:ascii="Times New Roman" w:hAnsi="Times New Roman" w:eastAsia="宋体" w:cs="Times New Roman"/>
                      <w:color w:val="auto"/>
                    </w:rPr>
                    <w:t>（GB3096-2008）</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类标准</w:t>
                  </w:r>
                </w:p>
              </w:tc>
              <w:tc>
                <w:tcPr>
                  <w:tcW w:w="478" w:type="pct"/>
                  <w:tcBorders>
                    <w:tl2br w:val="nil"/>
                    <w:tr2bl w:val="nil"/>
                  </w:tcBorders>
                  <w:vAlign w:val="center"/>
                </w:tcPr>
                <w:p w14:paraId="07F64E86">
                  <w:pPr>
                    <w:jc w:val="center"/>
                    <w:rPr>
                      <w:rFonts w:hint="eastAsia" w:ascii="Times New Roman" w:hAnsi="Times New Roman" w:eastAsia="宋体" w:cs="Times New Roman"/>
                      <w:color w:val="auto"/>
                      <w:lang w:eastAsia="zh-CN"/>
                    </w:rPr>
                  </w:pPr>
                  <w:r>
                    <w:rPr>
                      <w:rFonts w:hint="eastAsia" w:cs="Times New Roman"/>
                      <w:color w:val="auto"/>
                      <w:lang w:eastAsia="zh-CN"/>
                    </w:rPr>
                    <w:t>东</w:t>
                  </w:r>
                </w:p>
              </w:tc>
              <w:tc>
                <w:tcPr>
                  <w:tcW w:w="637" w:type="pct"/>
                  <w:tcBorders>
                    <w:tl2br w:val="nil"/>
                    <w:tr2bl w:val="nil"/>
                  </w:tcBorders>
                  <w:vAlign w:val="center"/>
                </w:tcPr>
                <w:p w14:paraId="40F687A1">
                  <w:pPr>
                    <w:jc w:val="center"/>
                    <w:rPr>
                      <w:rFonts w:ascii="Times New Roman" w:hAnsi="Times New Roman" w:eastAsia="宋体" w:cs="Times New Roman"/>
                      <w:color w:val="auto"/>
                    </w:rPr>
                  </w:pPr>
                  <w:r>
                    <w:rPr>
                      <w:rFonts w:hint="eastAsia" w:ascii="Times New Roman" w:hAnsi="Times New Roman" w:eastAsia="宋体" w:cs="Times New Roman"/>
                      <w:color w:val="auto"/>
                    </w:rPr>
                    <w:t>厂界外50m范围内</w:t>
                  </w:r>
                </w:p>
              </w:tc>
            </w:tr>
            <w:tr w14:paraId="11C8F6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458" w:type="pct"/>
                  <w:vMerge w:val="restart"/>
                  <w:tcBorders>
                    <w:tl2br w:val="nil"/>
                    <w:tr2bl w:val="nil"/>
                  </w:tcBorders>
                  <w:vAlign w:val="center"/>
                </w:tcPr>
                <w:p w14:paraId="370CD4A8">
                  <w:pPr>
                    <w:jc w:val="center"/>
                    <w:rPr>
                      <w:rFonts w:ascii="Times New Roman" w:hAnsi="Times New Roman" w:eastAsia="宋体" w:cs="Times New Roman"/>
                      <w:color w:val="auto"/>
                    </w:rPr>
                  </w:pPr>
                  <w:r>
                    <w:rPr>
                      <w:rFonts w:hint="eastAsia" w:ascii="Times New Roman" w:hAnsi="Times New Roman" w:eastAsia="宋体" w:cs="Times New Roman"/>
                      <w:color w:val="auto"/>
                    </w:rPr>
                    <w:t>地表水环境</w:t>
                  </w:r>
                </w:p>
              </w:tc>
              <w:tc>
                <w:tcPr>
                  <w:tcW w:w="707" w:type="pct"/>
                  <w:tcBorders>
                    <w:tl2br w:val="nil"/>
                    <w:tr2bl w:val="nil"/>
                  </w:tcBorders>
                  <w:vAlign w:val="center"/>
                </w:tcPr>
                <w:p w14:paraId="54820031">
                  <w:pPr>
                    <w:jc w:val="center"/>
                    <w:rPr>
                      <w:rFonts w:hint="eastAsia" w:ascii="Times New Roman" w:hAnsi="Times New Roman" w:eastAsia="宋体" w:cs="Times New Roman"/>
                      <w:color w:val="auto"/>
                      <w:lang w:eastAsia="zh-CN"/>
                    </w:rPr>
                  </w:pPr>
                  <w:r>
                    <w:rPr>
                      <w:rFonts w:hint="eastAsia" w:cs="Times New Roman"/>
                      <w:color w:val="auto"/>
                      <w:lang w:eastAsia="zh-CN"/>
                    </w:rPr>
                    <w:t>岱河</w:t>
                  </w:r>
                </w:p>
              </w:tc>
              <w:tc>
                <w:tcPr>
                  <w:tcW w:w="489" w:type="pct"/>
                  <w:vMerge w:val="restart"/>
                  <w:tcBorders>
                    <w:tl2br w:val="nil"/>
                    <w:tr2bl w:val="nil"/>
                  </w:tcBorders>
                  <w:vAlign w:val="center"/>
                </w:tcPr>
                <w:p w14:paraId="43AD6593">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水质</w:t>
                  </w:r>
                </w:p>
              </w:tc>
              <w:tc>
                <w:tcPr>
                  <w:tcW w:w="589" w:type="pct"/>
                  <w:vMerge w:val="restart"/>
                  <w:tcBorders>
                    <w:tl2br w:val="nil"/>
                    <w:tr2bl w:val="nil"/>
                  </w:tcBorders>
                  <w:vAlign w:val="center"/>
                </w:tcPr>
                <w:p w14:paraId="3E81329F">
                  <w:pPr>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小</w:t>
                  </w:r>
                  <w:r>
                    <w:rPr>
                      <w:rFonts w:hint="eastAsia" w:ascii="Times New Roman" w:hAnsi="Times New Roman" w:eastAsia="宋体" w:cs="Times New Roman"/>
                      <w:color w:val="auto"/>
                    </w:rPr>
                    <w:t>型河流</w:t>
                  </w:r>
                </w:p>
              </w:tc>
              <w:tc>
                <w:tcPr>
                  <w:tcW w:w="1639" w:type="pct"/>
                  <w:vMerge w:val="restart"/>
                  <w:tcBorders>
                    <w:tl2br w:val="nil"/>
                    <w:tr2bl w:val="nil"/>
                  </w:tcBorders>
                  <w:vAlign w:val="center"/>
                </w:tcPr>
                <w:p w14:paraId="54D27762">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《地表水环境质量标准》（GB3838-2002）中Ⅳ类</w:t>
                  </w:r>
                </w:p>
              </w:tc>
              <w:tc>
                <w:tcPr>
                  <w:tcW w:w="478" w:type="pct"/>
                  <w:vMerge w:val="restart"/>
                  <w:tcBorders>
                    <w:tl2br w:val="nil"/>
                    <w:tr2bl w:val="nil"/>
                  </w:tcBorders>
                  <w:vAlign w:val="center"/>
                </w:tcPr>
                <w:p w14:paraId="37EBF708">
                  <w:pPr>
                    <w:jc w:val="center"/>
                    <w:rPr>
                      <w:rFonts w:hint="eastAsia" w:ascii="Times New Roman" w:hAnsi="Times New Roman" w:eastAsia="宋体" w:cs="Times New Roman"/>
                      <w:color w:val="auto"/>
                      <w:lang w:eastAsia="zh-CN"/>
                    </w:rPr>
                  </w:pPr>
                  <w:r>
                    <w:rPr>
                      <w:rFonts w:hint="eastAsia" w:cs="Times New Roman"/>
                      <w:color w:val="auto"/>
                      <w:lang w:eastAsia="zh-CN"/>
                    </w:rPr>
                    <w:t>四周</w:t>
                  </w:r>
                </w:p>
              </w:tc>
              <w:tc>
                <w:tcPr>
                  <w:tcW w:w="637" w:type="pct"/>
                  <w:tcBorders>
                    <w:tl2br w:val="nil"/>
                    <w:tr2bl w:val="nil"/>
                  </w:tcBorders>
                  <w:vAlign w:val="center"/>
                </w:tcPr>
                <w:p w14:paraId="1244F61C">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1192</w:t>
                  </w:r>
                </w:p>
              </w:tc>
            </w:tr>
            <w:tr w14:paraId="4EE5A4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458" w:type="pct"/>
                  <w:vMerge w:val="continue"/>
                  <w:tcBorders>
                    <w:tl2br w:val="nil"/>
                    <w:tr2bl w:val="nil"/>
                  </w:tcBorders>
                  <w:vAlign w:val="center"/>
                </w:tcPr>
                <w:p w14:paraId="31DAA219">
                  <w:pPr>
                    <w:jc w:val="center"/>
                  </w:pPr>
                </w:p>
              </w:tc>
              <w:tc>
                <w:tcPr>
                  <w:tcW w:w="707" w:type="pct"/>
                  <w:tcBorders>
                    <w:tl2br w:val="nil"/>
                    <w:tr2bl w:val="nil"/>
                  </w:tcBorders>
                  <w:vAlign w:val="center"/>
                </w:tcPr>
                <w:p w14:paraId="09AD8724">
                  <w:pPr>
                    <w:jc w:val="center"/>
                    <w:rPr>
                      <w:rFonts w:hint="eastAsia" w:cs="Times New Roman"/>
                      <w:color w:val="auto"/>
                      <w:lang w:eastAsia="zh-CN"/>
                    </w:rPr>
                  </w:pPr>
                  <w:r>
                    <w:rPr>
                      <w:rFonts w:hint="eastAsia" w:cs="Times New Roman"/>
                      <w:color w:val="auto"/>
                      <w:lang w:eastAsia="zh-CN"/>
                    </w:rPr>
                    <w:t>龙河</w:t>
                  </w:r>
                </w:p>
              </w:tc>
              <w:tc>
                <w:tcPr>
                  <w:tcW w:w="489" w:type="pct"/>
                  <w:vMerge w:val="continue"/>
                  <w:tcBorders>
                    <w:tl2br w:val="nil"/>
                    <w:tr2bl w:val="nil"/>
                  </w:tcBorders>
                  <w:vAlign w:val="center"/>
                </w:tcPr>
                <w:p w14:paraId="12110E04">
                  <w:pPr>
                    <w:jc w:val="center"/>
                    <w:rPr>
                      <w:rFonts w:hint="eastAsia" w:cs="Times New Roman"/>
                      <w:color w:val="auto"/>
                      <w:lang w:eastAsia="zh-CN"/>
                    </w:rPr>
                  </w:pPr>
                </w:p>
              </w:tc>
              <w:tc>
                <w:tcPr>
                  <w:tcW w:w="589" w:type="pct"/>
                  <w:vMerge w:val="continue"/>
                  <w:tcBorders>
                    <w:tl2br w:val="nil"/>
                    <w:tr2bl w:val="nil"/>
                  </w:tcBorders>
                  <w:vAlign w:val="center"/>
                </w:tcPr>
                <w:p w14:paraId="3D02485C">
                  <w:pPr>
                    <w:jc w:val="center"/>
                    <w:rPr>
                      <w:rFonts w:hint="eastAsia" w:cs="Times New Roman"/>
                      <w:color w:val="auto"/>
                      <w:lang w:eastAsia="zh-CN"/>
                    </w:rPr>
                  </w:pPr>
                </w:p>
              </w:tc>
              <w:tc>
                <w:tcPr>
                  <w:tcW w:w="1639" w:type="pct"/>
                  <w:vMerge w:val="continue"/>
                  <w:tcBorders>
                    <w:tl2br w:val="nil"/>
                    <w:tr2bl w:val="nil"/>
                  </w:tcBorders>
                  <w:vAlign w:val="center"/>
                </w:tcPr>
                <w:p w14:paraId="08859D1B">
                  <w:pPr>
                    <w:jc w:val="center"/>
                    <w:rPr>
                      <w:rFonts w:hint="eastAsia" w:cs="Times New Roman"/>
                      <w:color w:val="auto"/>
                      <w:lang w:eastAsia="zh-CN"/>
                    </w:rPr>
                  </w:pPr>
                </w:p>
              </w:tc>
              <w:tc>
                <w:tcPr>
                  <w:tcW w:w="478" w:type="pct"/>
                  <w:vMerge w:val="continue"/>
                  <w:tcBorders>
                    <w:tl2br w:val="nil"/>
                    <w:tr2bl w:val="nil"/>
                  </w:tcBorders>
                  <w:vAlign w:val="center"/>
                </w:tcPr>
                <w:p w14:paraId="01D0AA1F">
                  <w:pPr>
                    <w:jc w:val="center"/>
                    <w:rPr>
                      <w:rFonts w:hint="eastAsia" w:cs="Times New Roman"/>
                      <w:color w:val="auto"/>
                      <w:lang w:eastAsia="zh-CN"/>
                    </w:rPr>
                  </w:pPr>
                </w:p>
              </w:tc>
              <w:tc>
                <w:tcPr>
                  <w:tcW w:w="637" w:type="pct"/>
                  <w:tcBorders>
                    <w:tl2br w:val="nil"/>
                    <w:tr2bl w:val="nil"/>
                  </w:tcBorders>
                  <w:vAlign w:val="center"/>
                </w:tcPr>
                <w:p w14:paraId="5501979E">
                  <w:pPr>
                    <w:jc w:val="center"/>
                    <w:rPr>
                      <w:rFonts w:hint="default" w:cs="Times New Roman"/>
                      <w:color w:val="auto"/>
                      <w:lang w:val="en-US" w:eastAsia="zh-CN"/>
                    </w:rPr>
                  </w:pPr>
                  <w:r>
                    <w:rPr>
                      <w:rFonts w:hint="eastAsia" w:cs="Times New Roman"/>
                      <w:color w:val="auto"/>
                      <w:lang w:val="en-US" w:eastAsia="zh-CN"/>
                    </w:rPr>
                    <w:t>6992</w:t>
                  </w:r>
                </w:p>
              </w:tc>
            </w:tr>
            <w:tr w14:paraId="7B5BC3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5" w:hRule="atLeast"/>
                <w:jc w:val="center"/>
              </w:trPr>
              <w:tc>
                <w:tcPr>
                  <w:tcW w:w="458" w:type="pct"/>
                  <w:tcBorders>
                    <w:tl2br w:val="nil"/>
                    <w:tr2bl w:val="nil"/>
                  </w:tcBorders>
                  <w:vAlign w:val="center"/>
                </w:tcPr>
                <w:p w14:paraId="0DABAFF6">
                  <w:pPr>
                    <w:pStyle w:val="52"/>
                    <w:widowControl w:val="0"/>
                    <w:snapToGrid/>
                    <w:spacing w:after="0" w:line="240" w:lineRule="auto"/>
                    <w:ind w:right="0" w:rightChars="0" w:firstLine="0" w:firstLineChars="0"/>
                    <w:rPr>
                      <w:rFonts w:ascii="Times New Roman" w:hAnsi="Times New Roman" w:eastAsia="宋体" w:cs="Times New Roman"/>
                      <w:color w:val="auto"/>
                    </w:rPr>
                  </w:pPr>
                  <w:r>
                    <w:rPr>
                      <w:color w:val="auto"/>
                      <w:szCs w:val="21"/>
                    </w:rPr>
                    <w:t>地下水</w:t>
                  </w:r>
                </w:p>
              </w:tc>
              <w:tc>
                <w:tcPr>
                  <w:tcW w:w="707" w:type="pct"/>
                  <w:tcBorders>
                    <w:tl2br w:val="nil"/>
                    <w:tr2bl w:val="nil"/>
                  </w:tcBorders>
                  <w:vAlign w:val="center"/>
                </w:tcPr>
                <w:p w14:paraId="2DF35F7C">
                  <w:pPr>
                    <w:pStyle w:val="52"/>
                    <w:widowControl w:val="0"/>
                    <w:snapToGrid/>
                    <w:spacing w:after="0" w:line="240" w:lineRule="auto"/>
                    <w:ind w:right="0" w:rightChars="0" w:firstLine="0" w:firstLineChars="0"/>
                    <w:rPr>
                      <w:rFonts w:hint="eastAsia" w:ascii="Times New Roman" w:hAnsi="Times New Roman" w:eastAsia="宋体" w:cs="Times New Roman"/>
                      <w:color w:val="auto"/>
                      <w:lang w:eastAsia="zh-CN"/>
                    </w:rPr>
                  </w:pPr>
                  <w:r>
                    <w:rPr>
                      <w:color w:val="auto"/>
                      <w:szCs w:val="21"/>
                    </w:rPr>
                    <w:t>/</w:t>
                  </w:r>
                </w:p>
              </w:tc>
              <w:tc>
                <w:tcPr>
                  <w:tcW w:w="489" w:type="pct"/>
                  <w:tcBorders>
                    <w:tl2br w:val="nil"/>
                    <w:tr2bl w:val="nil"/>
                  </w:tcBorders>
                  <w:vAlign w:val="center"/>
                </w:tcPr>
                <w:p w14:paraId="424A70C3">
                  <w:pPr>
                    <w:pStyle w:val="52"/>
                    <w:widowControl w:val="0"/>
                    <w:snapToGrid/>
                    <w:spacing w:after="0" w:line="240" w:lineRule="auto"/>
                    <w:ind w:right="0" w:rightChars="0" w:firstLine="0" w:firstLineChars="0"/>
                    <w:rPr>
                      <w:rFonts w:hint="eastAsia" w:ascii="Times New Roman" w:hAnsi="Times New Roman" w:eastAsia="宋体" w:cs="Times New Roman"/>
                      <w:color w:val="auto"/>
                    </w:rPr>
                  </w:pPr>
                  <w:r>
                    <w:rPr>
                      <w:color w:val="auto"/>
                      <w:szCs w:val="21"/>
                    </w:rPr>
                    <w:t>/</w:t>
                  </w:r>
                </w:p>
              </w:tc>
              <w:tc>
                <w:tcPr>
                  <w:tcW w:w="589" w:type="pct"/>
                  <w:tcBorders>
                    <w:tl2br w:val="nil"/>
                    <w:tr2bl w:val="nil"/>
                  </w:tcBorders>
                  <w:vAlign w:val="center"/>
                </w:tcPr>
                <w:p w14:paraId="30B45833">
                  <w:pPr>
                    <w:pStyle w:val="52"/>
                    <w:widowControl w:val="0"/>
                    <w:snapToGrid/>
                    <w:spacing w:after="0" w:line="240" w:lineRule="auto"/>
                    <w:ind w:right="0" w:rightChars="0" w:firstLine="0" w:firstLineChars="0"/>
                    <w:rPr>
                      <w:rFonts w:hint="eastAsia" w:ascii="Times New Roman" w:hAnsi="Times New Roman" w:eastAsia="宋体" w:cs="Times New Roman"/>
                      <w:color w:val="auto"/>
                    </w:rPr>
                  </w:pPr>
                  <w:r>
                    <w:rPr>
                      <w:color w:val="auto"/>
                      <w:szCs w:val="21"/>
                    </w:rPr>
                    <w:t>/</w:t>
                  </w:r>
                </w:p>
              </w:tc>
              <w:tc>
                <w:tcPr>
                  <w:tcW w:w="1639" w:type="pct"/>
                  <w:tcBorders>
                    <w:tl2br w:val="nil"/>
                    <w:tr2bl w:val="nil"/>
                  </w:tcBorders>
                  <w:vAlign w:val="center"/>
                </w:tcPr>
                <w:p w14:paraId="38867F46">
                  <w:pPr>
                    <w:pStyle w:val="52"/>
                    <w:widowControl w:val="0"/>
                    <w:snapToGrid/>
                    <w:spacing w:after="0" w:line="240" w:lineRule="auto"/>
                    <w:ind w:right="0" w:firstLine="0" w:firstLineChars="0"/>
                    <w:rPr>
                      <w:color w:val="auto"/>
                      <w:szCs w:val="21"/>
                    </w:rPr>
                  </w:pPr>
                  <w:r>
                    <w:rPr>
                      <w:color w:val="auto"/>
                      <w:szCs w:val="21"/>
                    </w:rPr>
                    <w:t>《地下水质量标准》</w:t>
                  </w:r>
                </w:p>
                <w:p w14:paraId="4E0AC45A">
                  <w:pPr>
                    <w:pStyle w:val="52"/>
                    <w:widowControl w:val="0"/>
                    <w:snapToGrid/>
                    <w:spacing w:after="0" w:line="240" w:lineRule="auto"/>
                    <w:ind w:right="0" w:rightChars="0" w:firstLine="0" w:firstLineChars="0"/>
                    <w:rPr>
                      <w:rFonts w:hint="eastAsia" w:ascii="Times New Roman" w:hAnsi="Times New Roman" w:eastAsia="宋体" w:cs="Times New Roman"/>
                      <w:color w:val="auto"/>
                    </w:rPr>
                  </w:pPr>
                  <w:r>
                    <w:rPr>
                      <w:color w:val="auto"/>
                      <w:szCs w:val="21"/>
                    </w:rPr>
                    <w:t>（GB/T14848—2017）中Ⅲ类标准</w:t>
                  </w:r>
                </w:p>
              </w:tc>
              <w:tc>
                <w:tcPr>
                  <w:tcW w:w="1115" w:type="pct"/>
                  <w:gridSpan w:val="2"/>
                  <w:tcBorders>
                    <w:tl2br w:val="nil"/>
                    <w:tr2bl w:val="nil"/>
                  </w:tcBorders>
                  <w:vAlign w:val="center"/>
                </w:tcPr>
                <w:p w14:paraId="2C2BBE39">
                  <w:pPr>
                    <w:pStyle w:val="52"/>
                    <w:widowControl w:val="0"/>
                    <w:snapToGrid/>
                    <w:spacing w:after="0" w:line="240" w:lineRule="auto"/>
                    <w:ind w:right="0" w:rightChars="0" w:firstLine="0" w:firstLineChars="0"/>
                    <w:rPr>
                      <w:rFonts w:hint="eastAsia" w:ascii="Times New Roman" w:hAnsi="Times New Roman" w:eastAsia="宋体" w:cs="Times New Roman"/>
                      <w:color w:val="auto"/>
                      <w:lang w:val="en-US" w:eastAsia="zh-CN"/>
                    </w:rPr>
                  </w:pPr>
                  <w:r>
                    <w:rPr>
                      <w:color w:val="auto"/>
                      <w:szCs w:val="21"/>
                    </w:rPr>
                    <w:t>厂界外500m范围内无地下水集中式饮用水源等特殊地下水资源</w:t>
                  </w:r>
                </w:p>
              </w:tc>
            </w:tr>
          </w:tbl>
          <w:p w14:paraId="635D719F">
            <w:pPr>
              <w:jc w:val="center"/>
              <w:rPr>
                <w:color w:val="auto"/>
              </w:rPr>
            </w:pPr>
          </w:p>
        </w:tc>
      </w:tr>
      <w:tr w14:paraId="68CB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14:paraId="2257BF48">
            <w:pPr>
              <w:adjustRightInd w:val="0"/>
              <w:snapToGrid w:val="0"/>
              <w:jc w:val="center"/>
              <w:rPr>
                <w:rFonts w:ascii="宋体" w:hAnsi="宋体" w:cs="宋体"/>
                <w:color w:val="auto"/>
                <w:kern w:val="0"/>
                <w:szCs w:val="21"/>
              </w:rPr>
            </w:pPr>
            <w:r>
              <w:rPr>
                <w:rFonts w:hint="eastAsia" w:ascii="宋体" w:hAnsi="宋体" w:cs="宋体"/>
                <w:color w:val="auto"/>
                <w:kern w:val="0"/>
                <w:szCs w:val="21"/>
              </w:rPr>
              <w:t>污染</w:t>
            </w:r>
          </w:p>
          <w:p w14:paraId="2EA8DF6D">
            <w:pPr>
              <w:adjustRightInd w:val="0"/>
              <w:snapToGrid w:val="0"/>
              <w:jc w:val="center"/>
              <w:rPr>
                <w:rFonts w:ascii="宋体" w:hAnsi="宋体" w:cs="宋体"/>
                <w:color w:val="auto"/>
                <w:kern w:val="0"/>
                <w:szCs w:val="21"/>
              </w:rPr>
            </w:pPr>
            <w:r>
              <w:rPr>
                <w:rFonts w:hint="eastAsia" w:ascii="宋体" w:hAnsi="宋体" w:cs="宋体"/>
                <w:color w:val="auto"/>
                <w:kern w:val="0"/>
                <w:szCs w:val="21"/>
              </w:rPr>
              <w:t>物排</w:t>
            </w:r>
          </w:p>
          <w:p w14:paraId="32827B44">
            <w:pPr>
              <w:adjustRightInd w:val="0"/>
              <w:snapToGrid w:val="0"/>
              <w:jc w:val="center"/>
              <w:rPr>
                <w:rFonts w:ascii="宋体" w:hAnsi="宋体" w:cs="宋体"/>
                <w:color w:val="auto"/>
                <w:kern w:val="0"/>
                <w:szCs w:val="21"/>
              </w:rPr>
            </w:pPr>
            <w:r>
              <w:rPr>
                <w:rFonts w:hint="eastAsia" w:ascii="宋体" w:hAnsi="宋体" w:cs="宋体"/>
                <w:color w:val="auto"/>
                <w:kern w:val="0"/>
                <w:szCs w:val="21"/>
              </w:rPr>
              <w:t>放控</w:t>
            </w:r>
          </w:p>
          <w:p w14:paraId="4DBCBB0F">
            <w:pPr>
              <w:adjustRightInd w:val="0"/>
              <w:snapToGrid w:val="0"/>
              <w:jc w:val="center"/>
              <w:rPr>
                <w:rFonts w:ascii="宋体" w:hAnsi="宋体" w:cs="宋体"/>
                <w:color w:val="auto"/>
                <w:kern w:val="0"/>
                <w:szCs w:val="21"/>
              </w:rPr>
            </w:pPr>
            <w:r>
              <w:rPr>
                <w:rFonts w:hint="eastAsia" w:ascii="宋体" w:hAnsi="宋体" w:cs="宋体"/>
                <w:color w:val="auto"/>
                <w:kern w:val="0"/>
                <w:szCs w:val="21"/>
              </w:rPr>
              <w:t>制标</w:t>
            </w:r>
          </w:p>
          <w:p w14:paraId="4F9FD814">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190" w:type="dxa"/>
            <w:vAlign w:val="center"/>
          </w:tcPr>
          <w:p w14:paraId="47EB7DE2">
            <w:pPr>
              <w:pStyle w:val="56"/>
              <w:numPr>
                <w:ilvl w:val="0"/>
                <w:numId w:val="9"/>
              </w:numPr>
              <w:snapToGrid w:val="0"/>
              <w:spacing w:before="120" w:beforeLines="50" w:line="360" w:lineRule="auto"/>
              <w:ind w:firstLineChars="0"/>
              <w:rPr>
                <w:b/>
                <w:color w:val="auto"/>
                <w:sz w:val="24"/>
              </w:rPr>
            </w:pPr>
            <w:r>
              <w:rPr>
                <w:b/>
                <w:color w:val="auto"/>
                <w:sz w:val="24"/>
              </w:rPr>
              <w:t>废水</w:t>
            </w:r>
          </w:p>
          <w:p w14:paraId="3416D39D">
            <w:pPr>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本项目废水主要为生活污水</w:t>
            </w:r>
            <w:r>
              <w:rPr>
                <w:rFonts w:hint="eastAsia" w:ascii="宋体" w:hAnsi="宋体" w:cs="宋体"/>
                <w:b w:val="0"/>
                <w:bCs w:val="0"/>
                <w:color w:val="000000"/>
                <w:sz w:val="24"/>
                <w:szCs w:val="24"/>
                <w:lang w:eastAsia="zh-CN"/>
              </w:rPr>
              <w:t>。</w:t>
            </w:r>
            <w:r>
              <w:rPr>
                <w:rFonts w:ascii="宋体" w:hAnsi="宋体" w:eastAsia="宋体" w:cs="宋体"/>
                <w:b w:val="0"/>
                <w:bCs w:val="0"/>
                <w:color w:val="000000"/>
                <w:sz w:val="24"/>
                <w:szCs w:val="24"/>
              </w:rPr>
              <w:t>生活污水经化粪池预处理后，接管网进入龙湖污水处理厂进一步深度处理，达标后排入龙河。接管废水执行《污水综合排放标准》（</w:t>
            </w:r>
            <w:r>
              <w:rPr>
                <w:rFonts w:ascii="TimesNewRomanPSMT" w:hAnsi="TimesNewRomanPSMT" w:eastAsia="TimesNewRomanPSMT" w:cs="TimesNewRomanPSMT"/>
                <w:b w:val="0"/>
                <w:bCs w:val="0"/>
                <w:color w:val="000000"/>
                <w:sz w:val="24"/>
                <w:szCs w:val="24"/>
              </w:rPr>
              <w:t>GB8978-1996</w:t>
            </w:r>
            <w:r>
              <w:rPr>
                <w:rFonts w:ascii="宋体" w:hAnsi="宋体" w:eastAsia="宋体" w:cs="宋体"/>
                <w:b w:val="0"/>
                <w:bCs w:val="0"/>
                <w:color w:val="000000"/>
                <w:sz w:val="24"/>
                <w:szCs w:val="24"/>
              </w:rPr>
              <w:t>）表</w:t>
            </w:r>
            <w:r>
              <w:rPr>
                <w:rFonts w:hint="default" w:ascii="TimesNewRomanPSMT" w:hAnsi="TimesNewRomanPSMT" w:eastAsia="TimesNewRomanPSMT" w:cs="TimesNewRomanPSMT"/>
                <w:b w:val="0"/>
                <w:bCs w:val="0"/>
                <w:color w:val="000000"/>
                <w:sz w:val="24"/>
                <w:szCs w:val="24"/>
              </w:rPr>
              <w:t>4</w:t>
            </w:r>
            <w:r>
              <w:rPr>
                <w:rFonts w:ascii="宋体" w:hAnsi="宋体" w:eastAsia="宋体" w:cs="宋体"/>
                <w:b w:val="0"/>
                <w:bCs w:val="0"/>
                <w:color w:val="000000"/>
                <w:sz w:val="24"/>
                <w:szCs w:val="24"/>
              </w:rPr>
              <w:t>的三级标准浓度限值和龙湖污水处理厂接管限值从严值。</w:t>
            </w:r>
          </w:p>
          <w:p w14:paraId="1B7A7173">
            <w:pPr>
              <w:spacing w:line="360" w:lineRule="auto"/>
              <w:ind w:firstLine="480" w:firstLineChars="200"/>
              <w:rPr>
                <w:color w:val="auto"/>
                <w:szCs w:val="21"/>
              </w:rPr>
            </w:pPr>
            <w:r>
              <w:rPr>
                <w:rFonts w:hint="eastAsia"/>
                <w:color w:val="auto"/>
                <w:sz w:val="24"/>
                <w:lang w:eastAsia="zh-CN"/>
              </w:rPr>
              <w:t>本项目废水</w:t>
            </w:r>
            <w:r>
              <w:rPr>
                <w:rFonts w:hint="eastAsia"/>
                <w:color w:val="auto"/>
                <w:sz w:val="24"/>
              </w:rPr>
              <w:t>具体标准见下表</w:t>
            </w:r>
            <w:r>
              <w:rPr>
                <w:rFonts w:hint="eastAsia"/>
                <w:color w:val="auto"/>
                <w:sz w:val="24"/>
                <w:lang w:val="en-US" w:eastAsia="zh-CN"/>
              </w:rPr>
              <w:t>3-4</w:t>
            </w:r>
            <w:r>
              <w:rPr>
                <w:rFonts w:hint="eastAsia"/>
                <w:color w:val="auto"/>
                <w:sz w:val="24"/>
              </w:rPr>
              <w:t>。</w:t>
            </w:r>
          </w:p>
          <w:p w14:paraId="6E391FD9">
            <w:pPr>
              <w:adjustRightInd w:val="0"/>
              <w:snapToGrid w:val="0"/>
              <w:jc w:val="center"/>
              <w:rPr>
                <w:rFonts w:hAnsi="宋体" w:cs="宋体"/>
                <w:b/>
                <w:bCs/>
                <w:color w:val="auto"/>
                <w:sz w:val="24"/>
                <w:lang w:bidi="en-US"/>
              </w:rPr>
            </w:pPr>
            <w:r>
              <w:rPr>
                <w:rFonts w:hint="eastAsia" w:hAnsi="宋体" w:cs="宋体"/>
                <w:b/>
                <w:bCs/>
                <w:color w:val="auto"/>
                <w:sz w:val="24"/>
                <w:highlight w:val="none"/>
                <w:lang w:bidi="en-US"/>
              </w:rPr>
              <w:t>表3-</w:t>
            </w:r>
            <w:r>
              <w:rPr>
                <w:rFonts w:hint="eastAsia" w:hAnsi="宋体" w:cs="宋体"/>
                <w:b/>
                <w:bCs/>
                <w:color w:val="auto"/>
                <w:sz w:val="24"/>
                <w:highlight w:val="none"/>
                <w:lang w:val="en-US" w:eastAsia="zh-CN" w:bidi="en-US"/>
              </w:rPr>
              <w:t>4</w:t>
            </w:r>
            <w:r>
              <w:rPr>
                <w:rFonts w:hint="eastAsia" w:hAnsi="宋体" w:cs="宋体"/>
                <w:b/>
                <w:bCs/>
                <w:color w:val="auto"/>
                <w:sz w:val="24"/>
                <w:highlight w:val="none"/>
                <w:lang w:bidi="en-US"/>
              </w:rPr>
              <w:t xml:space="preserve"> </w:t>
            </w:r>
            <w:r>
              <w:rPr>
                <w:rFonts w:hint="eastAsia" w:ascii="宋体" w:hAnsi="宋体" w:cs="宋体"/>
                <w:b/>
                <w:bCs/>
                <w:color w:val="auto"/>
                <w:sz w:val="24"/>
                <w:highlight w:val="none"/>
              </w:rPr>
              <w:t>生活污水</w:t>
            </w:r>
            <w:r>
              <w:rPr>
                <w:rFonts w:hint="eastAsia" w:hAnsi="宋体" w:cs="宋体"/>
                <w:b/>
                <w:bCs/>
                <w:color w:val="auto"/>
                <w:sz w:val="24"/>
                <w:highlight w:val="none"/>
                <w:lang w:val="en-US" w:eastAsia="zh-CN" w:bidi="en-US"/>
              </w:rPr>
              <w:t>排</w:t>
            </w:r>
            <w:r>
              <w:rPr>
                <w:rFonts w:hint="eastAsia" w:hAnsi="宋体" w:cs="宋体"/>
                <w:b/>
                <w:bCs/>
                <w:color w:val="auto"/>
                <w:sz w:val="24"/>
                <w:lang w:val="en-US" w:eastAsia="zh-CN" w:bidi="en-US"/>
              </w:rPr>
              <w:t>放</w:t>
            </w:r>
            <w:r>
              <w:rPr>
                <w:rFonts w:hint="eastAsia" w:hAnsi="宋体" w:cs="宋体"/>
                <w:b/>
                <w:bCs/>
                <w:color w:val="auto"/>
                <w:sz w:val="24"/>
                <w:lang w:bidi="en-US"/>
              </w:rPr>
              <w:t>标准 单位：mg/L，pH无量纲</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710"/>
              <w:gridCol w:w="2525"/>
              <w:gridCol w:w="1268"/>
            </w:tblGrid>
            <w:tr w14:paraId="47A0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1622" w:type="pct"/>
                  <w:tcBorders>
                    <w:tl2br w:val="nil"/>
                    <w:tr2bl w:val="nil"/>
                  </w:tcBorders>
                  <w:vAlign w:val="center"/>
                </w:tcPr>
                <w:p w14:paraId="392C4F70">
                  <w:pPr>
                    <w:pStyle w:val="39"/>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污染物</w:t>
                  </w:r>
                </w:p>
              </w:tc>
              <w:tc>
                <w:tcPr>
                  <w:tcW w:w="1049" w:type="pct"/>
                  <w:tcBorders>
                    <w:tl2br w:val="nil"/>
                    <w:tr2bl w:val="nil"/>
                  </w:tcBorders>
                  <w:vAlign w:val="center"/>
                </w:tcPr>
                <w:p w14:paraId="7665FC3A">
                  <w:pPr>
                    <w:pStyle w:val="39"/>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龙湖污水处理厂接管标准</w:t>
                  </w:r>
                </w:p>
              </w:tc>
              <w:tc>
                <w:tcPr>
                  <w:tcW w:w="1549" w:type="pct"/>
                  <w:tcBorders>
                    <w:tl2br w:val="nil"/>
                    <w:tr2bl w:val="nil"/>
                  </w:tcBorders>
                  <w:vAlign w:val="center"/>
                </w:tcPr>
                <w:p w14:paraId="293912BC">
                  <w:pPr>
                    <w:pStyle w:val="39"/>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《污水综合排放标准》（GB8978-1996）表4中三级标准</w:t>
                  </w:r>
                </w:p>
              </w:tc>
              <w:tc>
                <w:tcPr>
                  <w:tcW w:w="778" w:type="pct"/>
                  <w:tcBorders>
                    <w:tl2br w:val="nil"/>
                    <w:tr2bl w:val="nil"/>
                  </w:tcBorders>
                  <w:vAlign w:val="center"/>
                </w:tcPr>
                <w:p w14:paraId="1D4C7AA5">
                  <w:pPr>
                    <w:pStyle w:val="39"/>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本项目可接管后执行限值</w:t>
                  </w:r>
                </w:p>
              </w:tc>
            </w:tr>
            <w:tr w14:paraId="46D1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2" w:type="pct"/>
                  <w:tcBorders>
                    <w:tl2br w:val="nil"/>
                    <w:tr2bl w:val="nil"/>
                  </w:tcBorders>
                  <w:vAlign w:val="center"/>
                </w:tcPr>
                <w:p w14:paraId="62FF5F3B">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Ansi="宋体"/>
                      <w:b w:val="0"/>
                      <w:bCs w:val="0"/>
                      <w:color w:val="auto"/>
                      <w:sz w:val="21"/>
                      <w:szCs w:val="21"/>
                    </w:rPr>
                  </w:pPr>
                  <w:r>
                    <w:rPr>
                      <w:rFonts w:hint="eastAsia" w:hAnsi="宋体"/>
                      <w:b w:val="0"/>
                      <w:bCs w:val="0"/>
                      <w:color w:val="auto"/>
                      <w:sz w:val="21"/>
                      <w:szCs w:val="21"/>
                    </w:rPr>
                    <w:t>pH</w:t>
                  </w:r>
                </w:p>
              </w:tc>
              <w:tc>
                <w:tcPr>
                  <w:tcW w:w="1049" w:type="pct"/>
                  <w:tcBorders>
                    <w:tl2br w:val="nil"/>
                    <w:tr2bl w:val="nil"/>
                  </w:tcBorders>
                  <w:vAlign w:val="center"/>
                </w:tcPr>
                <w:p w14:paraId="056B1C0D">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Ansi="宋体"/>
                      <w:b w:val="0"/>
                      <w:bCs w:val="0"/>
                      <w:color w:val="auto"/>
                      <w:sz w:val="21"/>
                      <w:szCs w:val="21"/>
                    </w:rPr>
                  </w:pPr>
                  <w:r>
                    <w:rPr>
                      <w:rFonts w:hint="eastAsia" w:hAnsi="宋体"/>
                      <w:b w:val="0"/>
                      <w:bCs w:val="0"/>
                      <w:color w:val="auto"/>
                      <w:sz w:val="21"/>
                      <w:szCs w:val="21"/>
                    </w:rPr>
                    <w:t>6～9</w:t>
                  </w:r>
                </w:p>
              </w:tc>
              <w:tc>
                <w:tcPr>
                  <w:tcW w:w="1549" w:type="pct"/>
                  <w:tcBorders>
                    <w:tl2br w:val="nil"/>
                    <w:tr2bl w:val="nil"/>
                  </w:tcBorders>
                  <w:vAlign w:val="center"/>
                </w:tcPr>
                <w:p w14:paraId="10DCD3E6">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Ansi="宋体"/>
                      <w:b w:val="0"/>
                      <w:bCs w:val="0"/>
                      <w:color w:val="auto"/>
                      <w:sz w:val="21"/>
                      <w:szCs w:val="21"/>
                    </w:rPr>
                  </w:pPr>
                  <w:r>
                    <w:rPr>
                      <w:rFonts w:hint="eastAsia" w:hAnsi="宋体"/>
                      <w:b w:val="0"/>
                      <w:bCs w:val="0"/>
                      <w:color w:val="auto"/>
                      <w:sz w:val="21"/>
                      <w:szCs w:val="21"/>
                    </w:rPr>
                    <w:t>6～9</w:t>
                  </w:r>
                </w:p>
              </w:tc>
              <w:tc>
                <w:tcPr>
                  <w:tcW w:w="778" w:type="pct"/>
                  <w:tcBorders>
                    <w:tl2br w:val="nil"/>
                    <w:tr2bl w:val="nil"/>
                  </w:tcBorders>
                  <w:vAlign w:val="center"/>
                </w:tcPr>
                <w:p w14:paraId="24D47D4E">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r>
                    <w:rPr>
                      <w:rFonts w:hint="eastAsia" w:hAnsi="宋体"/>
                      <w:b w:val="0"/>
                      <w:bCs w:val="0"/>
                      <w:color w:val="auto"/>
                      <w:sz w:val="21"/>
                      <w:szCs w:val="21"/>
                    </w:rPr>
                    <w:t>6～9</w:t>
                  </w:r>
                </w:p>
              </w:tc>
            </w:tr>
            <w:tr w14:paraId="53C5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622" w:type="pct"/>
                  <w:tcBorders>
                    <w:tl2br w:val="nil"/>
                    <w:tr2bl w:val="nil"/>
                  </w:tcBorders>
                  <w:vAlign w:val="center"/>
                </w:tcPr>
                <w:p w14:paraId="41CF9B73">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r>
                    <w:rPr>
                      <w:rFonts w:hint="eastAsia" w:hAnsi="宋体"/>
                      <w:b w:val="0"/>
                      <w:bCs w:val="0"/>
                      <w:color w:val="auto"/>
                      <w:sz w:val="21"/>
                      <w:szCs w:val="21"/>
                    </w:rPr>
                    <w:t>悬浮物（SS）</w:t>
                  </w:r>
                </w:p>
              </w:tc>
              <w:tc>
                <w:tcPr>
                  <w:tcW w:w="1049" w:type="pct"/>
                  <w:tcBorders>
                    <w:tl2br w:val="nil"/>
                    <w:tr2bl w:val="nil"/>
                  </w:tcBorders>
                  <w:vAlign w:val="center"/>
                </w:tcPr>
                <w:p w14:paraId="04689A73">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hAnsi="宋体" w:eastAsia="宋体"/>
                      <w:b w:val="0"/>
                      <w:bCs w:val="0"/>
                      <w:color w:val="auto"/>
                      <w:sz w:val="21"/>
                      <w:szCs w:val="21"/>
                      <w:lang w:val="en-US" w:eastAsia="zh-CN"/>
                    </w:rPr>
                  </w:pPr>
                  <w:r>
                    <w:rPr>
                      <w:rFonts w:hint="eastAsia" w:hAnsi="宋体"/>
                      <w:b w:val="0"/>
                      <w:bCs w:val="0"/>
                      <w:color w:val="auto"/>
                      <w:sz w:val="21"/>
                      <w:szCs w:val="21"/>
                      <w:lang w:val="en-US" w:eastAsia="zh-CN"/>
                    </w:rPr>
                    <w:t>250</w:t>
                  </w:r>
                </w:p>
              </w:tc>
              <w:tc>
                <w:tcPr>
                  <w:tcW w:w="1549" w:type="pct"/>
                  <w:tcBorders>
                    <w:tl2br w:val="nil"/>
                    <w:tr2bl w:val="nil"/>
                  </w:tcBorders>
                  <w:vAlign w:val="center"/>
                </w:tcPr>
                <w:p w14:paraId="67B277F3">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Ansi="宋体"/>
                      <w:b w:val="0"/>
                      <w:bCs w:val="0"/>
                      <w:color w:val="auto"/>
                      <w:sz w:val="21"/>
                      <w:szCs w:val="21"/>
                    </w:rPr>
                  </w:pPr>
                  <w:r>
                    <w:rPr>
                      <w:rFonts w:hint="eastAsia" w:hAnsi="宋体"/>
                      <w:b w:val="0"/>
                      <w:bCs w:val="0"/>
                      <w:color w:val="auto"/>
                      <w:sz w:val="21"/>
                      <w:szCs w:val="21"/>
                    </w:rPr>
                    <w:t>400</w:t>
                  </w:r>
                </w:p>
              </w:tc>
              <w:tc>
                <w:tcPr>
                  <w:tcW w:w="1268" w:type="dxa"/>
                  <w:tcBorders>
                    <w:tl2br w:val="nil"/>
                    <w:tr2bl w:val="nil"/>
                  </w:tcBorders>
                  <w:vAlign w:val="center"/>
                </w:tcPr>
                <w:p w14:paraId="7FBD1BE2">
                  <w:pPr>
                    <w:pStyle w:val="39"/>
                    <w:keepNext w:val="0"/>
                    <w:keepLines w:val="0"/>
                    <w:pageBreakBefore w:val="0"/>
                    <w:widowControl w:val="0"/>
                    <w:kinsoku/>
                    <w:wordWrap/>
                    <w:overflowPunct/>
                    <w:topLinePunct w:val="0"/>
                    <w:bidi w:val="0"/>
                    <w:adjustRightInd w:val="0"/>
                    <w:snapToGrid/>
                    <w:spacing w:line="240" w:lineRule="auto"/>
                    <w:ind w:firstLine="0" w:firstLineChars="0"/>
                    <w:jc w:val="center"/>
                    <w:textAlignment w:val="auto"/>
                    <w:rPr>
                      <w:rFonts w:hAnsi="宋体"/>
                      <w:b w:val="0"/>
                      <w:bCs w:val="0"/>
                      <w:color w:val="auto"/>
                      <w:sz w:val="21"/>
                      <w:szCs w:val="21"/>
                    </w:rPr>
                  </w:pPr>
                  <w:r>
                    <w:rPr>
                      <w:rFonts w:hint="eastAsia" w:hAnsi="宋体"/>
                      <w:b w:val="0"/>
                      <w:bCs w:val="0"/>
                      <w:color w:val="auto"/>
                      <w:sz w:val="21"/>
                      <w:szCs w:val="21"/>
                      <w:lang w:val="en-US" w:eastAsia="zh-CN"/>
                    </w:rPr>
                    <w:t>250</w:t>
                  </w:r>
                </w:p>
              </w:tc>
            </w:tr>
            <w:tr w14:paraId="4DE2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22" w:type="pct"/>
                  <w:tcBorders>
                    <w:tl2br w:val="nil"/>
                    <w:tr2bl w:val="nil"/>
                  </w:tcBorders>
                  <w:vAlign w:val="center"/>
                </w:tcPr>
                <w:p w14:paraId="6AB23C9C">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r>
                    <w:rPr>
                      <w:rFonts w:hint="eastAsia" w:hAnsi="宋体"/>
                      <w:b w:val="0"/>
                      <w:bCs w:val="0"/>
                      <w:color w:val="auto"/>
                      <w:sz w:val="21"/>
                      <w:szCs w:val="21"/>
                    </w:rPr>
                    <w:t>五日生化需氧量（BOD</w:t>
                  </w:r>
                  <w:r>
                    <w:rPr>
                      <w:rFonts w:hint="eastAsia" w:hAnsi="宋体"/>
                      <w:b w:val="0"/>
                      <w:bCs w:val="0"/>
                      <w:color w:val="auto"/>
                      <w:sz w:val="21"/>
                      <w:szCs w:val="21"/>
                      <w:vertAlign w:val="subscript"/>
                    </w:rPr>
                    <w:t>5</w:t>
                  </w:r>
                  <w:r>
                    <w:rPr>
                      <w:rFonts w:hint="eastAsia" w:hAnsi="宋体"/>
                      <w:b w:val="0"/>
                      <w:bCs w:val="0"/>
                      <w:color w:val="auto"/>
                      <w:sz w:val="21"/>
                      <w:szCs w:val="21"/>
                    </w:rPr>
                    <w:t>）</w:t>
                  </w:r>
                </w:p>
              </w:tc>
              <w:tc>
                <w:tcPr>
                  <w:tcW w:w="1049" w:type="pct"/>
                  <w:tcBorders>
                    <w:tl2br w:val="nil"/>
                    <w:tr2bl w:val="nil"/>
                  </w:tcBorders>
                  <w:vAlign w:val="center"/>
                </w:tcPr>
                <w:p w14:paraId="4EDDAF72">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hAnsi="宋体" w:eastAsia="宋体"/>
                      <w:b w:val="0"/>
                      <w:bCs w:val="0"/>
                      <w:color w:val="auto"/>
                      <w:sz w:val="21"/>
                      <w:szCs w:val="21"/>
                      <w:lang w:val="en-US" w:eastAsia="zh-CN"/>
                    </w:rPr>
                  </w:pPr>
                  <w:r>
                    <w:rPr>
                      <w:rFonts w:hint="eastAsia" w:hAnsi="宋体"/>
                      <w:b w:val="0"/>
                      <w:bCs w:val="0"/>
                      <w:color w:val="auto"/>
                      <w:sz w:val="21"/>
                      <w:szCs w:val="21"/>
                      <w:lang w:val="en-US" w:eastAsia="zh-CN"/>
                    </w:rPr>
                    <w:t>200</w:t>
                  </w:r>
                </w:p>
              </w:tc>
              <w:tc>
                <w:tcPr>
                  <w:tcW w:w="1549" w:type="pct"/>
                  <w:tcBorders>
                    <w:tl2br w:val="nil"/>
                    <w:tr2bl w:val="nil"/>
                  </w:tcBorders>
                  <w:vAlign w:val="center"/>
                </w:tcPr>
                <w:p w14:paraId="4A205D7E">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Ansi="宋体"/>
                      <w:b w:val="0"/>
                      <w:bCs w:val="0"/>
                      <w:color w:val="auto"/>
                      <w:sz w:val="21"/>
                      <w:szCs w:val="21"/>
                    </w:rPr>
                  </w:pPr>
                  <w:r>
                    <w:rPr>
                      <w:rFonts w:hint="eastAsia" w:hAnsi="宋体"/>
                      <w:b w:val="0"/>
                      <w:bCs w:val="0"/>
                      <w:color w:val="auto"/>
                      <w:sz w:val="21"/>
                      <w:szCs w:val="21"/>
                    </w:rPr>
                    <w:t>300</w:t>
                  </w:r>
                </w:p>
              </w:tc>
              <w:tc>
                <w:tcPr>
                  <w:tcW w:w="1268" w:type="dxa"/>
                  <w:tcBorders>
                    <w:tl2br w:val="nil"/>
                    <w:tr2bl w:val="nil"/>
                  </w:tcBorders>
                  <w:vAlign w:val="center"/>
                </w:tcPr>
                <w:p w14:paraId="56118510">
                  <w:pPr>
                    <w:pStyle w:val="39"/>
                    <w:keepNext w:val="0"/>
                    <w:keepLines w:val="0"/>
                    <w:pageBreakBefore w:val="0"/>
                    <w:widowControl w:val="0"/>
                    <w:kinsoku/>
                    <w:wordWrap/>
                    <w:overflowPunct/>
                    <w:topLinePunct w:val="0"/>
                    <w:bidi w:val="0"/>
                    <w:adjustRightInd w:val="0"/>
                    <w:snapToGrid/>
                    <w:spacing w:line="240" w:lineRule="auto"/>
                    <w:ind w:firstLine="0" w:firstLineChars="0"/>
                    <w:jc w:val="center"/>
                    <w:textAlignment w:val="auto"/>
                    <w:rPr>
                      <w:rFonts w:hAnsi="宋体"/>
                      <w:b w:val="0"/>
                      <w:bCs w:val="0"/>
                      <w:color w:val="auto"/>
                      <w:sz w:val="21"/>
                      <w:szCs w:val="21"/>
                    </w:rPr>
                  </w:pPr>
                  <w:r>
                    <w:rPr>
                      <w:rFonts w:hint="eastAsia" w:hAnsi="宋体"/>
                      <w:b w:val="0"/>
                      <w:bCs w:val="0"/>
                      <w:color w:val="auto"/>
                      <w:sz w:val="21"/>
                      <w:szCs w:val="21"/>
                      <w:lang w:val="en-US" w:eastAsia="zh-CN"/>
                    </w:rPr>
                    <w:t>200</w:t>
                  </w:r>
                </w:p>
              </w:tc>
            </w:tr>
            <w:tr w14:paraId="2AE5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22" w:type="pct"/>
                  <w:tcBorders>
                    <w:tl2br w:val="nil"/>
                    <w:tr2bl w:val="nil"/>
                  </w:tcBorders>
                  <w:vAlign w:val="center"/>
                </w:tcPr>
                <w:p w14:paraId="5A317F12">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r>
                    <w:rPr>
                      <w:rFonts w:hint="eastAsia" w:hAnsi="宋体"/>
                      <w:b w:val="0"/>
                      <w:bCs w:val="0"/>
                      <w:color w:val="auto"/>
                      <w:sz w:val="21"/>
                      <w:szCs w:val="21"/>
                    </w:rPr>
                    <w:t>化学需氧量（COD）</w:t>
                  </w:r>
                </w:p>
              </w:tc>
              <w:tc>
                <w:tcPr>
                  <w:tcW w:w="1049" w:type="pct"/>
                  <w:tcBorders>
                    <w:tl2br w:val="nil"/>
                    <w:tr2bl w:val="nil"/>
                  </w:tcBorders>
                  <w:vAlign w:val="center"/>
                </w:tcPr>
                <w:p w14:paraId="7954B4F3">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Ansi="宋体"/>
                      <w:b w:val="0"/>
                      <w:bCs w:val="0"/>
                      <w:color w:val="auto"/>
                      <w:sz w:val="21"/>
                      <w:szCs w:val="21"/>
                    </w:rPr>
                  </w:pPr>
                  <w:r>
                    <w:rPr>
                      <w:rFonts w:hint="eastAsia" w:hAnsi="宋体"/>
                      <w:b w:val="0"/>
                      <w:bCs w:val="0"/>
                      <w:color w:val="auto"/>
                      <w:sz w:val="21"/>
                      <w:szCs w:val="21"/>
                    </w:rPr>
                    <w:t>500</w:t>
                  </w:r>
                </w:p>
              </w:tc>
              <w:tc>
                <w:tcPr>
                  <w:tcW w:w="1549" w:type="pct"/>
                  <w:tcBorders>
                    <w:tl2br w:val="nil"/>
                    <w:tr2bl w:val="nil"/>
                  </w:tcBorders>
                  <w:vAlign w:val="center"/>
                </w:tcPr>
                <w:p w14:paraId="7544F5A5">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Ansi="宋体"/>
                      <w:b w:val="0"/>
                      <w:bCs w:val="0"/>
                      <w:color w:val="auto"/>
                      <w:sz w:val="21"/>
                      <w:szCs w:val="21"/>
                    </w:rPr>
                  </w:pPr>
                  <w:r>
                    <w:rPr>
                      <w:rFonts w:hint="eastAsia" w:hAnsi="宋体"/>
                      <w:b w:val="0"/>
                      <w:bCs w:val="0"/>
                      <w:color w:val="auto"/>
                      <w:sz w:val="21"/>
                      <w:szCs w:val="21"/>
                    </w:rPr>
                    <w:t>500</w:t>
                  </w:r>
                </w:p>
              </w:tc>
              <w:tc>
                <w:tcPr>
                  <w:tcW w:w="1268" w:type="dxa"/>
                  <w:tcBorders>
                    <w:tl2br w:val="nil"/>
                    <w:tr2bl w:val="nil"/>
                  </w:tcBorders>
                  <w:vAlign w:val="center"/>
                </w:tcPr>
                <w:p w14:paraId="3CA1953C">
                  <w:pPr>
                    <w:pStyle w:val="39"/>
                    <w:keepNext w:val="0"/>
                    <w:keepLines w:val="0"/>
                    <w:pageBreakBefore w:val="0"/>
                    <w:widowControl w:val="0"/>
                    <w:kinsoku/>
                    <w:wordWrap/>
                    <w:overflowPunct/>
                    <w:topLinePunct w:val="0"/>
                    <w:bidi w:val="0"/>
                    <w:adjustRightInd w:val="0"/>
                    <w:snapToGrid/>
                    <w:spacing w:line="240" w:lineRule="auto"/>
                    <w:ind w:firstLine="0" w:firstLineChars="0"/>
                    <w:jc w:val="center"/>
                    <w:textAlignment w:val="auto"/>
                    <w:rPr>
                      <w:rFonts w:hAnsi="宋体"/>
                      <w:b w:val="0"/>
                      <w:bCs w:val="0"/>
                      <w:color w:val="auto"/>
                      <w:sz w:val="21"/>
                      <w:szCs w:val="21"/>
                    </w:rPr>
                  </w:pPr>
                  <w:r>
                    <w:rPr>
                      <w:rFonts w:hint="eastAsia" w:hAnsi="宋体"/>
                      <w:b w:val="0"/>
                      <w:bCs w:val="0"/>
                      <w:color w:val="auto"/>
                      <w:sz w:val="21"/>
                      <w:szCs w:val="21"/>
                    </w:rPr>
                    <w:t>500</w:t>
                  </w:r>
                </w:p>
              </w:tc>
            </w:tr>
            <w:tr w14:paraId="304F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622" w:type="pct"/>
                  <w:tcBorders>
                    <w:tl2br w:val="nil"/>
                    <w:tr2bl w:val="nil"/>
                  </w:tcBorders>
                  <w:vAlign w:val="center"/>
                </w:tcPr>
                <w:p w14:paraId="3BA37199">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r>
                    <w:rPr>
                      <w:rFonts w:hint="eastAsia" w:hAnsi="宋体"/>
                      <w:b w:val="0"/>
                      <w:bCs w:val="0"/>
                      <w:color w:val="auto"/>
                      <w:sz w:val="21"/>
                      <w:szCs w:val="21"/>
                    </w:rPr>
                    <w:t>氨氮（NH</w:t>
                  </w:r>
                  <w:r>
                    <w:rPr>
                      <w:rFonts w:hint="eastAsia" w:hAnsi="宋体"/>
                      <w:b w:val="0"/>
                      <w:bCs w:val="0"/>
                      <w:color w:val="auto"/>
                      <w:sz w:val="21"/>
                      <w:szCs w:val="21"/>
                      <w:vertAlign w:val="subscript"/>
                    </w:rPr>
                    <w:t>3</w:t>
                  </w:r>
                  <w:r>
                    <w:rPr>
                      <w:rFonts w:hint="eastAsia" w:hAnsi="宋体"/>
                      <w:b w:val="0"/>
                      <w:bCs w:val="0"/>
                      <w:color w:val="auto"/>
                      <w:sz w:val="21"/>
                      <w:szCs w:val="21"/>
                    </w:rPr>
                    <w:t>-N）</w:t>
                  </w:r>
                </w:p>
              </w:tc>
              <w:tc>
                <w:tcPr>
                  <w:tcW w:w="1049" w:type="pct"/>
                  <w:tcBorders>
                    <w:tl2br w:val="nil"/>
                    <w:tr2bl w:val="nil"/>
                  </w:tcBorders>
                  <w:vAlign w:val="center"/>
                </w:tcPr>
                <w:p w14:paraId="39EA6A29">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hAnsi="宋体" w:eastAsia="宋体"/>
                      <w:b w:val="0"/>
                      <w:bCs w:val="0"/>
                      <w:color w:val="auto"/>
                      <w:sz w:val="21"/>
                      <w:szCs w:val="21"/>
                      <w:lang w:val="en-US" w:eastAsia="zh-CN"/>
                    </w:rPr>
                  </w:pPr>
                  <w:r>
                    <w:rPr>
                      <w:rFonts w:hint="eastAsia" w:hAnsi="宋体"/>
                      <w:b w:val="0"/>
                      <w:bCs w:val="0"/>
                      <w:color w:val="auto"/>
                      <w:sz w:val="21"/>
                      <w:szCs w:val="21"/>
                      <w:lang w:val="en-US" w:eastAsia="zh-CN"/>
                    </w:rPr>
                    <w:t>35</w:t>
                  </w:r>
                </w:p>
              </w:tc>
              <w:tc>
                <w:tcPr>
                  <w:tcW w:w="1549" w:type="pct"/>
                  <w:tcBorders>
                    <w:tl2br w:val="nil"/>
                    <w:tr2bl w:val="nil"/>
                  </w:tcBorders>
                  <w:vAlign w:val="center"/>
                </w:tcPr>
                <w:p w14:paraId="7CB9717C">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eastAsia" w:hAnsi="宋体" w:eastAsia="宋体"/>
                      <w:b w:val="0"/>
                      <w:bCs w:val="0"/>
                      <w:color w:val="auto"/>
                      <w:sz w:val="21"/>
                      <w:szCs w:val="21"/>
                      <w:lang w:eastAsia="zh-CN"/>
                    </w:rPr>
                  </w:pPr>
                  <w:r>
                    <w:rPr>
                      <w:rFonts w:hint="eastAsia" w:hAnsi="宋体"/>
                      <w:b w:val="0"/>
                      <w:bCs w:val="0"/>
                      <w:color w:val="auto"/>
                      <w:sz w:val="21"/>
                      <w:szCs w:val="21"/>
                      <w:lang w:val="en-US" w:eastAsia="zh-CN"/>
                    </w:rPr>
                    <w:t>/</w:t>
                  </w:r>
                </w:p>
              </w:tc>
              <w:tc>
                <w:tcPr>
                  <w:tcW w:w="1268" w:type="dxa"/>
                  <w:tcBorders>
                    <w:tl2br w:val="nil"/>
                    <w:tr2bl w:val="nil"/>
                  </w:tcBorders>
                  <w:vAlign w:val="center"/>
                </w:tcPr>
                <w:p w14:paraId="675149B7">
                  <w:pPr>
                    <w:pStyle w:val="39"/>
                    <w:keepNext w:val="0"/>
                    <w:keepLines w:val="0"/>
                    <w:pageBreakBefore w:val="0"/>
                    <w:widowControl w:val="0"/>
                    <w:kinsoku/>
                    <w:wordWrap/>
                    <w:overflowPunct/>
                    <w:topLinePunct w:val="0"/>
                    <w:bidi w:val="0"/>
                    <w:adjustRightInd w:val="0"/>
                    <w:snapToGrid/>
                    <w:spacing w:line="240" w:lineRule="auto"/>
                    <w:ind w:firstLine="0" w:firstLineChars="0"/>
                    <w:jc w:val="center"/>
                    <w:textAlignment w:val="auto"/>
                    <w:rPr>
                      <w:rFonts w:hint="eastAsia" w:hAnsi="宋体" w:eastAsia="宋体"/>
                      <w:b w:val="0"/>
                      <w:bCs w:val="0"/>
                      <w:color w:val="auto"/>
                      <w:sz w:val="21"/>
                      <w:szCs w:val="21"/>
                      <w:lang w:eastAsia="zh-CN"/>
                    </w:rPr>
                  </w:pPr>
                  <w:r>
                    <w:rPr>
                      <w:rFonts w:hint="eastAsia" w:hAnsi="宋体"/>
                      <w:b w:val="0"/>
                      <w:bCs w:val="0"/>
                      <w:color w:val="auto"/>
                      <w:sz w:val="21"/>
                      <w:szCs w:val="21"/>
                      <w:lang w:val="en-US" w:eastAsia="zh-CN"/>
                    </w:rPr>
                    <w:t>35</w:t>
                  </w:r>
                </w:p>
              </w:tc>
            </w:tr>
          </w:tbl>
          <w:p w14:paraId="467561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b w:val="0"/>
                <w:bCs w:val="0"/>
                <w:color w:val="000000"/>
                <w:sz w:val="24"/>
                <w:szCs w:val="24"/>
              </w:rPr>
            </w:pPr>
            <w:r>
              <w:rPr>
                <w:rFonts w:ascii="宋体" w:hAnsi="宋体" w:eastAsia="宋体" w:cs="宋体"/>
                <w:b w:val="0"/>
                <w:bCs w:val="0"/>
                <w:color w:val="000000"/>
                <w:sz w:val="24"/>
                <w:szCs w:val="24"/>
              </w:rPr>
              <w:t>废水经龙湖污水处理厂深度处理后，排入龙河，其出水水质执行《城镇污水处理厂污染物排放标准》（</w:t>
            </w:r>
            <w:r>
              <w:rPr>
                <w:rFonts w:ascii="TimesNewRomanPSMT" w:hAnsi="TimesNewRomanPSMT" w:eastAsia="TimesNewRomanPSMT" w:cs="TimesNewRomanPSMT"/>
                <w:b w:val="0"/>
                <w:bCs w:val="0"/>
                <w:color w:val="000000"/>
                <w:sz w:val="24"/>
                <w:szCs w:val="24"/>
              </w:rPr>
              <w:t>GB18918-2002</w:t>
            </w:r>
            <w:r>
              <w:rPr>
                <w:rFonts w:ascii="宋体" w:hAnsi="宋体" w:eastAsia="宋体" w:cs="宋体"/>
                <w:b w:val="0"/>
                <w:bCs w:val="0"/>
                <w:color w:val="000000"/>
                <w:sz w:val="24"/>
                <w:szCs w:val="24"/>
              </w:rPr>
              <w:t>）一级</w:t>
            </w:r>
            <w:r>
              <w:rPr>
                <w:rFonts w:hint="default" w:ascii="TimesNewRomanPSMT" w:hAnsi="TimesNewRomanPSMT" w:eastAsia="TimesNewRomanPSMT" w:cs="TimesNewRomanPSMT"/>
                <w:b w:val="0"/>
                <w:bCs w:val="0"/>
                <w:color w:val="000000"/>
                <w:sz w:val="24"/>
                <w:szCs w:val="24"/>
              </w:rPr>
              <w:t>A</w:t>
            </w:r>
            <w:r>
              <w:rPr>
                <w:rFonts w:ascii="宋体" w:hAnsi="宋体" w:eastAsia="宋体" w:cs="宋体"/>
                <w:b w:val="0"/>
                <w:bCs w:val="0"/>
                <w:color w:val="000000"/>
                <w:sz w:val="24"/>
                <w:szCs w:val="24"/>
              </w:rPr>
              <w:t>标准。</w:t>
            </w:r>
          </w:p>
          <w:p w14:paraId="4EE9C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 3-</w:t>
            </w:r>
            <w:r>
              <w:rPr>
                <w:rFonts w:hint="eastAsia" w:ascii="Times New Roman" w:hAnsi="Times New Roman" w:eastAsia="宋体" w:cs="Times New Roman"/>
                <w:b/>
                <w:bCs/>
                <w:color w:val="000000"/>
                <w:sz w:val="24"/>
                <w:szCs w:val="24"/>
                <w:lang w:val="en-US" w:eastAsia="zh-CN"/>
              </w:rPr>
              <w:t>5</w:t>
            </w:r>
            <w:r>
              <w:rPr>
                <w:rFonts w:hint="default" w:ascii="Times New Roman" w:hAnsi="Times New Roman" w:eastAsia="宋体" w:cs="Times New Roman"/>
                <w:b/>
                <w:bCs/>
                <w:color w:val="000000"/>
                <w:sz w:val="24"/>
                <w:szCs w:val="24"/>
              </w:rPr>
              <w:t>城镇污水处理厂污染物排放标准 单位：mg/L（pH值除外）</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889"/>
              <w:gridCol w:w="3614"/>
            </w:tblGrid>
            <w:tr w14:paraId="51D2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1622" w:type="pct"/>
                  <w:tcBorders>
                    <w:tl2br w:val="nil"/>
                    <w:tr2bl w:val="nil"/>
                  </w:tcBorders>
                  <w:vAlign w:val="center"/>
                </w:tcPr>
                <w:p w14:paraId="3F395660">
                  <w:pPr>
                    <w:pStyle w:val="39"/>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污染物</w:t>
                  </w:r>
                </w:p>
              </w:tc>
              <w:tc>
                <w:tcPr>
                  <w:tcW w:w="1159" w:type="pct"/>
                  <w:tcBorders>
                    <w:tl2br w:val="nil"/>
                    <w:tr2bl w:val="nil"/>
                  </w:tcBorders>
                  <w:vAlign w:val="center"/>
                </w:tcPr>
                <w:p w14:paraId="4D2C2F1A">
                  <w:pPr>
                    <w:pStyle w:val="39"/>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浓度限值</w:t>
                  </w:r>
                </w:p>
              </w:tc>
              <w:tc>
                <w:tcPr>
                  <w:tcW w:w="2217" w:type="pct"/>
                  <w:tcBorders>
                    <w:tl2br w:val="nil"/>
                    <w:tr2bl w:val="nil"/>
                  </w:tcBorders>
                  <w:vAlign w:val="center"/>
                </w:tcPr>
                <w:p w14:paraId="65E0257E">
                  <w:pPr>
                    <w:pStyle w:val="39"/>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依据</w:t>
                  </w:r>
                </w:p>
              </w:tc>
            </w:tr>
            <w:tr w14:paraId="1EF8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2" w:type="pct"/>
                  <w:tcBorders>
                    <w:tl2br w:val="nil"/>
                    <w:tr2bl w:val="nil"/>
                  </w:tcBorders>
                  <w:vAlign w:val="center"/>
                </w:tcPr>
                <w:p w14:paraId="29CD1A50">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Ansi="宋体"/>
                      <w:b w:val="0"/>
                      <w:bCs w:val="0"/>
                      <w:color w:val="auto"/>
                      <w:sz w:val="21"/>
                      <w:szCs w:val="21"/>
                    </w:rPr>
                  </w:pPr>
                  <w:r>
                    <w:rPr>
                      <w:rFonts w:hint="eastAsia" w:hAnsi="宋体"/>
                      <w:b w:val="0"/>
                      <w:bCs w:val="0"/>
                      <w:color w:val="auto"/>
                      <w:sz w:val="21"/>
                      <w:szCs w:val="21"/>
                    </w:rPr>
                    <w:t>pH</w:t>
                  </w:r>
                </w:p>
              </w:tc>
              <w:tc>
                <w:tcPr>
                  <w:tcW w:w="1159" w:type="pct"/>
                  <w:tcBorders>
                    <w:tl2br w:val="nil"/>
                    <w:tr2bl w:val="nil"/>
                  </w:tcBorders>
                  <w:vAlign w:val="center"/>
                </w:tcPr>
                <w:p w14:paraId="71AA4279">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Ansi="宋体"/>
                      <w:b w:val="0"/>
                      <w:bCs w:val="0"/>
                      <w:color w:val="auto"/>
                      <w:sz w:val="21"/>
                      <w:szCs w:val="21"/>
                    </w:rPr>
                  </w:pPr>
                  <w:r>
                    <w:rPr>
                      <w:rFonts w:hint="eastAsia" w:hAnsi="宋体"/>
                      <w:b w:val="0"/>
                      <w:bCs w:val="0"/>
                      <w:color w:val="auto"/>
                      <w:sz w:val="21"/>
                      <w:szCs w:val="21"/>
                    </w:rPr>
                    <w:t>6～9</w:t>
                  </w:r>
                </w:p>
              </w:tc>
              <w:tc>
                <w:tcPr>
                  <w:tcW w:w="2217" w:type="pct"/>
                  <w:vMerge w:val="restart"/>
                  <w:tcBorders>
                    <w:tl2br w:val="nil"/>
                    <w:tr2bl w:val="nil"/>
                  </w:tcBorders>
                  <w:vAlign w:val="center"/>
                </w:tcPr>
                <w:p w14:paraId="4B722C18">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int="eastAsia" w:hAnsi="宋体"/>
                      <w:b w:val="0"/>
                      <w:bCs w:val="0"/>
                      <w:color w:val="auto"/>
                      <w:sz w:val="21"/>
                      <w:szCs w:val="21"/>
                      <w:lang w:eastAsia="zh-CN"/>
                    </w:rPr>
                  </w:pPr>
                  <w:r>
                    <w:rPr>
                      <w:rFonts w:hint="eastAsia" w:hAnsi="宋体"/>
                      <w:b w:val="0"/>
                      <w:bCs w:val="0"/>
                      <w:color w:val="auto"/>
                      <w:sz w:val="21"/>
                      <w:szCs w:val="21"/>
                    </w:rPr>
                    <w:t>《城镇污水处理厂污染物排放标准》（GB18918-2002）中一级</w:t>
                  </w:r>
                  <w:r>
                    <w:rPr>
                      <w:rFonts w:hint="default" w:hAnsi="宋体"/>
                      <w:b w:val="0"/>
                      <w:bCs w:val="0"/>
                      <w:color w:val="auto"/>
                      <w:sz w:val="21"/>
                      <w:szCs w:val="21"/>
                    </w:rPr>
                    <w:t>A</w:t>
                  </w:r>
                  <w:r>
                    <w:rPr>
                      <w:rFonts w:hint="eastAsia" w:hAnsi="宋体"/>
                      <w:b w:val="0"/>
                      <w:bCs w:val="0"/>
                      <w:color w:val="auto"/>
                      <w:sz w:val="21"/>
                      <w:szCs w:val="21"/>
                    </w:rPr>
                    <w:t>标准</w:t>
                  </w:r>
                </w:p>
              </w:tc>
            </w:tr>
            <w:tr w14:paraId="2D8B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622" w:type="pct"/>
                  <w:tcBorders>
                    <w:tl2br w:val="nil"/>
                    <w:tr2bl w:val="nil"/>
                  </w:tcBorders>
                  <w:vAlign w:val="center"/>
                </w:tcPr>
                <w:p w14:paraId="4941C5B1">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r>
                    <w:rPr>
                      <w:rFonts w:hint="eastAsia" w:hAnsi="宋体"/>
                      <w:b w:val="0"/>
                      <w:bCs w:val="0"/>
                      <w:color w:val="auto"/>
                      <w:sz w:val="21"/>
                      <w:szCs w:val="21"/>
                    </w:rPr>
                    <w:t>悬浮物（SS）</w:t>
                  </w:r>
                </w:p>
              </w:tc>
              <w:tc>
                <w:tcPr>
                  <w:tcW w:w="1159" w:type="pct"/>
                  <w:tcBorders>
                    <w:tl2br w:val="nil"/>
                    <w:tr2bl w:val="nil"/>
                  </w:tcBorders>
                  <w:vAlign w:val="center"/>
                </w:tcPr>
                <w:p w14:paraId="466D21DA">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hAnsi="宋体" w:eastAsia="宋体"/>
                      <w:b w:val="0"/>
                      <w:bCs w:val="0"/>
                      <w:color w:val="auto"/>
                      <w:sz w:val="21"/>
                      <w:szCs w:val="21"/>
                      <w:lang w:val="en-US" w:eastAsia="zh-CN"/>
                    </w:rPr>
                  </w:pPr>
                  <w:r>
                    <w:rPr>
                      <w:rFonts w:hint="eastAsia" w:hAnsi="宋体"/>
                      <w:b w:val="0"/>
                      <w:bCs w:val="0"/>
                      <w:color w:val="auto"/>
                      <w:sz w:val="21"/>
                      <w:szCs w:val="21"/>
                      <w:lang w:val="en-US" w:eastAsia="zh-CN"/>
                    </w:rPr>
                    <w:t>10</w:t>
                  </w:r>
                </w:p>
              </w:tc>
              <w:tc>
                <w:tcPr>
                  <w:tcW w:w="2217" w:type="pct"/>
                  <w:vMerge w:val="continue"/>
                  <w:tcBorders>
                    <w:tl2br w:val="nil"/>
                    <w:tr2bl w:val="nil"/>
                  </w:tcBorders>
                  <w:vAlign w:val="center"/>
                </w:tcPr>
                <w:p w14:paraId="1F57C58F">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p>
              </w:tc>
            </w:tr>
            <w:tr w14:paraId="18BC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22" w:type="pct"/>
                  <w:tcBorders>
                    <w:tl2br w:val="nil"/>
                    <w:tr2bl w:val="nil"/>
                  </w:tcBorders>
                  <w:vAlign w:val="center"/>
                </w:tcPr>
                <w:p w14:paraId="23822420">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r>
                    <w:rPr>
                      <w:rFonts w:hint="eastAsia" w:hAnsi="宋体"/>
                      <w:b w:val="0"/>
                      <w:bCs w:val="0"/>
                      <w:color w:val="auto"/>
                      <w:sz w:val="21"/>
                      <w:szCs w:val="21"/>
                    </w:rPr>
                    <w:t>五日生化需氧量（BOD</w:t>
                  </w:r>
                  <w:r>
                    <w:rPr>
                      <w:rFonts w:hint="eastAsia" w:hAnsi="宋体"/>
                      <w:b w:val="0"/>
                      <w:bCs w:val="0"/>
                      <w:color w:val="auto"/>
                      <w:sz w:val="21"/>
                      <w:szCs w:val="21"/>
                      <w:vertAlign w:val="subscript"/>
                    </w:rPr>
                    <w:t>5</w:t>
                  </w:r>
                  <w:r>
                    <w:rPr>
                      <w:rFonts w:hint="eastAsia" w:hAnsi="宋体"/>
                      <w:b w:val="0"/>
                      <w:bCs w:val="0"/>
                      <w:color w:val="auto"/>
                      <w:sz w:val="21"/>
                      <w:szCs w:val="21"/>
                    </w:rPr>
                    <w:t>）</w:t>
                  </w:r>
                </w:p>
              </w:tc>
              <w:tc>
                <w:tcPr>
                  <w:tcW w:w="1159" w:type="pct"/>
                  <w:tcBorders>
                    <w:tl2br w:val="nil"/>
                    <w:tr2bl w:val="nil"/>
                  </w:tcBorders>
                  <w:vAlign w:val="center"/>
                </w:tcPr>
                <w:p w14:paraId="41F5E212">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hAnsi="宋体" w:eastAsia="宋体"/>
                      <w:b w:val="0"/>
                      <w:bCs w:val="0"/>
                      <w:color w:val="auto"/>
                      <w:sz w:val="21"/>
                      <w:szCs w:val="21"/>
                      <w:lang w:val="en-US" w:eastAsia="zh-CN"/>
                    </w:rPr>
                  </w:pPr>
                  <w:r>
                    <w:rPr>
                      <w:rFonts w:hint="eastAsia" w:hAnsi="宋体"/>
                      <w:b w:val="0"/>
                      <w:bCs w:val="0"/>
                      <w:color w:val="auto"/>
                      <w:sz w:val="21"/>
                      <w:szCs w:val="21"/>
                      <w:lang w:val="en-US" w:eastAsia="zh-CN"/>
                    </w:rPr>
                    <w:t>10</w:t>
                  </w:r>
                </w:p>
              </w:tc>
              <w:tc>
                <w:tcPr>
                  <w:tcW w:w="2217" w:type="pct"/>
                  <w:vMerge w:val="continue"/>
                  <w:tcBorders>
                    <w:tl2br w:val="nil"/>
                    <w:tr2bl w:val="nil"/>
                  </w:tcBorders>
                  <w:vAlign w:val="center"/>
                </w:tcPr>
                <w:p w14:paraId="741643BF">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p>
              </w:tc>
            </w:tr>
            <w:tr w14:paraId="5919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22" w:type="pct"/>
                  <w:tcBorders>
                    <w:tl2br w:val="nil"/>
                    <w:tr2bl w:val="nil"/>
                  </w:tcBorders>
                  <w:vAlign w:val="center"/>
                </w:tcPr>
                <w:p w14:paraId="34EC979A">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r>
                    <w:rPr>
                      <w:rFonts w:hint="eastAsia" w:hAnsi="宋体"/>
                      <w:b w:val="0"/>
                      <w:bCs w:val="0"/>
                      <w:color w:val="auto"/>
                      <w:sz w:val="21"/>
                      <w:szCs w:val="21"/>
                    </w:rPr>
                    <w:t>化学需氧量（COD）</w:t>
                  </w:r>
                </w:p>
              </w:tc>
              <w:tc>
                <w:tcPr>
                  <w:tcW w:w="1159" w:type="pct"/>
                  <w:tcBorders>
                    <w:tl2br w:val="nil"/>
                    <w:tr2bl w:val="nil"/>
                  </w:tcBorders>
                  <w:vAlign w:val="center"/>
                </w:tcPr>
                <w:p w14:paraId="25E6705C">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hAnsi="宋体" w:eastAsia="宋体"/>
                      <w:b w:val="0"/>
                      <w:bCs w:val="0"/>
                      <w:color w:val="auto"/>
                      <w:sz w:val="21"/>
                      <w:szCs w:val="21"/>
                      <w:lang w:val="en-US" w:eastAsia="zh-CN"/>
                    </w:rPr>
                  </w:pPr>
                  <w:r>
                    <w:rPr>
                      <w:rFonts w:hint="eastAsia" w:hAnsi="宋体"/>
                      <w:b w:val="0"/>
                      <w:bCs w:val="0"/>
                      <w:color w:val="auto"/>
                      <w:sz w:val="21"/>
                      <w:szCs w:val="21"/>
                      <w:lang w:val="en-US" w:eastAsia="zh-CN"/>
                    </w:rPr>
                    <w:t>50</w:t>
                  </w:r>
                </w:p>
              </w:tc>
              <w:tc>
                <w:tcPr>
                  <w:tcW w:w="2217" w:type="pct"/>
                  <w:vMerge w:val="continue"/>
                  <w:tcBorders>
                    <w:tl2br w:val="nil"/>
                    <w:tr2bl w:val="nil"/>
                  </w:tcBorders>
                  <w:vAlign w:val="center"/>
                </w:tcPr>
                <w:p w14:paraId="0D8D25C9">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p>
              </w:tc>
            </w:tr>
            <w:tr w14:paraId="428A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622" w:type="pct"/>
                  <w:tcBorders>
                    <w:tl2br w:val="nil"/>
                    <w:tr2bl w:val="nil"/>
                  </w:tcBorders>
                  <w:vAlign w:val="center"/>
                </w:tcPr>
                <w:p w14:paraId="4379880C">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Ansi="宋体"/>
                      <w:b w:val="0"/>
                      <w:bCs w:val="0"/>
                      <w:color w:val="auto"/>
                      <w:sz w:val="21"/>
                      <w:szCs w:val="21"/>
                    </w:rPr>
                  </w:pPr>
                  <w:r>
                    <w:rPr>
                      <w:rFonts w:hint="eastAsia" w:hAnsi="宋体"/>
                      <w:b w:val="0"/>
                      <w:bCs w:val="0"/>
                      <w:color w:val="auto"/>
                      <w:sz w:val="21"/>
                      <w:szCs w:val="21"/>
                    </w:rPr>
                    <w:t>氨氮（NH</w:t>
                  </w:r>
                  <w:r>
                    <w:rPr>
                      <w:rFonts w:hint="eastAsia" w:hAnsi="宋体"/>
                      <w:b w:val="0"/>
                      <w:bCs w:val="0"/>
                      <w:color w:val="auto"/>
                      <w:sz w:val="21"/>
                      <w:szCs w:val="21"/>
                      <w:vertAlign w:val="subscript"/>
                    </w:rPr>
                    <w:t>3</w:t>
                  </w:r>
                  <w:r>
                    <w:rPr>
                      <w:rFonts w:hint="eastAsia" w:hAnsi="宋体"/>
                      <w:b w:val="0"/>
                      <w:bCs w:val="0"/>
                      <w:color w:val="auto"/>
                      <w:sz w:val="21"/>
                      <w:szCs w:val="21"/>
                    </w:rPr>
                    <w:t>-N）</w:t>
                  </w:r>
                </w:p>
              </w:tc>
              <w:tc>
                <w:tcPr>
                  <w:tcW w:w="1159" w:type="pct"/>
                  <w:tcBorders>
                    <w:tl2br w:val="nil"/>
                    <w:tr2bl w:val="nil"/>
                  </w:tcBorders>
                  <w:vAlign w:val="center"/>
                </w:tcPr>
                <w:p w14:paraId="117996AA">
                  <w:pPr>
                    <w:pStyle w:val="39"/>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eastAsia" w:hAnsi="宋体" w:eastAsia="宋体"/>
                      <w:b w:val="0"/>
                      <w:bCs w:val="0"/>
                      <w:color w:val="auto"/>
                      <w:sz w:val="21"/>
                      <w:szCs w:val="21"/>
                      <w:lang w:val="en-US" w:eastAsia="zh-CN"/>
                    </w:rPr>
                  </w:pPr>
                  <w:r>
                    <w:rPr>
                      <w:rFonts w:hint="eastAsia" w:hAnsi="宋体"/>
                      <w:b w:val="0"/>
                      <w:bCs w:val="0"/>
                      <w:color w:val="auto"/>
                      <w:sz w:val="21"/>
                      <w:szCs w:val="21"/>
                      <w:lang w:val="en-US" w:eastAsia="zh-CN"/>
                    </w:rPr>
                    <w:t>5</w:t>
                  </w:r>
                </w:p>
              </w:tc>
              <w:tc>
                <w:tcPr>
                  <w:tcW w:w="2217" w:type="pct"/>
                  <w:vMerge w:val="continue"/>
                  <w:tcBorders>
                    <w:tl2br w:val="nil"/>
                    <w:tr2bl w:val="nil"/>
                  </w:tcBorders>
                  <w:vAlign w:val="center"/>
                </w:tcPr>
                <w:p w14:paraId="3F1984DD">
                  <w:pPr>
                    <w:pStyle w:val="39"/>
                    <w:keepNext w:val="0"/>
                    <w:keepLines w:val="0"/>
                    <w:pageBreakBefore w:val="0"/>
                    <w:widowControl w:val="0"/>
                    <w:kinsoku/>
                    <w:wordWrap/>
                    <w:overflowPunct/>
                    <w:topLinePunct w:val="0"/>
                    <w:bidi w:val="0"/>
                    <w:adjustRightInd w:val="0"/>
                    <w:snapToGrid/>
                    <w:spacing w:line="240" w:lineRule="auto"/>
                    <w:ind w:left="0" w:leftChars="0" w:firstLine="0" w:firstLineChars="0"/>
                    <w:jc w:val="center"/>
                    <w:textAlignment w:val="auto"/>
                    <w:rPr>
                      <w:rFonts w:hint="eastAsia" w:hAnsi="宋体" w:eastAsia="宋体"/>
                      <w:b w:val="0"/>
                      <w:bCs w:val="0"/>
                      <w:color w:val="auto"/>
                      <w:sz w:val="21"/>
                      <w:szCs w:val="21"/>
                      <w:lang w:eastAsia="zh-CN"/>
                    </w:rPr>
                  </w:pPr>
                </w:p>
              </w:tc>
            </w:tr>
          </w:tbl>
          <w:p w14:paraId="72926A65">
            <w:pPr>
              <w:spacing w:line="360" w:lineRule="auto"/>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2、大气污染物排放标准</w:t>
            </w:r>
          </w:p>
          <w:p w14:paraId="6467C6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28"/>
                <w:sz w:val="24"/>
              </w:rPr>
            </w:pPr>
            <w:r>
              <w:rPr>
                <w:rFonts w:ascii="Times New Roman" w:hAnsi="Times New Roman"/>
                <w:kern w:val="28"/>
                <w:sz w:val="24"/>
              </w:rPr>
              <w:t>本项目有组织废气中颗粒物排放执行《大气污染物综合排放标准》（GB16297-1996）表2二级标准限值；非甲烷总烃排放执行安徽省地方标准《固定源挥发性有机物综合排放标准第6部分其他行业》（DB34/4812.6—2024）中表1限值标准；</w:t>
            </w:r>
          </w:p>
          <w:p w14:paraId="7E61C5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ascii="Times New Roman" w:hAnsi="Times New Roman"/>
                <w:kern w:val="28"/>
                <w:sz w:val="24"/>
              </w:rPr>
              <w:t>厂界无组织废气中非甲烷总烃、颗粒物排放执行《大气污染物综合排放标准》（GB16297-1996）表2无组织排放限值标准。</w:t>
            </w:r>
          </w:p>
          <w:p w14:paraId="7A4E3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rPr>
            </w:pPr>
            <w:r>
              <w:rPr>
                <w:rFonts w:ascii="Times New Roman" w:hAnsi="Times New Roman"/>
                <w:kern w:val="0"/>
                <w:sz w:val="24"/>
              </w:rPr>
              <w:t>厂房外非甲烷总烃无组织排放浓度限值执行《固定源挥发性有机物综合排放标准第6部分其他行业》（DB34/4812.6—2024）表4中限值要求。</w:t>
            </w:r>
          </w:p>
          <w:p w14:paraId="3BE5F537">
            <w:pPr>
              <w:pStyle w:val="83"/>
              <w:rPr>
                <w:rFonts w:ascii="Times New Roman" w:hAnsi="Times New Roman"/>
                <w:kern w:val="0"/>
                <w:sz w:val="24"/>
              </w:rPr>
            </w:pPr>
            <w:r>
              <w:rPr>
                <w:rFonts w:cs="Times New Roman"/>
                <w:sz w:val="24"/>
                <w:szCs w:val="24"/>
              </w:rPr>
              <w:t>表3-</w:t>
            </w:r>
            <w:r>
              <w:rPr>
                <w:rFonts w:hint="eastAsia" w:cs="Times New Roman"/>
                <w:sz w:val="24"/>
                <w:szCs w:val="24"/>
                <w:lang w:val="en-US" w:eastAsia="zh-CN"/>
              </w:rPr>
              <w:t>6</w:t>
            </w:r>
            <w:r>
              <w:rPr>
                <w:rFonts w:cs="Times New Roman"/>
                <w:sz w:val="24"/>
                <w:szCs w:val="24"/>
              </w:rPr>
              <w:t>本项目废气污染物排放标准</w:t>
            </w:r>
          </w:p>
          <w:tbl>
            <w:tblPr>
              <w:tblStyle w:val="28"/>
              <w:tblW w:w="81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96"/>
              <w:gridCol w:w="1105"/>
              <w:gridCol w:w="728"/>
              <w:gridCol w:w="870"/>
              <w:gridCol w:w="728"/>
              <w:gridCol w:w="769"/>
              <w:gridCol w:w="3064"/>
            </w:tblGrid>
            <w:tr w14:paraId="2B52C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49" w:type="pct"/>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7A972C07">
                  <w:pPr>
                    <w:pStyle w:val="81"/>
                    <w:rPr>
                      <w:b w:val="0"/>
                      <w:color w:val="000000"/>
                      <w:szCs w:val="21"/>
                    </w:rPr>
                  </w:pPr>
                  <w:r>
                    <w:rPr>
                      <w:b w:val="0"/>
                      <w:color w:val="000000"/>
                      <w:szCs w:val="21"/>
                    </w:rPr>
                    <w:t>污染工序</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E4148">
                  <w:pPr>
                    <w:pStyle w:val="81"/>
                    <w:rPr>
                      <w:b w:val="0"/>
                      <w:color w:val="000000"/>
                      <w:szCs w:val="21"/>
                    </w:rPr>
                  </w:pPr>
                  <w:r>
                    <w:rPr>
                      <w:b w:val="0"/>
                      <w:color w:val="000000"/>
                      <w:szCs w:val="21"/>
                    </w:rPr>
                    <w:t>污染物</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59712">
                  <w:pPr>
                    <w:pStyle w:val="81"/>
                    <w:rPr>
                      <w:b w:val="0"/>
                      <w:color w:val="000000"/>
                      <w:szCs w:val="21"/>
                    </w:rPr>
                  </w:pPr>
                  <w:r>
                    <w:rPr>
                      <w:b w:val="0"/>
                      <w:color w:val="000000"/>
                      <w:szCs w:val="21"/>
                    </w:rPr>
                    <w:t>排气筒高度m</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BB855">
                  <w:pPr>
                    <w:pStyle w:val="81"/>
                    <w:rPr>
                      <w:b w:val="0"/>
                      <w:color w:val="000000"/>
                      <w:szCs w:val="21"/>
                    </w:rPr>
                  </w:pPr>
                  <w:r>
                    <w:rPr>
                      <w:b w:val="0"/>
                      <w:color w:val="000000"/>
                      <w:szCs w:val="21"/>
                    </w:rPr>
                    <w:t>排放限值mg/m</w:t>
                  </w:r>
                  <w:r>
                    <w:rPr>
                      <w:b w:val="0"/>
                      <w:color w:val="000000"/>
                      <w:szCs w:val="21"/>
                      <w:vertAlign w:val="superscript"/>
                    </w:rPr>
                    <w:t>3</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6D6FB">
                  <w:pPr>
                    <w:pStyle w:val="81"/>
                    <w:rPr>
                      <w:b w:val="0"/>
                      <w:color w:val="000000"/>
                      <w:szCs w:val="21"/>
                    </w:rPr>
                  </w:pPr>
                  <w:r>
                    <w:rPr>
                      <w:b w:val="0"/>
                      <w:color w:val="000000"/>
                      <w:szCs w:val="21"/>
                    </w:rPr>
                    <w:t>排放速率kg/h</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AB0CA">
                  <w:pPr>
                    <w:pStyle w:val="81"/>
                    <w:rPr>
                      <w:b w:val="0"/>
                      <w:color w:val="000000"/>
                      <w:szCs w:val="21"/>
                    </w:rPr>
                  </w:pPr>
                  <w:r>
                    <w:rPr>
                      <w:b w:val="0"/>
                      <w:color w:val="000000"/>
                      <w:szCs w:val="21"/>
                    </w:rPr>
                    <w:t>废气种类</w:t>
                  </w: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40932">
                  <w:pPr>
                    <w:pStyle w:val="81"/>
                    <w:rPr>
                      <w:b w:val="0"/>
                      <w:color w:val="000000"/>
                      <w:szCs w:val="21"/>
                    </w:rPr>
                  </w:pPr>
                  <w:r>
                    <w:rPr>
                      <w:b w:val="0"/>
                      <w:color w:val="000000"/>
                      <w:szCs w:val="21"/>
                    </w:rPr>
                    <w:t>标准来源</w:t>
                  </w:r>
                </w:p>
              </w:tc>
            </w:tr>
            <w:tr w14:paraId="4549A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49" w:type="pct"/>
                  <w:vMerge w:val="restart"/>
                  <w:tcBorders>
                    <w:top w:val="single" w:color="000000" w:sz="4" w:space="0"/>
                    <w:left w:val="single" w:color="000000" w:sz="4" w:space="0"/>
                    <w:right w:val="single" w:color="000000" w:sz="4" w:space="0"/>
                  </w:tcBorders>
                  <w:shd w:val="clear" w:color="auto" w:fill="auto"/>
                  <w:vAlign w:val="center"/>
                </w:tcPr>
                <w:p w14:paraId="664DEA19">
                  <w:pPr>
                    <w:pStyle w:val="82"/>
                    <w:rPr>
                      <w:color w:val="000000"/>
                      <w:szCs w:val="21"/>
                    </w:rPr>
                  </w:pPr>
                  <w:r>
                    <w:rPr>
                      <w:color w:val="000000"/>
                      <w:szCs w:val="21"/>
                    </w:rPr>
                    <w:t>喷漆、晾干</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10AFB">
                  <w:pPr>
                    <w:pStyle w:val="82"/>
                    <w:rPr>
                      <w:color w:val="000000"/>
                      <w:szCs w:val="21"/>
                    </w:rPr>
                  </w:pPr>
                  <w:r>
                    <w:rPr>
                      <w:color w:val="000000"/>
                      <w:szCs w:val="21"/>
                    </w:rPr>
                    <w:t>非甲烷总烃</w:t>
                  </w:r>
                </w:p>
              </w:tc>
              <w:tc>
                <w:tcPr>
                  <w:tcW w:w="446" w:type="pct"/>
                  <w:vMerge w:val="restart"/>
                  <w:tcBorders>
                    <w:top w:val="single" w:color="000000" w:sz="4" w:space="0"/>
                    <w:left w:val="single" w:color="000000" w:sz="4" w:space="0"/>
                    <w:right w:val="single" w:color="000000" w:sz="4" w:space="0"/>
                  </w:tcBorders>
                  <w:shd w:val="clear" w:color="auto" w:fill="auto"/>
                  <w:vAlign w:val="center"/>
                </w:tcPr>
                <w:p w14:paraId="58767987">
                  <w:pPr>
                    <w:jc w:val="center"/>
                    <w:rPr>
                      <w:rFonts w:ascii="Times New Roman" w:hAnsi="Times New Roman"/>
                      <w:color w:val="000000"/>
                      <w:szCs w:val="21"/>
                    </w:rPr>
                  </w:pPr>
                  <w:r>
                    <w:rPr>
                      <w:rFonts w:hint="eastAsia" w:ascii="Times New Roman" w:hAnsi="Times New Roman" w:eastAsiaTheme="minorEastAsia"/>
                      <w:color w:val="000000"/>
                    </w:rPr>
                    <w:t>20</w:t>
                  </w:r>
                </w:p>
              </w:tc>
              <w:tc>
                <w:tcPr>
                  <w:tcW w:w="533" w:type="pct"/>
                  <w:tcBorders>
                    <w:top w:val="single" w:color="000000" w:sz="4" w:space="0"/>
                    <w:left w:val="single" w:color="000000" w:sz="4" w:space="0"/>
                    <w:right w:val="single" w:color="000000" w:sz="4" w:space="0"/>
                  </w:tcBorders>
                  <w:shd w:val="clear" w:color="auto" w:fill="auto"/>
                  <w:vAlign w:val="center"/>
                </w:tcPr>
                <w:p w14:paraId="3B595B4C">
                  <w:pPr>
                    <w:pStyle w:val="82"/>
                    <w:rPr>
                      <w:color w:val="000000"/>
                      <w:szCs w:val="21"/>
                    </w:rPr>
                  </w:pPr>
                  <w:r>
                    <w:rPr>
                      <w:color w:val="000000"/>
                      <w:szCs w:val="21"/>
                    </w:rPr>
                    <w:t>70</w:t>
                  </w:r>
                </w:p>
              </w:tc>
              <w:tc>
                <w:tcPr>
                  <w:tcW w:w="446" w:type="pct"/>
                  <w:tcBorders>
                    <w:top w:val="single" w:color="000000" w:sz="4" w:space="0"/>
                    <w:left w:val="single" w:color="000000" w:sz="4" w:space="0"/>
                    <w:right w:val="single" w:color="000000" w:sz="4" w:space="0"/>
                  </w:tcBorders>
                  <w:shd w:val="clear" w:color="auto" w:fill="auto"/>
                  <w:vAlign w:val="center"/>
                </w:tcPr>
                <w:p w14:paraId="5FEC3B4C">
                  <w:pPr>
                    <w:pStyle w:val="82"/>
                    <w:rPr>
                      <w:color w:val="000000"/>
                      <w:szCs w:val="21"/>
                    </w:rPr>
                  </w:pPr>
                  <w:r>
                    <w:rPr>
                      <w:color w:val="000000"/>
                      <w:szCs w:val="21"/>
                    </w:rPr>
                    <w:t>3.0</w:t>
                  </w:r>
                </w:p>
              </w:tc>
              <w:tc>
                <w:tcPr>
                  <w:tcW w:w="471" w:type="pct"/>
                  <w:vMerge w:val="restart"/>
                  <w:tcBorders>
                    <w:top w:val="single" w:color="000000" w:sz="4" w:space="0"/>
                    <w:left w:val="single" w:color="000000" w:sz="4" w:space="0"/>
                    <w:right w:val="single" w:color="000000" w:sz="4" w:space="0"/>
                  </w:tcBorders>
                  <w:shd w:val="clear" w:color="auto" w:fill="auto"/>
                  <w:vAlign w:val="center"/>
                </w:tcPr>
                <w:p w14:paraId="15068AF6">
                  <w:pPr>
                    <w:pStyle w:val="82"/>
                    <w:rPr>
                      <w:color w:val="000000"/>
                      <w:szCs w:val="21"/>
                    </w:rPr>
                  </w:pPr>
                  <w:r>
                    <w:rPr>
                      <w:color w:val="000000"/>
                      <w:szCs w:val="21"/>
                    </w:rPr>
                    <w:t>有组织废气</w:t>
                  </w:r>
                </w:p>
              </w:tc>
              <w:tc>
                <w:tcPr>
                  <w:tcW w:w="1877" w:type="pct"/>
                  <w:tcBorders>
                    <w:top w:val="single" w:color="000000" w:sz="4" w:space="0"/>
                    <w:left w:val="single" w:color="000000" w:sz="4" w:space="0"/>
                    <w:right w:val="single" w:color="000000" w:sz="4" w:space="0"/>
                  </w:tcBorders>
                  <w:shd w:val="clear" w:color="auto" w:fill="auto"/>
                  <w:vAlign w:val="center"/>
                </w:tcPr>
                <w:p w14:paraId="2BCDDAA6">
                  <w:pPr>
                    <w:pStyle w:val="82"/>
                    <w:rPr>
                      <w:color w:val="000000"/>
                      <w:szCs w:val="21"/>
                    </w:rPr>
                  </w:pPr>
                  <w:r>
                    <w:rPr>
                      <w:color w:val="000000"/>
                      <w:szCs w:val="21"/>
                    </w:rPr>
                    <w:t>《固定源挥发性有机物综合排放标准第6部分其他行业》（</w:t>
                  </w:r>
                  <w:r>
                    <w:rPr>
                      <w:rFonts w:eastAsia="Times New Roman"/>
                      <w:color w:val="000000"/>
                      <w:szCs w:val="21"/>
                    </w:rPr>
                    <w:t>DB34/4812.6—2024</w:t>
                  </w:r>
                  <w:r>
                    <w:rPr>
                      <w:color w:val="000000"/>
                      <w:szCs w:val="21"/>
                    </w:rPr>
                    <w:t>）中表1值标准</w:t>
                  </w:r>
                </w:p>
              </w:tc>
            </w:tr>
            <w:tr w14:paraId="4C0F1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49" w:type="pct"/>
                  <w:vMerge w:val="continue"/>
                  <w:tcBorders>
                    <w:left w:val="single" w:color="000000" w:sz="4" w:space="0"/>
                    <w:bottom w:val="single" w:color="000000" w:sz="4" w:space="0"/>
                    <w:right w:val="single" w:color="000000" w:sz="4" w:space="0"/>
                  </w:tcBorders>
                  <w:shd w:val="clear" w:color="auto" w:fill="auto"/>
                  <w:vAlign w:val="center"/>
                </w:tcPr>
                <w:p w14:paraId="14F1C60F">
                  <w:pPr>
                    <w:pStyle w:val="82"/>
                  </w:pP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B8929">
                  <w:pPr>
                    <w:pStyle w:val="82"/>
                    <w:rPr>
                      <w:color w:val="000000"/>
                      <w:szCs w:val="21"/>
                    </w:rPr>
                  </w:pPr>
                  <w:r>
                    <w:rPr>
                      <w:color w:val="000000" w:themeColor="text1"/>
                      <w:szCs w:val="21"/>
                      <w14:textFill>
                        <w14:solidFill>
                          <w14:schemeClr w14:val="tx1"/>
                        </w14:solidFill>
                      </w14:textFill>
                    </w:rPr>
                    <w:t>颗粒物</w:t>
                  </w:r>
                </w:p>
              </w:tc>
              <w:tc>
                <w:tcPr>
                  <w:tcW w:w="446" w:type="pct"/>
                  <w:vMerge w:val="continue"/>
                  <w:tcBorders>
                    <w:left w:val="single" w:color="000000" w:sz="4" w:space="0"/>
                    <w:bottom w:val="single" w:color="000000" w:sz="4" w:space="0"/>
                    <w:right w:val="single" w:color="000000" w:sz="4" w:space="0"/>
                  </w:tcBorders>
                  <w:shd w:val="clear" w:color="auto" w:fill="auto"/>
                  <w:vAlign w:val="center"/>
                </w:tcPr>
                <w:p w14:paraId="1D551DC5">
                  <w:pPr>
                    <w:pStyle w:val="82"/>
                    <w:rPr>
                      <w:color w:val="000000"/>
                      <w:szCs w:val="21"/>
                    </w:rPr>
                  </w:pPr>
                </w:p>
              </w:tc>
              <w:tc>
                <w:tcPr>
                  <w:tcW w:w="870" w:type="dxa"/>
                  <w:tcBorders>
                    <w:left w:val="single" w:color="000000" w:sz="4" w:space="0"/>
                    <w:bottom w:val="single" w:color="000000" w:sz="4" w:space="0"/>
                    <w:right w:val="single" w:color="000000" w:sz="4" w:space="0"/>
                  </w:tcBorders>
                  <w:shd w:val="clear" w:color="auto" w:fill="auto"/>
                  <w:vAlign w:val="center"/>
                </w:tcPr>
                <w:p w14:paraId="4475D7A2">
                  <w:pPr>
                    <w:pStyle w:val="82"/>
                    <w:rPr>
                      <w:color w:val="000000"/>
                      <w:szCs w:val="21"/>
                    </w:rPr>
                  </w:pPr>
                  <w:r>
                    <w:rPr>
                      <w:rFonts w:eastAsia="Times New Roman"/>
                      <w:color w:val="000000"/>
                    </w:rPr>
                    <w:t>120</w:t>
                  </w:r>
                </w:p>
              </w:tc>
              <w:tc>
                <w:tcPr>
                  <w:tcW w:w="728" w:type="dxa"/>
                  <w:tcBorders>
                    <w:left w:val="single" w:color="000000" w:sz="4" w:space="0"/>
                    <w:bottom w:val="single" w:color="000000" w:sz="4" w:space="0"/>
                    <w:right w:val="single" w:color="000000" w:sz="4" w:space="0"/>
                  </w:tcBorders>
                  <w:shd w:val="clear" w:color="auto" w:fill="auto"/>
                  <w:vAlign w:val="center"/>
                </w:tcPr>
                <w:p w14:paraId="60DE4EF5">
                  <w:pPr>
                    <w:pStyle w:val="82"/>
                    <w:rPr>
                      <w:color w:val="000000"/>
                      <w:szCs w:val="21"/>
                    </w:rPr>
                  </w:pPr>
                  <w:r>
                    <w:rPr>
                      <w:rFonts w:hint="eastAsia"/>
                      <w:color w:val="000000"/>
                    </w:rPr>
                    <w:t>5.9</w:t>
                  </w:r>
                </w:p>
              </w:tc>
              <w:tc>
                <w:tcPr>
                  <w:tcW w:w="471" w:type="pct"/>
                  <w:vMerge w:val="continue"/>
                  <w:tcBorders>
                    <w:left w:val="single" w:color="000000" w:sz="4" w:space="0"/>
                    <w:bottom w:val="single" w:color="000000" w:sz="4" w:space="0"/>
                    <w:right w:val="single" w:color="000000" w:sz="4" w:space="0"/>
                  </w:tcBorders>
                  <w:shd w:val="clear" w:color="auto" w:fill="auto"/>
                  <w:vAlign w:val="center"/>
                </w:tcPr>
                <w:p w14:paraId="2191C22C">
                  <w:pPr>
                    <w:pStyle w:val="82"/>
                    <w:rPr>
                      <w:color w:val="000000"/>
                      <w:szCs w:val="21"/>
                    </w:rPr>
                  </w:pPr>
                </w:p>
              </w:tc>
              <w:tc>
                <w:tcPr>
                  <w:tcW w:w="1877" w:type="pct"/>
                  <w:tcBorders>
                    <w:left w:val="single" w:color="000000" w:sz="4" w:space="0"/>
                    <w:bottom w:val="single" w:color="000000" w:sz="4" w:space="0"/>
                    <w:right w:val="single" w:color="000000" w:sz="4" w:space="0"/>
                  </w:tcBorders>
                  <w:shd w:val="clear" w:color="auto" w:fill="auto"/>
                  <w:vAlign w:val="center"/>
                </w:tcPr>
                <w:p w14:paraId="3C063DFC">
                  <w:pPr>
                    <w:pStyle w:val="82"/>
                    <w:rPr>
                      <w:color w:val="000000"/>
                      <w:szCs w:val="21"/>
                    </w:rPr>
                  </w:pPr>
                  <w:r>
                    <w:rPr>
                      <w:color w:val="000000"/>
                      <w:szCs w:val="21"/>
                    </w:rPr>
                    <w:t>《大气污染物综合排放标准》（</w:t>
                  </w:r>
                  <w:r>
                    <w:rPr>
                      <w:rFonts w:eastAsia="Times New Roman"/>
                      <w:color w:val="000000"/>
                      <w:szCs w:val="21"/>
                    </w:rPr>
                    <w:t>GB16297-1996</w:t>
                  </w:r>
                  <w:r>
                    <w:rPr>
                      <w:color w:val="000000"/>
                      <w:szCs w:val="21"/>
                    </w:rPr>
                    <w:t>）表</w:t>
                  </w:r>
                  <w:r>
                    <w:rPr>
                      <w:rFonts w:eastAsia="Times New Roman"/>
                      <w:color w:val="000000"/>
                      <w:szCs w:val="21"/>
                    </w:rPr>
                    <w:t>2</w:t>
                  </w:r>
                  <w:r>
                    <w:rPr>
                      <w:color w:val="000000"/>
                      <w:szCs w:val="21"/>
                    </w:rPr>
                    <w:t>二级标准限值</w:t>
                  </w:r>
                </w:p>
              </w:tc>
            </w:tr>
            <w:tr w14:paraId="00E1C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916D4">
                  <w:pPr>
                    <w:pStyle w:val="82"/>
                    <w:rPr>
                      <w:rFonts w:eastAsia="Times New Roman"/>
                      <w:color w:val="000000" w:themeColor="text1"/>
                      <w:szCs w:val="21"/>
                      <w14:textFill>
                        <w14:solidFill>
                          <w14:schemeClr w14:val="tx1"/>
                        </w14:solidFill>
                      </w14:textFill>
                    </w:rPr>
                  </w:pPr>
                  <w:r>
                    <w:rPr>
                      <w:color w:val="000000" w:themeColor="text1"/>
                      <w:szCs w:val="21"/>
                      <w14:textFill>
                        <w14:solidFill>
                          <w14:schemeClr w14:val="tx1"/>
                        </w14:solidFill>
                      </w14:textFill>
                    </w:rPr>
                    <w:t>抛丸</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9D46B">
                  <w:pPr>
                    <w:pStyle w:val="82"/>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B824A">
                  <w:pPr>
                    <w:pStyle w:val="82"/>
                    <w:rPr>
                      <w:color w:val="000000"/>
                      <w:szCs w:val="21"/>
                    </w:rPr>
                  </w:pPr>
                  <w:r>
                    <w:rPr>
                      <w:rFonts w:hint="eastAsia" w:eastAsiaTheme="minorEastAsia"/>
                      <w:color w:val="000000"/>
                      <w:szCs w:val="21"/>
                    </w:rPr>
                    <w:t>20</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8B7C5">
                  <w:pPr>
                    <w:pStyle w:val="82"/>
                    <w:rPr>
                      <w:rFonts w:eastAsia="Times New Roman"/>
                      <w:color w:val="000000"/>
                    </w:rPr>
                  </w:pPr>
                  <w:r>
                    <w:rPr>
                      <w:rFonts w:eastAsia="Times New Roman"/>
                      <w:color w:val="000000"/>
                    </w:rPr>
                    <w:t>120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77CE0">
                  <w:pPr>
                    <w:pStyle w:val="82"/>
                    <w:rPr>
                      <w:color w:val="000000"/>
                    </w:rPr>
                  </w:pPr>
                  <w:r>
                    <w:rPr>
                      <w:rFonts w:hint="eastAsia"/>
                      <w:color w:val="000000"/>
                    </w:rPr>
                    <w:t>5.9</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6F4FC">
                  <w:pPr>
                    <w:pStyle w:val="82"/>
                    <w:rPr>
                      <w:rFonts w:eastAsia="Times New Roman"/>
                      <w:color w:val="000000"/>
                      <w:szCs w:val="21"/>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DD71C">
                  <w:pPr>
                    <w:pStyle w:val="82"/>
                    <w:rPr>
                      <w:rFonts w:eastAsia="Times New Roman"/>
                      <w:color w:val="000000"/>
                      <w:szCs w:val="21"/>
                    </w:rPr>
                  </w:pPr>
                  <w:r>
                    <w:rPr>
                      <w:color w:val="000000"/>
                      <w:szCs w:val="21"/>
                    </w:rPr>
                    <w:t>《大气污染物综合排放标准》（</w:t>
                  </w:r>
                  <w:r>
                    <w:rPr>
                      <w:rFonts w:eastAsia="Times New Roman"/>
                      <w:color w:val="000000"/>
                      <w:szCs w:val="21"/>
                    </w:rPr>
                    <w:t>GB16297-1996</w:t>
                  </w:r>
                  <w:r>
                    <w:rPr>
                      <w:color w:val="000000"/>
                      <w:szCs w:val="21"/>
                    </w:rPr>
                    <w:t>）表</w:t>
                  </w:r>
                  <w:r>
                    <w:rPr>
                      <w:rFonts w:eastAsia="Times New Roman"/>
                      <w:color w:val="000000"/>
                      <w:szCs w:val="21"/>
                    </w:rPr>
                    <w:t>2</w:t>
                  </w:r>
                  <w:r>
                    <w:rPr>
                      <w:color w:val="000000"/>
                      <w:szCs w:val="21"/>
                    </w:rPr>
                    <w:t>二级标准限值</w:t>
                  </w:r>
                </w:p>
              </w:tc>
            </w:tr>
            <w:tr w14:paraId="4A8B5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88EAC3">
                  <w:pPr>
                    <w:pStyle w:val="82"/>
                    <w:rPr>
                      <w:color w:val="000000"/>
                      <w:szCs w:val="21"/>
                    </w:rPr>
                  </w:pPr>
                  <w:r>
                    <w:rPr>
                      <w:color w:val="000000"/>
                      <w:szCs w:val="21"/>
                    </w:rPr>
                    <w:t>厂界</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E6258">
                  <w:pPr>
                    <w:pStyle w:val="82"/>
                    <w:rPr>
                      <w:color w:val="000000"/>
                      <w:szCs w:val="21"/>
                    </w:rPr>
                  </w:pPr>
                  <w:r>
                    <w:rPr>
                      <w:color w:val="000000"/>
                      <w:szCs w:val="21"/>
                    </w:rPr>
                    <w:t>非甲烷总烃</w:t>
                  </w:r>
                </w:p>
              </w:tc>
              <w:tc>
                <w:tcPr>
                  <w:tcW w:w="4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148B7">
                  <w:pPr>
                    <w:pStyle w:val="82"/>
                    <w:rPr>
                      <w:color w:val="000000"/>
                      <w:szCs w:val="21"/>
                    </w:rPr>
                  </w:pPr>
                  <w:r>
                    <w:rPr>
                      <w:rFonts w:eastAsiaTheme="minorEastAsia"/>
                      <w:color w:val="000000"/>
                    </w:rPr>
                    <w:t>/</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1CFA7">
                  <w:pPr>
                    <w:pStyle w:val="82"/>
                    <w:rPr>
                      <w:color w:val="000000"/>
                      <w:szCs w:val="21"/>
                    </w:rPr>
                  </w:pPr>
                  <w:r>
                    <w:rPr>
                      <w:color w:val="000000"/>
                      <w:szCs w:val="21"/>
                    </w:rPr>
                    <w:t>4.0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A1A">
                  <w:pPr>
                    <w:pStyle w:val="82"/>
                    <w:rPr>
                      <w:color w:val="000000"/>
                      <w:szCs w:val="21"/>
                    </w:rPr>
                  </w:pPr>
                  <w:r>
                    <w:rPr>
                      <w:color w:val="000000"/>
                      <w:szCs w:val="21"/>
                    </w:rPr>
                    <w:t>/</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837582">
                  <w:pPr>
                    <w:pStyle w:val="82"/>
                    <w:rPr>
                      <w:color w:val="000000"/>
                      <w:szCs w:val="21"/>
                    </w:rPr>
                  </w:pPr>
                  <w:r>
                    <w:rPr>
                      <w:color w:val="000000"/>
                      <w:szCs w:val="21"/>
                    </w:rPr>
                    <w:t>无组织废气</w:t>
                  </w:r>
                </w:p>
              </w:tc>
              <w:tc>
                <w:tcPr>
                  <w:tcW w:w="18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2A7F49">
                  <w:pPr>
                    <w:pStyle w:val="82"/>
                    <w:rPr>
                      <w:color w:val="000000"/>
                      <w:szCs w:val="21"/>
                    </w:rPr>
                  </w:pPr>
                  <w:r>
                    <w:rPr>
                      <w:color w:val="000000"/>
                      <w:szCs w:val="21"/>
                    </w:rPr>
                    <w:t>《大气污染物综合排放标准》（GB16297-1996）表2无组织排放标准限值</w:t>
                  </w:r>
                </w:p>
              </w:tc>
            </w:tr>
            <w:tr w14:paraId="05F2D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71C72">
                  <w:pPr>
                    <w:pStyle w:val="82"/>
                    <w:rPr>
                      <w:color w:val="000000"/>
                      <w:szCs w:val="21"/>
                    </w:rPr>
                  </w:pP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5CAD3">
                  <w:pPr>
                    <w:pStyle w:val="82"/>
                    <w:rPr>
                      <w:color w:val="000000"/>
                      <w:szCs w:val="21"/>
                    </w:rPr>
                  </w:pPr>
                  <w:r>
                    <w:rPr>
                      <w:color w:val="000000"/>
                      <w:szCs w:val="21"/>
                    </w:rPr>
                    <w:t>颗粒物</w:t>
                  </w:r>
                </w:p>
              </w:tc>
              <w:tc>
                <w:tcPr>
                  <w:tcW w:w="4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4BE70">
                  <w:pPr>
                    <w:pStyle w:val="82"/>
                    <w:rPr>
                      <w:color w:val="000000"/>
                      <w:szCs w:val="21"/>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6366F">
                  <w:pPr>
                    <w:pStyle w:val="82"/>
                    <w:rPr>
                      <w:color w:val="000000"/>
                      <w:szCs w:val="21"/>
                    </w:rPr>
                  </w:pPr>
                  <w:r>
                    <w:rPr>
                      <w:color w:val="000000"/>
                      <w:szCs w:val="21"/>
                    </w:rPr>
                    <w:t>1.0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B66B3">
                  <w:pPr>
                    <w:pStyle w:val="82"/>
                    <w:rPr>
                      <w:color w:val="000000"/>
                      <w:szCs w:val="21"/>
                    </w:rPr>
                  </w:pPr>
                  <w:r>
                    <w:rPr>
                      <w:rFonts w:eastAsia="等线"/>
                      <w:color w:val="000000"/>
                    </w:rPr>
                    <w:t>/</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9FC89">
                  <w:pPr>
                    <w:pStyle w:val="82"/>
                    <w:rPr>
                      <w:color w:val="000000"/>
                      <w:szCs w:val="21"/>
                    </w:rPr>
                  </w:pPr>
                </w:p>
              </w:tc>
              <w:tc>
                <w:tcPr>
                  <w:tcW w:w="18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28754">
                  <w:pPr>
                    <w:pStyle w:val="82"/>
                    <w:rPr>
                      <w:color w:val="000000"/>
                      <w:szCs w:val="21"/>
                    </w:rPr>
                  </w:pPr>
                </w:p>
              </w:tc>
            </w:tr>
            <w:tr w14:paraId="09AD9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D3D9A">
                  <w:pPr>
                    <w:pStyle w:val="82"/>
                    <w:rPr>
                      <w:color w:val="000000"/>
                      <w:szCs w:val="21"/>
                    </w:rPr>
                  </w:pPr>
                  <w:r>
                    <w:rPr>
                      <w:color w:val="000000"/>
                      <w:szCs w:val="21"/>
                    </w:rPr>
                    <w:t>厂房外</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EAE253">
                  <w:pPr>
                    <w:pStyle w:val="82"/>
                    <w:rPr>
                      <w:color w:val="000000"/>
                      <w:szCs w:val="21"/>
                    </w:rPr>
                  </w:pPr>
                  <w:r>
                    <w:rPr>
                      <w:color w:val="000000"/>
                      <w:szCs w:val="21"/>
                    </w:rPr>
                    <w:t>NMHC</w:t>
                  </w:r>
                </w:p>
              </w:tc>
              <w:tc>
                <w:tcPr>
                  <w:tcW w:w="4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241395">
                  <w:pPr>
                    <w:pStyle w:val="82"/>
                    <w:rPr>
                      <w:color w:val="000000"/>
                      <w:szCs w:val="21"/>
                    </w:rPr>
                  </w:pPr>
                  <w:r>
                    <w:rPr>
                      <w:color w:val="000000"/>
                      <w:szCs w:val="21"/>
                    </w:rPr>
                    <w:t>/</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E47B">
                  <w:pPr>
                    <w:pStyle w:val="82"/>
                    <w:rPr>
                      <w:color w:val="000000"/>
                      <w:szCs w:val="21"/>
                    </w:rPr>
                  </w:pPr>
                  <w:r>
                    <w:rPr>
                      <w:color w:val="000000"/>
                      <w:szCs w:val="21"/>
                    </w:rPr>
                    <w:t>6（1h平均）</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2821D">
                  <w:pPr>
                    <w:pStyle w:val="82"/>
                    <w:rPr>
                      <w:color w:val="000000"/>
                      <w:szCs w:val="21"/>
                    </w:rPr>
                  </w:pPr>
                  <w:r>
                    <w:rPr>
                      <w:color w:val="000000"/>
                      <w:szCs w:val="21"/>
                    </w:rPr>
                    <w:t>/</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9BCB23">
                  <w:pPr>
                    <w:pStyle w:val="82"/>
                    <w:rPr>
                      <w:color w:val="000000"/>
                      <w:szCs w:val="21"/>
                    </w:rPr>
                  </w:pPr>
                  <w:r>
                    <w:rPr>
                      <w:color w:val="000000"/>
                      <w:szCs w:val="21"/>
                    </w:rPr>
                    <w:t>无组织废气</w:t>
                  </w:r>
                </w:p>
              </w:tc>
              <w:tc>
                <w:tcPr>
                  <w:tcW w:w="18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45E100">
                  <w:pPr>
                    <w:pStyle w:val="82"/>
                    <w:rPr>
                      <w:color w:val="000000"/>
                      <w:szCs w:val="21"/>
                    </w:rPr>
                  </w:pPr>
                  <w:r>
                    <w:rPr>
                      <w:color w:val="000000"/>
                      <w:szCs w:val="21"/>
                    </w:rPr>
                    <w:t>《固定源挥发性有机物综合排放标准第6部分其他行业》（DB34/4812.6—2024）表4中限值要求</w:t>
                  </w:r>
                </w:p>
              </w:tc>
            </w:tr>
            <w:tr w14:paraId="0FE04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FC57B">
                  <w:pPr>
                    <w:pStyle w:val="82"/>
                    <w:rPr>
                      <w:rFonts w:eastAsia="等线"/>
                      <w:color w:val="000000"/>
                      <w:highlight w:val="yellow"/>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E6BF1">
                  <w:pPr>
                    <w:pStyle w:val="82"/>
                    <w:rPr>
                      <w:rFonts w:eastAsia="等线"/>
                      <w:color w:val="000000"/>
                      <w:highlight w:val="yellow"/>
                    </w:rPr>
                  </w:pPr>
                </w:p>
              </w:tc>
              <w:tc>
                <w:tcPr>
                  <w:tcW w:w="4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39D0C">
                  <w:pPr>
                    <w:pStyle w:val="82"/>
                    <w:rPr>
                      <w:color w:val="000000"/>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8C7D8">
                  <w:pPr>
                    <w:pStyle w:val="82"/>
                    <w:rPr>
                      <w:color w:val="000000"/>
                    </w:rPr>
                  </w:pPr>
                  <w:r>
                    <w:rPr>
                      <w:color w:val="000000"/>
                    </w:rPr>
                    <w:t>20（1次）</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EFF99">
                  <w:pPr>
                    <w:pStyle w:val="82"/>
                    <w:rPr>
                      <w:rFonts w:eastAsia="等线"/>
                      <w:color w:val="000000"/>
                    </w:rPr>
                  </w:pPr>
                  <w:r>
                    <w:rPr>
                      <w:rFonts w:eastAsia="等线"/>
                      <w:color w:val="000000"/>
                    </w:rPr>
                    <w:t>/</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F0BC2">
                  <w:pPr>
                    <w:pStyle w:val="82"/>
                    <w:rPr>
                      <w:rFonts w:eastAsia="等线"/>
                      <w:color w:val="000000"/>
                      <w:highlight w:val="yellow"/>
                    </w:rPr>
                  </w:pPr>
                </w:p>
              </w:tc>
              <w:tc>
                <w:tcPr>
                  <w:tcW w:w="18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AB09E">
                  <w:pPr>
                    <w:pStyle w:val="82"/>
                    <w:rPr>
                      <w:rFonts w:eastAsia="等线"/>
                      <w:color w:val="000000"/>
                      <w:highlight w:val="yellow"/>
                    </w:rPr>
                  </w:pPr>
                </w:p>
              </w:tc>
            </w:tr>
          </w:tbl>
          <w:p w14:paraId="601ABFF8">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color w:val="auto"/>
                <w:sz w:val="24"/>
              </w:rPr>
            </w:pPr>
            <w:r>
              <w:rPr>
                <w:b/>
                <w:bCs/>
                <w:color w:val="auto"/>
                <w:sz w:val="24"/>
              </w:rPr>
              <w:t>3、噪声排放标准</w:t>
            </w:r>
          </w:p>
          <w:p w14:paraId="23125B3C">
            <w:pPr>
              <w:spacing w:line="360" w:lineRule="auto"/>
              <w:ind w:firstLine="480" w:firstLineChars="200"/>
              <w:rPr>
                <w:color w:val="auto"/>
                <w:sz w:val="24"/>
              </w:rPr>
            </w:pPr>
            <w:r>
              <w:rPr>
                <w:color w:val="auto"/>
                <w:sz w:val="24"/>
              </w:rPr>
              <w:t>项目噪声排放执行《工业企业厂界环境噪声排放标准》（GB12348-2008）</w:t>
            </w:r>
            <w:r>
              <w:rPr>
                <w:rFonts w:hint="eastAsia"/>
                <w:color w:val="auto"/>
                <w:sz w:val="24"/>
                <w:lang w:val="en-US" w:eastAsia="zh-CN"/>
              </w:rPr>
              <w:t>3</w:t>
            </w:r>
            <w:r>
              <w:rPr>
                <w:color w:val="auto"/>
                <w:sz w:val="24"/>
              </w:rPr>
              <w:t>类标准。</w:t>
            </w:r>
          </w:p>
          <w:p w14:paraId="5695CF6A">
            <w:pPr>
              <w:spacing w:line="360" w:lineRule="auto"/>
              <w:ind w:firstLine="482" w:firstLineChars="200"/>
              <w:jc w:val="center"/>
              <w:rPr>
                <w:rFonts w:ascii="Times New Roman" w:hAnsi="Times New Roman" w:eastAsia="宋体" w:cs="Times New Roman"/>
                <w:b/>
                <w:bCs/>
                <w:color w:val="auto"/>
                <w:sz w:val="24"/>
                <w:szCs w:val="24"/>
              </w:rPr>
            </w:pPr>
            <w:r>
              <w:rPr>
                <w:rFonts w:hint="eastAsia"/>
                <w:b/>
                <w:bCs/>
                <w:color w:val="auto"/>
                <w:sz w:val="24"/>
                <w:lang w:eastAsia="zh-CN"/>
              </w:rPr>
              <w:t>表</w:t>
            </w:r>
            <w:r>
              <w:rPr>
                <w:rFonts w:hint="eastAsia"/>
                <w:b/>
                <w:bCs/>
                <w:color w:val="auto"/>
                <w:sz w:val="24"/>
                <w:lang w:val="en-US" w:eastAsia="zh-CN"/>
              </w:rPr>
              <w:t>3-7</w:t>
            </w:r>
            <w:r>
              <w:rPr>
                <w:rFonts w:hint="eastAsia" w:ascii="Times New Roman" w:hAnsi="Times New Roman" w:eastAsia="宋体" w:cs="宋体"/>
                <w:b/>
                <w:bCs/>
                <w:color w:val="auto"/>
                <w:sz w:val="24"/>
                <w:szCs w:val="24"/>
              </w:rPr>
              <w:t>环境噪声排放标准</w:t>
            </w:r>
            <w:r>
              <w:rPr>
                <w:rFonts w:ascii="Times New Roman" w:hAnsi="Times New Roman" w:eastAsia="宋体" w:cs="Times New Roman"/>
                <w:b/>
                <w:bCs/>
                <w:color w:val="auto"/>
                <w:sz w:val="24"/>
                <w:szCs w:val="24"/>
              </w:rPr>
              <w:t xml:space="preserve">  </w:t>
            </w:r>
            <w:r>
              <w:rPr>
                <w:rFonts w:hint="eastAsia" w:ascii="Times New Roman" w:hAnsi="Times New Roman" w:eastAsia="宋体" w:cs="宋体"/>
                <w:b/>
                <w:bCs/>
                <w:color w:val="auto"/>
                <w:sz w:val="24"/>
                <w:szCs w:val="24"/>
              </w:rPr>
              <w:t>单位：</w:t>
            </w:r>
            <w:r>
              <w:rPr>
                <w:rFonts w:ascii="Times New Roman" w:hAnsi="Times New Roman" w:eastAsia="宋体" w:cs="Times New Roman"/>
                <w:b/>
                <w:bCs/>
                <w:color w:val="auto"/>
                <w:sz w:val="24"/>
                <w:szCs w:val="24"/>
              </w:rPr>
              <w:t>dB</w:t>
            </w:r>
            <w:r>
              <w:rPr>
                <w:rFonts w:hint="eastAsia" w:ascii="Times New Roman" w:hAnsi="Times New Roman" w:eastAsia="宋体" w:cs="宋体"/>
                <w:b/>
                <w:bCs/>
                <w:color w:val="auto"/>
                <w:sz w:val="24"/>
                <w:szCs w:val="24"/>
              </w:rPr>
              <w:t>（</w:t>
            </w:r>
            <w:r>
              <w:rPr>
                <w:rFonts w:ascii="Times New Roman" w:hAnsi="Times New Roman" w:eastAsia="宋体" w:cs="Times New Roman"/>
                <w:b/>
                <w:bCs/>
                <w:color w:val="auto"/>
                <w:sz w:val="24"/>
                <w:szCs w:val="24"/>
              </w:rPr>
              <w:t>A</w:t>
            </w:r>
            <w:r>
              <w:rPr>
                <w:rFonts w:hint="eastAsia" w:ascii="Times New Roman" w:hAnsi="Times New Roman" w:eastAsia="宋体" w:cs="宋体"/>
                <w:b/>
                <w:bCs/>
                <w:color w:val="auto"/>
                <w:sz w:val="24"/>
                <w:szCs w:val="24"/>
              </w:rPr>
              <w:t>）</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8"/>
              <w:gridCol w:w="819"/>
              <w:gridCol w:w="888"/>
              <w:gridCol w:w="5465"/>
            </w:tblGrid>
            <w:tr w14:paraId="5182E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56" w:type="dxa"/>
                  <w:tcBorders>
                    <w:top w:val="single" w:color="000000" w:sz="4" w:space="0"/>
                    <w:left w:val="single" w:color="000000" w:sz="4" w:space="0"/>
                    <w:bottom w:val="single" w:color="000000" w:sz="4" w:space="0"/>
                    <w:right w:val="single" w:color="000000" w:sz="4" w:space="0"/>
                  </w:tcBorders>
                  <w:noWrap w:val="0"/>
                  <w:vAlign w:val="center"/>
                </w:tcPr>
                <w:p w14:paraId="195DC100">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宋体"/>
                      <w:color w:val="auto"/>
                      <w:sz w:val="21"/>
                      <w:szCs w:val="21"/>
                    </w:rPr>
                    <w:t>时段</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EAEBA32">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宋体"/>
                      <w:color w:val="auto"/>
                      <w:sz w:val="21"/>
                      <w:szCs w:val="21"/>
                    </w:rPr>
                    <w:t>昼间</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1C5E458F">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宋体"/>
                      <w:color w:val="auto"/>
                      <w:sz w:val="21"/>
                      <w:szCs w:val="21"/>
                    </w:rPr>
                    <w:t>夜间</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51503E9">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宋体"/>
                      <w:color w:val="auto"/>
                      <w:sz w:val="21"/>
                      <w:szCs w:val="21"/>
                    </w:rPr>
                    <w:t>标准</w:t>
                  </w:r>
                </w:p>
              </w:tc>
            </w:tr>
            <w:tr w14:paraId="18BF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56" w:type="dxa"/>
                  <w:tcBorders>
                    <w:top w:val="single" w:color="000000" w:sz="4" w:space="0"/>
                    <w:left w:val="single" w:color="000000" w:sz="4" w:space="0"/>
                    <w:bottom w:val="single" w:color="000000" w:sz="4" w:space="0"/>
                    <w:right w:val="single" w:color="000000" w:sz="4" w:space="0"/>
                  </w:tcBorders>
                  <w:noWrap w:val="0"/>
                  <w:vAlign w:val="center"/>
                </w:tcPr>
                <w:p w14:paraId="631D999B">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宋体"/>
                      <w:color w:val="auto"/>
                      <w:sz w:val="21"/>
                      <w:szCs w:val="21"/>
                    </w:rPr>
                    <w:t>运行期</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13EB636">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6</w:t>
                  </w:r>
                  <w:r>
                    <w:rPr>
                      <w:rFonts w:hint="eastAsia" w:cs="Times New Roman"/>
                      <w:color w:val="auto"/>
                      <w:sz w:val="21"/>
                      <w:szCs w:val="21"/>
                      <w:lang w:val="en-US" w:eastAsia="zh-CN"/>
                    </w:rPr>
                    <w:t>5</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4CFB3B81">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5</w:t>
                  </w:r>
                  <w:r>
                    <w:rPr>
                      <w:rFonts w:hint="eastAsia" w:cs="Times New Roman"/>
                      <w:color w:val="auto"/>
                      <w:sz w:val="21"/>
                      <w:szCs w:val="21"/>
                      <w:lang w:val="en-US" w:eastAsia="zh-CN"/>
                    </w:rPr>
                    <w:t>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9B40544">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宋体"/>
                      <w:color w:val="auto"/>
                      <w:sz w:val="21"/>
                      <w:szCs w:val="21"/>
                    </w:rPr>
                    <w:t>《工业企业厂界环境噪声排放标准》（</w:t>
                  </w:r>
                  <w:r>
                    <w:rPr>
                      <w:rFonts w:ascii="Times New Roman" w:hAnsi="Times New Roman" w:eastAsia="宋体" w:cs="Times New Roman"/>
                      <w:color w:val="auto"/>
                      <w:sz w:val="21"/>
                      <w:szCs w:val="21"/>
                    </w:rPr>
                    <w:t>GB12348-2008</w:t>
                  </w:r>
                  <w:r>
                    <w:rPr>
                      <w:rFonts w:hint="eastAsia" w:ascii="Times New Roman" w:hAnsi="Times New Roman" w:eastAsia="宋体" w:cs="宋体"/>
                      <w:color w:val="auto"/>
                      <w:sz w:val="21"/>
                      <w:szCs w:val="21"/>
                    </w:rPr>
                    <w:t>）</w:t>
                  </w:r>
                </w:p>
              </w:tc>
            </w:tr>
          </w:tbl>
          <w:p w14:paraId="1F256B69">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color w:val="auto"/>
                <w:sz w:val="24"/>
              </w:rPr>
            </w:pPr>
            <w:r>
              <w:rPr>
                <w:b/>
                <w:bCs/>
                <w:color w:val="auto"/>
                <w:sz w:val="24"/>
              </w:rPr>
              <w:t>4、固废控制标准</w:t>
            </w:r>
          </w:p>
          <w:p w14:paraId="14F3446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b/>
                <w:color w:val="auto"/>
                <w:sz w:val="24"/>
              </w:rPr>
            </w:pPr>
            <w:r>
              <w:rPr>
                <w:color w:val="auto"/>
                <w:sz w:val="24"/>
              </w:rPr>
              <w:t>一般工业固体废物参照执行《一般工业固体废物贮存</w:t>
            </w:r>
            <w:r>
              <w:rPr>
                <w:rFonts w:hint="eastAsia"/>
                <w:color w:val="auto"/>
                <w:sz w:val="24"/>
              </w:rPr>
              <w:t>和填埋</w:t>
            </w:r>
            <w:r>
              <w:rPr>
                <w:color w:val="auto"/>
                <w:sz w:val="24"/>
              </w:rPr>
              <w:t>污染控制标准》（GB18599-2020）；危险废物按《危险废物贮存污染控制标准》（GB18597-20</w:t>
            </w:r>
            <w:r>
              <w:rPr>
                <w:rFonts w:hint="eastAsia"/>
                <w:color w:val="auto"/>
                <w:sz w:val="24"/>
                <w:lang w:val="en-US" w:eastAsia="zh-CN"/>
              </w:rPr>
              <w:t>23</w:t>
            </w:r>
            <w:r>
              <w:rPr>
                <w:color w:val="auto"/>
                <w:sz w:val="24"/>
              </w:rPr>
              <w:t>）</w:t>
            </w:r>
            <w:r>
              <w:rPr>
                <w:rFonts w:hint="eastAsia"/>
                <w:color w:val="auto"/>
                <w:sz w:val="24"/>
                <w:lang w:eastAsia="zh-CN"/>
              </w:rPr>
              <w:t>中</w:t>
            </w:r>
            <w:r>
              <w:rPr>
                <w:color w:val="auto"/>
                <w:sz w:val="24"/>
              </w:rPr>
              <w:t>要求执行。</w:t>
            </w:r>
          </w:p>
        </w:tc>
      </w:tr>
      <w:tr w14:paraId="605B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8" w:hRule="atLeast"/>
          <w:jc w:val="center"/>
        </w:trPr>
        <w:tc>
          <w:tcPr>
            <w:tcW w:w="800" w:type="dxa"/>
            <w:vAlign w:val="center"/>
          </w:tcPr>
          <w:p w14:paraId="729924C8">
            <w:pPr>
              <w:adjustRightInd w:val="0"/>
              <w:snapToGrid w:val="0"/>
              <w:jc w:val="center"/>
              <w:rPr>
                <w:rFonts w:ascii="宋体" w:hAnsi="宋体" w:cs="宋体"/>
                <w:color w:val="auto"/>
                <w:kern w:val="0"/>
                <w:szCs w:val="21"/>
              </w:rPr>
            </w:pPr>
            <w:r>
              <w:rPr>
                <w:rFonts w:hint="eastAsia" w:ascii="宋体" w:hAnsi="宋体" w:cs="宋体"/>
                <w:color w:val="auto"/>
                <w:kern w:val="0"/>
                <w:szCs w:val="21"/>
              </w:rPr>
              <w:t>总量</w:t>
            </w:r>
          </w:p>
          <w:p w14:paraId="4621C742">
            <w:pPr>
              <w:adjustRightInd w:val="0"/>
              <w:snapToGrid w:val="0"/>
              <w:jc w:val="center"/>
              <w:rPr>
                <w:rFonts w:ascii="宋体" w:hAnsi="宋体" w:cs="宋体"/>
                <w:color w:val="auto"/>
                <w:kern w:val="0"/>
                <w:szCs w:val="21"/>
              </w:rPr>
            </w:pPr>
            <w:r>
              <w:rPr>
                <w:rFonts w:hint="eastAsia" w:ascii="宋体" w:hAnsi="宋体" w:cs="宋体"/>
                <w:color w:val="auto"/>
                <w:kern w:val="0"/>
                <w:szCs w:val="21"/>
              </w:rPr>
              <w:t>控制</w:t>
            </w:r>
          </w:p>
          <w:p w14:paraId="40B74B9A">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190" w:type="dxa"/>
          </w:tcPr>
          <w:p w14:paraId="29532481">
            <w:pPr>
              <w:spacing w:line="360" w:lineRule="auto"/>
              <w:ind w:left="94" w:leftChars="45" w:firstLine="480" w:firstLineChars="200"/>
              <w:rPr>
                <w:rFonts w:hint="eastAsia" w:ascii="宋体" w:hAnsi="宋体" w:eastAsia="宋体" w:cs="宋体"/>
                <w:b w:val="0"/>
                <w:bCs w:val="0"/>
                <w:color w:val="000000"/>
                <w:sz w:val="24"/>
                <w:szCs w:val="24"/>
                <w:lang w:eastAsia="zh-CN"/>
              </w:rPr>
            </w:pPr>
            <w:r>
              <w:rPr>
                <w:rFonts w:ascii="宋体" w:hAnsi="宋体" w:eastAsia="宋体" w:cs="宋体"/>
                <w:b w:val="0"/>
                <w:bCs w:val="0"/>
                <w:color w:val="000000"/>
                <w:sz w:val="24"/>
                <w:szCs w:val="24"/>
              </w:rPr>
              <w:t>根据《安徽省环保厅关于进一步加强建设项目新增大气主要污染物总量指标管理工作的通知》皖环发〔</w:t>
            </w:r>
            <w:r>
              <w:rPr>
                <w:rFonts w:ascii="TimesNewRomanPSMT" w:hAnsi="TimesNewRomanPSMT" w:eastAsia="TimesNewRomanPSMT" w:cs="TimesNewRomanPSMT"/>
                <w:b w:val="0"/>
                <w:bCs w:val="0"/>
                <w:color w:val="000000"/>
                <w:sz w:val="24"/>
                <w:szCs w:val="24"/>
              </w:rPr>
              <w:t>2017</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19</w:t>
            </w:r>
            <w:r>
              <w:rPr>
                <w:rFonts w:ascii="宋体" w:hAnsi="宋体" w:eastAsia="宋体" w:cs="宋体"/>
                <w:b w:val="0"/>
                <w:bCs w:val="0"/>
                <w:color w:val="000000"/>
                <w:sz w:val="24"/>
                <w:szCs w:val="24"/>
              </w:rPr>
              <w:t>号文件：三、大气主要污染物总量指标实行区域内等量或倍量削减替代。上年度空气质量不达标的城市，相应污染物指标应执行</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倍量替代</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。其中，上年度</w:t>
            </w:r>
            <w:r>
              <w:rPr>
                <w:rFonts w:hint="default" w:ascii="TimesNewRomanPSMT" w:hAnsi="TimesNewRomanPSMT" w:eastAsia="TimesNewRomanPSMT" w:cs="TimesNewRomanPSMT"/>
                <w:b w:val="0"/>
                <w:bCs w:val="0"/>
                <w:color w:val="000000"/>
                <w:sz w:val="24"/>
                <w:szCs w:val="24"/>
              </w:rPr>
              <w:t>PM</w:t>
            </w:r>
            <w:r>
              <w:rPr>
                <w:rFonts w:hint="default" w:ascii="TimesNewRomanPSMT" w:hAnsi="TimesNewRomanPSMT" w:eastAsia="TimesNewRomanPSMT" w:cs="TimesNewRomanPSMT"/>
                <w:b w:val="0"/>
                <w:bCs w:val="0"/>
                <w:color w:val="000000"/>
                <w:sz w:val="15"/>
                <w:szCs w:val="15"/>
              </w:rPr>
              <w:t>2.5</w:t>
            </w:r>
            <w:r>
              <w:rPr>
                <w:rFonts w:ascii="宋体" w:hAnsi="宋体" w:eastAsia="宋体" w:cs="宋体"/>
                <w:b w:val="0"/>
                <w:bCs w:val="0"/>
                <w:color w:val="000000"/>
                <w:sz w:val="24"/>
                <w:szCs w:val="24"/>
              </w:rPr>
              <w:t>不达标的城市，新增</w:t>
            </w:r>
            <w:r>
              <w:rPr>
                <w:rFonts w:hint="default" w:ascii="TimesNewRomanPSMT" w:hAnsi="TimesNewRomanPSMT" w:eastAsia="TimesNewRomanPSMT" w:cs="TimesNewRomanPSMT"/>
                <w:b w:val="0"/>
                <w:bCs w:val="0"/>
                <w:color w:val="000000"/>
                <w:sz w:val="24"/>
                <w:szCs w:val="24"/>
              </w:rPr>
              <w:t>SO</w:t>
            </w:r>
            <w:r>
              <w:rPr>
                <w:rFonts w:hint="default" w:ascii="TimesNewRomanPSMT" w:hAnsi="TimesNewRomanPSMT" w:eastAsia="TimesNewRomanPSMT" w:cs="TimesNewRomanPSMT"/>
                <w:b w:val="0"/>
                <w:bCs w:val="0"/>
                <w:color w:val="000000"/>
                <w:sz w:val="15"/>
                <w:szCs w:val="15"/>
              </w:rPr>
              <w:t>2</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NOx</w:t>
            </w:r>
            <w:r>
              <w:rPr>
                <w:rFonts w:ascii="宋体" w:hAnsi="宋体" w:eastAsia="宋体" w:cs="宋体"/>
                <w:b w:val="0"/>
                <w:bCs w:val="0"/>
                <w:color w:val="000000"/>
                <w:sz w:val="24"/>
                <w:szCs w:val="24"/>
              </w:rPr>
              <w:t>和</w:t>
            </w:r>
            <w:r>
              <w:rPr>
                <w:rFonts w:hint="default" w:ascii="TimesNewRomanPSMT" w:hAnsi="TimesNewRomanPSMT" w:eastAsia="TimesNewRomanPSMT" w:cs="TimesNewRomanPSMT"/>
                <w:b w:val="0"/>
                <w:bCs w:val="0"/>
                <w:color w:val="000000"/>
                <w:sz w:val="24"/>
                <w:szCs w:val="24"/>
              </w:rPr>
              <w:t>VOCs</w:t>
            </w:r>
            <w:r>
              <w:rPr>
                <w:rFonts w:ascii="宋体" w:hAnsi="宋体" w:eastAsia="宋体" w:cs="宋体"/>
                <w:b w:val="0"/>
                <w:bCs w:val="0"/>
                <w:color w:val="000000"/>
                <w:sz w:val="24"/>
                <w:szCs w:val="24"/>
              </w:rPr>
              <w:t>指标均要执行</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倍量替代</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。上年度</w:t>
            </w:r>
            <w:r>
              <w:rPr>
                <w:rFonts w:hint="default" w:ascii="TimesNewRomanPSMT" w:hAnsi="TimesNewRomanPSMT" w:eastAsia="TimesNewRomanPSMT" w:cs="TimesNewRomanPSMT"/>
                <w:b w:val="0"/>
                <w:bCs w:val="0"/>
                <w:color w:val="000000"/>
                <w:sz w:val="24"/>
                <w:szCs w:val="24"/>
              </w:rPr>
              <w:t>PM</w:t>
            </w:r>
            <w:r>
              <w:rPr>
                <w:rFonts w:hint="default" w:ascii="TimesNewRomanPSMT" w:hAnsi="TimesNewRomanPSMT" w:eastAsia="TimesNewRomanPSMT" w:cs="TimesNewRomanPSMT"/>
                <w:b w:val="0"/>
                <w:bCs w:val="0"/>
                <w:color w:val="000000"/>
                <w:sz w:val="15"/>
                <w:szCs w:val="15"/>
              </w:rPr>
              <w:t>10</w:t>
            </w:r>
            <w:r>
              <w:rPr>
                <w:rFonts w:ascii="宋体" w:hAnsi="宋体" w:eastAsia="宋体" w:cs="宋体"/>
                <w:b w:val="0"/>
                <w:bCs w:val="0"/>
                <w:color w:val="000000"/>
                <w:sz w:val="24"/>
                <w:szCs w:val="24"/>
              </w:rPr>
              <w:t>不达标的城市，新增烟（粉）尘指标要执行</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倍量替代</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。达到超低排放标准的新建火电项目无需执行</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倍量替代</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w:t>
            </w:r>
          </w:p>
          <w:p w14:paraId="0433A2E9">
            <w:pPr>
              <w:spacing w:line="360" w:lineRule="auto"/>
              <w:ind w:left="94" w:leftChars="45" w:firstLine="480" w:firstLineChars="200"/>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rPr>
              <w:t>项目雨污分流。本项目废水主要为生活污水</w:t>
            </w:r>
            <w:r>
              <w:rPr>
                <w:rFonts w:hint="eastAsia" w:ascii="宋体" w:hAnsi="宋体" w:cs="宋体"/>
                <w:b w:val="0"/>
                <w:bCs w:val="0"/>
                <w:color w:val="000000"/>
                <w:sz w:val="24"/>
                <w:szCs w:val="24"/>
                <w:lang w:eastAsia="zh-CN"/>
              </w:rPr>
              <w:t>。</w:t>
            </w:r>
            <w:r>
              <w:rPr>
                <w:rFonts w:ascii="宋体" w:hAnsi="宋体" w:eastAsia="宋体" w:cs="宋体"/>
                <w:b w:val="0"/>
                <w:bCs w:val="0"/>
                <w:color w:val="000000"/>
                <w:sz w:val="24"/>
                <w:szCs w:val="24"/>
              </w:rPr>
              <w:t>生活污水经化粪池预处理后，接管网进入龙湖污水处理厂进一步深度处理，达标后排入</w:t>
            </w:r>
            <w:r>
              <w:rPr>
                <w:rFonts w:ascii="宋体" w:hAnsi="宋体" w:eastAsia="宋体" w:cs="宋体"/>
                <w:b w:val="0"/>
                <w:bCs w:val="0"/>
                <w:color w:val="000000"/>
                <w:sz w:val="24"/>
                <w:szCs w:val="24"/>
                <w:highlight w:val="none"/>
              </w:rPr>
              <w:t>龙河。</w:t>
            </w:r>
          </w:p>
          <w:p w14:paraId="7D0779A4">
            <w:pPr>
              <w:spacing w:line="360" w:lineRule="auto"/>
              <w:ind w:left="94" w:leftChars="45" w:firstLine="480" w:firstLineChars="200"/>
              <w:rPr>
                <w:rFonts w:hint="eastAsia" w:ascii="宋体" w:hAnsi="宋体" w:eastAsia="宋体" w:cs="宋体"/>
                <w:b w:val="0"/>
                <w:bCs w:val="0"/>
                <w:color w:val="000000"/>
                <w:sz w:val="24"/>
                <w:szCs w:val="24"/>
                <w:highlight w:val="none"/>
                <w:lang w:eastAsia="zh-CN"/>
              </w:rPr>
            </w:pPr>
            <w:r>
              <w:rPr>
                <w:rFonts w:ascii="宋体" w:hAnsi="宋体" w:eastAsia="宋体" w:cs="宋体"/>
                <w:b w:val="0"/>
                <w:bCs w:val="0"/>
                <w:color w:val="000000"/>
                <w:sz w:val="24"/>
                <w:szCs w:val="24"/>
                <w:highlight w:val="none"/>
              </w:rPr>
              <w:t>本项目水污染物最终纳入龙湖工业园污水处理厂总量范围内。因此，本项目废水无需申请总量。</w:t>
            </w:r>
          </w:p>
          <w:p w14:paraId="289AA153">
            <w:pPr>
              <w:autoSpaceDE w:val="0"/>
              <w:autoSpaceDN w:val="0"/>
              <w:adjustRightInd w:val="0"/>
              <w:ind w:firstLine="482"/>
              <w:jc w:val="center"/>
              <w:rPr>
                <w:rFonts w:hint="eastAsia"/>
                <w:color w:val="000000" w:themeColor="text1"/>
                <w:sz w:val="24"/>
                <w:szCs w:val="24"/>
                <w:highlight w:val="none"/>
                <w:lang w:eastAsia="zh-CN"/>
                <w14:textFill>
                  <w14:solidFill>
                    <w14:schemeClr w14:val="tx1"/>
                  </w14:solidFill>
                </w14:textFill>
              </w:rPr>
            </w:pPr>
            <w:r>
              <w:rPr>
                <w:b/>
                <w:bCs/>
                <w:color w:val="000000" w:themeColor="text1"/>
                <w:sz w:val="24"/>
                <w:szCs w:val="24"/>
                <w:highlight w:val="none"/>
                <w14:textFill>
                  <w14:solidFill>
                    <w14:schemeClr w14:val="tx1"/>
                  </w14:solidFill>
                </w14:textFill>
              </w:rPr>
              <w:t>表3-</w:t>
            </w:r>
            <w:r>
              <w:rPr>
                <w:rFonts w:hint="eastAsia"/>
                <w:b/>
                <w:bCs/>
                <w:color w:val="000000" w:themeColor="text1"/>
                <w:sz w:val="24"/>
                <w:szCs w:val="24"/>
                <w:highlight w:val="none"/>
                <w:lang w:val="en-US" w:eastAsia="zh-CN"/>
                <w14:textFill>
                  <w14:solidFill>
                    <w14:schemeClr w14:val="tx1"/>
                  </w14:solidFill>
                </w14:textFill>
              </w:rPr>
              <w:t>8</w:t>
            </w:r>
            <w:r>
              <w:rPr>
                <w:b/>
                <w:bCs/>
                <w:color w:val="000000" w:themeColor="text1"/>
                <w:sz w:val="24"/>
                <w:szCs w:val="24"/>
                <w:highlight w:val="none"/>
                <w14:textFill>
                  <w14:solidFill>
                    <w14:schemeClr w14:val="tx1"/>
                  </w14:solidFill>
                </w14:textFill>
              </w:rPr>
              <w:t xml:space="preserve">  项目污染物排放总量一览表（单位：t/a）</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374"/>
              <w:gridCol w:w="1453"/>
              <w:gridCol w:w="1114"/>
              <w:gridCol w:w="1221"/>
              <w:gridCol w:w="1221"/>
              <w:gridCol w:w="1221"/>
            </w:tblGrid>
            <w:tr w14:paraId="5E09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33" w:type="pct"/>
                  <w:tcBorders>
                    <w:top w:val="single" w:color="auto" w:sz="4" w:space="0"/>
                    <w:left w:val="single" w:color="auto" w:sz="4" w:space="0"/>
                    <w:bottom w:val="single" w:color="auto" w:sz="4" w:space="0"/>
                    <w:right w:val="single" w:color="auto" w:sz="4" w:space="0"/>
                  </w:tcBorders>
                  <w:noWrap w:val="0"/>
                  <w:vAlign w:val="center"/>
                </w:tcPr>
                <w:p w14:paraId="13EF4421">
                  <w:pP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种类</w:t>
                  </w:r>
                </w:p>
              </w:tc>
              <w:tc>
                <w:tcPr>
                  <w:tcW w:w="843" w:type="pct"/>
                  <w:tcBorders>
                    <w:top w:val="single" w:color="auto" w:sz="4" w:space="0"/>
                    <w:left w:val="nil"/>
                    <w:bottom w:val="single" w:color="auto" w:sz="4" w:space="0"/>
                    <w:right w:val="single" w:color="auto" w:sz="4" w:space="0"/>
                  </w:tcBorders>
                  <w:noWrap w:val="0"/>
                  <w:vAlign w:val="center"/>
                </w:tcPr>
                <w:p w14:paraId="281BD3A9">
                  <w:pP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污染物名称</w:t>
                  </w:r>
                </w:p>
              </w:tc>
              <w:tc>
                <w:tcPr>
                  <w:tcW w:w="891" w:type="pct"/>
                  <w:tcBorders>
                    <w:top w:val="single" w:color="auto" w:sz="4" w:space="0"/>
                    <w:left w:val="nil"/>
                    <w:bottom w:val="single" w:color="auto" w:sz="4" w:space="0"/>
                    <w:right w:val="single" w:color="auto" w:sz="4" w:space="0"/>
                  </w:tcBorders>
                  <w:noWrap w:val="0"/>
                  <w:vAlign w:val="center"/>
                </w:tcPr>
                <w:p w14:paraId="08EB02B8">
                  <w:pPr>
                    <w:spacing w:line="240" w:lineRule="auto"/>
                    <w:ind w:firstLine="0" w:firstLineChars="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现有排放量（</w:t>
                  </w:r>
                  <w:r>
                    <w:rPr>
                      <w:rFonts w:hint="default"/>
                      <w:color w:val="000000" w:themeColor="text1"/>
                      <w:sz w:val="21"/>
                      <w:szCs w:val="21"/>
                      <w:highlight w:val="none"/>
                      <w14:textFill>
                        <w14:solidFill>
                          <w14:schemeClr w14:val="tx1"/>
                        </w14:solidFill>
                      </w14:textFill>
                    </w:rPr>
                    <w:t>t/a</w:t>
                  </w:r>
                  <w:r>
                    <w:rPr>
                      <w:rFonts w:hint="eastAsia"/>
                      <w:color w:val="000000" w:themeColor="text1"/>
                      <w:sz w:val="21"/>
                      <w:szCs w:val="21"/>
                      <w:highlight w:val="none"/>
                      <w:lang w:eastAsia="zh-CN"/>
                      <w14:textFill>
                        <w14:solidFill>
                          <w14:schemeClr w14:val="tx1"/>
                        </w14:solidFill>
                      </w14:textFill>
                    </w:rPr>
                    <w:t>）</w:t>
                  </w:r>
                </w:p>
              </w:tc>
              <w:tc>
                <w:tcPr>
                  <w:tcW w:w="683" w:type="pct"/>
                  <w:tcBorders>
                    <w:top w:val="single" w:color="auto" w:sz="4" w:space="0"/>
                    <w:left w:val="nil"/>
                    <w:bottom w:val="single" w:color="auto" w:sz="4" w:space="0"/>
                    <w:right w:val="single" w:color="auto" w:sz="4" w:space="0"/>
                  </w:tcBorders>
                  <w:noWrap w:val="0"/>
                  <w:vAlign w:val="center"/>
                </w:tcPr>
                <w:p w14:paraId="518F276A">
                  <w:pPr>
                    <w:spacing w:line="240" w:lineRule="auto"/>
                    <w:ind w:firstLine="0" w:firstLineChars="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扩建项目排放量（</w:t>
                  </w:r>
                  <w:r>
                    <w:rPr>
                      <w:rFonts w:hint="default"/>
                      <w:color w:val="000000" w:themeColor="text1"/>
                      <w:sz w:val="21"/>
                      <w:szCs w:val="21"/>
                      <w:highlight w:val="none"/>
                      <w14:textFill>
                        <w14:solidFill>
                          <w14:schemeClr w14:val="tx1"/>
                        </w14:solidFill>
                      </w14:textFill>
                    </w:rPr>
                    <w:t>t/a</w:t>
                  </w:r>
                  <w:r>
                    <w:rPr>
                      <w:rFonts w:hint="eastAsia"/>
                      <w:color w:val="000000" w:themeColor="text1"/>
                      <w:sz w:val="21"/>
                      <w:szCs w:val="21"/>
                      <w:highlight w:val="none"/>
                      <w:lang w:eastAsia="zh-CN"/>
                      <w14:textFill>
                        <w14:solidFill>
                          <w14:schemeClr w14:val="tx1"/>
                        </w14:solidFill>
                      </w14:textFill>
                    </w:rPr>
                    <w:t>）</w:t>
                  </w:r>
                </w:p>
              </w:tc>
              <w:tc>
                <w:tcPr>
                  <w:tcW w:w="749" w:type="pct"/>
                  <w:tcBorders>
                    <w:top w:val="single" w:color="auto" w:sz="4" w:space="0"/>
                    <w:left w:val="nil"/>
                    <w:bottom w:val="single" w:color="auto" w:sz="4" w:space="0"/>
                    <w:right w:val="single" w:color="auto" w:sz="4" w:space="0"/>
                  </w:tcBorders>
                  <w:noWrap w:val="0"/>
                  <w:vAlign w:val="center"/>
                </w:tcPr>
                <w:p w14:paraId="029FF065">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以新带老量</w:t>
                  </w:r>
                  <w:r>
                    <w:rPr>
                      <w:rFonts w:hint="default"/>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lang w:val="en-US" w:eastAsia="zh-CN"/>
                      <w14:textFill>
                        <w14:solidFill>
                          <w14:schemeClr w14:val="tx1"/>
                        </w14:solidFill>
                      </w14:textFill>
                    </w:rPr>
                    <w:t>t/a</w:t>
                  </w:r>
                  <w:r>
                    <w:rPr>
                      <w:rFonts w:hint="default"/>
                      <w:color w:val="000000" w:themeColor="text1"/>
                      <w:sz w:val="21"/>
                      <w:szCs w:val="21"/>
                      <w:highlight w:val="none"/>
                      <w:lang w:eastAsia="zh-CN"/>
                      <w14:textFill>
                        <w14:solidFill>
                          <w14:schemeClr w14:val="tx1"/>
                        </w14:solidFill>
                      </w14:textFill>
                    </w:rPr>
                    <w:t>）</w:t>
                  </w:r>
                </w:p>
              </w:tc>
              <w:tc>
                <w:tcPr>
                  <w:tcW w:w="749" w:type="pct"/>
                  <w:tcBorders>
                    <w:top w:val="single" w:color="auto" w:sz="4" w:space="0"/>
                    <w:left w:val="nil"/>
                    <w:bottom w:val="single" w:color="auto" w:sz="4" w:space="0"/>
                    <w:right w:val="single" w:color="auto" w:sz="4" w:space="0"/>
                  </w:tcBorders>
                  <w:noWrap w:val="0"/>
                  <w:vAlign w:val="center"/>
                </w:tcPr>
                <w:p w14:paraId="3DB8ED6E">
                  <w:pPr>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扩建</w:t>
                  </w:r>
                  <w:r>
                    <w:rPr>
                      <w:rFonts w:hint="default"/>
                      <w:color w:val="000000" w:themeColor="text1"/>
                      <w:sz w:val="21"/>
                      <w:szCs w:val="21"/>
                      <w:highlight w:val="none"/>
                      <w14:textFill>
                        <w14:solidFill>
                          <w14:schemeClr w14:val="tx1"/>
                        </w14:solidFill>
                      </w14:textFill>
                    </w:rPr>
                    <w:t>后全厂排放量</w:t>
                  </w:r>
                  <w:r>
                    <w:rPr>
                      <w:rFonts w:hint="default"/>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lang w:val="en-US" w:eastAsia="zh-CN"/>
                      <w14:textFill>
                        <w14:solidFill>
                          <w14:schemeClr w14:val="tx1"/>
                        </w14:solidFill>
                      </w14:textFill>
                    </w:rPr>
                    <w:t>t/a</w:t>
                  </w:r>
                  <w:r>
                    <w:rPr>
                      <w:rFonts w:hint="default"/>
                      <w:color w:val="000000" w:themeColor="text1"/>
                      <w:sz w:val="21"/>
                      <w:szCs w:val="21"/>
                      <w:highlight w:val="none"/>
                      <w:lang w:eastAsia="zh-CN"/>
                      <w14:textFill>
                        <w14:solidFill>
                          <w14:schemeClr w14:val="tx1"/>
                        </w14:solidFill>
                      </w14:textFill>
                    </w:rPr>
                    <w:t>）</w:t>
                  </w:r>
                </w:p>
              </w:tc>
              <w:tc>
                <w:tcPr>
                  <w:tcW w:w="749" w:type="pct"/>
                  <w:tcBorders>
                    <w:top w:val="single" w:color="auto" w:sz="4" w:space="0"/>
                    <w:left w:val="nil"/>
                    <w:bottom w:val="single" w:color="auto" w:sz="4" w:space="0"/>
                    <w:right w:val="single" w:color="auto" w:sz="4" w:space="0"/>
                  </w:tcBorders>
                  <w:noWrap w:val="0"/>
                  <w:vAlign w:val="center"/>
                </w:tcPr>
                <w:p w14:paraId="4ADD61D2">
                  <w:pPr>
                    <w:spacing w:line="240" w:lineRule="auto"/>
                    <w:ind w:firstLine="0" w:firstLineChars="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申请</w:t>
                  </w:r>
                  <w:r>
                    <w:rPr>
                      <w:rFonts w:hint="eastAsia"/>
                      <w:color w:val="000000" w:themeColor="text1"/>
                      <w:sz w:val="21"/>
                      <w:szCs w:val="21"/>
                      <w:highlight w:val="none"/>
                      <w:lang w:val="en-US" w:eastAsia="zh-CN"/>
                      <w14:textFill>
                        <w14:solidFill>
                          <w14:schemeClr w14:val="tx1"/>
                        </w14:solidFill>
                      </w14:textFill>
                    </w:rPr>
                    <w:t>排放</w:t>
                  </w:r>
                  <w:r>
                    <w:rPr>
                      <w:rFonts w:hint="eastAsia"/>
                      <w:color w:val="000000" w:themeColor="text1"/>
                      <w:sz w:val="21"/>
                      <w:szCs w:val="21"/>
                      <w:highlight w:val="none"/>
                      <w:lang w:eastAsia="zh-CN"/>
                      <w14:textFill>
                        <w14:solidFill>
                          <w14:schemeClr w14:val="tx1"/>
                        </w14:solidFill>
                      </w14:textFill>
                    </w:rPr>
                    <w:t>量（</w:t>
                  </w:r>
                  <w:r>
                    <w:rPr>
                      <w:rFonts w:hint="default"/>
                      <w:color w:val="000000" w:themeColor="text1"/>
                      <w:sz w:val="21"/>
                      <w:szCs w:val="21"/>
                      <w:highlight w:val="none"/>
                      <w14:textFill>
                        <w14:solidFill>
                          <w14:schemeClr w14:val="tx1"/>
                        </w14:solidFill>
                      </w14:textFill>
                    </w:rPr>
                    <w:t>t/a</w:t>
                  </w:r>
                  <w:r>
                    <w:rPr>
                      <w:rFonts w:hint="eastAsia"/>
                      <w:color w:val="000000" w:themeColor="text1"/>
                      <w:sz w:val="21"/>
                      <w:szCs w:val="21"/>
                      <w:highlight w:val="none"/>
                      <w:lang w:eastAsia="zh-CN"/>
                      <w14:textFill>
                        <w14:solidFill>
                          <w14:schemeClr w14:val="tx1"/>
                        </w14:solidFill>
                      </w14:textFill>
                    </w:rPr>
                    <w:t>）</w:t>
                  </w:r>
                </w:p>
              </w:tc>
            </w:tr>
            <w:tr w14:paraId="59DD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33" w:type="pct"/>
                  <w:vMerge w:val="restart"/>
                  <w:tcBorders>
                    <w:top w:val="nil"/>
                    <w:left w:val="single" w:color="auto" w:sz="4" w:space="0"/>
                    <w:bottom w:val="single" w:color="auto" w:sz="4" w:space="0"/>
                    <w:right w:val="single" w:color="auto" w:sz="4" w:space="0"/>
                  </w:tcBorders>
                  <w:noWrap w:val="0"/>
                  <w:vAlign w:val="center"/>
                </w:tcPr>
                <w:p w14:paraId="1EDAB4A8">
                  <w:pP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w:t>
                  </w:r>
                </w:p>
              </w:tc>
              <w:tc>
                <w:tcPr>
                  <w:tcW w:w="843" w:type="pct"/>
                  <w:tcBorders>
                    <w:top w:val="single" w:color="auto" w:sz="4" w:space="0"/>
                    <w:left w:val="nil"/>
                    <w:bottom w:val="single" w:color="auto" w:sz="4" w:space="0"/>
                    <w:right w:val="single" w:color="auto" w:sz="4" w:space="0"/>
                  </w:tcBorders>
                  <w:noWrap w:val="0"/>
                  <w:vAlign w:val="center"/>
                </w:tcPr>
                <w:p w14:paraId="67B06BE3">
                  <w:pP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非甲烷总烃</w:t>
                  </w:r>
                </w:p>
              </w:tc>
              <w:tc>
                <w:tcPr>
                  <w:tcW w:w="1453" w:type="dxa"/>
                  <w:tcBorders>
                    <w:top w:val="single" w:color="auto" w:sz="4" w:space="0"/>
                    <w:left w:val="nil"/>
                    <w:bottom w:val="single" w:color="auto" w:sz="4" w:space="0"/>
                    <w:right w:val="single" w:color="auto" w:sz="4" w:space="0"/>
                  </w:tcBorders>
                  <w:noWrap w:val="0"/>
                  <w:vAlign w:val="center"/>
                </w:tcPr>
                <w:p w14:paraId="0FFAF0A1">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1114" w:type="dxa"/>
                  <w:tcBorders>
                    <w:top w:val="single" w:color="auto" w:sz="4" w:space="0"/>
                    <w:left w:val="nil"/>
                    <w:bottom w:val="single" w:color="auto" w:sz="4" w:space="0"/>
                    <w:right w:val="single" w:color="auto" w:sz="4" w:space="0"/>
                  </w:tcBorders>
                  <w:noWrap w:val="0"/>
                  <w:vAlign w:val="center"/>
                </w:tcPr>
                <w:p w14:paraId="1E1F884D">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0.0838</w:t>
                  </w:r>
                </w:p>
              </w:tc>
              <w:tc>
                <w:tcPr>
                  <w:tcW w:w="1221" w:type="dxa"/>
                  <w:tcBorders>
                    <w:top w:val="single" w:color="auto" w:sz="4" w:space="0"/>
                    <w:left w:val="nil"/>
                    <w:bottom w:val="single" w:color="auto" w:sz="4" w:space="0"/>
                    <w:right w:val="single" w:color="auto" w:sz="4" w:space="0"/>
                  </w:tcBorders>
                  <w:noWrap w:val="0"/>
                  <w:vAlign w:val="center"/>
                </w:tcPr>
                <w:p w14:paraId="576D7C96">
                  <w:pPr>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1221" w:type="dxa"/>
                  <w:tcBorders>
                    <w:top w:val="single" w:color="auto" w:sz="4" w:space="0"/>
                    <w:left w:val="nil"/>
                    <w:bottom w:val="single" w:color="auto" w:sz="4" w:space="0"/>
                    <w:right w:val="single" w:color="auto" w:sz="4" w:space="0"/>
                  </w:tcBorders>
                  <w:noWrap w:val="0"/>
                  <w:vAlign w:val="center"/>
                </w:tcPr>
                <w:p w14:paraId="75740C99">
                  <w:pPr>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0.0838</w:t>
                  </w:r>
                </w:p>
              </w:tc>
              <w:tc>
                <w:tcPr>
                  <w:tcW w:w="1221" w:type="dxa"/>
                  <w:tcBorders>
                    <w:top w:val="single" w:color="auto" w:sz="4" w:space="0"/>
                    <w:left w:val="nil"/>
                    <w:bottom w:val="single" w:color="auto" w:sz="4" w:space="0"/>
                    <w:right w:val="single" w:color="auto" w:sz="4" w:space="0"/>
                  </w:tcBorders>
                  <w:noWrap w:val="0"/>
                  <w:vAlign w:val="center"/>
                </w:tcPr>
                <w:p w14:paraId="7ABD1AB4">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+0.0838</w:t>
                  </w:r>
                </w:p>
              </w:tc>
            </w:tr>
            <w:tr w14:paraId="01AF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33" w:type="pct"/>
                  <w:vMerge w:val="continue"/>
                  <w:tcBorders>
                    <w:top w:val="nil"/>
                    <w:left w:val="single" w:color="auto" w:sz="4" w:space="0"/>
                    <w:bottom w:val="single" w:color="auto" w:sz="4" w:space="0"/>
                    <w:right w:val="single" w:color="auto" w:sz="4" w:space="0"/>
                  </w:tcBorders>
                  <w:noWrap w:val="0"/>
                  <w:vAlign w:val="center"/>
                </w:tcPr>
                <w:p w14:paraId="6912E49F">
                  <w:pPr>
                    <w:spacing w:line="240" w:lineRule="auto"/>
                    <w:ind w:firstLine="0" w:firstLineChars="0"/>
                    <w:jc w:val="center"/>
                    <w:rPr>
                      <w:color w:val="000000" w:themeColor="text1"/>
                      <w:sz w:val="21"/>
                      <w:szCs w:val="21"/>
                      <w:highlight w:val="none"/>
                      <w14:textFill>
                        <w14:solidFill>
                          <w14:schemeClr w14:val="tx1"/>
                        </w14:solidFill>
                      </w14:textFill>
                    </w:rPr>
                  </w:pPr>
                </w:p>
              </w:tc>
              <w:tc>
                <w:tcPr>
                  <w:tcW w:w="843" w:type="pct"/>
                  <w:tcBorders>
                    <w:top w:val="single" w:color="auto" w:sz="4" w:space="0"/>
                    <w:left w:val="nil"/>
                    <w:bottom w:val="single" w:color="auto" w:sz="4" w:space="0"/>
                    <w:right w:val="single" w:color="auto" w:sz="4" w:space="0"/>
                  </w:tcBorders>
                  <w:noWrap w:val="0"/>
                  <w:vAlign w:val="center"/>
                </w:tcPr>
                <w:p w14:paraId="1B8CF0EC">
                  <w:pP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颗粒物</w:t>
                  </w:r>
                </w:p>
              </w:tc>
              <w:tc>
                <w:tcPr>
                  <w:tcW w:w="1453" w:type="dxa"/>
                  <w:tcBorders>
                    <w:top w:val="single" w:color="auto" w:sz="4" w:space="0"/>
                    <w:left w:val="nil"/>
                    <w:bottom w:val="single" w:color="auto" w:sz="4" w:space="0"/>
                    <w:right w:val="single" w:color="auto" w:sz="4" w:space="0"/>
                  </w:tcBorders>
                  <w:noWrap w:val="0"/>
                  <w:vAlign w:val="center"/>
                </w:tcPr>
                <w:p w14:paraId="123F0707">
                  <w:pPr>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7.6012</w:t>
                  </w:r>
                </w:p>
              </w:tc>
              <w:tc>
                <w:tcPr>
                  <w:tcW w:w="1114" w:type="dxa"/>
                  <w:tcBorders>
                    <w:top w:val="single" w:color="auto" w:sz="4" w:space="0"/>
                    <w:left w:val="nil"/>
                    <w:bottom w:val="single" w:color="auto" w:sz="4" w:space="0"/>
                    <w:right w:val="single" w:color="auto" w:sz="4" w:space="0"/>
                  </w:tcBorders>
                  <w:noWrap w:val="0"/>
                  <w:vAlign w:val="center"/>
                </w:tcPr>
                <w:p w14:paraId="5BBFEF8B">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1.7748</w:t>
                  </w:r>
                </w:p>
              </w:tc>
              <w:tc>
                <w:tcPr>
                  <w:tcW w:w="1221" w:type="dxa"/>
                  <w:tcBorders>
                    <w:top w:val="single" w:color="auto" w:sz="4" w:space="0"/>
                    <w:left w:val="nil"/>
                    <w:bottom w:val="single" w:color="auto" w:sz="4" w:space="0"/>
                    <w:right w:val="single" w:color="auto" w:sz="4" w:space="0"/>
                  </w:tcBorders>
                  <w:noWrap w:val="0"/>
                  <w:vAlign w:val="center"/>
                </w:tcPr>
                <w:p w14:paraId="2109B66D">
                  <w:pPr>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7.6012</w:t>
                  </w:r>
                </w:p>
              </w:tc>
              <w:tc>
                <w:tcPr>
                  <w:tcW w:w="1221" w:type="dxa"/>
                  <w:tcBorders>
                    <w:top w:val="single" w:color="auto" w:sz="4" w:space="0"/>
                    <w:left w:val="nil"/>
                    <w:bottom w:val="single" w:color="auto" w:sz="4" w:space="0"/>
                    <w:right w:val="single" w:color="auto" w:sz="4" w:space="0"/>
                  </w:tcBorders>
                  <w:noWrap w:val="0"/>
                  <w:vAlign w:val="center"/>
                </w:tcPr>
                <w:p w14:paraId="3E58B4A7">
                  <w:pPr>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1.7748</w:t>
                  </w:r>
                </w:p>
              </w:tc>
              <w:tc>
                <w:tcPr>
                  <w:tcW w:w="1221" w:type="dxa"/>
                  <w:tcBorders>
                    <w:top w:val="single" w:color="auto" w:sz="4" w:space="0"/>
                    <w:left w:val="nil"/>
                    <w:bottom w:val="single" w:color="auto" w:sz="4" w:space="0"/>
                    <w:right w:val="single" w:color="auto" w:sz="4" w:space="0"/>
                  </w:tcBorders>
                  <w:noWrap w:val="0"/>
                  <w:vAlign w:val="center"/>
                </w:tcPr>
                <w:p w14:paraId="3AF27565">
                  <w:pPr>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-5.8264</w:t>
                  </w:r>
                </w:p>
              </w:tc>
            </w:tr>
          </w:tbl>
          <w:p w14:paraId="49CA28A2">
            <w:pPr>
              <w:spacing w:line="360" w:lineRule="auto"/>
              <w:rPr>
                <w:rFonts w:hint="eastAsia" w:ascii="TimesNewRomanPSMT" w:hAnsi="TimesNewRomanPSMT" w:eastAsia="TimesNewRomanPSMT" w:cs="TimesNewRomanPSMT"/>
                <w:b w:val="0"/>
                <w:bCs w:val="0"/>
                <w:color w:val="000000" w:themeColor="text1"/>
                <w:sz w:val="24"/>
                <w:szCs w:val="24"/>
                <w:highlight w:val="none"/>
                <w:lang w:val="en-US" w:eastAsia="zh-CN"/>
                <w14:textFill>
                  <w14:solidFill>
                    <w14:schemeClr w14:val="tx1"/>
                  </w14:solidFill>
                </w14:textFill>
              </w:rPr>
            </w:pPr>
            <w:r>
              <w:rPr>
                <w:rFonts w:hint="eastAsia" w:ascii="TimesNewRomanPSMT" w:hAnsi="TimesNewRomanPSMT" w:eastAsia="TimesNewRomanPSMT" w:cs="TimesNewRomanPSMT"/>
                <w:b w:val="0"/>
                <w:bCs w:val="0"/>
                <w:color w:val="000000" w:themeColor="text1"/>
                <w:sz w:val="24"/>
                <w:szCs w:val="24"/>
                <w:highlight w:val="none"/>
                <w:lang w:val="en-US" w:eastAsia="zh-CN"/>
                <w14:textFill>
                  <w14:solidFill>
                    <w14:schemeClr w14:val="tx1"/>
                  </w14:solidFill>
                </w14:textFill>
              </w:rPr>
              <w:t>备注：以上排放量包括有组织排放量及无组织排放量。</w:t>
            </w:r>
          </w:p>
          <w:p w14:paraId="6CA86000">
            <w:pPr>
              <w:spacing w:line="360" w:lineRule="auto"/>
              <w:ind w:left="94" w:leftChars="45" w:firstLine="480" w:firstLineChars="200"/>
              <w:rPr>
                <w:rFonts w:hint="default" w:ascii="TimesNewRomanPSMT" w:hAnsi="TimesNewRomanPSMT" w:eastAsia="宋体" w:cs="TimesNewRomanPSMT"/>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综上，</w:t>
            </w:r>
            <w:r>
              <w:rPr>
                <w:rFonts w:ascii="宋体" w:hAnsi="宋体" w:eastAsia="宋体" w:cs="宋体"/>
                <w:b w:val="0"/>
                <w:bCs w:val="0"/>
                <w:color w:val="000000" w:themeColor="text1"/>
                <w:sz w:val="24"/>
                <w:szCs w:val="24"/>
                <w:highlight w:val="none"/>
                <w14:textFill>
                  <w14:solidFill>
                    <w14:schemeClr w14:val="tx1"/>
                  </w14:solidFill>
                </w14:textFill>
              </w:rPr>
              <w:t>本项目非甲烷总烃排放量为</w:t>
            </w:r>
            <w:r>
              <w:rPr>
                <w:rFonts w:hint="default" w:ascii="TimesNewRomanPSMT" w:hAnsi="TimesNewRomanPSMT" w:eastAsia="TimesNewRomanPSMT" w:cs="TimesNewRomanPSMT"/>
                <w:b w:val="0"/>
                <w:bCs w:val="0"/>
                <w:color w:val="000000" w:themeColor="text1"/>
                <w:sz w:val="24"/>
                <w:szCs w:val="24"/>
                <w:highlight w:val="none"/>
                <w14:textFill>
                  <w14:solidFill>
                    <w14:schemeClr w14:val="tx1"/>
                  </w14:solidFill>
                </w14:textFill>
              </w:rPr>
              <w:t>0.</w:t>
            </w:r>
            <w:r>
              <w:rPr>
                <w:rFonts w:hint="eastAsia" w:ascii="TimesNewRomanPSMT" w:hAnsi="TimesNewRomanPSMT" w:eastAsia="宋体" w:cs="TimesNewRomanPSMT"/>
                <w:b w:val="0"/>
                <w:bCs w:val="0"/>
                <w:color w:val="000000" w:themeColor="text1"/>
                <w:sz w:val="24"/>
                <w:szCs w:val="24"/>
                <w:highlight w:val="none"/>
                <w:lang w:val="en-US" w:eastAsia="zh-CN"/>
                <w14:textFill>
                  <w14:solidFill>
                    <w14:schemeClr w14:val="tx1"/>
                  </w14:solidFill>
                </w14:textFill>
              </w:rPr>
              <w:t>0</w:t>
            </w:r>
            <w:r>
              <w:rPr>
                <w:rFonts w:hint="eastAsia" w:ascii="TimesNewRomanPSMT" w:hAnsi="TimesNewRomanPSMT" w:cs="TimesNewRomanPSMT"/>
                <w:b w:val="0"/>
                <w:bCs w:val="0"/>
                <w:color w:val="000000" w:themeColor="text1"/>
                <w:sz w:val="24"/>
                <w:szCs w:val="24"/>
                <w:highlight w:val="none"/>
                <w:lang w:val="en-US" w:eastAsia="zh-CN"/>
                <w14:textFill>
                  <w14:solidFill>
                    <w14:schemeClr w14:val="tx1"/>
                  </w14:solidFill>
                </w14:textFill>
              </w:rPr>
              <w:t>838</w:t>
            </w:r>
            <w:r>
              <w:rPr>
                <w:rFonts w:hint="default" w:ascii="TimesNewRomanPSMT" w:hAnsi="TimesNewRomanPSMT" w:eastAsia="TimesNewRomanPSMT" w:cs="TimesNewRomanPSMT"/>
                <w:b w:val="0"/>
                <w:bCs w:val="0"/>
                <w:color w:val="000000" w:themeColor="text1"/>
                <w:sz w:val="24"/>
                <w:szCs w:val="24"/>
                <w:highlight w:val="none"/>
                <w14:textFill>
                  <w14:solidFill>
                    <w14:schemeClr w14:val="tx1"/>
                  </w14:solidFill>
                </w14:textFill>
              </w:rPr>
              <w:t>t/a</w:t>
            </w:r>
            <w:r>
              <w:rPr>
                <w:rFonts w:hint="eastAsia" w:ascii="TimesNewRomanPSMT" w:hAnsi="TimesNewRomanPSMT" w:eastAsia="宋体" w:cs="TimesNewRomanPSMT"/>
                <w:b w:val="0"/>
                <w:bCs w:val="0"/>
                <w:color w:val="000000" w:themeColor="text1"/>
                <w:sz w:val="24"/>
                <w:szCs w:val="24"/>
                <w:highlight w:val="none"/>
                <w:lang w:eastAsia="zh-CN"/>
                <w14:textFill>
                  <w14:solidFill>
                    <w14:schemeClr w14:val="tx1"/>
                  </w14:solidFill>
                </w14:textFill>
              </w:rPr>
              <w:t>，</w:t>
            </w:r>
            <w:r>
              <w:rPr>
                <w:rFonts w:hint="eastAsia" w:ascii="TimesNewRomanPSMT" w:hAnsi="TimesNewRomanPSMT" w:eastAsia="宋体" w:cs="TimesNewRomanPSMT"/>
                <w:b w:val="0"/>
                <w:bCs w:val="0"/>
                <w:color w:val="000000" w:themeColor="text1"/>
                <w:sz w:val="24"/>
                <w:szCs w:val="24"/>
                <w:highlight w:val="none"/>
                <w:lang w:val="en-US" w:eastAsia="zh-CN"/>
                <w14:textFill>
                  <w14:solidFill>
                    <w14:schemeClr w14:val="tx1"/>
                  </w14:solidFill>
                </w14:textFill>
              </w:rPr>
              <w:t>颗粒物为1.7748</w:t>
            </w:r>
            <w:r>
              <w:rPr>
                <w:rFonts w:hint="default" w:ascii="TimesNewRomanPSMT" w:hAnsi="TimesNewRomanPSMT" w:eastAsia="TimesNewRomanPSMT" w:cs="TimesNewRomanPSMT"/>
                <w:b w:val="0"/>
                <w:bCs w:val="0"/>
                <w:color w:val="000000" w:themeColor="text1"/>
                <w:sz w:val="24"/>
                <w:szCs w:val="24"/>
                <w:highlight w:val="none"/>
                <w14:textFill>
                  <w14:solidFill>
                    <w14:schemeClr w14:val="tx1"/>
                  </w14:solidFill>
                </w14:textFill>
              </w:rPr>
              <w:t>t/a</w:t>
            </w:r>
            <w:r>
              <w:rPr>
                <w:rFonts w:hint="eastAsia" w:ascii="TimesNewRomanPSMT" w:hAnsi="TimesNewRomanPSMT" w:eastAsia="宋体" w:cs="TimesNewRomanPSMT"/>
                <w:b w:val="0"/>
                <w:bCs w:val="0"/>
                <w:color w:val="000000" w:themeColor="text1"/>
                <w:sz w:val="24"/>
                <w:szCs w:val="24"/>
                <w:highlight w:val="none"/>
                <w:lang w:eastAsia="zh-CN"/>
                <w14:textFill>
                  <w14:solidFill>
                    <w14:schemeClr w14:val="tx1"/>
                  </w14:solidFill>
                </w14:textFill>
              </w:rPr>
              <w:t>。</w:t>
            </w:r>
            <w:r>
              <w:rPr>
                <w:rFonts w:hint="eastAsia" w:ascii="TimesNewRomanPSMT" w:hAnsi="TimesNewRomanPSMT" w:eastAsia="宋体" w:cs="TimesNewRomanPSMT"/>
                <w:b w:val="0"/>
                <w:bCs w:val="0"/>
                <w:color w:val="000000" w:themeColor="text1"/>
                <w:sz w:val="24"/>
                <w:szCs w:val="24"/>
                <w:highlight w:val="none"/>
                <w:lang w:val="en-US" w:eastAsia="zh-CN"/>
                <w14:textFill>
                  <w14:solidFill>
                    <w14:schemeClr w14:val="tx1"/>
                  </w14:solidFill>
                </w14:textFill>
              </w:rPr>
              <w:t>由于采取以新带老措施，项目需申请非甲烷总烃</w:t>
            </w:r>
            <w:r>
              <w:rPr>
                <w:rFonts w:hint="eastAsia"/>
                <w:color w:val="000000" w:themeColor="text1"/>
                <w:sz w:val="24"/>
                <w:szCs w:val="24"/>
                <w:highlight w:val="none"/>
                <w:lang w:val="en-US" w:eastAsia="zh-CN"/>
                <w14:textFill>
                  <w14:solidFill>
                    <w14:schemeClr w14:val="tx1"/>
                  </w14:solidFill>
                </w14:textFill>
              </w:rPr>
              <w:t>0.0838t/a。</w:t>
            </w:r>
          </w:p>
          <w:p w14:paraId="68C0A53D">
            <w:pPr>
              <w:pStyle w:val="2"/>
              <w:rPr>
                <w:rFonts w:hint="default"/>
                <w:lang w:val="en-US" w:eastAsia="zh-CN"/>
              </w:rPr>
            </w:pPr>
          </w:p>
        </w:tc>
      </w:tr>
    </w:tbl>
    <w:p w14:paraId="00B32888">
      <w:pPr>
        <w:pStyle w:val="25"/>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8"/>
        <w:tblW w:w="93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651"/>
      </w:tblGrid>
      <w:tr w14:paraId="3830B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746" w:type="dxa"/>
            <w:tcMar>
              <w:left w:w="28" w:type="dxa"/>
              <w:right w:w="28" w:type="dxa"/>
            </w:tcMar>
            <w:vAlign w:val="center"/>
          </w:tcPr>
          <w:p w14:paraId="27E70EA0">
            <w:pPr>
              <w:pStyle w:val="25"/>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施工</w:t>
            </w:r>
          </w:p>
          <w:p w14:paraId="13886289">
            <w:pPr>
              <w:pStyle w:val="25"/>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期环</w:t>
            </w:r>
          </w:p>
          <w:p w14:paraId="6DA24754">
            <w:pPr>
              <w:pStyle w:val="25"/>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境保</w:t>
            </w:r>
          </w:p>
          <w:p w14:paraId="1BFE752B">
            <w:pPr>
              <w:pStyle w:val="25"/>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护措</w:t>
            </w:r>
          </w:p>
          <w:p w14:paraId="4D7223B8">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Cs w:val="24"/>
              </w:rPr>
              <w:t>施</w:t>
            </w:r>
          </w:p>
        </w:tc>
        <w:tc>
          <w:tcPr>
            <w:tcW w:w="8651" w:type="dxa"/>
            <w:vAlign w:val="center"/>
          </w:tcPr>
          <w:p w14:paraId="10CAFABA">
            <w:pPr>
              <w:spacing w:line="360" w:lineRule="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4.1施工期</w:t>
            </w:r>
          </w:p>
          <w:p w14:paraId="42AF8330">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本项目施工阶段</w:t>
            </w:r>
            <w:r>
              <w:rPr>
                <w:rFonts w:hint="default" w:ascii="Times New Roman" w:hAnsi="Times New Roman" w:cs="Times New Roman"/>
                <w:color w:val="auto"/>
                <w:sz w:val="24"/>
                <w:lang w:eastAsia="zh-CN"/>
              </w:rPr>
              <w:t>在</w:t>
            </w:r>
            <w:r>
              <w:rPr>
                <w:rFonts w:hint="default" w:ascii="Times New Roman" w:hAnsi="Times New Roman" w:cs="Times New Roman"/>
                <w:color w:val="auto"/>
                <w:sz w:val="24"/>
              </w:rPr>
              <w:t>现有厂房内装修及设备安装，</w:t>
            </w:r>
            <w:r>
              <w:rPr>
                <w:rFonts w:hint="default" w:ascii="Times New Roman" w:hAnsi="Times New Roman" w:cs="Times New Roman"/>
                <w:color w:val="auto"/>
                <w:sz w:val="24"/>
                <w:lang w:val="en-US" w:eastAsia="zh-CN"/>
              </w:rPr>
              <w:t>无土建工程，通过</w:t>
            </w:r>
            <w:r>
              <w:rPr>
                <w:rFonts w:hint="default" w:ascii="Times New Roman" w:hAnsi="Times New Roman" w:cs="Times New Roman"/>
                <w:color w:val="auto"/>
                <w:sz w:val="24"/>
              </w:rPr>
              <w:t>合理规划、科学管理，切实按照规定执行，施工活动不会明显影响场地周围的环境空气质量，而且随着施工活动的结束，这些污染也将消失。</w:t>
            </w:r>
          </w:p>
        </w:tc>
      </w:tr>
      <w:tr w14:paraId="46D2A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tcMar>
              <w:left w:w="28" w:type="dxa"/>
              <w:right w:w="28" w:type="dxa"/>
            </w:tcMar>
            <w:vAlign w:val="center"/>
          </w:tcPr>
          <w:p w14:paraId="69FA5CCA">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14:paraId="5DD106D0">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14:paraId="130EA6A7">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14:paraId="2B52BED0">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14:paraId="1E34E4A6">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14:paraId="4161427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4"/>
              </w:rPr>
              <w:t>措施</w:t>
            </w:r>
          </w:p>
        </w:tc>
        <w:tc>
          <w:tcPr>
            <w:tcW w:w="8651" w:type="dxa"/>
            <w:vAlign w:val="center"/>
          </w:tcPr>
          <w:p w14:paraId="14129574">
            <w:pPr>
              <w:pStyle w:val="4"/>
              <w:keepNext/>
              <w:keepLines/>
              <w:pageBreakBefore w:val="0"/>
              <w:widowControl w:val="0"/>
              <w:kinsoku/>
              <w:wordWrap/>
              <w:overflowPunct/>
              <w:topLinePunct w:val="0"/>
              <w:autoSpaceDE/>
              <w:autoSpaceDN/>
              <w:bidi w:val="0"/>
              <w:adjustRightInd/>
              <w:snapToGrid/>
              <w:spacing w:before="313" w:beforeLines="100" w:after="0" w:line="360" w:lineRule="auto"/>
              <w:textAlignment w:val="auto"/>
              <w:rPr>
                <w:rStyle w:val="60"/>
                <w:rFonts w:hint="default" w:ascii="Times New Roman" w:hAnsi="Times New Roman" w:cs="Times New Roman"/>
                <w:b/>
                <w:bCs w:val="0"/>
                <w:color w:val="auto"/>
                <w:szCs w:val="24"/>
              </w:rPr>
            </w:pPr>
            <w:r>
              <w:rPr>
                <w:rStyle w:val="60"/>
                <w:rFonts w:hint="default" w:ascii="Times New Roman" w:hAnsi="Times New Roman" w:cs="Times New Roman"/>
                <w:b/>
                <w:bCs w:val="0"/>
                <w:color w:val="auto"/>
                <w:szCs w:val="24"/>
              </w:rPr>
              <w:t>4.2水环境影响及保护措施</w:t>
            </w:r>
          </w:p>
          <w:p w14:paraId="4BAEBC5F">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1.废水产排污情况</w:t>
            </w:r>
          </w:p>
          <w:p w14:paraId="120F81C6">
            <w:pPr>
              <w:spacing w:line="360" w:lineRule="auto"/>
              <w:ind w:firstLine="480" w:firstLineChars="200"/>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color w:val="auto"/>
                <w:sz w:val="24"/>
                <w:highlight w:val="none"/>
                <w:lang w:val="en-US" w:eastAsia="zh-CN"/>
              </w:rPr>
              <w:t>本项目新增员工</w:t>
            </w:r>
            <w:r>
              <w:rPr>
                <w:rFonts w:hint="eastAsia" w:ascii="Times New Roman" w:hAnsi="Times New Roman" w:cs="Times New Roman"/>
                <w:color w:val="auto"/>
                <w:sz w:val="24"/>
                <w:highlight w:val="none"/>
                <w:lang w:val="en-US" w:eastAsia="zh-CN"/>
              </w:rPr>
              <w:t>10人</w:t>
            </w:r>
            <w:r>
              <w:rPr>
                <w:rFonts w:hint="default" w:ascii="Times New Roman" w:hAnsi="Times New Roman" w:eastAsia="宋体" w:cs="Times New Roman"/>
                <w:color w:val="000000"/>
                <w:sz w:val="24"/>
                <w:lang w:val="en-US" w:eastAsia="zh-CN"/>
              </w:rPr>
              <w:t>，</w:t>
            </w:r>
            <w:r>
              <w:rPr>
                <w:color w:val="000000"/>
                <w:sz w:val="24"/>
              </w:rPr>
              <w:t>不在项目区内食宿；</w:t>
            </w:r>
            <w:r>
              <w:rPr>
                <w:rFonts w:hint="default" w:ascii="Times New Roman" w:hAnsi="Times New Roman" w:cs="Times New Roman"/>
                <w:color w:val="000000"/>
                <w:sz w:val="24"/>
              </w:rPr>
              <w:t>根据《安徽省行业用水定额》（</w:t>
            </w:r>
            <w:r>
              <w:rPr>
                <w:rFonts w:hint="default" w:ascii="Times New Roman" w:hAnsi="Times New Roman" w:cs="Times New Roman"/>
                <w:color w:val="000000" w:themeColor="text1"/>
                <w:sz w:val="24"/>
                <w14:textFill>
                  <w14:solidFill>
                    <w14:schemeClr w14:val="tx1"/>
                  </w14:solidFill>
                </w14:textFill>
              </w:rPr>
              <w:t>DB34/T679-2020），生活用水定额60L/（人•d）</w:t>
            </w:r>
            <w:r>
              <w:rPr>
                <w:rFonts w:hint="default" w:ascii="Times New Roman" w:hAnsi="Times New Roman" w:eastAsia="宋体" w:cs="Times New Roman"/>
                <w:color w:val="000000" w:themeColor="text1"/>
                <w:sz w:val="24"/>
                <w:lang w:val="en-US" w:eastAsia="zh-CN"/>
                <w14:textFill>
                  <w14:solidFill>
                    <w14:schemeClr w14:val="tx1"/>
                  </w14:solidFill>
                </w14:textFill>
              </w:rPr>
              <w:t>新增废水</w:t>
            </w:r>
            <w:r>
              <w:rPr>
                <w:rFonts w:hint="eastAsia" w:cs="Times New Roman"/>
                <w:color w:val="000000" w:themeColor="text1"/>
                <w:sz w:val="24"/>
                <w:lang w:val="en-US" w:eastAsia="zh-CN"/>
                <w14:textFill>
                  <w14:solidFill>
                    <w14:schemeClr w14:val="tx1"/>
                  </w14:solidFill>
                </w14:textFill>
              </w:rPr>
              <w:t>产生</w:t>
            </w:r>
            <w:r>
              <w:rPr>
                <w:rFonts w:hint="default" w:ascii="Times New Roman" w:hAnsi="Times New Roman" w:cs="Times New Roman"/>
                <w:color w:val="000000" w:themeColor="text1"/>
                <w:sz w:val="24"/>
                <w:lang w:val="en-US" w:eastAsia="zh-CN"/>
                <w14:textFill>
                  <w14:solidFill>
                    <w14:schemeClr w14:val="tx1"/>
                  </w14:solidFill>
                </w14:textFill>
              </w:rPr>
              <w:t>量0.6</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/d（180t/a），全厂总</w:t>
            </w:r>
            <w:r>
              <w:rPr>
                <w:rFonts w:hint="eastAsia" w:cs="Times New Roman"/>
                <w:color w:val="000000" w:themeColor="text1"/>
                <w:sz w:val="24"/>
                <w:lang w:val="en-US" w:eastAsia="zh-CN"/>
                <w14:textFill>
                  <w14:solidFill>
                    <w14:schemeClr w14:val="tx1"/>
                  </w14:solidFill>
                </w14:textFill>
              </w:rPr>
              <w:t>生活</w:t>
            </w:r>
            <w:r>
              <w:rPr>
                <w:rFonts w:hint="default" w:ascii="Times New Roman" w:hAnsi="Times New Roman" w:cs="Times New Roman"/>
                <w:color w:val="000000" w:themeColor="text1"/>
                <w:sz w:val="24"/>
                <w:lang w:val="en-US" w:eastAsia="zh-CN"/>
                <w14:textFill>
                  <w14:solidFill>
                    <w14:schemeClr w14:val="tx1"/>
                  </w14:solidFill>
                </w14:textFill>
              </w:rPr>
              <w:t>废水</w:t>
            </w:r>
            <w:r>
              <w:rPr>
                <w:rFonts w:hint="eastAsia" w:cs="Times New Roman"/>
                <w:color w:val="000000" w:themeColor="text1"/>
                <w:sz w:val="24"/>
                <w:lang w:val="en-US" w:eastAsia="zh-CN"/>
                <w14:textFill>
                  <w14:solidFill>
                    <w14:schemeClr w14:val="tx1"/>
                  </w14:solidFill>
                </w14:textFill>
              </w:rPr>
              <w:t>产生</w:t>
            </w:r>
            <w:r>
              <w:rPr>
                <w:rFonts w:hint="default" w:ascii="Times New Roman" w:hAnsi="Times New Roman" w:cs="Times New Roman"/>
                <w:color w:val="000000" w:themeColor="text1"/>
                <w:sz w:val="24"/>
                <w:lang w:val="en-US" w:eastAsia="zh-CN"/>
                <w14:textFill>
                  <w14:solidFill>
                    <w14:schemeClr w14:val="tx1"/>
                  </w14:solidFill>
                </w14:textFill>
              </w:rPr>
              <w:t>量</w:t>
            </w:r>
            <w:r>
              <w:rPr>
                <w:rFonts w:hint="default" w:ascii="Times New Roman" w:hAnsi="Times New Roman" w:eastAsia="宋体" w:cs="Times New Roman"/>
                <w:color w:val="000000" w:themeColor="text1"/>
                <w:sz w:val="24"/>
                <w:lang w:val="en-US" w:eastAsia="zh-CN"/>
                <w14:textFill>
                  <w14:solidFill>
                    <w14:schemeClr w14:val="tx1"/>
                  </w14:solidFill>
                </w14:textFill>
              </w:rPr>
              <w:t>1080t/a</w:t>
            </w:r>
            <w:r>
              <w:rPr>
                <w:rFonts w:hint="eastAsia" w:cs="Times New Roman"/>
                <w:color w:val="000000" w:themeColor="text1"/>
                <w:sz w:val="24"/>
                <w:lang w:val="en-US" w:eastAsia="zh-CN"/>
                <w14:textFill>
                  <w14:solidFill>
                    <w14:schemeClr w14:val="tx1"/>
                  </w14:solidFill>
                </w14:textFill>
              </w:rPr>
              <w:t>，新增废水排放量</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eastAsia" w:cs="Times New Roman"/>
                <w:color w:val="000000" w:themeColor="text1"/>
                <w:sz w:val="24"/>
                <w:lang w:val="en-US" w:eastAsia="zh-CN"/>
                <w14:textFill>
                  <w14:solidFill>
                    <w14:schemeClr w14:val="tx1"/>
                  </w14:solidFill>
                </w14:textFill>
              </w:rPr>
              <w:t>48</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144</w:t>
            </w:r>
            <w:r>
              <w:rPr>
                <w:rFonts w:hint="default" w:ascii="Times New Roman" w:hAnsi="Times New Roman" w:cs="Times New Roman"/>
                <w:color w:val="000000" w:themeColor="text1"/>
                <w:sz w:val="24"/>
                <w:lang w:val="en-US" w:eastAsia="zh-CN"/>
                <w14:textFill>
                  <w14:solidFill>
                    <w14:schemeClr w14:val="tx1"/>
                  </w14:solidFill>
                </w14:textFill>
              </w:rPr>
              <w:t>t/a）</w:t>
            </w:r>
            <w:r>
              <w:rPr>
                <w:rFonts w:hint="eastAsia" w:cs="Times New Roman"/>
                <w:color w:val="000000" w:themeColor="text1"/>
                <w:sz w:val="24"/>
                <w:lang w:val="en-US" w:eastAsia="zh-CN"/>
                <w14:textFill>
                  <w14:solidFill>
                    <w14:schemeClr w14:val="tx1"/>
                  </w14:solidFill>
                </w14:textFill>
              </w:rPr>
              <w:t>，全厂总</w:t>
            </w:r>
            <w:r>
              <w:rPr>
                <w:rFonts w:hint="default" w:ascii="Times New Roman" w:hAnsi="Times New Roman" w:eastAsia="宋体" w:cs="Times New Roman"/>
                <w:color w:val="000000" w:themeColor="text1"/>
                <w:sz w:val="24"/>
                <w:lang w:val="en-US" w:eastAsia="zh-CN"/>
                <w14:textFill>
                  <w14:solidFill>
                    <w14:schemeClr w14:val="tx1"/>
                  </w14:solidFill>
                </w14:textFill>
              </w:rPr>
              <w:t>生活污水排放量为2.88m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/d（864t/a）。</w:t>
            </w:r>
            <w:r>
              <w:rPr>
                <w:rFonts w:hint="default" w:cs="Times New Roman"/>
                <w:color w:val="000000" w:themeColor="text1"/>
                <w:sz w:val="24"/>
                <w:lang w:val="en-US" w:eastAsia="zh-CN"/>
                <w14:textFill>
                  <w14:solidFill>
                    <w14:schemeClr w14:val="tx1"/>
                  </w14:solidFill>
                </w14:textFill>
              </w:rPr>
              <w:t>扩建后</w:t>
            </w:r>
            <w:r>
              <w:rPr>
                <w:rFonts w:hint="default" w:ascii="Times New Roman" w:hAnsi="Times New Roman" w:eastAsia="宋体" w:cs="Times New Roman"/>
                <w:color w:val="000000" w:themeColor="text1"/>
                <w:sz w:val="24"/>
                <w:lang w:val="en-US" w:eastAsia="zh-CN"/>
                <w14:textFill>
                  <w14:solidFill>
                    <w14:schemeClr w14:val="tx1"/>
                  </w14:solidFill>
                </w14:textFill>
              </w:rPr>
              <w:t>项</w:t>
            </w:r>
            <w:r>
              <w:rPr>
                <w:rFonts w:hint="default" w:ascii="Times New Roman" w:hAnsi="Times New Roman" w:cs="Times New Roman"/>
                <w:color w:val="000000" w:themeColor="text1"/>
                <w:sz w:val="24"/>
                <w:szCs w:val="24"/>
                <w14:textFill>
                  <w14:solidFill>
                    <w14:schemeClr w14:val="tx1"/>
                  </w14:solidFill>
                </w14:textFill>
              </w:rPr>
              <w:t>目</w:t>
            </w:r>
            <w:r>
              <w:rPr>
                <w:rFonts w:hint="default" w:ascii="Times New Roman" w:hAnsi="Times New Roman" w:eastAsia="宋体" w:cs="Times New Roman"/>
                <w:b w:val="0"/>
                <w:bCs w:val="0"/>
                <w:color w:val="000000" w:themeColor="text1"/>
                <w:sz w:val="24"/>
                <w:szCs w:val="24"/>
                <w14:textFill>
                  <w14:solidFill>
                    <w14:schemeClr w14:val="tx1"/>
                  </w14:solidFill>
                </w14:textFill>
              </w:rPr>
              <w:t>生活污水经化</w:t>
            </w:r>
            <w:r>
              <w:rPr>
                <w:rFonts w:hint="default" w:ascii="Times New Roman" w:hAnsi="Times New Roman" w:eastAsia="宋体" w:cs="Times New Roman"/>
                <w:b w:val="0"/>
                <w:bCs w:val="0"/>
                <w:color w:val="000000"/>
                <w:sz w:val="24"/>
                <w:szCs w:val="24"/>
              </w:rPr>
              <w:t>粪池预处理后，接管网进入龙湖污水处理厂进一步深度处理，达标后排入龙河。</w:t>
            </w:r>
          </w:p>
          <w:p w14:paraId="57A68F5A">
            <w:pPr>
              <w:pStyle w:val="39"/>
              <w:adjustRightInd/>
              <w:spacing w:line="360" w:lineRule="auto"/>
              <w:ind w:firstLine="480" w:firstLineChars="200"/>
              <w:rPr>
                <w:rFonts w:ascii="Times New Roman" w:cs="Times New Roman"/>
                <w:b w:val="0"/>
                <w:bCs/>
                <w:color w:val="auto"/>
              </w:rPr>
            </w:pPr>
            <w:r>
              <w:rPr>
                <w:rFonts w:ascii="Times New Roman" w:cs="Times New Roman"/>
                <w:b w:val="0"/>
                <w:bCs/>
                <w:color w:val="auto"/>
              </w:rPr>
              <w:t>生活污水主要污染物为COD、BOD</w:t>
            </w:r>
            <w:r>
              <w:rPr>
                <w:rFonts w:ascii="Times New Roman" w:cs="Times New Roman"/>
                <w:b w:val="0"/>
                <w:bCs/>
                <w:color w:val="auto"/>
                <w:vertAlign w:val="subscript"/>
              </w:rPr>
              <w:t>5</w:t>
            </w:r>
            <w:r>
              <w:rPr>
                <w:rFonts w:ascii="Times New Roman" w:cs="Times New Roman"/>
                <w:b w:val="0"/>
                <w:bCs/>
                <w:color w:val="auto"/>
              </w:rPr>
              <w:t>、SS、NH</w:t>
            </w:r>
            <w:r>
              <w:rPr>
                <w:rFonts w:ascii="Times New Roman" w:cs="Times New Roman"/>
                <w:b w:val="0"/>
                <w:bCs/>
                <w:color w:val="auto"/>
                <w:vertAlign w:val="subscript"/>
              </w:rPr>
              <w:t>3</w:t>
            </w:r>
            <w:r>
              <w:rPr>
                <w:rFonts w:ascii="Times New Roman" w:cs="Times New Roman"/>
                <w:b w:val="0"/>
                <w:bCs/>
                <w:color w:val="auto"/>
              </w:rPr>
              <w:t>-N等，本环评参照《城市污水处理技术及工程实例》（化学工业出版社）中的中等偏低浓度水质作为本项目的生活污水水质，详见</w:t>
            </w:r>
            <w:r>
              <w:rPr>
                <w:rFonts w:hint="eastAsia" w:cs="Times New Roman"/>
                <w:b w:val="0"/>
                <w:bCs/>
                <w:color w:val="auto"/>
                <w:lang w:eastAsia="zh-CN"/>
              </w:rPr>
              <w:t>下表</w:t>
            </w:r>
            <w:r>
              <w:rPr>
                <w:rFonts w:ascii="Times New Roman" w:cs="Times New Roman"/>
                <w:b w:val="0"/>
                <w:bCs/>
                <w:color w:val="auto"/>
              </w:rPr>
              <w:t>。</w:t>
            </w:r>
          </w:p>
          <w:p w14:paraId="0233661C">
            <w:pPr>
              <w:pStyle w:val="9"/>
              <w:spacing w:before="0" w:line="360" w:lineRule="auto"/>
              <w:jc w:val="center"/>
              <w:rPr>
                <w:rFonts w:ascii="Times New Roman" w:hAnsi="Times New Roman"/>
                <w:b/>
                <w:bCs/>
              </w:rPr>
            </w:pPr>
            <w:r>
              <w:rPr>
                <w:rFonts w:ascii="Times New Roman" w:hAnsi="Times New Roman"/>
                <w:b/>
                <w:bCs/>
              </w:rPr>
              <w:t xml:space="preserve">表4-1 </w:t>
            </w:r>
            <w:r>
              <w:rPr>
                <w:rFonts w:hint="eastAsia" w:ascii="Times New Roman" w:hAnsi="Times New Roman"/>
                <w:b/>
                <w:bCs/>
                <w:lang w:eastAsia="zh-CN"/>
              </w:rPr>
              <w:t>本项目</w:t>
            </w:r>
            <w:r>
              <w:rPr>
                <w:rFonts w:ascii="Times New Roman" w:hAnsi="Times New Roman"/>
                <w:b/>
                <w:bCs/>
              </w:rPr>
              <w:t>运营期</w:t>
            </w:r>
            <w:r>
              <w:rPr>
                <w:rFonts w:hint="eastAsia" w:ascii="Times New Roman" w:hAnsi="Times New Roman"/>
                <w:b/>
                <w:bCs/>
                <w:lang w:val="en-US" w:eastAsia="zh-CN"/>
              </w:rPr>
              <w:t>生活</w:t>
            </w:r>
            <w:r>
              <w:rPr>
                <w:rFonts w:hint="eastAsia" w:ascii="Times New Roman" w:hAnsi="Times New Roman"/>
                <w:b/>
                <w:bCs/>
                <w:lang w:eastAsia="zh-CN"/>
              </w:rPr>
              <w:t>废</w:t>
            </w:r>
            <w:r>
              <w:rPr>
                <w:rFonts w:ascii="Times New Roman" w:hAnsi="Times New Roman"/>
                <w:b/>
                <w:bCs/>
              </w:rPr>
              <w:t>水产排情况一览表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2767"/>
              <w:gridCol w:w="996"/>
              <w:gridCol w:w="977"/>
              <w:gridCol w:w="1068"/>
              <w:gridCol w:w="1168"/>
            </w:tblGrid>
            <w:tr w14:paraId="25FF1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05" w:type="pct"/>
                  <w:gridSpan w:val="2"/>
                  <w:tcBorders>
                    <w:bottom w:val="single" w:color="auto" w:sz="12" w:space="0"/>
                  </w:tcBorders>
                  <w:noWrap w:val="0"/>
                  <w:vAlign w:val="center"/>
                </w:tcPr>
                <w:p w14:paraId="0CD4FC88">
                  <w:pPr>
                    <w:jc w:val="center"/>
                    <w:rPr>
                      <w:rFonts w:ascii="Times New Roman" w:hAnsi="Times New Roman"/>
                      <w:b/>
                      <w:bCs/>
                      <w:szCs w:val="21"/>
                    </w:rPr>
                  </w:pPr>
                  <w:r>
                    <w:rPr>
                      <w:rFonts w:ascii="Times New Roman" w:hAnsi="Times New Roman"/>
                      <w:b/>
                      <w:bCs/>
                      <w:szCs w:val="21"/>
                    </w:rPr>
                    <w:t>污染物</w:t>
                  </w:r>
                </w:p>
              </w:tc>
              <w:tc>
                <w:tcPr>
                  <w:tcW w:w="590" w:type="pct"/>
                  <w:tcBorders>
                    <w:bottom w:val="single" w:color="auto" w:sz="12" w:space="0"/>
                  </w:tcBorders>
                  <w:noWrap w:val="0"/>
                  <w:vAlign w:val="center"/>
                </w:tcPr>
                <w:p w14:paraId="07606E4F">
                  <w:pPr>
                    <w:jc w:val="center"/>
                    <w:rPr>
                      <w:rFonts w:ascii="Times New Roman" w:hAnsi="Times New Roman"/>
                      <w:b/>
                      <w:bCs/>
                      <w:szCs w:val="21"/>
                    </w:rPr>
                  </w:pPr>
                  <w:r>
                    <w:rPr>
                      <w:rFonts w:ascii="Times New Roman" w:hAnsi="Times New Roman"/>
                      <w:b/>
                      <w:bCs/>
                      <w:szCs w:val="21"/>
                    </w:rPr>
                    <w:t>COD</w:t>
                  </w:r>
                </w:p>
              </w:tc>
              <w:tc>
                <w:tcPr>
                  <w:tcW w:w="579" w:type="pct"/>
                  <w:tcBorders>
                    <w:bottom w:val="single" w:color="auto" w:sz="12" w:space="0"/>
                  </w:tcBorders>
                  <w:noWrap w:val="0"/>
                  <w:vAlign w:val="center"/>
                </w:tcPr>
                <w:p w14:paraId="7A961916">
                  <w:pPr>
                    <w:jc w:val="center"/>
                    <w:rPr>
                      <w:rFonts w:ascii="Times New Roman" w:hAnsi="Times New Roman"/>
                      <w:b/>
                      <w:bCs/>
                      <w:szCs w:val="21"/>
                    </w:rPr>
                  </w:pPr>
                  <w:r>
                    <w:rPr>
                      <w:rFonts w:ascii="Times New Roman" w:hAnsi="Times New Roman"/>
                      <w:b/>
                      <w:bCs/>
                      <w:szCs w:val="21"/>
                    </w:rPr>
                    <w:t>BOD</w:t>
                  </w:r>
                  <w:r>
                    <w:rPr>
                      <w:rFonts w:ascii="Times New Roman" w:hAnsi="Times New Roman"/>
                      <w:b/>
                      <w:bCs/>
                      <w:szCs w:val="21"/>
                      <w:vertAlign w:val="subscript"/>
                    </w:rPr>
                    <w:t>5</w:t>
                  </w:r>
                </w:p>
              </w:tc>
              <w:tc>
                <w:tcPr>
                  <w:tcW w:w="633" w:type="pct"/>
                  <w:tcBorders>
                    <w:bottom w:val="single" w:color="auto" w:sz="12" w:space="0"/>
                  </w:tcBorders>
                  <w:noWrap w:val="0"/>
                  <w:vAlign w:val="center"/>
                </w:tcPr>
                <w:p w14:paraId="56BAB711">
                  <w:pPr>
                    <w:jc w:val="center"/>
                    <w:rPr>
                      <w:rFonts w:ascii="Times New Roman" w:hAnsi="Times New Roman"/>
                      <w:b/>
                      <w:bCs/>
                      <w:szCs w:val="21"/>
                    </w:rPr>
                  </w:pPr>
                  <w:r>
                    <w:rPr>
                      <w:rFonts w:ascii="Times New Roman" w:hAnsi="Times New Roman"/>
                      <w:b/>
                      <w:bCs/>
                      <w:szCs w:val="21"/>
                    </w:rPr>
                    <w:t>SS</w:t>
                  </w:r>
                </w:p>
              </w:tc>
              <w:tc>
                <w:tcPr>
                  <w:tcW w:w="690" w:type="pct"/>
                  <w:tcBorders>
                    <w:bottom w:val="single" w:color="auto" w:sz="12" w:space="0"/>
                  </w:tcBorders>
                  <w:noWrap w:val="0"/>
                  <w:vAlign w:val="center"/>
                </w:tcPr>
                <w:p w14:paraId="49DC1BD7">
                  <w:pPr>
                    <w:jc w:val="center"/>
                    <w:rPr>
                      <w:rFonts w:ascii="Times New Roman" w:hAnsi="Times New Roman"/>
                      <w:b/>
                      <w:bCs/>
                      <w:szCs w:val="21"/>
                    </w:rPr>
                  </w:pPr>
                  <w:r>
                    <w:rPr>
                      <w:rFonts w:ascii="Times New Roman" w:hAnsi="Times New Roman"/>
                      <w:b/>
                      <w:bCs/>
                      <w:szCs w:val="21"/>
                    </w:rPr>
                    <w:t>NH</w:t>
                  </w:r>
                  <w:r>
                    <w:rPr>
                      <w:rFonts w:ascii="Times New Roman" w:hAnsi="Times New Roman"/>
                      <w:b/>
                      <w:bCs/>
                      <w:szCs w:val="21"/>
                      <w:vertAlign w:val="subscript"/>
                    </w:rPr>
                    <w:t>3</w:t>
                  </w:r>
                  <w:r>
                    <w:rPr>
                      <w:rFonts w:ascii="Times New Roman" w:hAnsi="Times New Roman"/>
                      <w:b/>
                      <w:bCs/>
                      <w:szCs w:val="21"/>
                    </w:rPr>
                    <w:t>-N</w:t>
                  </w:r>
                </w:p>
              </w:tc>
            </w:tr>
            <w:tr w14:paraId="44974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5" w:type="pct"/>
                  <w:vMerge w:val="restart"/>
                  <w:tcBorders>
                    <w:top w:val="single" w:color="auto" w:sz="12" w:space="0"/>
                  </w:tcBorders>
                  <w:noWrap w:val="0"/>
                  <w:vAlign w:val="center"/>
                </w:tcPr>
                <w:p w14:paraId="6DF879C0">
                  <w:pPr>
                    <w:jc w:val="center"/>
                    <w:rPr>
                      <w:rFonts w:hint="eastAsia" w:ascii="Times New Roman" w:hAnsi="Times New Roman" w:eastAsia="宋体"/>
                      <w:color w:val="000000"/>
                      <w:szCs w:val="21"/>
                      <w:lang w:eastAsia="zh-CN"/>
                    </w:rPr>
                  </w:pPr>
                  <w:r>
                    <w:rPr>
                      <w:rFonts w:ascii="Times New Roman" w:hAnsi="Times New Roman"/>
                      <w:color w:val="000000"/>
                      <w:szCs w:val="21"/>
                    </w:rPr>
                    <w:t>生活污水</w:t>
                  </w:r>
                </w:p>
                <w:p w14:paraId="3293A863">
                  <w:pPr>
                    <w:jc w:val="center"/>
                    <w:rPr>
                      <w:rFonts w:ascii="Times New Roman" w:hAnsi="Times New Roman"/>
                      <w:color w:val="000000"/>
                      <w:szCs w:val="21"/>
                    </w:rPr>
                  </w:pPr>
                  <w:r>
                    <w:rPr>
                      <w:rFonts w:hint="eastAsia"/>
                      <w:color w:val="000000"/>
                      <w:szCs w:val="21"/>
                      <w:lang w:val="en-US" w:eastAsia="zh-CN"/>
                    </w:rPr>
                    <w:t>144</w:t>
                  </w:r>
                  <w:r>
                    <w:rPr>
                      <w:rFonts w:ascii="Times New Roman" w:hAnsi="Times New Roman"/>
                      <w:color w:val="000000"/>
                      <w:szCs w:val="21"/>
                    </w:rPr>
                    <w:t>t/a</w:t>
                  </w:r>
                </w:p>
              </w:tc>
              <w:tc>
                <w:tcPr>
                  <w:tcW w:w="1639" w:type="pct"/>
                  <w:tcBorders>
                    <w:top w:val="single" w:color="auto" w:sz="12" w:space="0"/>
                  </w:tcBorders>
                  <w:noWrap w:val="0"/>
                  <w:vAlign w:val="center"/>
                </w:tcPr>
                <w:p w14:paraId="28E7F130">
                  <w:pPr>
                    <w:jc w:val="center"/>
                    <w:rPr>
                      <w:rFonts w:ascii="Times New Roman" w:hAnsi="Times New Roman"/>
                      <w:szCs w:val="21"/>
                    </w:rPr>
                  </w:pPr>
                  <w:r>
                    <w:rPr>
                      <w:rFonts w:ascii="Times New Roman" w:hAnsi="Times New Roman"/>
                      <w:szCs w:val="21"/>
                    </w:rPr>
                    <w:t>产生浓度（mg/L）</w:t>
                  </w:r>
                </w:p>
              </w:tc>
              <w:tc>
                <w:tcPr>
                  <w:tcW w:w="590" w:type="pct"/>
                  <w:tcBorders>
                    <w:top w:val="single" w:color="auto" w:sz="12" w:space="0"/>
                  </w:tcBorders>
                  <w:noWrap w:val="0"/>
                  <w:vAlign w:val="center"/>
                </w:tcPr>
                <w:p w14:paraId="4709DB46">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340</w:t>
                  </w:r>
                </w:p>
              </w:tc>
              <w:tc>
                <w:tcPr>
                  <w:tcW w:w="579" w:type="pct"/>
                  <w:tcBorders>
                    <w:top w:val="single" w:color="auto" w:sz="12" w:space="0"/>
                  </w:tcBorders>
                  <w:noWrap w:val="0"/>
                  <w:vAlign w:val="center"/>
                </w:tcPr>
                <w:p w14:paraId="5B0B26C3">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260</w:t>
                  </w:r>
                </w:p>
              </w:tc>
              <w:tc>
                <w:tcPr>
                  <w:tcW w:w="633" w:type="pct"/>
                  <w:tcBorders>
                    <w:top w:val="single" w:color="auto" w:sz="12" w:space="0"/>
                  </w:tcBorders>
                  <w:noWrap w:val="0"/>
                  <w:vAlign w:val="center"/>
                </w:tcPr>
                <w:p w14:paraId="67F58FEB">
                  <w:pPr>
                    <w:jc w:val="center"/>
                    <w:rPr>
                      <w:rFonts w:hint="default" w:ascii="Times New Roman" w:hAnsi="Times New Roman" w:eastAsia="宋体"/>
                      <w:szCs w:val="21"/>
                      <w:lang w:val="en-US" w:eastAsia="zh-CN"/>
                    </w:rPr>
                  </w:pPr>
                  <w:r>
                    <w:rPr>
                      <w:rFonts w:ascii="Times New Roman" w:hAnsi="Times New Roman"/>
                      <w:szCs w:val="21"/>
                    </w:rPr>
                    <w:t>2</w:t>
                  </w:r>
                  <w:r>
                    <w:rPr>
                      <w:rFonts w:hint="eastAsia" w:ascii="Times New Roman" w:hAnsi="Times New Roman"/>
                      <w:szCs w:val="21"/>
                      <w:lang w:val="en-US" w:eastAsia="zh-CN"/>
                    </w:rPr>
                    <w:t>60</w:t>
                  </w:r>
                </w:p>
              </w:tc>
              <w:tc>
                <w:tcPr>
                  <w:tcW w:w="690" w:type="pct"/>
                  <w:tcBorders>
                    <w:top w:val="single" w:color="auto" w:sz="12" w:space="0"/>
                  </w:tcBorders>
                  <w:noWrap w:val="0"/>
                  <w:vAlign w:val="center"/>
                </w:tcPr>
                <w:p w14:paraId="4D6DCC4C">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35</w:t>
                  </w:r>
                </w:p>
              </w:tc>
            </w:tr>
            <w:tr w14:paraId="798AD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5" w:type="pct"/>
                  <w:vMerge w:val="continue"/>
                  <w:noWrap w:val="0"/>
                  <w:vAlign w:val="center"/>
                </w:tcPr>
                <w:p w14:paraId="3CD52C65">
                  <w:pPr>
                    <w:jc w:val="center"/>
                    <w:rPr>
                      <w:rFonts w:ascii="Times New Roman" w:hAnsi="Times New Roman"/>
                      <w:color w:val="000000"/>
                      <w:szCs w:val="21"/>
                    </w:rPr>
                  </w:pPr>
                </w:p>
              </w:tc>
              <w:tc>
                <w:tcPr>
                  <w:tcW w:w="1639" w:type="pct"/>
                  <w:noWrap w:val="0"/>
                  <w:vAlign w:val="center"/>
                </w:tcPr>
                <w:p w14:paraId="4F54B149">
                  <w:pPr>
                    <w:jc w:val="center"/>
                    <w:rPr>
                      <w:rFonts w:ascii="Times New Roman" w:hAnsi="Times New Roman"/>
                      <w:szCs w:val="21"/>
                    </w:rPr>
                  </w:pPr>
                  <w:r>
                    <w:rPr>
                      <w:rFonts w:ascii="Times New Roman" w:hAnsi="Times New Roman"/>
                      <w:szCs w:val="21"/>
                    </w:rPr>
                    <w:t>产生量（t/a）</w:t>
                  </w:r>
                </w:p>
              </w:tc>
              <w:tc>
                <w:tcPr>
                  <w:tcW w:w="590" w:type="pct"/>
                  <w:noWrap w:val="0"/>
                  <w:vAlign w:val="center"/>
                </w:tcPr>
                <w:p w14:paraId="3E4F86F3">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w:t>
                  </w:r>
                  <w:r>
                    <w:rPr>
                      <w:rFonts w:hint="eastAsia"/>
                      <w:szCs w:val="21"/>
                      <w:lang w:val="en-US" w:eastAsia="zh-CN"/>
                    </w:rPr>
                    <w:t>04896</w:t>
                  </w:r>
                </w:p>
              </w:tc>
              <w:tc>
                <w:tcPr>
                  <w:tcW w:w="579" w:type="pct"/>
                  <w:noWrap w:val="0"/>
                  <w:vAlign w:val="center"/>
                </w:tcPr>
                <w:p w14:paraId="7AD37DA9">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w:t>
                  </w:r>
                  <w:r>
                    <w:rPr>
                      <w:rFonts w:hint="eastAsia"/>
                      <w:szCs w:val="21"/>
                      <w:lang w:val="en-US" w:eastAsia="zh-CN"/>
                    </w:rPr>
                    <w:t>03744</w:t>
                  </w:r>
                </w:p>
              </w:tc>
              <w:tc>
                <w:tcPr>
                  <w:tcW w:w="633" w:type="pct"/>
                  <w:noWrap w:val="0"/>
                  <w:vAlign w:val="center"/>
                </w:tcPr>
                <w:p w14:paraId="6B60329D">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w:t>
                  </w:r>
                  <w:r>
                    <w:rPr>
                      <w:rFonts w:hint="eastAsia"/>
                      <w:szCs w:val="21"/>
                      <w:lang w:val="en-US" w:eastAsia="zh-CN"/>
                    </w:rPr>
                    <w:t>03744</w:t>
                  </w:r>
                </w:p>
              </w:tc>
              <w:tc>
                <w:tcPr>
                  <w:tcW w:w="690" w:type="pct"/>
                  <w:noWrap w:val="0"/>
                  <w:vAlign w:val="center"/>
                </w:tcPr>
                <w:p w14:paraId="7D4D39DC">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w:t>
                  </w:r>
                  <w:r>
                    <w:rPr>
                      <w:rFonts w:hint="eastAsia"/>
                      <w:szCs w:val="21"/>
                      <w:lang w:val="en-US" w:eastAsia="zh-CN"/>
                    </w:rPr>
                    <w:t>00504</w:t>
                  </w:r>
                </w:p>
              </w:tc>
            </w:tr>
            <w:tr w14:paraId="1144E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65" w:type="pct"/>
                  <w:vMerge w:val="continue"/>
                  <w:noWrap w:val="0"/>
                  <w:vAlign w:val="center"/>
                </w:tcPr>
                <w:p w14:paraId="7565130D">
                  <w:pPr>
                    <w:jc w:val="center"/>
                    <w:rPr>
                      <w:rFonts w:ascii="Times New Roman" w:hAnsi="Times New Roman"/>
                      <w:color w:val="000000"/>
                      <w:szCs w:val="21"/>
                    </w:rPr>
                  </w:pPr>
                </w:p>
              </w:tc>
              <w:tc>
                <w:tcPr>
                  <w:tcW w:w="1639" w:type="pct"/>
                  <w:noWrap w:val="0"/>
                  <w:vAlign w:val="center"/>
                </w:tcPr>
                <w:p w14:paraId="6D8B472D">
                  <w:pPr>
                    <w:jc w:val="center"/>
                    <w:rPr>
                      <w:rFonts w:ascii="Times New Roman" w:hAnsi="Times New Roman"/>
                      <w:szCs w:val="21"/>
                    </w:rPr>
                  </w:pPr>
                  <w:r>
                    <w:rPr>
                      <w:rFonts w:ascii="Times New Roman" w:hAnsi="Times New Roman"/>
                      <w:szCs w:val="21"/>
                    </w:rPr>
                    <w:t>处理措施</w:t>
                  </w:r>
                </w:p>
              </w:tc>
              <w:tc>
                <w:tcPr>
                  <w:tcW w:w="2494" w:type="pct"/>
                  <w:gridSpan w:val="4"/>
                  <w:noWrap w:val="0"/>
                  <w:vAlign w:val="center"/>
                </w:tcPr>
                <w:p w14:paraId="78D24D79">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接管网</w:t>
                  </w:r>
                </w:p>
              </w:tc>
            </w:tr>
            <w:tr w14:paraId="58FA3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5" w:type="pct"/>
                  <w:vMerge w:val="continue"/>
                  <w:noWrap w:val="0"/>
                  <w:vAlign w:val="center"/>
                </w:tcPr>
                <w:p w14:paraId="731AF1AE">
                  <w:pPr>
                    <w:jc w:val="center"/>
                    <w:rPr>
                      <w:rFonts w:ascii="Times New Roman" w:hAnsi="Times New Roman"/>
                      <w:color w:val="000000"/>
                      <w:szCs w:val="21"/>
                    </w:rPr>
                  </w:pPr>
                </w:p>
              </w:tc>
              <w:tc>
                <w:tcPr>
                  <w:tcW w:w="1639" w:type="pct"/>
                  <w:noWrap w:val="0"/>
                  <w:vAlign w:val="center"/>
                </w:tcPr>
                <w:p w14:paraId="7C2535DC">
                  <w:pPr>
                    <w:jc w:val="center"/>
                    <w:rPr>
                      <w:rFonts w:ascii="Times New Roman" w:hAnsi="Times New Roman"/>
                      <w:szCs w:val="21"/>
                    </w:rPr>
                  </w:pPr>
                  <w:r>
                    <w:rPr>
                      <w:rFonts w:ascii="Times New Roman" w:hAnsi="Times New Roman"/>
                      <w:szCs w:val="21"/>
                    </w:rPr>
                    <w:t>处理后浓度（mg/L）</w:t>
                  </w:r>
                </w:p>
              </w:tc>
              <w:tc>
                <w:tcPr>
                  <w:tcW w:w="590" w:type="pct"/>
                  <w:noWrap w:val="0"/>
                  <w:vAlign w:val="center"/>
                </w:tcPr>
                <w:p w14:paraId="7C436A29">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300</w:t>
                  </w:r>
                </w:p>
              </w:tc>
              <w:tc>
                <w:tcPr>
                  <w:tcW w:w="579" w:type="pct"/>
                  <w:noWrap w:val="0"/>
                  <w:vAlign w:val="center"/>
                </w:tcPr>
                <w:p w14:paraId="68ECB36B">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200</w:t>
                  </w:r>
                </w:p>
              </w:tc>
              <w:tc>
                <w:tcPr>
                  <w:tcW w:w="633" w:type="pct"/>
                  <w:noWrap w:val="0"/>
                  <w:vAlign w:val="center"/>
                </w:tcPr>
                <w:p w14:paraId="58359B45">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200</w:t>
                  </w:r>
                </w:p>
              </w:tc>
              <w:tc>
                <w:tcPr>
                  <w:tcW w:w="690" w:type="pct"/>
                  <w:noWrap w:val="0"/>
                  <w:vAlign w:val="center"/>
                </w:tcPr>
                <w:p w14:paraId="1FA73123">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35</w:t>
                  </w:r>
                </w:p>
              </w:tc>
            </w:tr>
            <w:tr w14:paraId="32D5F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5" w:type="pct"/>
                  <w:vMerge w:val="continue"/>
                  <w:noWrap w:val="0"/>
                  <w:vAlign w:val="center"/>
                </w:tcPr>
                <w:p w14:paraId="6C2D2CAF">
                  <w:pPr>
                    <w:jc w:val="center"/>
                    <w:rPr>
                      <w:rFonts w:ascii="Times New Roman" w:hAnsi="Times New Roman"/>
                      <w:color w:val="000000"/>
                      <w:szCs w:val="21"/>
                    </w:rPr>
                  </w:pPr>
                </w:p>
              </w:tc>
              <w:tc>
                <w:tcPr>
                  <w:tcW w:w="1639" w:type="pct"/>
                  <w:noWrap w:val="0"/>
                  <w:vAlign w:val="center"/>
                </w:tcPr>
                <w:p w14:paraId="521E606C">
                  <w:pPr>
                    <w:jc w:val="center"/>
                    <w:rPr>
                      <w:rFonts w:ascii="Times New Roman" w:hAnsi="Times New Roman"/>
                      <w:szCs w:val="21"/>
                    </w:rPr>
                  </w:pPr>
                  <w:r>
                    <w:rPr>
                      <w:rFonts w:ascii="Times New Roman" w:hAnsi="Times New Roman"/>
                      <w:szCs w:val="21"/>
                    </w:rPr>
                    <w:t>处理后排放量（t/a）</w:t>
                  </w:r>
                </w:p>
              </w:tc>
              <w:tc>
                <w:tcPr>
                  <w:tcW w:w="590" w:type="pct"/>
                  <w:noWrap w:val="0"/>
                  <w:vAlign w:val="center"/>
                </w:tcPr>
                <w:p w14:paraId="322723E9">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w:t>
                  </w:r>
                  <w:r>
                    <w:rPr>
                      <w:rFonts w:hint="eastAsia"/>
                      <w:color w:val="000000"/>
                      <w:szCs w:val="21"/>
                      <w:lang w:val="en-US" w:eastAsia="zh-CN"/>
                    </w:rPr>
                    <w:t>0432</w:t>
                  </w:r>
                </w:p>
              </w:tc>
              <w:tc>
                <w:tcPr>
                  <w:tcW w:w="579" w:type="pct"/>
                  <w:noWrap w:val="0"/>
                  <w:vAlign w:val="center"/>
                </w:tcPr>
                <w:p w14:paraId="4BA0FFB3">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w:t>
                  </w:r>
                  <w:r>
                    <w:rPr>
                      <w:rFonts w:hint="eastAsia"/>
                      <w:color w:val="000000"/>
                      <w:szCs w:val="21"/>
                      <w:lang w:val="en-US" w:eastAsia="zh-CN"/>
                    </w:rPr>
                    <w:t>0288</w:t>
                  </w:r>
                </w:p>
              </w:tc>
              <w:tc>
                <w:tcPr>
                  <w:tcW w:w="633" w:type="pct"/>
                  <w:noWrap w:val="0"/>
                  <w:vAlign w:val="center"/>
                </w:tcPr>
                <w:p w14:paraId="31A6B9E0">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w:t>
                  </w:r>
                  <w:r>
                    <w:rPr>
                      <w:rFonts w:hint="eastAsia"/>
                      <w:color w:val="000000"/>
                      <w:szCs w:val="21"/>
                      <w:lang w:val="en-US" w:eastAsia="zh-CN"/>
                    </w:rPr>
                    <w:t>0288</w:t>
                  </w:r>
                </w:p>
              </w:tc>
              <w:tc>
                <w:tcPr>
                  <w:tcW w:w="690" w:type="pct"/>
                  <w:noWrap w:val="0"/>
                  <w:vAlign w:val="center"/>
                </w:tcPr>
                <w:p w14:paraId="527861E0">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0.0</w:t>
                  </w:r>
                  <w:r>
                    <w:rPr>
                      <w:rFonts w:hint="eastAsia"/>
                      <w:color w:val="000000"/>
                      <w:szCs w:val="21"/>
                      <w:lang w:val="en-US" w:eastAsia="zh-CN"/>
                    </w:rPr>
                    <w:t>0504</w:t>
                  </w:r>
                </w:p>
              </w:tc>
            </w:tr>
          </w:tbl>
          <w:p w14:paraId="2E7C62A3">
            <w:pPr>
              <w:pStyle w:val="9"/>
              <w:spacing w:before="0" w:line="360" w:lineRule="auto"/>
              <w:jc w:val="center"/>
              <w:rPr>
                <w:rFonts w:ascii="Times New Roman" w:hAnsi="Times New Roman"/>
                <w:b/>
                <w:bCs/>
              </w:rPr>
            </w:pPr>
            <w:r>
              <w:rPr>
                <w:rFonts w:ascii="Times New Roman" w:hAnsi="Times New Roman"/>
                <w:b/>
                <w:bCs/>
              </w:rPr>
              <w:t>表4-</w:t>
            </w:r>
            <w:r>
              <w:rPr>
                <w:rFonts w:hint="eastAsia" w:ascii="Times New Roman" w:hAnsi="Times New Roman"/>
                <w:b/>
                <w:bCs/>
                <w:lang w:val="en-US" w:eastAsia="zh-CN"/>
              </w:rPr>
              <w:t>2</w:t>
            </w:r>
            <w:r>
              <w:rPr>
                <w:rFonts w:ascii="Times New Roman" w:hAnsi="Times New Roman"/>
                <w:b/>
                <w:bCs/>
              </w:rPr>
              <w:t xml:space="preserve"> 运营期</w:t>
            </w:r>
            <w:r>
              <w:rPr>
                <w:rFonts w:hint="eastAsia" w:ascii="Times New Roman" w:hAnsi="Times New Roman"/>
                <w:b/>
                <w:bCs/>
                <w:lang w:val="en-US" w:eastAsia="zh-CN"/>
              </w:rPr>
              <w:t>全厂生活</w:t>
            </w:r>
            <w:r>
              <w:rPr>
                <w:rFonts w:hint="eastAsia" w:ascii="Times New Roman" w:hAnsi="Times New Roman"/>
                <w:b/>
                <w:bCs/>
                <w:lang w:eastAsia="zh-CN"/>
              </w:rPr>
              <w:t>废</w:t>
            </w:r>
            <w:r>
              <w:rPr>
                <w:rFonts w:ascii="Times New Roman" w:hAnsi="Times New Roman"/>
                <w:b/>
                <w:bCs/>
              </w:rPr>
              <w:t>水产排情况一览表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2767"/>
              <w:gridCol w:w="996"/>
              <w:gridCol w:w="977"/>
              <w:gridCol w:w="1068"/>
              <w:gridCol w:w="1168"/>
            </w:tblGrid>
            <w:tr w14:paraId="78648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05" w:type="pct"/>
                  <w:gridSpan w:val="2"/>
                  <w:tcBorders>
                    <w:bottom w:val="single" w:color="auto" w:sz="12" w:space="0"/>
                  </w:tcBorders>
                  <w:noWrap w:val="0"/>
                  <w:vAlign w:val="center"/>
                </w:tcPr>
                <w:p w14:paraId="2FA3EFA3">
                  <w:pPr>
                    <w:jc w:val="center"/>
                    <w:rPr>
                      <w:rFonts w:ascii="Times New Roman" w:hAnsi="Times New Roman"/>
                      <w:b/>
                      <w:bCs/>
                      <w:szCs w:val="21"/>
                    </w:rPr>
                  </w:pPr>
                  <w:r>
                    <w:rPr>
                      <w:rFonts w:ascii="Times New Roman" w:hAnsi="Times New Roman"/>
                      <w:b/>
                      <w:bCs/>
                      <w:szCs w:val="21"/>
                    </w:rPr>
                    <w:t>污染物</w:t>
                  </w:r>
                </w:p>
              </w:tc>
              <w:tc>
                <w:tcPr>
                  <w:tcW w:w="590" w:type="pct"/>
                  <w:tcBorders>
                    <w:bottom w:val="single" w:color="auto" w:sz="12" w:space="0"/>
                  </w:tcBorders>
                  <w:noWrap w:val="0"/>
                  <w:vAlign w:val="center"/>
                </w:tcPr>
                <w:p w14:paraId="351CFFC8">
                  <w:pPr>
                    <w:jc w:val="center"/>
                    <w:rPr>
                      <w:rFonts w:ascii="Times New Roman" w:hAnsi="Times New Roman"/>
                      <w:b/>
                      <w:bCs/>
                      <w:szCs w:val="21"/>
                    </w:rPr>
                  </w:pPr>
                  <w:r>
                    <w:rPr>
                      <w:rFonts w:ascii="Times New Roman" w:hAnsi="Times New Roman"/>
                      <w:b/>
                      <w:bCs/>
                      <w:szCs w:val="21"/>
                    </w:rPr>
                    <w:t>COD</w:t>
                  </w:r>
                </w:p>
              </w:tc>
              <w:tc>
                <w:tcPr>
                  <w:tcW w:w="579" w:type="pct"/>
                  <w:tcBorders>
                    <w:bottom w:val="single" w:color="auto" w:sz="12" w:space="0"/>
                  </w:tcBorders>
                  <w:noWrap w:val="0"/>
                  <w:vAlign w:val="center"/>
                </w:tcPr>
                <w:p w14:paraId="7581DD4F">
                  <w:pPr>
                    <w:jc w:val="center"/>
                    <w:rPr>
                      <w:rFonts w:ascii="Times New Roman" w:hAnsi="Times New Roman"/>
                      <w:b/>
                      <w:bCs/>
                      <w:szCs w:val="21"/>
                    </w:rPr>
                  </w:pPr>
                  <w:r>
                    <w:rPr>
                      <w:rFonts w:ascii="Times New Roman" w:hAnsi="Times New Roman"/>
                      <w:b/>
                      <w:bCs/>
                      <w:szCs w:val="21"/>
                    </w:rPr>
                    <w:t>BOD</w:t>
                  </w:r>
                  <w:r>
                    <w:rPr>
                      <w:rFonts w:ascii="Times New Roman" w:hAnsi="Times New Roman"/>
                      <w:b/>
                      <w:bCs/>
                      <w:szCs w:val="21"/>
                      <w:vertAlign w:val="subscript"/>
                    </w:rPr>
                    <w:t>5</w:t>
                  </w:r>
                </w:p>
              </w:tc>
              <w:tc>
                <w:tcPr>
                  <w:tcW w:w="633" w:type="pct"/>
                  <w:tcBorders>
                    <w:bottom w:val="single" w:color="auto" w:sz="12" w:space="0"/>
                  </w:tcBorders>
                  <w:noWrap w:val="0"/>
                  <w:vAlign w:val="center"/>
                </w:tcPr>
                <w:p w14:paraId="4F1F8331">
                  <w:pPr>
                    <w:jc w:val="center"/>
                    <w:rPr>
                      <w:rFonts w:ascii="Times New Roman" w:hAnsi="Times New Roman"/>
                      <w:b/>
                      <w:bCs/>
                      <w:szCs w:val="21"/>
                    </w:rPr>
                  </w:pPr>
                  <w:r>
                    <w:rPr>
                      <w:rFonts w:ascii="Times New Roman" w:hAnsi="Times New Roman"/>
                      <w:b/>
                      <w:bCs/>
                      <w:szCs w:val="21"/>
                    </w:rPr>
                    <w:t>SS</w:t>
                  </w:r>
                </w:p>
              </w:tc>
              <w:tc>
                <w:tcPr>
                  <w:tcW w:w="690" w:type="pct"/>
                  <w:tcBorders>
                    <w:bottom w:val="single" w:color="auto" w:sz="12" w:space="0"/>
                  </w:tcBorders>
                  <w:noWrap w:val="0"/>
                  <w:vAlign w:val="center"/>
                </w:tcPr>
                <w:p w14:paraId="2E6120C9">
                  <w:pPr>
                    <w:jc w:val="center"/>
                    <w:rPr>
                      <w:rFonts w:ascii="Times New Roman" w:hAnsi="Times New Roman"/>
                      <w:b/>
                      <w:bCs/>
                      <w:szCs w:val="21"/>
                    </w:rPr>
                  </w:pPr>
                  <w:r>
                    <w:rPr>
                      <w:rFonts w:ascii="Times New Roman" w:hAnsi="Times New Roman"/>
                      <w:b/>
                      <w:bCs/>
                      <w:szCs w:val="21"/>
                    </w:rPr>
                    <w:t>NH</w:t>
                  </w:r>
                  <w:r>
                    <w:rPr>
                      <w:rFonts w:ascii="Times New Roman" w:hAnsi="Times New Roman"/>
                      <w:b/>
                      <w:bCs/>
                      <w:szCs w:val="21"/>
                      <w:vertAlign w:val="subscript"/>
                    </w:rPr>
                    <w:t>3</w:t>
                  </w:r>
                  <w:r>
                    <w:rPr>
                      <w:rFonts w:ascii="Times New Roman" w:hAnsi="Times New Roman"/>
                      <w:b/>
                      <w:bCs/>
                      <w:szCs w:val="21"/>
                    </w:rPr>
                    <w:t>-N</w:t>
                  </w:r>
                </w:p>
              </w:tc>
            </w:tr>
            <w:tr w14:paraId="456CF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5" w:type="pct"/>
                  <w:vMerge w:val="restart"/>
                  <w:tcBorders>
                    <w:top w:val="single" w:color="auto" w:sz="12" w:space="0"/>
                  </w:tcBorders>
                  <w:noWrap w:val="0"/>
                  <w:vAlign w:val="center"/>
                </w:tcPr>
                <w:p w14:paraId="153F0F00">
                  <w:pPr>
                    <w:jc w:val="center"/>
                    <w:rPr>
                      <w:rFonts w:hint="eastAsia" w:ascii="Times New Roman" w:hAnsi="Times New Roman" w:eastAsia="宋体"/>
                      <w:color w:val="000000"/>
                      <w:szCs w:val="21"/>
                      <w:lang w:eastAsia="zh-CN"/>
                    </w:rPr>
                  </w:pPr>
                  <w:r>
                    <w:rPr>
                      <w:rFonts w:ascii="Times New Roman" w:hAnsi="Times New Roman"/>
                      <w:color w:val="000000"/>
                      <w:szCs w:val="21"/>
                    </w:rPr>
                    <w:t>生活污水</w:t>
                  </w:r>
                </w:p>
                <w:p w14:paraId="55D5E4C5">
                  <w:pPr>
                    <w:jc w:val="center"/>
                    <w:rPr>
                      <w:rFonts w:ascii="Times New Roman" w:hAnsi="Times New Roman"/>
                      <w:color w:val="000000"/>
                      <w:szCs w:val="21"/>
                    </w:rPr>
                  </w:pPr>
                  <w:r>
                    <w:rPr>
                      <w:rFonts w:hint="eastAsia"/>
                      <w:color w:val="000000"/>
                      <w:szCs w:val="21"/>
                      <w:lang w:val="en-US" w:eastAsia="zh-CN"/>
                    </w:rPr>
                    <w:t>864</w:t>
                  </w:r>
                  <w:r>
                    <w:rPr>
                      <w:rFonts w:ascii="Times New Roman" w:hAnsi="Times New Roman"/>
                      <w:color w:val="000000"/>
                      <w:szCs w:val="21"/>
                    </w:rPr>
                    <w:t>t/a</w:t>
                  </w:r>
                </w:p>
              </w:tc>
              <w:tc>
                <w:tcPr>
                  <w:tcW w:w="1639" w:type="pct"/>
                  <w:tcBorders>
                    <w:top w:val="single" w:color="auto" w:sz="12" w:space="0"/>
                  </w:tcBorders>
                  <w:noWrap w:val="0"/>
                  <w:vAlign w:val="center"/>
                </w:tcPr>
                <w:p w14:paraId="1EF5C8D9">
                  <w:pPr>
                    <w:jc w:val="center"/>
                    <w:rPr>
                      <w:rFonts w:ascii="Times New Roman" w:hAnsi="Times New Roman"/>
                      <w:szCs w:val="21"/>
                    </w:rPr>
                  </w:pPr>
                  <w:r>
                    <w:rPr>
                      <w:rFonts w:ascii="Times New Roman" w:hAnsi="Times New Roman"/>
                      <w:szCs w:val="21"/>
                    </w:rPr>
                    <w:t>产生浓度（mg/L）</w:t>
                  </w:r>
                </w:p>
              </w:tc>
              <w:tc>
                <w:tcPr>
                  <w:tcW w:w="590" w:type="pct"/>
                  <w:tcBorders>
                    <w:top w:val="single" w:color="auto" w:sz="12" w:space="0"/>
                  </w:tcBorders>
                  <w:noWrap w:val="0"/>
                  <w:vAlign w:val="center"/>
                </w:tcPr>
                <w:p w14:paraId="14366349">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340</w:t>
                  </w:r>
                </w:p>
              </w:tc>
              <w:tc>
                <w:tcPr>
                  <w:tcW w:w="579" w:type="pct"/>
                  <w:tcBorders>
                    <w:top w:val="single" w:color="auto" w:sz="12" w:space="0"/>
                  </w:tcBorders>
                  <w:noWrap w:val="0"/>
                  <w:vAlign w:val="center"/>
                </w:tcPr>
                <w:p w14:paraId="5A147F60">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260</w:t>
                  </w:r>
                </w:p>
              </w:tc>
              <w:tc>
                <w:tcPr>
                  <w:tcW w:w="633" w:type="pct"/>
                  <w:tcBorders>
                    <w:top w:val="single" w:color="auto" w:sz="12" w:space="0"/>
                  </w:tcBorders>
                  <w:noWrap w:val="0"/>
                  <w:vAlign w:val="center"/>
                </w:tcPr>
                <w:p w14:paraId="3259CACD">
                  <w:pPr>
                    <w:jc w:val="center"/>
                    <w:rPr>
                      <w:rFonts w:hint="default" w:ascii="Times New Roman" w:hAnsi="Times New Roman" w:eastAsia="宋体"/>
                      <w:szCs w:val="21"/>
                      <w:lang w:val="en-US" w:eastAsia="zh-CN"/>
                    </w:rPr>
                  </w:pPr>
                  <w:r>
                    <w:rPr>
                      <w:rFonts w:ascii="Times New Roman" w:hAnsi="Times New Roman"/>
                      <w:szCs w:val="21"/>
                    </w:rPr>
                    <w:t>2</w:t>
                  </w:r>
                  <w:r>
                    <w:rPr>
                      <w:rFonts w:hint="eastAsia" w:ascii="Times New Roman" w:hAnsi="Times New Roman"/>
                      <w:szCs w:val="21"/>
                      <w:lang w:val="en-US" w:eastAsia="zh-CN"/>
                    </w:rPr>
                    <w:t>60</w:t>
                  </w:r>
                </w:p>
              </w:tc>
              <w:tc>
                <w:tcPr>
                  <w:tcW w:w="690" w:type="pct"/>
                  <w:tcBorders>
                    <w:top w:val="single" w:color="auto" w:sz="12" w:space="0"/>
                  </w:tcBorders>
                  <w:noWrap w:val="0"/>
                  <w:vAlign w:val="center"/>
                </w:tcPr>
                <w:p w14:paraId="52CF772C">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35</w:t>
                  </w:r>
                </w:p>
              </w:tc>
            </w:tr>
            <w:tr w14:paraId="4D2CB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5" w:type="pct"/>
                  <w:vMerge w:val="continue"/>
                  <w:noWrap w:val="0"/>
                  <w:vAlign w:val="center"/>
                </w:tcPr>
                <w:p w14:paraId="1237CBC7">
                  <w:pPr>
                    <w:jc w:val="center"/>
                    <w:rPr>
                      <w:rFonts w:ascii="Times New Roman" w:hAnsi="Times New Roman"/>
                      <w:color w:val="000000"/>
                      <w:szCs w:val="21"/>
                    </w:rPr>
                  </w:pPr>
                </w:p>
              </w:tc>
              <w:tc>
                <w:tcPr>
                  <w:tcW w:w="1639" w:type="pct"/>
                  <w:noWrap w:val="0"/>
                  <w:vAlign w:val="center"/>
                </w:tcPr>
                <w:p w14:paraId="6DDAC1BE">
                  <w:pPr>
                    <w:jc w:val="center"/>
                    <w:rPr>
                      <w:rFonts w:ascii="Times New Roman" w:hAnsi="Times New Roman"/>
                      <w:szCs w:val="21"/>
                    </w:rPr>
                  </w:pPr>
                  <w:r>
                    <w:rPr>
                      <w:rFonts w:ascii="Times New Roman" w:hAnsi="Times New Roman"/>
                      <w:szCs w:val="21"/>
                    </w:rPr>
                    <w:t>产生量（t/a）</w:t>
                  </w:r>
                </w:p>
              </w:tc>
              <w:tc>
                <w:tcPr>
                  <w:tcW w:w="590" w:type="pct"/>
                  <w:noWrap w:val="0"/>
                  <w:vAlign w:val="center"/>
                </w:tcPr>
                <w:p w14:paraId="259FCEB8">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w:t>
                  </w:r>
                  <w:r>
                    <w:rPr>
                      <w:rFonts w:hint="eastAsia"/>
                      <w:szCs w:val="21"/>
                      <w:lang w:val="en-US" w:eastAsia="zh-CN"/>
                    </w:rPr>
                    <w:t>29376</w:t>
                  </w:r>
                </w:p>
              </w:tc>
              <w:tc>
                <w:tcPr>
                  <w:tcW w:w="579" w:type="pct"/>
                  <w:noWrap w:val="0"/>
                  <w:vAlign w:val="center"/>
                </w:tcPr>
                <w:p w14:paraId="5E59CBD8">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0.2</w:t>
                  </w:r>
                  <w:r>
                    <w:rPr>
                      <w:rFonts w:hint="eastAsia"/>
                      <w:szCs w:val="21"/>
                      <w:lang w:val="en-US" w:eastAsia="zh-CN"/>
                    </w:rPr>
                    <w:t>2464</w:t>
                  </w:r>
                </w:p>
              </w:tc>
              <w:tc>
                <w:tcPr>
                  <w:tcW w:w="633" w:type="pct"/>
                  <w:noWrap w:val="0"/>
                  <w:vAlign w:val="center"/>
                </w:tcPr>
                <w:p w14:paraId="23954832">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w:t>
                  </w:r>
                  <w:r>
                    <w:rPr>
                      <w:rFonts w:hint="eastAsia"/>
                      <w:szCs w:val="21"/>
                      <w:lang w:val="en-US" w:eastAsia="zh-CN"/>
                    </w:rPr>
                    <w:t>222464</w:t>
                  </w:r>
                </w:p>
              </w:tc>
              <w:tc>
                <w:tcPr>
                  <w:tcW w:w="690" w:type="pct"/>
                  <w:noWrap w:val="0"/>
                  <w:vAlign w:val="center"/>
                </w:tcPr>
                <w:p w14:paraId="679E905B">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0.03</w:t>
                  </w:r>
                  <w:r>
                    <w:rPr>
                      <w:rFonts w:hint="eastAsia"/>
                      <w:szCs w:val="21"/>
                      <w:lang w:val="en-US" w:eastAsia="zh-CN"/>
                    </w:rPr>
                    <w:t>024</w:t>
                  </w:r>
                </w:p>
              </w:tc>
            </w:tr>
            <w:tr w14:paraId="70AC2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65" w:type="pct"/>
                  <w:vMerge w:val="continue"/>
                  <w:noWrap w:val="0"/>
                  <w:vAlign w:val="center"/>
                </w:tcPr>
                <w:p w14:paraId="0E43483E">
                  <w:pPr>
                    <w:jc w:val="center"/>
                    <w:rPr>
                      <w:rFonts w:ascii="Times New Roman" w:hAnsi="Times New Roman"/>
                      <w:color w:val="000000"/>
                      <w:szCs w:val="21"/>
                    </w:rPr>
                  </w:pPr>
                </w:p>
              </w:tc>
              <w:tc>
                <w:tcPr>
                  <w:tcW w:w="1639" w:type="pct"/>
                  <w:noWrap w:val="0"/>
                  <w:vAlign w:val="center"/>
                </w:tcPr>
                <w:p w14:paraId="129759E7">
                  <w:pPr>
                    <w:jc w:val="center"/>
                    <w:rPr>
                      <w:rFonts w:ascii="Times New Roman" w:hAnsi="Times New Roman"/>
                      <w:szCs w:val="21"/>
                    </w:rPr>
                  </w:pPr>
                  <w:r>
                    <w:rPr>
                      <w:rFonts w:ascii="Times New Roman" w:hAnsi="Times New Roman"/>
                      <w:szCs w:val="21"/>
                    </w:rPr>
                    <w:t>处理措施</w:t>
                  </w:r>
                </w:p>
              </w:tc>
              <w:tc>
                <w:tcPr>
                  <w:tcW w:w="2494" w:type="pct"/>
                  <w:gridSpan w:val="4"/>
                  <w:noWrap w:val="0"/>
                  <w:vAlign w:val="center"/>
                </w:tcPr>
                <w:p w14:paraId="33CB3A10">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接管网</w:t>
                  </w:r>
                </w:p>
              </w:tc>
            </w:tr>
            <w:tr w14:paraId="08C4F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5" w:type="pct"/>
                  <w:vMerge w:val="continue"/>
                  <w:noWrap w:val="0"/>
                  <w:vAlign w:val="center"/>
                </w:tcPr>
                <w:p w14:paraId="67C87D4F">
                  <w:pPr>
                    <w:jc w:val="center"/>
                    <w:rPr>
                      <w:rFonts w:ascii="Times New Roman" w:hAnsi="Times New Roman"/>
                      <w:color w:val="000000"/>
                      <w:szCs w:val="21"/>
                    </w:rPr>
                  </w:pPr>
                </w:p>
              </w:tc>
              <w:tc>
                <w:tcPr>
                  <w:tcW w:w="1639" w:type="pct"/>
                  <w:noWrap w:val="0"/>
                  <w:vAlign w:val="center"/>
                </w:tcPr>
                <w:p w14:paraId="2D4315BD">
                  <w:pPr>
                    <w:jc w:val="center"/>
                    <w:rPr>
                      <w:rFonts w:ascii="Times New Roman" w:hAnsi="Times New Roman"/>
                      <w:szCs w:val="21"/>
                    </w:rPr>
                  </w:pPr>
                  <w:r>
                    <w:rPr>
                      <w:rFonts w:ascii="Times New Roman" w:hAnsi="Times New Roman"/>
                      <w:szCs w:val="21"/>
                    </w:rPr>
                    <w:t>处理后浓度（mg/L）</w:t>
                  </w:r>
                </w:p>
              </w:tc>
              <w:tc>
                <w:tcPr>
                  <w:tcW w:w="590" w:type="pct"/>
                  <w:noWrap w:val="0"/>
                  <w:vAlign w:val="center"/>
                </w:tcPr>
                <w:p w14:paraId="461757DE">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300</w:t>
                  </w:r>
                </w:p>
              </w:tc>
              <w:tc>
                <w:tcPr>
                  <w:tcW w:w="579" w:type="pct"/>
                  <w:noWrap w:val="0"/>
                  <w:vAlign w:val="center"/>
                </w:tcPr>
                <w:p w14:paraId="4316445E">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200</w:t>
                  </w:r>
                </w:p>
              </w:tc>
              <w:tc>
                <w:tcPr>
                  <w:tcW w:w="633" w:type="pct"/>
                  <w:noWrap w:val="0"/>
                  <w:vAlign w:val="center"/>
                </w:tcPr>
                <w:p w14:paraId="26AE2F18">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200</w:t>
                  </w:r>
                </w:p>
              </w:tc>
              <w:tc>
                <w:tcPr>
                  <w:tcW w:w="690" w:type="pct"/>
                  <w:noWrap w:val="0"/>
                  <w:vAlign w:val="center"/>
                </w:tcPr>
                <w:p w14:paraId="60C015FB">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35</w:t>
                  </w:r>
                </w:p>
              </w:tc>
            </w:tr>
            <w:tr w14:paraId="4EAE6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5" w:type="pct"/>
                  <w:vMerge w:val="continue"/>
                  <w:noWrap w:val="0"/>
                  <w:vAlign w:val="center"/>
                </w:tcPr>
                <w:p w14:paraId="2309F9E3">
                  <w:pPr>
                    <w:jc w:val="center"/>
                    <w:rPr>
                      <w:rFonts w:ascii="Times New Roman" w:hAnsi="Times New Roman"/>
                      <w:color w:val="000000"/>
                      <w:szCs w:val="21"/>
                    </w:rPr>
                  </w:pPr>
                </w:p>
              </w:tc>
              <w:tc>
                <w:tcPr>
                  <w:tcW w:w="1639" w:type="pct"/>
                  <w:noWrap w:val="0"/>
                  <w:vAlign w:val="center"/>
                </w:tcPr>
                <w:p w14:paraId="725596A4">
                  <w:pPr>
                    <w:jc w:val="center"/>
                    <w:rPr>
                      <w:rFonts w:ascii="Times New Roman" w:hAnsi="Times New Roman"/>
                      <w:szCs w:val="21"/>
                    </w:rPr>
                  </w:pPr>
                  <w:r>
                    <w:rPr>
                      <w:rFonts w:ascii="Times New Roman" w:hAnsi="Times New Roman"/>
                      <w:szCs w:val="21"/>
                    </w:rPr>
                    <w:t>处理后排放量（t/a）</w:t>
                  </w:r>
                </w:p>
              </w:tc>
              <w:tc>
                <w:tcPr>
                  <w:tcW w:w="590" w:type="pct"/>
                  <w:noWrap w:val="0"/>
                  <w:vAlign w:val="center"/>
                </w:tcPr>
                <w:p w14:paraId="09EE5E2B">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w:t>
                  </w:r>
                  <w:r>
                    <w:rPr>
                      <w:rFonts w:hint="eastAsia"/>
                      <w:color w:val="000000"/>
                      <w:szCs w:val="21"/>
                      <w:lang w:val="en-US" w:eastAsia="zh-CN"/>
                    </w:rPr>
                    <w:t>2592</w:t>
                  </w:r>
                </w:p>
              </w:tc>
              <w:tc>
                <w:tcPr>
                  <w:tcW w:w="579" w:type="pct"/>
                  <w:noWrap w:val="0"/>
                  <w:vAlign w:val="center"/>
                </w:tcPr>
                <w:p w14:paraId="0C5B9620">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w:t>
                  </w:r>
                  <w:r>
                    <w:rPr>
                      <w:rFonts w:hint="eastAsia"/>
                      <w:color w:val="000000"/>
                      <w:szCs w:val="21"/>
                      <w:lang w:val="en-US" w:eastAsia="zh-CN"/>
                    </w:rPr>
                    <w:t>1728</w:t>
                  </w:r>
                </w:p>
              </w:tc>
              <w:tc>
                <w:tcPr>
                  <w:tcW w:w="633" w:type="pct"/>
                  <w:noWrap w:val="0"/>
                  <w:vAlign w:val="center"/>
                </w:tcPr>
                <w:p w14:paraId="37CE3BCB">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w:t>
                  </w:r>
                  <w:r>
                    <w:rPr>
                      <w:rFonts w:hint="eastAsia"/>
                      <w:color w:val="000000"/>
                      <w:szCs w:val="21"/>
                      <w:lang w:val="en-US" w:eastAsia="zh-CN"/>
                    </w:rPr>
                    <w:t>1728</w:t>
                  </w:r>
                </w:p>
              </w:tc>
              <w:tc>
                <w:tcPr>
                  <w:tcW w:w="690" w:type="pct"/>
                  <w:noWrap w:val="0"/>
                  <w:vAlign w:val="center"/>
                </w:tcPr>
                <w:p w14:paraId="56579154">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0.03</w:t>
                  </w:r>
                  <w:r>
                    <w:rPr>
                      <w:rFonts w:hint="eastAsia"/>
                      <w:color w:val="000000"/>
                      <w:szCs w:val="21"/>
                      <w:lang w:val="en-US" w:eastAsia="zh-CN"/>
                    </w:rPr>
                    <w:t>024</w:t>
                  </w:r>
                </w:p>
              </w:tc>
            </w:tr>
          </w:tbl>
          <w:p w14:paraId="62255935">
            <w:pPr>
              <w:spacing w:line="360" w:lineRule="auto"/>
              <w:ind w:firstLine="480" w:firstLineChars="200"/>
              <w:rPr>
                <w:rFonts w:hint="eastAsia" w:ascii="TimesNewRomanPSMT" w:hAnsi="TimesNewRomanPSMT" w:eastAsia="TimesNewRomanPSMT" w:cs="TimesNewRomanPSMT"/>
                <w:b w:val="0"/>
                <w:bCs w:val="0"/>
                <w:color w:val="000000"/>
                <w:sz w:val="24"/>
                <w:szCs w:val="24"/>
                <w:lang w:eastAsia="zh-CN"/>
              </w:rPr>
            </w:pPr>
            <w:r>
              <w:rPr>
                <w:rFonts w:hint="eastAsia" w:ascii="TimesNewRomanPSMT" w:hAnsi="TimesNewRomanPSMT" w:eastAsia="TimesNewRomanPSMT" w:cs="TimesNewRomanPSMT"/>
                <w:b w:val="0"/>
                <w:bCs w:val="0"/>
                <w:color w:val="000000"/>
                <w:sz w:val="24"/>
                <w:szCs w:val="24"/>
                <w:lang w:val="en-US" w:eastAsia="zh-CN"/>
              </w:rPr>
              <w:t>2</w:t>
            </w:r>
            <w:r>
              <w:rPr>
                <w:rFonts w:ascii="TimesNewRomanPSMT" w:hAnsi="TimesNewRomanPSMT" w:eastAsia="TimesNewRomanPSMT" w:cs="TimesNewRomanPSMT"/>
                <w:b w:val="0"/>
                <w:bCs w:val="0"/>
                <w:color w:val="000000"/>
                <w:sz w:val="24"/>
                <w:szCs w:val="24"/>
              </w:rPr>
              <w:t>、</w:t>
            </w:r>
            <w:r>
              <w:rPr>
                <w:rFonts w:hint="eastAsia" w:ascii="宋体" w:hAnsi="宋体" w:eastAsia="宋体" w:cs="宋体"/>
                <w:b w:val="0"/>
                <w:bCs w:val="0"/>
                <w:color w:val="000000"/>
                <w:sz w:val="24"/>
                <w:szCs w:val="24"/>
                <w:lang w:eastAsia="zh-CN"/>
              </w:rPr>
              <w:t>废水处理可行性分析</w:t>
            </w:r>
          </w:p>
          <w:p w14:paraId="720356FD">
            <w:pPr>
              <w:spacing w:line="360" w:lineRule="auto"/>
              <w:ind w:firstLine="480" w:firstLineChars="200"/>
              <w:rPr>
                <w:rFonts w:hint="eastAsia" w:ascii="宋体" w:hAnsi="宋体" w:eastAsia="宋体" w:cs="宋体"/>
                <w:b w:val="0"/>
                <w:bCs w:val="0"/>
                <w:color w:val="000000"/>
                <w:sz w:val="24"/>
                <w:szCs w:val="24"/>
                <w:lang w:eastAsia="zh-CN"/>
              </w:rPr>
            </w:pPr>
            <w:r>
              <w:rPr>
                <w:rFonts w:ascii="宋体" w:hAnsi="宋体" w:eastAsia="宋体" w:cs="宋体"/>
                <w:b w:val="0"/>
                <w:bCs w:val="0"/>
                <w:color w:val="000000"/>
                <w:sz w:val="24"/>
                <w:szCs w:val="24"/>
              </w:rPr>
              <w:t>安徽淮北杜集经济开发区现状区内企业污水经预处理后达接管标准后排入开发区污水管网，经现状污水提升泵站提升汇入区域污水干管（沿北外环路铺设），最终进入经龙湖污水处理厂集中处理后达到《城镇污水处理厂污染物排放标准》（</w:t>
            </w:r>
            <w:r>
              <w:rPr>
                <w:rFonts w:ascii="TimesNewRomanPSMT" w:hAnsi="TimesNewRomanPSMT" w:eastAsia="TimesNewRomanPSMT" w:cs="TimesNewRomanPSMT"/>
                <w:b w:val="0"/>
                <w:bCs w:val="0"/>
                <w:color w:val="000000"/>
                <w:sz w:val="24"/>
                <w:szCs w:val="24"/>
              </w:rPr>
              <w:t>GB18918-2002</w:t>
            </w:r>
            <w:r>
              <w:rPr>
                <w:rFonts w:ascii="宋体" w:hAnsi="宋体" w:eastAsia="宋体" w:cs="宋体"/>
                <w:b w:val="0"/>
                <w:bCs w:val="0"/>
                <w:color w:val="000000"/>
                <w:sz w:val="24"/>
                <w:szCs w:val="24"/>
              </w:rPr>
              <w:t>）一级</w:t>
            </w:r>
            <w:r>
              <w:rPr>
                <w:rFonts w:hint="default" w:ascii="TimesNewRomanPSMT" w:hAnsi="TimesNewRomanPSMT" w:eastAsia="TimesNewRomanPSMT" w:cs="TimesNewRomanPSMT"/>
                <w:b w:val="0"/>
                <w:bCs w:val="0"/>
                <w:color w:val="000000"/>
                <w:sz w:val="24"/>
                <w:szCs w:val="24"/>
              </w:rPr>
              <w:t>A</w:t>
            </w:r>
            <w:r>
              <w:rPr>
                <w:rFonts w:ascii="宋体" w:hAnsi="宋体" w:eastAsia="宋体" w:cs="宋体"/>
                <w:b w:val="0"/>
                <w:bCs w:val="0"/>
                <w:color w:val="000000"/>
                <w:sz w:val="24"/>
                <w:szCs w:val="24"/>
              </w:rPr>
              <w:t>标准后，排放进入龙河。目前管网已与东山北路、</w:t>
            </w:r>
            <w:r>
              <w:rPr>
                <w:rFonts w:hint="default" w:ascii="TimesNewRomanPSMT" w:hAnsi="TimesNewRomanPSMT" w:eastAsia="TimesNewRomanPSMT" w:cs="TimesNewRomanPSMT"/>
                <w:b w:val="0"/>
                <w:bCs w:val="0"/>
                <w:color w:val="000000"/>
                <w:sz w:val="24"/>
                <w:szCs w:val="24"/>
              </w:rPr>
              <w:t>202</w:t>
            </w:r>
            <w:r>
              <w:rPr>
                <w:rFonts w:ascii="宋体" w:hAnsi="宋体" w:eastAsia="宋体" w:cs="宋体"/>
                <w:b w:val="0"/>
                <w:bCs w:val="0"/>
                <w:color w:val="000000"/>
                <w:sz w:val="24"/>
                <w:szCs w:val="24"/>
              </w:rPr>
              <w:t>省道市政管网连接，通过杜集片区污水转输工程，统一输送至龙湖开发区污水处理厂集中处理。</w:t>
            </w:r>
          </w:p>
          <w:p w14:paraId="3CB14B38">
            <w:pPr>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龙湖污水处理厂位于淮北经济开发区龙湖工业园南端，实际建设规模为</w:t>
            </w:r>
            <w:r>
              <w:rPr>
                <w:rFonts w:hint="default" w:ascii="TimesNewRomanPSMT" w:hAnsi="TimesNewRomanPSMT" w:eastAsia="TimesNewRomanPSMT" w:cs="TimesNewRomanPSMT"/>
                <w:b w:val="0"/>
                <w:bCs w:val="0"/>
                <w:color w:val="000000"/>
                <w:sz w:val="24"/>
                <w:szCs w:val="24"/>
              </w:rPr>
              <w:t>2</w:t>
            </w:r>
            <w:r>
              <w:rPr>
                <w:rFonts w:ascii="宋体" w:hAnsi="宋体" w:eastAsia="宋体" w:cs="宋体"/>
                <w:b w:val="0"/>
                <w:bCs w:val="0"/>
                <w:color w:val="000000"/>
                <w:sz w:val="24"/>
                <w:szCs w:val="24"/>
              </w:rPr>
              <w:t>万吨</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日，处理工艺为：格栅</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水解池</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厌氧池</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氧化沟</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二沉池</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混合反应池</w:t>
            </w:r>
            <w:r>
              <w:rPr>
                <w:rFonts w:hint="default" w:ascii="TimesNewRomanPSMT" w:hAnsi="TimesNewRomanPSMT" w:eastAsia="TimesNewRomanPSMT" w:cs="TimesNewRomanPSMT"/>
                <w:b w:val="0"/>
                <w:bCs w:val="0"/>
                <w:color w:val="000000"/>
                <w:sz w:val="24"/>
                <w:szCs w:val="24"/>
              </w:rPr>
              <w:t>+D</w:t>
            </w:r>
            <w:r>
              <w:rPr>
                <w:rFonts w:ascii="宋体" w:hAnsi="宋体" w:eastAsia="宋体" w:cs="宋体"/>
                <w:b w:val="0"/>
                <w:bCs w:val="0"/>
                <w:color w:val="000000"/>
                <w:sz w:val="24"/>
                <w:szCs w:val="24"/>
              </w:rPr>
              <w:t>型滤池</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接触消毒池。</w:t>
            </w:r>
            <w:r>
              <w:rPr>
                <w:rFonts w:hint="default" w:ascii="TimesNewRomanPSMT" w:hAnsi="TimesNewRomanPSMT" w:eastAsia="TimesNewRomanPSMT" w:cs="TimesNewRomanPSMT"/>
                <w:b w:val="0"/>
                <w:bCs w:val="0"/>
                <w:color w:val="000000"/>
                <w:sz w:val="24"/>
                <w:szCs w:val="24"/>
              </w:rPr>
              <w:t>2008</w:t>
            </w:r>
            <w:r>
              <w:rPr>
                <w:rFonts w:ascii="宋体" w:hAnsi="宋体" w:eastAsia="宋体" w:cs="宋体"/>
                <w:b w:val="0"/>
                <w:bCs w:val="0"/>
                <w:color w:val="000000"/>
                <w:sz w:val="24"/>
                <w:szCs w:val="24"/>
              </w:rPr>
              <w:t>年</w:t>
            </w:r>
            <w:r>
              <w:rPr>
                <w:rFonts w:hint="default" w:ascii="TimesNewRomanPSMT" w:hAnsi="TimesNewRomanPSMT" w:eastAsia="TimesNewRomanPSMT" w:cs="TimesNewRomanPSMT"/>
                <w:b w:val="0"/>
                <w:bCs w:val="0"/>
                <w:color w:val="000000"/>
                <w:sz w:val="24"/>
                <w:szCs w:val="24"/>
              </w:rPr>
              <w:t>10</w:t>
            </w:r>
            <w:r>
              <w:rPr>
                <w:rFonts w:ascii="宋体" w:hAnsi="宋体" w:eastAsia="宋体" w:cs="宋体"/>
                <w:b w:val="0"/>
                <w:bCs w:val="0"/>
                <w:color w:val="000000"/>
                <w:sz w:val="24"/>
                <w:szCs w:val="24"/>
              </w:rPr>
              <w:t>月</w:t>
            </w:r>
            <w:r>
              <w:rPr>
                <w:rFonts w:hint="default" w:ascii="TimesNewRomanPSMT" w:hAnsi="TimesNewRomanPSMT" w:eastAsia="TimesNewRomanPSMT" w:cs="TimesNewRomanPSMT"/>
                <w:b w:val="0"/>
                <w:bCs w:val="0"/>
                <w:color w:val="000000"/>
                <w:sz w:val="24"/>
                <w:szCs w:val="24"/>
              </w:rPr>
              <w:t>11</w:t>
            </w:r>
            <w:r>
              <w:rPr>
                <w:rFonts w:ascii="宋体" w:hAnsi="宋体" w:eastAsia="宋体" w:cs="宋体"/>
                <w:b w:val="0"/>
                <w:bCs w:val="0"/>
                <w:color w:val="000000"/>
                <w:sz w:val="24"/>
                <w:szCs w:val="24"/>
              </w:rPr>
              <w:t>日，取得淮北市环境保护局《关于淮北经济开发区龙湖工业园（一期）污水处理厂及其配套管网工程项目环境影响报告书的批复》（淮环行【</w:t>
            </w:r>
            <w:r>
              <w:rPr>
                <w:rFonts w:hint="default" w:ascii="TimesNewRomanPSMT" w:hAnsi="TimesNewRomanPSMT" w:eastAsia="TimesNewRomanPSMT" w:cs="TimesNewRomanPSMT"/>
                <w:b w:val="0"/>
                <w:bCs w:val="0"/>
                <w:color w:val="000000"/>
                <w:sz w:val="24"/>
                <w:szCs w:val="24"/>
              </w:rPr>
              <w:t>2008</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67</w:t>
            </w:r>
            <w:r>
              <w:rPr>
                <w:rFonts w:ascii="宋体" w:hAnsi="宋体" w:eastAsia="宋体" w:cs="宋体"/>
                <w:b w:val="0"/>
                <w:bCs w:val="0"/>
                <w:color w:val="000000"/>
                <w:sz w:val="24"/>
                <w:szCs w:val="24"/>
              </w:rPr>
              <w:t>号）。</w:t>
            </w:r>
            <w:r>
              <w:rPr>
                <w:rFonts w:hint="default" w:ascii="TimesNewRomanPSMT" w:hAnsi="TimesNewRomanPSMT" w:eastAsia="TimesNewRomanPSMT" w:cs="TimesNewRomanPSMT"/>
                <w:b w:val="0"/>
                <w:bCs w:val="0"/>
                <w:color w:val="000000"/>
                <w:sz w:val="24"/>
                <w:szCs w:val="24"/>
              </w:rPr>
              <w:t>2013</w:t>
            </w:r>
            <w:r>
              <w:rPr>
                <w:rFonts w:ascii="宋体" w:hAnsi="宋体" w:eastAsia="宋体" w:cs="宋体"/>
                <w:b w:val="0"/>
                <w:bCs w:val="0"/>
                <w:color w:val="000000"/>
                <w:sz w:val="24"/>
                <w:szCs w:val="24"/>
              </w:rPr>
              <w:t>年</w:t>
            </w:r>
            <w:r>
              <w:rPr>
                <w:rFonts w:hint="default" w:ascii="TimesNewRomanPSMT" w:hAnsi="TimesNewRomanPSMT" w:eastAsia="TimesNewRomanPSMT" w:cs="TimesNewRomanPSMT"/>
                <w:b w:val="0"/>
                <w:bCs w:val="0"/>
                <w:color w:val="000000"/>
                <w:sz w:val="24"/>
                <w:szCs w:val="24"/>
              </w:rPr>
              <w:t>7</w:t>
            </w:r>
            <w:r>
              <w:rPr>
                <w:rFonts w:ascii="宋体" w:hAnsi="宋体" w:eastAsia="宋体" w:cs="宋体"/>
                <w:b w:val="0"/>
                <w:bCs w:val="0"/>
                <w:color w:val="000000"/>
                <w:sz w:val="24"/>
                <w:szCs w:val="24"/>
              </w:rPr>
              <w:t>月</w:t>
            </w:r>
            <w:r>
              <w:rPr>
                <w:rFonts w:hint="default" w:ascii="TimesNewRomanPSMT" w:hAnsi="TimesNewRomanPSMT" w:eastAsia="TimesNewRomanPSMT" w:cs="TimesNewRomanPSMT"/>
                <w:b w:val="0"/>
                <w:bCs w:val="0"/>
                <w:color w:val="000000"/>
                <w:sz w:val="24"/>
                <w:szCs w:val="24"/>
              </w:rPr>
              <w:t>25</w:t>
            </w:r>
            <w:r>
              <w:rPr>
                <w:rFonts w:ascii="宋体" w:hAnsi="宋体" w:eastAsia="宋体" w:cs="宋体"/>
                <w:b w:val="0"/>
                <w:bCs w:val="0"/>
                <w:color w:val="000000"/>
                <w:sz w:val="24"/>
                <w:szCs w:val="24"/>
              </w:rPr>
              <w:t>日，取得淮北市环境保护局《关于淮北市排水有限责任公司淮北市经济开发区龙湖工业园（一期）污水处理厂及配套管网工程阶段性竣工环保验收意见的函》（环验【</w:t>
            </w:r>
            <w:r>
              <w:rPr>
                <w:rFonts w:hint="default" w:ascii="TimesNewRomanPSMT" w:hAnsi="TimesNewRomanPSMT" w:eastAsia="TimesNewRomanPSMT" w:cs="TimesNewRomanPSMT"/>
                <w:b w:val="0"/>
                <w:bCs w:val="0"/>
                <w:color w:val="000000"/>
                <w:sz w:val="24"/>
                <w:szCs w:val="24"/>
              </w:rPr>
              <w:t>2013</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18</w:t>
            </w:r>
            <w:r>
              <w:rPr>
                <w:rFonts w:ascii="宋体" w:hAnsi="宋体" w:eastAsia="宋体" w:cs="宋体"/>
                <w:b w:val="0"/>
                <w:bCs w:val="0"/>
                <w:color w:val="000000"/>
                <w:sz w:val="24"/>
                <w:szCs w:val="24"/>
              </w:rPr>
              <w:t>号）。</w:t>
            </w:r>
          </w:p>
          <w:p w14:paraId="6AF638CD">
            <w:pPr>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根据龙湖污水处理厂规划，龙湖污水处理厂服务范围为龙湖工业园及杜集经济开发区。本项目位于杜集经济开发区，属于龙湖污水处理厂的收水范围。</w:t>
            </w:r>
          </w:p>
          <w:p w14:paraId="38C07885">
            <w:pPr>
              <w:spacing w:line="360" w:lineRule="auto"/>
              <w:ind w:firstLine="480" w:firstLineChars="200"/>
              <w:rPr>
                <w:rFonts w:hint="eastAsia" w:ascii="宋体" w:hAnsi="宋体" w:eastAsia="宋体" w:cs="宋体"/>
                <w:b w:val="0"/>
                <w:bCs w:val="0"/>
                <w:color w:val="000000"/>
                <w:sz w:val="24"/>
                <w:szCs w:val="24"/>
                <w:lang w:eastAsia="zh-CN"/>
              </w:rPr>
            </w:pPr>
            <w:r>
              <w:rPr>
                <w:rFonts w:ascii="宋体" w:hAnsi="宋体" w:eastAsia="宋体" w:cs="宋体"/>
                <w:b w:val="0"/>
                <w:bCs w:val="0"/>
                <w:color w:val="000000"/>
                <w:sz w:val="24"/>
                <w:szCs w:val="24"/>
              </w:rPr>
              <w:t>①水量龙湖污水处理厂实际建设规模为</w:t>
            </w:r>
            <w:r>
              <w:rPr>
                <w:rFonts w:ascii="TimesNewRomanPSMT" w:hAnsi="TimesNewRomanPSMT" w:eastAsia="TimesNewRomanPSMT" w:cs="TimesNewRomanPSMT"/>
                <w:b w:val="0"/>
                <w:bCs w:val="0"/>
                <w:color w:val="000000"/>
                <w:sz w:val="24"/>
                <w:szCs w:val="24"/>
              </w:rPr>
              <w:t>2</w:t>
            </w:r>
            <w:r>
              <w:rPr>
                <w:rFonts w:ascii="宋体" w:hAnsi="宋体" w:eastAsia="宋体" w:cs="宋体"/>
                <w:b w:val="0"/>
                <w:bCs w:val="0"/>
                <w:color w:val="000000"/>
                <w:sz w:val="24"/>
                <w:szCs w:val="24"/>
              </w:rPr>
              <w:t>万吨</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日，目前进水量基本维持在</w:t>
            </w:r>
            <w:r>
              <w:rPr>
                <w:rFonts w:hint="default" w:ascii="TimesNewRomanPSMT" w:hAnsi="TimesNewRomanPSMT" w:eastAsia="TimesNewRomanPSMT" w:cs="TimesNewRomanPSMT"/>
                <w:b w:val="0"/>
                <w:bCs w:val="0"/>
                <w:color w:val="000000"/>
                <w:sz w:val="24"/>
                <w:szCs w:val="24"/>
              </w:rPr>
              <w:t>1.8</w:t>
            </w:r>
            <w:r>
              <w:rPr>
                <w:rFonts w:ascii="宋体" w:hAnsi="宋体" w:eastAsia="宋体" w:cs="宋体"/>
                <w:b w:val="0"/>
                <w:bCs w:val="0"/>
                <w:color w:val="000000"/>
                <w:sz w:val="24"/>
                <w:szCs w:val="24"/>
              </w:rPr>
              <w:t>万吨</w:t>
            </w:r>
            <w:r>
              <w:rPr>
                <w:rFonts w:hint="default" w:ascii="TimesNewRomanPSMT" w:hAnsi="TimesNewRomanPSMT" w:eastAsia="TimesNewRomanPSMT" w:cs="TimesNewRomanPSMT"/>
                <w:b w:val="0"/>
                <w:bCs w:val="0"/>
                <w:color w:val="000000"/>
                <w:sz w:val="24"/>
                <w:szCs w:val="24"/>
              </w:rPr>
              <w:t>/</w:t>
            </w:r>
            <w:r>
              <w:rPr>
                <w:rFonts w:ascii="宋体" w:hAnsi="宋体" w:eastAsia="宋体" w:cs="宋体"/>
                <w:b w:val="0"/>
                <w:bCs w:val="0"/>
                <w:color w:val="000000"/>
                <w:sz w:val="24"/>
                <w:szCs w:val="24"/>
              </w:rPr>
              <w:t>日。本项目所在区域配套的污水管网已接往龙湖污水处理厂，本项目产生的废水能够经过市政污水管网进入龙湖污水处理厂进行处理。本项目日均排放废水量</w:t>
            </w:r>
            <w:r>
              <w:rPr>
                <w:rFonts w:hint="default" w:ascii="Times New Roman" w:hAnsi="Times New Roman" w:eastAsia="宋体" w:cs="Times New Roman"/>
                <w:b w:val="0"/>
                <w:bCs w:val="0"/>
                <w:color w:val="000000"/>
                <w:sz w:val="24"/>
                <w:szCs w:val="24"/>
              </w:rPr>
              <w:t>为</w:t>
            </w:r>
            <w:r>
              <w:rPr>
                <w:rFonts w:hint="default" w:ascii="Times New Roman" w:hAnsi="Times New Roman" w:eastAsia="宋体" w:cs="Times New Roman"/>
                <w:b w:val="0"/>
                <w:bCs w:val="0"/>
                <w:color w:val="000000"/>
                <w:sz w:val="24"/>
                <w:szCs w:val="24"/>
                <w:lang w:val="en-US" w:eastAsia="zh-CN"/>
              </w:rPr>
              <w:t>2.88</w:t>
            </w:r>
            <w:r>
              <w:rPr>
                <w:rFonts w:hint="eastAsia" w:ascii="Times New Roman" w:hAnsi="Times New Roman" w:eastAsia="宋体" w:cs="Times New Roman"/>
                <w:b w:val="0"/>
                <w:bCs w:val="0"/>
                <w:color w:val="000000"/>
                <w:sz w:val="24"/>
                <w:szCs w:val="24"/>
                <w:lang w:val="en-US" w:eastAsia="zh-CN"/>
              </w:rPr>
              <w:t>m</w:t>
            </w:r>
            <w:r>
              <w:rPr>
                <w:rFonts w:hint="eastAsia" w:ascii="Times New Roman" w:hAnsi="Times New Roman" w:eastAsia="宋体" w:cs="Times New Roman"/>
                <w:b w:val="0"/>
                <w:bCs w:val="0"/>
                <w:color w:val="000000"/>
                <w:sz w:val="24"/>
                <w:szCs w:val="24"/>
                <w:vertAlign w:val="superscript"/>
                <w:lang w:val="en-US" w:eastAsia="zh-CN"/>
              </w:rPr>
              <w:t>3</w:t>
            </w:r>
            <w:r>
              <w:rPr>
                <w:rFonts w:hint="default" w:ascii="Times New Roman" w:hAnsi="Times New Roman" w:eastAsia="TimesNewRomanPSMT" w:cs="Times New Roman"/>
                <w:b w:val="0"/>
                <w:bCs w:val="0"/>
                <w:color w:val="000000"/>
                <w:sz w:val="24"/>
                <w:szCs w:val="24"/>
              </w:rPr>
              <w:t>/d</w:t>
            </w:r>
            <w:r>
              <w:rPr>
                <w:rFonts w:hint="default" w:ascii="Times New Roman" w:hAnsi="Times New Roman" w:eastAsia="宋体" w:cs="Times New Roman"/>
                <w:b w:val="0"/>
                <w:bCs w:val="0"/>
                <w:color w:val="000000"/>
                <w:sz w:val="24"/>
                <w:szCs w:val="24"/>
              </w:rPr>
              <w:t>，仅占</w:t>
            </w:r>
            <w:r>
              <w:rPr>
                <w:rFonts w:ascii="宋体" w:hAnsi="宋体" w:eastAsia="宋体" w:cs="宋体"/>
                <w:b w:val="0"/>
                <w:bCs w:val="0"/>
                <w:color w:val="000000"/>
                <w:sz w:val="24"/>
                <w:szCs w:val="24"/>
              </w:rPr>
              <w:t>其处理能力的</w:t>
            </w:r>
            <w:r>
              <w:rPr>
                <w:rFonts w:hint="default" w:ascii="TimesNewRomanPSMT" w:hAnsi="TimesNewRomanPSMT" w:eastAsia="TimesNewRomanPSMT" w:cs="TimesNewRomanPSMT"/>
                <w:b w:val="0"/>
                <w:bCs w:val="0"/>
                <w:color w:val="000000"/>
                <w:sz w:val="24"/>
                <w:szCs w:val="24"/>
              </w:rPr>
              <w:t>0.049%</w:t>
            </w:r>
            <w:r>
              <w:rPr>
                <w:rFonts w:ascii="宋体" w:hAnsi="宋体" w:eastAsia="宋体" w:cs="宋体"/>
                <w:b w:val="0"/>
                <w:bCs w:val="0"/>
                <w:color w:val="000000"/>
                <w:sz w:val="24"/>
                <w:szCs w:val="24"/>
              </w:rPr>
              <w:t>，远小于龙湖污水处理厂处理能力，对污水处理厂的正常运行不会造成冲击。从水量上来讲，项目废水接管进入龙湖污水处理厂可行。</w:t>
            </w:r>
          </w:p>
          <w:p w14:paraId="543AA4BE">
            <w:pPr>
              <w:spacing w:line="360" w:lineRule="auto"/>
              <w:ind w:firstLine="480" w:firstLineChars="200"/>
              <w:rPr>
                <w:rFonts w:hint="eastAsia" w:ascii="宋体" w:hAnsi="宋体" w:eastAsia="宋体" w:cs="宋体"/>
                <w:b w:val="0"/>
                <w:bCs w:val="0"/>
                <w:color w:val="000000"/>
                <w:sz w:val="24"/>
                <w:szCs w:val="24"/>
                <w:lang w:eastAsia="zh-CN"/>
              </w:rPr>
            </w:pPr>
            <w:r>
              <w:rPr>
                <w:rFonts w:ascii="宋体" w:hAnsi="宋体" w:eastAsia="宋体" w:cs="宋体"/>
                <w:b w:val="0"/>
                <w:bCs w:val="0"/>
                <w:color w:val="000000"/>
                <w:sz w:val="24"/>
                <w:szCs w:val="24"/>
              </w:rPr>
              <w:t>②水质本项目产生的生活污水</w:t>
            </w:r>
            <w:r>
              <w:rPr>
                <w:rFonts w:hint="eastAsia" w:ascii="宋体" w:hAnsi="宋体" w:cs="宋体"/>
                <w:b w:val="0"/>
                <w:bCs w:val="0"/>
                <w:color w:val="000000"/>
                <w:sz w:val="24"/>
                <w:szCs w:val="24"/>
                <w:lang w:eastAsia="zh-CN"/>
              </w:rPr>
              <w:t>，</w:t>
            </w:r>
            <w:r>
              <w:rPr>
                <w:rFonts w:ascii="宋体" w:hAnsi="宋体" w:eastAsia="宋体" w:cs="宋体"/>
                <w:b w:val="0"/>
                <w:bCs w:val="0"/>
                <w:color w:val="000000"/>
                <w:sz w:val="24"/>
                <w:szCs w:val="24"/>
              </w:rPr>
              <w:t>水质简单，接管浓度达到《污水综合排放标准》（</w:t>
            </w:r>
            <w:r>
              <w:rPr>
                <w:rFonts w:hint="default" w:ascii="TimesNewRomanPSMT" w:hAnsi="TimesNewRomanPSMT" w:eastAsia="TimesNewRomanPSMT" w:cs="TimesNewRomanPSMT"/>
                <w:b w:val="0"/>
                <w:bCs w:val="0"/>
                <w:color w:val="000000"/>
                <w:sz w:val="24"/>
                <w:szCs w:val="24"/>
              </w:rPr>
              <w:t>GB8978-1996</w:t>
            </w:r>
            <w:r>
              <w:rPr>
                <w:rFonts w:ascii="宋体" w:hAnsi="宋体" w:eastAsia="宋体" w:cs="宋体"/>
                <w:b w:val="0"/>
                <w:bCs w:val="0"/>
                <w:color w:val="000000"/>
                <w:sz w:val="24"/>
                <w:szCs w:val="24"/>
              </w:rPr>
              <w:t>）中三级标准及龙湖污水处理厂接管标准，污水中不含有对污水处理工艺造成不良影响的污染物，不会对龙湖污水处理厂的处理造成冲击，因此项目废水接管排入龙湖污水处理厂集中处理可行。</w:t>
            </w:r>
          </w:p>
          <w:p w14:paraId="348BE509">
            <w:pPr>
              <w:spacing w:line="360" w:lineRule="auto"/>
              <w:ind w:firstLine="480" w:firstLineChars="200"/>
              <w:rPr>
                <w:rFonts w:hint="eastAsia" w:ascii="宋体" w:hAnsi="宋体" w:eastAsia="宋体" w:cs="宋体"/>
                <w:b w:val="0"/>
                <w:bCs w:val="0"/>
                <w:color w:val="000000"/>
                <w:sz w:val="24"/>
                <w:szCs w:val="24"/>
                <w:lang w:eastAsia="zh-CN"/>
              </w:rPr>
            </w:pPr>
            <w:r>
              <w:rPr>
                <w:rFonts w:ascii="宋体" w:hAnsi="宋体" w:eastAsia="宋体" w:cs="宋体"/>
                <w:b w:val="0"/>
                <w:bCs w:val="0"/>
                <w:color w:val="000000"/>
                <w:sz w:val="24"/>
                <w:szCs w:val="24"/>
              </w:rPr>
              <w:t>综上所述，从路径、水量、水质三方面分析，本项目产生的废水接入龙湖</w:t>
            </w:r>
            <w:r>
              <w:rPr>
                <w:rFonts w:hint="default" w:ascii="TimesNewRomanPSMT" w:hAnsi="TimesNewRomanPSMT" w:eastAsia="TimesNewRomanPSMT" w:cs="TimesNewRomanPSMT"/>
                <w:b w:val="0"/>
                <w:bCs w:val="0"/>
                <w:color w:val="000000"/>
                <w:sz w:val="18"/>
                <w:szCs w:val="18"/>
              </w:rPr>
              <w:t>51</w:t>
            </w:r>
            <w:r>
              <w:rPr>
                <w:rFonts w:ascii="宋体" w:hAnsi="宋体" w:eastAsia="宋体" w:cs="宋体"/>
                <w:b w:val="0"/>
                <w:bCs w:val="0"/>
                <w:color w:val="000000"/>
                <w:sz w:val="24"/>
                <w:szCs w:val="24"/>
              </w:rPr>
              <w:t>污水处理厂可行，最终达标排入龙河，对龙河水环境影响较小。</w:t>
            </w:r>
          </w:p>
          <w:p w14:paraId="6C9FD867">
            <w:pPr>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龙湖污水处理厂污水处理工艺流程图下图。</w:t>
            </w:r>
          </w:p>
          <w:p w14:paraId="3DC08ACF">
            <w:pPr>
              <w:spacing w:line="360" w:lineRule="auto"/>
              <w:ind w:firstLine="420" w:firstLineChars="200"/>
            </w:pPr>
            <w:r>
              <w:drawing>
                <wp:inline distT="0" distB="0" distL="114300" distR="114300">
                  <wp:extent cx="4959350" cy="2820670"/>
                  <wp:effectExtent l="0" t="0" r="12700" b="1778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18"/>
                          <a:stretch>
                            <a:fillRect/>
                          </a:stretch>
                        </pic:blipFill>
                        <pic:spPr>
                          <a:xfrm>
                            <a:off x="0" y="0"/>
                            <a:ext cx="4959350" cy="2820670"/>
                          </a:xfrm>
                          <a:prstGeom prst="rect">
                            <a:avLst/>
                          </a:prstGeom>
                          <a:noFill/>
                          <a:ln>
                            <a:noFill/>
                          </a:ln>
                        </pic:spPr>
                      </pic:pic>
                    </a:graphicData>
                  </a:graphic>
                </wp:inline>
              </w:drawing>
            </w:r>
          </w:p>
          <w:p w14:paraId="7CDE9B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图4-</w:t>
            </w:r>
            <w:r>
              <w:rPr>
                <w:rFonts w:hint="eastAsia" w:cs="Times New Roman"/>
                <w:b/>
                <w:bCs/>
                <w:color w:val="000000"/>
                <w:sz w:val="24"/>
                <w:szCs w:val="24"/>
                <w:lang w:val="en-US" w:eastAsia="zh-CN"/>
              </w:rPr>
              <w:t>1</w:t>
            </w:r>
            <w:r>
              <w:rPr>
                <w:rFonts w:hint="default" w:ascii="Times New Roman" w:hAnsi="Times New Roman" w:eastAsia="宋体" w:cs="Times New Roman"/>
                <w:b/>
                <w:bCs/>
                <w:color w:val="000000"/>
                <w:sz w:val="24"/>
                <w:szCs w:val="24"/>
              </w:rPr>
              <w:t>龙湖污水处理厂污水处理工艺流程图</w:t>
            </w:r>
          </w:p>
          <w:p w14:paraId="02F56864">
            <w:pPr>
              <w:spacing w:line="360" w:lineRule="auto"/>
              <w:ind w:firstLine="480" w:firstLineChars="200"/>
              <w:rPr>
                <w:rFonts w:ascii="宋体" w:hAnsi="宋体" w:eastAsia="宋体" w:cs="宋体"/>
                <w:b w:val="0"/>
                <w:bCs w:val="0"/>
                <w:color w:val="000000"/>
                <w:sz w:val="24"/>
                <w:szCs w:val="24"/>
              </w:rPr>
            </w:pPr>
            <w:r>
              <w:rPr>
                <w:rFonts w:ascii="宋体" w:hAnsi="宋体" w:eastAsia="宋体" w:cs="宋体"/>
                <w:b w:val="0"/>
                <w:bCs w:val="0"/>
                <w:color w:val="000000"/>
                <w:sz w:val="24"/>
                <w:szCs w:val="24"/>
              </w:rPr>
              <w:t>因此，采取以上治理措施后，本项目废水对区域地表水环境影响很小</w:t>
            </w:r>
          </w:p>
          <w:p w14:paraId="4DF1958D">
            <w:pPr>
              <w:pStyle w:val="4"/>
              <w:spacing w:before="0" w:after="0" w:line="360" w:lineRule="auto"/>
              <w:rPr>
                <w:rStyle w:val="60"/>
                <w:rFonts w:hint="default" w:ascii="Times New Roman" w:hAnsi="Times New Roman" w:cs="Times New Roman"/>
                <w:b/>
                <w:bCs w:val="0"/>
                <w:color w:val="auto"/>
                <w:szCs w:val="24"/>
              </w:rPr>
            </w:pPr>
            <w:r>
              <w:rPr>
                <w:rStyle w:val="60"/>
                <w:rFonts w:hint="default" w:ascii="Times New Roman" w:hAnsi="Times New Roman" w:cs="Times New Roman"/>
                <w:b/>
                <w:bCs w:val="0"/>
                <w:color w:val="auto"/>
                <w:szCs w:val="24"/>
              </w:rPr>
              <w:t>4.3大气环境影响及保护措施</w:t>
            </w:r>
          </w:p>
          <w:p w14:paraId="55C7DEE5">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eastAsia="宋体" w:cs="Times New Roman"/>
                <w:color w:val="auto"/>
                <w:sz w:val="24"/>
                <w:lang w:val="en-US" w:eastAsia="zh-CN"/>
              </w:rPr>
              <w:t>4.3.1</w:t>
            </w:r>
            <w:r>
              <w:rPr>
                <w:rFonts w:hint="default" w:ascii="Times New Roman" w:hAnsi="Times New Roman" w:cs="Times New Roman"/>
                <w:bCs/>
                <w:color w:val="auto"/>
                <w:sz w:val="24"/>
              </w:rPr>
              <w:t>（一）废气产生情况</w:t>
            </w:r>
          </w:p>
          <w:p w14:paraId="6FBEC8A3">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本项目废气主要为切割粉尘（颗粒物）、焊接烟尘（颗粒物）、</w:t>
            </w:r>
            <w:r>
              <w:rPr>
                <w:rFonts w:hint="default" w:ascii="Times New Roman" w:hAnsi="Times New Roman" w:cs="Times New Roman"/>
                <w:bCs/>
                <w:color w:val="auto"/>
                <w:sz w:val="24"/>
                <w:lang w:eastAsia="zh-CN"/>
              </w:rPr>
              <w:t>抛丸</w:t>
            </w:r>
            <w:r>
              <w:rPr>
                <w:rFonts w:hint="default" w:ascii="Times New Roman" w:hAnsi="Times New Roman" w:cs="Times New Roman"/>
                <w:bCs/>
                <w:color w:val="auto"/>
                <w:sz w:val="24"/>
              </w:rPr>
              <w:t>粉尘（颗粒物）、</w:t>
            </w:r>
            <w:r>
              <w:rPr>
                <w:rFonts w:hint="default" w:ascii="Times New Roman" w:hAnsi="Times New Roman" w:cs="Times New Roman"/>
                <w:bCs/>
                <w:sz w:val="24"/>
              </w:rPr>
              <w:t>喷漆、晾干废气（非甲烷总烃、颗粒物）</w:t>
            </w:r>
          </w:p>
          <w:p w14:paraId="0524001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激光切割（颗粒物）</w:t>
            </w:r>
          </w:p>
          <w:p w14:paraId="5390B5AB">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w:t>
            </w:r>
            <w:r>
              <w:rPr>
                <w:rFonts w:hint="eastAsia" w:ascii="Times New Roman" w:hAnsi="Times New Roman" w:cs="Times New Roman"/>
                <w:bCs/>
                <w:color w:val="auto"/>
                <w:sz w:val="24"/>
                <w:lang w:val="en-US" w:eastAsia="zh-CN"/>
              </w:rPr>
              <w:t>下料</w:t>
            </w:r>
            <w:r>
              <w:rPr>
                <w:rFonts w:hint="default" w:ascii="Times New Roman" w:hAnsi="Times New Roman" w:cs="Times New Roman"/>
                <w:bCs/>
                <w:color w:val="auto"/>
                <w:sz w:val="24"/>
              </w:rPr>
              <w:t>激光切割过程中会产生颗粒物。激光切割</w:t>
            </w:r>
            <w:r>
              <w:rPr>
                <w:rFonts w:hint="eastAsia" w:eastAsia="宋体" w:cs="Times New Roman"/>
                <w:color w:val="auto"/>
                <w:sz w:val="24"/>
                <w:szCs w:val="24"/>
              </w:rPr>
              <w:t>参考《排放源统计调查产排污核算方法和系数手册》中机械行业系数手册中33金属制品业排污</w:t>
            </w:r>
            <w:r>
              <w:rPr>
                <w:rFonts w:hint="eastAsia" w:ascii="Times New Roman" w:hAnsi="Times New Roman" w:eastAsia="宋体" w:cs="Times New Roman"/>
                <w:color w:val="auto"/>
                <w:kern w:val="0"/>
                <w:sz w:val="24"/>
                <w:szCs w:val="24"/>
                <w:lang w:val="en-US" w:eastAsia="zh-CN" w:bidi="ar-SA"/>
              </w:rPr>
              <w:t>系数，</w:t>
            </w:r>
            <w:r>
              <w:rPr>
                <w:rFonts w:hint="default" w:ascii="Times New Roman" w:hAnsi="Times New Roman" w:eastAsia="宋体" w:cs="Times New Roman"/>
                <w:color w:val="auto"/>
                <w:kern w:val="0"/>
                <w:sz w:val="24"/>
                <w:szCs w:val="24"/>
                <w:lang w:val="en-US" w:eastAsia="zh-CN" w:bidi="ar-SA"/>
              </w:rPr>
              <w:t>激光切割机</w:t>
            </w:r>
            <w:r>
              <w:rPr>
                <w:rFonts w:hint="eastAsia" w:ascii="Times New Roman" w:hAnsi="Times New Roman" w:eastAsia="宋体" w:cs="Times New Roman"/>
                <w:color w:val="auto"/>
                <w:kern w:val="0"/>
                <w:sz w:val="24"/>
                <w:szCs w:val="24"/>
                <w:lang w:val="en-US" w:eastAsia="zh-CN" w:bidi="ar-SA"/>
              </w:rPr>
              <w:t>切割颗粒物产污系数为1.1千克/吨-原料</w:t>
            </w:r>
            <w:r>
              <w:rPr>
                <w:rFonts w:ascii="Times New Roman" w:hAnsi="Times New Roman" w:eastAsia="宋体" w:cs="Times New Roman"/>
                <w:color w:val="auto"/>
                <w:kern w:val="0"/>
                <w:sz w:val="24"/>
                <w:szCs w:val="24"/>
                <w:lang w:val="en-US" w:eastAsia="zh-CN" w:bidi="ar-SA"/>
              </w:rPr>
              <w:t>计算</w:t>
            </w:r>
            <w:r>
              <w:rPr>
                <w:rFonts w:hint="default" w:ascii="Times New Roman" w:hAnsi="Times New Roman" w:cs="Times New Roman"/>
                <w:bCs/>
                <w:color w:val="auto"/>
                <w:sz w:val="24"/>
              </w:rPr>
              <w:t>。项目板材使用量为</w:t>
            </w:r>
            <w:r>
              <w:rPr>
                <w:rFonts w:hint="eastAsia" w:ascii="Times New Roman" w:hAnsi="Times New Roman" w:cs="Times New Roman"/>
                <w:bCs/>
                <w:color w:val="auto"/>
                <w:sz w:val="24"/>
                <w:highlight w:val="none"/>
                <w:lang w:val="en-US" w:eastAsia="zh-CN"/>
              </w:rPr>
              <w:t>7</w:t>
            </w:r>
            <w:r>
              <w:rPr>
                <w:rFonts w:hint="eastAsia" w:cs="Times New Roman"/>
                <w:bCs/>
                <w:color w:val="auto"/>
                <w:sz w:val="24"/>
                <w:highlight w:val="none"/>
                <w:lang w:val="en-US" w:eastAsia="zh-CN"/>
              </w:rPr>
              <w:t>890</w:t>
            </w:r>
            <w:r>
              <w:rPr>
                <w:rFonts w:hint="default" w:ascii="Times New Roman" w:hAnsi="Times New Roman" w:cs="Times New Roman"/>
                <w:bCs/>
                <w:color w:val="auto"/>
                <w:sz w:val="24"/>
                <w:highlight w:val="none"/>
              </w:rPr>
              <w:t>t/a，</w:t>
            </w:r>
            <w:r>
              <w:rPr>
                <w:rFonts w:hint="default" w:ascii="Times New Roman" w:hAnsi="Times New Roman" w:cs="Times New Roman"/>
                <w:bCs/>
                <w:color w:val="auto"/>
                <w:sz w:val="24"/>
              </w:rPr>
              <w:t>结合上式可计算出</w:t>
            </w:r>
            <w:r>
              <w:rPr>
                <w:rFonts w:hint="eastAsia" w:cs="Times New Roman"/>
                <w:bCs/>
                <w:color w:val="auto"/>
                <w:sz w:val="24"/>
                <w:lang w:eastAsia="zh-CN"/>
              </w:rPr>
              <w:t>激光切割工序颗粒物的</w:t>
            </w:r>
            <w:r>
              <w:rPr>
                <w:rFonts w:hint="default" w:ascii="Times New Roman" w:hAnsi="Times New Roman" w:cs="Times New Roman"/>
                <w:bCs/>
                <w:color w:val="auto"/>
                <w:sz w:val="24"/>
              </w:rPr>
              <w:t>产生量为</w:t>
            </w:r>
            <w:r>
              <w:rPr>
                <w:rFonts w:hint="eastAsia" w:cs="Times New Roman"/>
                <w:bCs/>
                <w:color w:val="auto"/>
                <w:sz w:val="24"/>
                <w:lang w:val="en-US" w:eastAsia="zh-CN"/>
              </w:rPr>
              <w:t>8.7</w:t>
            </w:r>
            <w:r>
              <w:rPr>
                <w:rFonts w:hint="default" w:ascii="Times New Roman" w:hAnsi="Times New Roman" w:cs="Times New Roman"/>
                <w:bCs/>
                <w:color w:val="auto"/>
                <w:sz w:val="24"/>
              </w:rPr>
              <w:t>t/a。</w:t>
            </w:r>
          </w:p>
          <w:p w14:paraId="7E1B423B">
            <w:pPr>
              <w:adjustRightInd w:val="0"/>
              <w:snapToGrid w:val="0"/>
              <w:spacing w:line="360" w:lineRule="auto"/>
              <w:ind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【废气排放源强及污染防治措施】</w:t>
            </w:r>
          </w:p>
          <w:p w14:paraId="59A88E89">
            <w:pPr>
              <w:adjustRightInd w:val="0"/>
              <w:snapToGrid w:val="0"/>
              <w:spacing w:line="360" w:lineRule="auto"/>
              <w:ind w:firstLine="480" w:firstLineChars="20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rPr>
              <w:t>项目设置</w:t>
            </w:r>
            <w:r>
              <w:rPr>
                <w:rFonts w:hint="eastAsia" w:cs="Times New Roman"/>
                <w:bCs/>
                <w:color w:val="auto"/>
                <w:sz w:val="24"/>
                <w:lang w:val="en-US" w:eastAsia="zh-CN"/>
              </w:rPr>
              <w:t>4</w:t>
            </w:r>
            <w:r>
              <w:rPr>
                <w:rFonts w:hint="default" w:ascii="Times New Roman" w:hAnsi="Times New Roman" w:cs="Times New Roman"/>
                <w:bCs/>
                <w:color w:val="auto"/>
                <w:sz w:val="24"/>
              </w:rPr>
              <w:t>台激光切割机，配</w:t>
            </w:r>
            <w:r>
              <w:rPr>
                <w:rFonts w:hint="default" w:ascii="Times New Roman" w:hAnsi="Times New Roman" w:cs="Times New Roman"/>
                <w:bCs/>
                <w:color w:val="auto"/>
                <w:sz w:val="24"/>
                <w:lang w:val="en-US" w:eastAsia="zh-CN"/>
              </w:rPr>
              <w:t>套吸风系统，烟尘经集气管道进入</w:t>
            </w:r>
            <w:r>
              <w:rPr>
                <w:rFonts w:hint="eastAsia" w:ascii="Times New Roman" w:hAnsi="Times New Roman" w:cs="Times New Roman"/>
                <w:bCs/>
                <w:color w:val="auto"/>
                <w:sz w:val="24"/>
                <w:lang w:val="en-US" w:eastAsia="zh-CN"/>
              </w:rPr>
              <w:t>滤筒</w:t>
            </w:r>
            <w:r>
              <w:rPr>
                <w:rFonts w:hint="default" w:ascii="Times New Roman" w:hAnsi="Times New Roman" w:cs="Times New Roman"/>
                <w:bCs/>
                <w:color w:val="auto"/>
                <w:sz w:val="24"/>
                <w:lang w:val="en-US" w:eastAsia="zh-CN"/>
              </w:rPr>
              <w:t>除尘器（TA001）处理后，通过DA001排气筒外排。收集效率90%，处理效率90%。</w:t>
            </w:r>
          </w:p>
          <w:p w14:paraId="6F821E2B">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单个集气罩吸风量计算方法根据《大气污染控制工程》中的控制风速法计算。计算公式如下：</w:t>
            </w:r>
          </w:p>
          <w:p w14:paraId="5E4579B6">
            <w:pPr>
              <w:adjustRightInd w:val="0"/>
              <w:snapToGrid w:val="0"/>
              <w:spacing w:line="360" w:lineRule="auto"/>
              <w:ind w:firstLine="480" w:firstLineChars="200"/>
              <w:jc w:val="center"/>
              <w:rPr>
                <w:rFonts w:hint="default" w:ascii="Times New Roman" w:hAnsi="Times New Roman" w:cs="Times New Roman"/>
                <w:bCs/>
                <w:color w:val="auto"/>
                <w:sz w:val="24"/>
              </w:rPr>
            </w:pPr>
            <w:r>
              <w:rPr>
                <w:rFonts w:hint="default" w:ascii="Times New Roman" w:hAnsi="Times New Roman" w:cs="Times New Roman"/>
                <w:bCs/>
                <w:color w:val="auto"/>
                <w:sz w:val="24"/>
              </w:rPr>
              <w:t>Q=3600*K</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P</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H</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V</w:t>
            </w:r>
            <w:r>
              <w:rPr>
                <w:rFonts w:hint="default" w:ascii="Times New Roman" w:hAnsi="Times New Roman" w:cs="Times New Roman"/>
                <w:bCs/>
                <w:color w:val="auto"/>
                <w:sz w:val="24"/>
                <w:lang w:val="en-US" w:eastAsia="zh-CN"/>
              </w:rPr>
              <w:t>x</w:t>
            </w:r>
            <w:r>
              <w:rPr>
                <w:rFonts w:hint="default" w:ascii="Times New Roman" w:hAnsi="Times New Roman" w:cs="Times New Roman"/>
                <w:bCs/>
                <w:color w:val="auto"/>
                <w:sz w:val="24"/>
              </w:rPr>
              <w:t xml:space="preserve">       （</w:t>
            </w:r>
            <w:r>
              <w:rPr>
                <w:rFonts w:hint="default" w:ascii="Times New Roman" w:hAnsi="Times New Roman" w:cs="Times New Roman"/>
                <w:bCs/>
                <w:color w:val="auto"/>
                <w:sz w:val="24"/>
                <w:lang w:val="en-US" w:eastAsia="zh-CN"/>
              </w:rPr>
              <w:t>4</w:t>
            </w:r>
            <w:r>
              <w:rPr>
                <w:rFonts w:hint="default" w:ascii="Times New Roman" w:hAnsi="Times New Roman" w:cs="Times New Roman"/>
                <w:bCs/>
                <w:color w:val="auto"/>
                <w:sz w:val="24"/>
              </w:rPr>
              <w:t>-1）</w:t>
            </w:r>
          </w:p>
          <w:p w14:paraId="545C8977">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其中，Q为风量，m³/h；</w:t>
            </w:r>
          </w:p>
          <w:p w14:paraId="066449A7">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K：考虑沿高度速度不均匀的安全系数，通常取1.4；</w:t>
            </w:r>
          </w:p>
          <w:p w14:paraId="79F40E17">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P：罩口周长，m；</w:t>
            </w:r>
          </w:p>
          <w:p w14:paraId="1F9E590D">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H：罩口至污染源的距离，m；</w:t>
            </w:r>
          </w:p>
          <w:p w14:paraId="00B0E394">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V</w:t>
            </w:r>
            <w:r>
              <w:rPr>
                <w:rFonts w:hint="default" w:ascii="Times New Roman" w:hAnsi="Times New Roman" w:cs="Times New Roman"/>
                <w:bCs/>
                <w:color w:val="auto"/>
                <w:sz w:val="24"/>
                <w:lang w:val="en-US" w:eastAsia="zh-CN"/>
              </w:rPr>
              <w:t>x</w:t>
            </w:r>
            <w:r>
              <w:rPr>
                <w:rFonts w:hint="default" w:ascii="Times New Roman" w:hAnsi="Times New Roman" w:cs="Times New Roman"/>
                <w:bCs/>
                <w:color w:val="auto"/>
                <w:sz w:val="24"/>
              </w:rPr>
              <w:t>：污染源控制速度，m/s；</w:t>
            </w:r>
          </w:p>
          <w:p w14:paraId="657D69B2">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根据《大气污染控制工程》中可得，当污染源从轻微速度发散到相对平静的空气中时，污染源控制速度在0.25~0.5m/s，本项目取0.</w:t>
            </w:r>
            <w:r>
              <w:rPr>
                <w:rFonts w:hint="eastAsia" w:cs="Times New Roman"/>
                <w:bCs/>
                <w:color w:val="auto"/>
                <w:sz w:val="24"/>
                <w:lang w:val="en-US" w:eastAsia="zh-CN"/>
              </w:rPr>
              <w:t>4</w:t>
            </w:r>
            <w:r>
              <w:rPr>
                <w:rFonts w:hint="default" w:ascii="Times New Roman" w:hAnsi="Times New Roman" w:cs="Times New Roman"/>
                <w:bCs/>
                <w:color w:val="auto"/>
                <w:sz w:val="24"/>
              </w:rPr>
              <w:t>m/s，即V</w:t>
            </w:r>
            <w:r>
              <w:rPr>
                <w:rFonts w:hint="default" w:ascii="Times New Roman" w:hAnsi="Times New Roman" w:cs="Times New Roman"/>
                <w:bCs/>
                <w:color w:val="auto"/>
                <w:sz w:val="24"/>
                <w:lang w:val="en-US" w:eastAsia="zh-CN"/>
              </w:rPr>
              <w:t>x</w:t>
            </w:r>
            <w:r>
              <w:rPr>
                <w:rFonts w:hint="default" w:ascii="Times New Roman" w:hAnsi="Times New Roman" w:cs="Times New Roman"/>
                <w:bCs/>
                <w:color w:val="auto"/>
                <w:sz w:val="24"/>
              </w:rPr>
              <w:t>=0.</w:t>
            </w:r>
            <w:r>
              <w:rPr>
                <w:rFonts w:hint="eastAsia" w:cs="Times New Roman"/>
                <w:bCs/>
                <w:color w:val="auto"/>
                <w:sz w:val="24"/>
                <w:lang w:val="en-US" w:eastAsia="zh-CN"/>
              </w:rPr>
              <w:t>4</w:t>
            </w:r>
            <w:r>
              <w:rPr>
                <w:rFonts w:hint="default" w:ascii="Times New Roman" w:hAnsi="Times New Roman" w:cs="Times New Roman"/>
                <w:bCs/>
                <w:color w:val="auto"/>
                <w:sz w:val="24"/>
              </w:rPr>
              <w:t>m/s。激光切割工段风量计算见下表。</w:t>
            </w:r>
          </w:p>
          <w:p w14:paraId="24FD30E6">
            <w:pPr>
              <w:pStyle w:val="72"/>
              <w:spacing w:before="0" w:line="240" w:lineRule="auto"/>
              <w:ind w:left="0"/>
              <w:jc w:val="center"/>
              <w:rPr>
                <w:rFonts w:hint="default" w:ascii="Times New Roman" w:hAnsi="Times New Roman" w:cs="Times New Roman"/>
                <w:bCs/>
                <w:color w:val="auto"/>
                <w:sz w:val="24"/>
              </w:rPr>
            </w:pPr>
            <w:r>
              <w:rPr>
                <w:rFonts w:hint="default" w:ascii="Times New Roman" w:hAnsi="Times New Roman" w:cs="Times New Roman"/>
                <w:b/>
                <w:bCs/>
                <w:color w:val="auto"/>
                <w:spacing w:val="-3"/>
              </w:rPr>
              <w:t>表</w:t>
            </w:r>
            <w:r>
              <w:rPr>
                <w:rFonts w:hint="eastAsia" w:ascii="Times New Roman" w:hAnsi="Times New Roman" w:eastAsia="宋体" w:cs="Times New Roman"/>
                <w:b/>
                <w:bCs/>
                <w:color w:val="auto"/>
                <w:spacing w:val="-3"/>
                <w:lang w:val="en-US" w:eastAsia="zh-CN"/>
              </w:rPr>
              <w:t>4</w:t>
            </w:r>
            <w:r>
              <w:rPr>
                <w:rFonts w:hint="eastAsia" w:ascii="Times New Roman" w:hAnsi="Times New Roman" w:cs="Times New Roman"/>
                <w:b/>
                <w:bCs/>
                <w:color w:val="auto"/>
                <w:spacing w:val="-3"/>
                <w:lang w:val="en-US" w:eastAsia="zh-CN"/>
              </w:rPr>
              <w:t>-3</w:t>
            </w:r>
            <w:r>
              <w:rPr>
                <w:rFonts w:hint="eastAsia" w:ascii="Times New Roman" w:hAnsi="Times New Roman" w:eastAsia="宋体" w:cs="Times New Roman"/>
                <w:b/>
                <w:bCs/>
                <w:color w:val="auto"/>
                <w:spacing w:val="-3"/>
                <w:lang w:eastAsia="zh-CN"/>
              </w:rPr>
              <w:t xml:space="preserve">  </w:t>
            </w:r>
            <w:r>
              <w:rPr>
                <w:rFonts w:hint="default" w:ascii="Times New Roman" w:hAnsi="Times New Roman" w:cs="Times New Roman"/>
                <w:b/>
                <w:bCs/>
                <w:color w:val="auto"/>
                <w:spacing w:val="-3"/>
              </w:rPr>
              <w:t>风量计算表</w:t>
            </w:r>
          </w:p>
          <w:tbl>
            <w:tblPr>
              <w:tblStyle w:val="7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1159"/>
              <w:gridCol w:w="1387"/>
              <w:gridCol w:w="1339"/>
              <w:gridCol w:w="756"/>
              <w:gridCol w:w="2002"/>
              <w:gridCol w:w="1166"/>
            </w:tblGrid>
            <w:tr w14:paraId="049DD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67" w:type="pct"/>
                  <w:vAlign w:val="center"/>
                </w:tcPr>
                <w:p w14:paraId="7D1C713A">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污染源</w:t>
                  </w:r>
                </w:p>
              </w:tc>
              <w:tc>
                <w:tcPr>
                  <w:tcW w:w="687" w:type="pct"/>
                  <w:vAlign w:val="center"/>
                </w:tcPr>
                <w:p w14:paraId="6EEDCC25">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罩口周长 P（m）</w:t>
                  </w:r>
                </w:p>
              </w:tc>
              <w:tc>
                <w:tcPr>
                  <w:tcW w:w="822" w:type="pct"/>
                  <w:vAlign w:val="center"/>
                </w:tcPr>
                <w:p w14:paraId="652BD91B">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罩面距源距离H（m）</w:t>
                  </w:r>
                </w:p>
              </w:tc>
              <w:tc>
                <w:tcPr>
                  <w:tcW w:w="794" w:type="pct"/>
                  <w:vAlign w:val="center"/>
                </w:tcPr>
                <w:p w14:paraId="6874F624">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控制风速V</w:t>
                  </w:r>
                  <w:r>
                    <w:rPr>
                      <w:rFonts w:hint="default" w:ascii="Times New Roman" w:hAnsi="Times New Roman" w:cs="Times New Roman"/>
                      <w:bCs/>
                      <w:color w:val="auto"/>
                      <w:sz w:val="21"/>
                      <w:szCs w:val="21"/>
                      <w:lang w:val="en-US" w:eastAsia="zh-CN"/>
                    </w:rPr>
                    <w:t>x</w:t>
                  </w:r>
                  <w:r>
                    <w:rPr>
                      <w:rFonts w:hint="default" w:ascii="Times New Roman" w:hAnsi="Times New Roman" w:cs="Times New Roman"/>
                      <w:bCs/>
                      <w:color w:val="auto"/>
                      <w:sz w:val="21"/>
                      <w:szCs w:val="21"/>
                    </w:rPr>
                    <w:t>（m/s）</w:t>
                  </w:r>
                </w:p>
              </w:tc>
              <w:tc>
                <w:tcPr>
                  <w:tcW w:w="448" w:type="pct"/>
                  <w:vAlign w:val="center"/>
                </w:tcPr>
                <w:p w14:paraId="7BAAE4C7">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安全系 数K</w:t>
                  </w:r>
                </w:p>
              </w:tc>
              <w:tc>
                <w:tcPr>
                  <w:tcW w:w="1187" w:type="pct"/>
                  <w:vAlign w:val="center"/>
                </w:tcPr>
                <w:p w14:paraId="4D007217">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单个收集设施设计风量（m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/h）</w:t>
                  </w:r>
                </w:p>
              </w:tc>
              <w:tc>
                <w:tcPr>
                  <w:tcW w:w="691" w:type="pct"/>
                  <w:vAlign w:val="center"/>
                </w:tcPr>
                <w:p w14:paraId="72B54E95">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总风量（m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/h）</w:t>
                  </w:r>
                </w:p>
              </w:tc>
            </w:tr>
            <w:tr w14:paraId="0B26E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367" w:type="pct"/>
                  <w:vAlign w:val="center"/>
                </w:tcPr>
                <w:p w14:paraId="726798D8">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激光 切割</w:t>
                  </w:r>
                </w:p>
              </w:tc>
              <w:tc>
                <w:tcPr>
                  <w:tcW w:w="687" w:type="pct"/>
                  <w:vAlign w:val="center"/>
                </w:tcPr>
                <w:p w14:paraId="1394AA92">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822" w:type="pct"/>
                  <w:vAlign w:val="center"/>
                </w:tcPr>
                <w:p w14:paraId="0144D4D7">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0.2</w:t>
                  </w:r>
                </w:p>
              </w:tc>
              <w:tc>
                <w:tcPr>
                  <w:tcW w:w="794" w:type="pct"/>
                  <w:vAlign w:val="center"/>
                </w:tcPr>
                <w:p w14:paraId="626DE784">
                  <w:pPr>
                    <w:pStyle w:val="45"/>
                    <w:spacing w:line="240" w:lineRule="auto"/>
                    <w:ind w:firstLine="0" w:firstLineChars="0"/>
                    <w:jc w:val="center"/>
                    <w:rPr>
                      <w:rFonts w:hint="eastAsia"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0.</w:t>
                  </w:r>
                  <w:r>
                    <w:rPr>
                      <w:rFonts w:hint="eastAsia" w:cs="Times New Roman"/>
                      <w:bCs/>
                      <w:color w:val="auto"/>
                      <w:sz w:val="21"/>
                      <w:szCs w:val="21"/>
                      <w:lang w:val="en-US" w:eastAsia="zh-CN"/>
                    </w:rPr>
                    <w:t>4</w:t>
                  </w:r>
                </w:p>
              </w:tc>
              <w:tc>
                <w:tcPr>
                  <w:tcW w:w="448" w:type="pct"/>
                  <w:vAlign w:val="center"/>
                </w:tcPr>
                <w:p w14:paraId="402C3460">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w:t>
                  </w:r>
                </w:p>
              </w:tc>
              <w:tc>
                <w:tcPr>
                  <w:tcW w:w="1187" w:type="pct"/>
                  <w:vAlign w:val="center"/>
                </w:tcPr>
                <w:p w14:paraId="076E8446">
                  <w:pPr>
                    <w:pStyle w:val="45"/>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1209.6</w:t>
                  </w:r>
                </w:p>
              </w:tc>
              <w:tc>
                <w:tcPr>
                  <w:tcW w:w="691" w:type="pct"/>
                  <w:vAlign w:val="center"/>
                </w:tcPr>
                <w:p w14:paraId="55F7BBDC">
                  <w:pPr>
                    <w:pStyle w:val="45"/>
                    <w:spacing w:line="240" w:lineRule="auto"/>
                    <w:ind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cs="Times New Roman"/>
                      <w:bCs/>
                      <w:color w:val="auto"/>
                      <w:sz w:val="21"/>
                      <w:szCs w:val="21"/>
                      <w:lang w:val="en-US" w:eastAsia="zh-CN"/>
                    </w:rPr>
                    <w:t>6451.2</w:t>
                  </w:r>
                </w:p>
              </w:tc>
            </w:tr>
          </w:tbl>
          <w:p w14:paraId="437C73C6">
            <w:pPr>
              <w:adjustRightInd w:val="0"/>
              <w:snapToGrid w:val="0"/>
              <w:spacing w:line="360" w:lineRule="auto"/>
              <w:ind w:firstLine="464" w:firstLineChars="200"/>
              <w:rPr>
                <w:rFonts w:hint="default" w:ascii="Times New Roman" w:hAnsi="Times New Roman" w:cs="Times New Roman"/>
                <w:bCs/>
                <w:color w:val="auto"/>
                <w:sz w:val="24"/>
              </w:rPr>
            </w:pPr>
            <w:r>
              <w:rPr>
                <w:rFonts w:hint="default" w:ascii="Times New Roman" w:hAnsi="Times New Roman" w:cs="Times New Roman"/>
                <w:color w:val="auto"/>
                <w:spacing w:val="-4"/>
                <w:sz w:val="24"/>
              </w:rPr>
              <w:t>由上表可知，激光切割工段总风量为</w:t>
            </w:r>
            <w:r>
              <w:rPr>
                <w:rFonts w:hint="eastAsia" w:cs="Times New Roman"/>
                <w:color w:val="auto"/>
                <w:spacing w:val="-4"/>
                <w:sz w:val="24"/>
                <w:lang w:val="en-US" w:eastAsia="zh-CN"/>
              </w:rPr>
              <w:t>6451.2</w:t>
            </w:r>
            <w:r>
              <w:rPr>
                <w:rFonts w:hint="default" w:ascii="Times New Roman" w:hAnsi="Times New Roman" w:eastAsia="Times New Roman" w:cs="Times New Roman"/>
                <w:color w:val="auto"/>
                <w:spacing w:val="-4"/>
                <w:sz w:val="24"/>
              </w:rPr>
              <w:t>m</w:t>
            </w:r>
            <w:r>
              <w:rPr>
                <w:rFonts w:hint="eastAsia" w:eastAsia="宋体" w:cs="Times New Roman"/>
                <w:color w:val="auto"/>
                <w:spacing w:val="-4"/>
                <w:sz w:val="24"/>
                <w:vertAlign w:val="superscript"/>
                <w:lang w:val="en-US" w:eastAsia="zh-CN"/>
              </w:rPr>
              <w:t>3</w:t>
            </w:r>
            <w:r>
              <w:rPr>
                <w:rFonts w:hint="eastAsia" w:eastAsia="宋体" w:cs="Times New Roman"/>
                <w:color w:val="auto"/>
                <w:spacing w:val="-4"/>
                <w:sz w:val="24"/>
                <w:lang w:val="en-US" w:eastAsia="zh-CN"/>
              </w:rPr>
              <w:t>/</w:t>
            </w:r>
            <w:r>
              <w:rPr>
                <w:rFonts w:hint="default" w:ascii="Times New Roman" w:hAnsi="Times New Roman" w:eastAsia="Times New Roman" w:cs="Times New Roman"/>
                <w:color w:val="auto"/>
                <w:spacing w:val="-4"/>
                <w:sz w:val="24"/>
              </w:rPr>
              <w:t>h</w:t>
            </w:r>
            <w:r>
              <w:rPr>
                <w:rFonts w:hint="default" w:ascii="Times New Roman" w:hAnsi="Times New Roman" w:cs="Times New Roman"/>
                <w:color w:val="auto"/>
                <w:spacing w:val="-4"/>
                <w:sz w:val="24"/>
              </w:rPr>
              <w:t>，本次取</w:t>
            </w:r>
            <w:r>
              <w:rPr>
                <w:rFonts w:hint="eastAsia" w:ascii="Times New Roman" w:hAnsi="Times New Roman" w:cs="Times New Roman"/>
                <w:color w:val="auto"/>
                <w:spacing w:val="-4"/>
                <w:sz w:val="24"/>
                <w:lang w:val="en-US" w:eastAsia="zh-CN"/>
              </w:rPr>
              <w:t>8000</w:t>
            </w:r>
            <w:r>
              <w:rPr>
                <w:rFonts w:hint="default" w:ascii="Times New Roman" w:hAnsi="Times New Roman" w:eastAsia="Times New Roman" w:cs="Times New Roman"/>
                <w:color w:val="auto"/>
                <w:spacing w:val="-4"/>
                <w:sz w:val="24"/>
              </w:rPr>
              <w:t>m</w:t>
            </w:r>
            <w:r>
              <w:rPr>
                <w:rFonts w:hint="eastAsia" w:eastAsia="宋体" w:cs="Times New Roman"/>
                <w:color w:val="auto"/>
                <w:spacing w:val="-4"/>
                <w:sz w:val="24"/>
                <w:vertAlign w:val="superscript"/>
                <w:lang w:val="en-US" w:eastAsia="zh-CN"/>
              </w:rPr>
              <w:t>3</w:t>
            </w:r>
            <w:r>
              <w:rPr>
                <w:rFonts w:hint="eastAsia" w:eastAsia="宋体" w:cs="Times New Roman"/>
                <w:color w:val="auto"/>
                <w:spacing w:val="-4"/>
                <w:sz w:val="24"/>
                <w:lang w:val="en-US" w:eastAsia="zh-CN"/>
              </w:rPr>
              <w:t>/</w:t>
            </w:r>
            <w:r>
              <w:rPr>
                <w:rFonts w:hint="default" w:ascii="Times New Roman" w:hAnsi="Times New Roman" w:eastAsia="Times New Roman" w:cs="Times New Roman"/>
                <w:color w:val="auto"/>
                <w:spacing w:val="-4"/>
                <w:sz w:val="24"/>
              </w:rPr>
              <w:t>h</w:t>
            </w:r>
            <w:r>
              <w:rPr>
                <w:rFonts w:hint="default" w:ascii="Times New Roman" w:hAnsi="Times New Roman" w:cs="Times New Roman"/>
                <w:color w:val="auto"/>
                <w:spacing w:val="-4"/>
                <w:sz w:val="24"/>
              </w:rPr>
              <w:t>。经上述</w:t>
            </w:r>
            <w:r>
              <w:rPr>
                <w:rFonts w:hint="default" w:ascii="Times New Roman" w:hAnsi="Times New Roman" w:cs="Times New Roman"/>
                <w:color w:val="auto"/>
                <w:spacing w:val="-3"/>
                <w:sz w:val="24"/>
              </w:rPr>
              <w:t>治理设施处理后</w:t>
            </w:r>
            <w:r>
              <w:rPr>
                <w:rFonts w:hint="eastAsia" w:ascii="Times New Roman" w:hAnsi="Times New Roman" w:cs="Times New Roman"/>
                <w:color w:val="auto"/>
                <w:spacing w:val="-3"/>
                <w:sz w:val="24"/>
                <w:lang w:eastAsia="zh-CN"/>
              </w:rPr>
              <w:t>，</w:t>
            </w:r>
            <w:r>
              <w:rPr>
                <w:rFonts w:hint="eastAsia" w:cs="Times New Roman"/>
                <w:bCs/>
                <w:color w:val="auto"/>
                <w:sz w:val="24"/>
                <w:lang w:val="en-US" w:eastAsia="zh-CN"/>
              </w:rPr>
              <w:t>颗粒物有组织产生量为7.83</w:t>
            </w:r>
            <w:r>
              <w:rPr>
                <w:rFonts w:hint="default" w:ascii="Times New Roman" w:hAnsi="Times New Roman" w:cs="Times New Roman"/>
                <w:bCs/>
                <w:color w:val="auto"/>
                <w:sz w:val="24"/>
              </w:rPr>
              <w:t>t/a</w:t>
            </w:r>
            <w:r>
              <w:rPr>
                <w:rFonts w:hint="eastAsia" w:cs="Times New Roman"/>
                <w:bCs/>
                <w:color w:val="auto"/>
                <w:sz w:val="24"/>
                <w:lang w:eastAsia="zh-CN"/>
              </w:rPr>
              <w:t>，</w:t>
            </w:r>
            <w:r>
              <w:rPr>
                <w:rFonts w:hint="default" w:ascii="Times New Roman" w:hAnsi="Times New Roman" w:cs="Times New Roman"/>
                <w:color w:val="auto"/>
                <w:sz w:val="24"/>
                <w:highlight w:val="none"/>
              </w:rPr>
              <w:t>产生速率</w:t>
            </w:r>
            <w:r>
              <w:rPr>
                <w:rFonts w:hint="eastAsia" w:cs="Times New Roman"/>
                <w:color w:val="auto"/>
                <w:sz w:val="24"/>
                <w:highlight w:val="none"/>
                <w:lang w:val="en-US" w:eastAsia="zh-CN"/>
              </w:rPr>
              <w:t>3.26</w:t>
            </w:r>
            <w:r>
              <w:rPr>
                <w:rFonts w:hint="default" w:ascii="Times New Roman" w:hAnsi="Times New Roman" w:cs="Times New Roman"/>
                <w:color w:val="auto"/>
                <w:sz w:val="24"/>
              </w:rPr>
              <w:t>kg/h，有组织产生浓度为</w:t>
            </w:r>
            <w:r>
              <w:rPr>
                <w:rFonts w:hint="eastAsia" w:cs="Times New Roman"/>
                <w:color w:val="auto"/>
                <w:sz w:val="24"/>
                <w:lang w:val="en-US" w:eastAsia="zh-CN"/>
              </w:rPr>
              <w:t>407.5</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。有组织的排放量0.</w:t>
            </w:r>
            <w:r>
              <w:rPr>
                <w:rFonts w:hint="eastAsia" w:cs="Times New Roman"/>
                <w:color w:val="auto"/>
                <w:sz w:val="24"/>
                <w:lang w:val="en-US" w:eastAsia="zh-CN"/>
              </w:rPr>
              <w:t>783</w:t>
            </w:r>
            <w:r>
              <w:rPr>
                <w:rFonts w:hint="default" w:ascii="Times New Roman" w:hAnsi="Times New Roman" w:cs="Times New Roman"/>
                <w:color w:val="auto"/>
                <w:sz w:val="24"/>
              </w:rPr>
              <w:t>t/a，有组织的排放速率0.</w:t>
            </w:r>
            <w:r>
              <w:rPr>
                <w:rFonts w:hint="eastAsia" w:cs="Times New Roman"/>
                <w:color w:val="auto"/>
                <w:sz w:val="24"/>
                <w:lang w:val="en-US" w:eastAsia="zh-CN"/>
              </w:rPr>
              <w:t>33</w:t>
            </w:r>
            <w:r>
              <w:rPr>
                <w:rFonts w:hint="default" w:ascii="Times New Roman" w:hAnsi="Times New Roman" w:cs="Times New Roman"/>
                <w:color w:val="auto"/>
                <w:sz w:val="24"/>
              </w:rPr>
              <w:t>kg/h，有组织的排放浓度为</w:t>
            </w:r>
            <w:r>
              <w:rPr>
                <w:rFonts w:hint="eastAsia" w:cs="Times New Roman"/>
                <w:color w:val="auto"/>
                <w:sz w:val="24"/>
                <w:lang w:val="en-US" w:eastAsia="zh-CN"/>
              </w:rPr>
              <w:t>41.25</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pacing w:val="-3"/>
                <w:sz w:val="24"/>
              </w:rPr>
              <w:t>无组织排放量为</w:t>
            </w:r>
            <w:r>
              <w:rPr>
                <w:rFonts w:hint="default" w:ascii="Times New Roman" w:hAnsi="Times New Roman" w:eastAsia="Times New Roman" w:cs="Times New Roman"/>
                <w:color w:val="auto"/>
                <w:spacing w:val="-1"/>
                <w:sz w:val="24"/>
              </w:rPr>
              <w:t>0.</w:t>
            </w:r>
            <w:r>
              <w:rPr>
                <w:rFonts w:hint="eastAsia" w:ascii="Times New Roman" w:hAnsi="Times New Roman" w:eastAsia="宋体" w:cs="Times New Roman"/>
                <w:color w:val="auto"/>
                <w:spacing w:val="-1"/>
                <w:sz w:val="24"/>
                <w:lang w:val="en-US" w:eastAsia="zh-CN"/>
              </w:rPr>
              <w:t>8</w:t>
            </w:r>
            <w:r>
              <w:rPr>
                <w:rFonts w:hint="eastAsia" w:cs="Times New Roman"/>
                <w:color w:val="auto"/>
                <w:spacing w:val="-1"/>
                <w:sz w:val="24"/>
                <w:lang w:val="en-US" w:eastAsia="zh-CN"/>
              </w:rPr>
              <w:t>7</w:t>
            </w:r>
            <w:r>
              <w:rPr>
                <w:rFonts w:hint="default" w:ascii="Times New Roman" w:hAnsi="Times New Roman" w:eastAsia="Times New Roman" w:cs="Times New Roman"/>
                <w:color w:val="auto"/>
                <w:spacing w:val="-1"/>
                <w:sz w:val="24"/>
              </w:rPr>
              <w:t>t/a</w:t>
            </w:r>
            <w:r>
              <w:rPr>
                <w:rFonts w:hint="default" w:ascii="Times New Roman" w:hAnsi="Times New Roman" w:cs="Times New Roman"/>
                <w:color w:val="auto"/>
                <w:spacing w:val="-1"/>
                <w:sz w:val="24"/>
              </w:rPr>
              <w:t>。</w:t>
            </w:r>
          </w:p>
          <w:p w14:paraId="507039C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2、焊接烟尘（颗粒物）</w:t>
            </w:r>
          </w:p>
          <w:p w14:paraId="7D810CD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auto"/>
                <w:sz w:val="24"/>
              </w:rPr>
              <w:t>项目产品部分位置需要焊接，因仅部分位置需要焊接，焊接使用小型电焊由人工进行焊接，经根据《排放源统计调查产排污核算方法和系数手册》（公告2021年第24号）焊接工序产污系数为20.2千克/吨-原料，本项目焊丝使用量约为</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t/a，则焊接烟尘产生量约为0.0</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t/a，焊接烟尘经可移动式焊接</w:t>
            </w:r>
            <w:r>
              <w:rPr>
                <w:rFonts w:hint="default" w:ascii="Times New Roman" w:hAnsi="Times New Roman" w:cs="Times New Roman"/>
                <w:color w:val="000000" w:themeColor="text1"/>
                <w:sz w:val="24"/>
                <w14:textFill>
                  <w14:solidFill>
                    <w14:schemeClr w14:val="tx1"/>
                  </w14:solidFill>
                </w14:textFill>
              </w:rPr>
              <w:t>烟尘净化器进行处理，收集效率为80%，去除效率为90%，则焊接烟尘产生量为0.0</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t/a，产生速率为0.0</w:t>
            </w:r>
            <w:r>
              <w:rPr>
                <w:rFonts w:hint="default" w:ascii="Times New Roman" w:hAnsi="Times New Roman" w:cs="Times New Roman"/>
                <w:color w:val="000000" w:themeColor="text1"/>
                <w:sz w:val="24"/>
                <w:lang w:val="en-US" w:eastAsia="zh-CN"/>
                <w14:textFill>
                  <w14:solidFill>
                    <w14:schemeClr w14:val="tx1"/>
                  </w14:solidFill>
                </w14:textFill>
              </w:rPr>
              <w:t>17</w:t>
            </w:r>
            <w:r>
              <w:rPr>
                <w:rFonts w:hint="default" w:ascii="Times New Roman" w:hAnsi="Times New Roman" w:cs="Times New Roman"/>
                <w:color w:val="000000" w:themeColor="text1"/>
                <w14:textFill>
                  <w14:solidFill>
                    <w14:schemeClr w14:val="tx1"/>
                  </w14:solidFill>
                </w14:textFill>
              </w:rPr>
              <w:t>kg/h，</w:t>
            </w:r>
            <w:r>
              <w:rPr>
                <w:rFonts w:hint="default" w:ascii="Times New Roman" w:hAnsi="Times New Roman" w:cs="Times New Roman"/>
                <w:color w:val="000000" w:themeColor="text1"/>
                <w:sz w:val="24"/>
                <w14:textFill>
                  <w14:solidFill>
                    <w14:schemeClr w14:val="tx1"/>
                  </w14:solidFill>
                </w14:textFill>
              </w:rPr>
              <w:t>焊接烟尘排放量为</w:t>
            </w:r>
            <w:r>
              <w:rPr>
                <w:rFonts w:hint="default" w:ascii="Times New Roman" w:hAnsi="Times New Roman" w:cs="Times New Roman"/>
                <w:color w:val="000000" w:themeColor="text1"/>
                <w:kern w:val="0"/>
                <w:sz w:val="24"/>
                <w:szCs w:val="20"/>
                <w14:textFill>
                  <w14:solidFill>
                    <w14:schemeClr w14:val="tx1"/>
                  </w14:solidFill>
                </w14:textFill>
              </w:rPr>
              <w:t>0.0</w:t>
            </w:r>
            <w:r>
              <w:rPr>
                <w:rFonts w:hint="default" w:ascii="Times New Roman" w:hAnsi="Times New Roman" w:cs="Times New Roman"/>
                <w:color w:val="000000" w:themeColor="text1"/>
                <w:kern w:val="0"/>
                <w:sz w:val="24"/>
                <w:szCs w:val="20"/>
                <w:lang w:val="en-US" w:eastAsia="zh-CN"/>
                <w14:textFill>
                  <w14:solidFill>
                    <w14:schemeClr w14:val="tx1"/>
                  </w14:solidFill>
                </w14:textFill>
              </w:rPr>
              <w:t>5</w:t>
            </w:r>
            <w:r>
              <w:rPr>
                <w:rFonts w:hint="default" w:ascii="Times New Roman" w:hAnsi="Times New Roman" w:cs="Times New Roman"/>
                <w:color w:val="000000" w:themeColor="text1"/>
                <w:kern w:val="0"/>
                <w:sz w:val="24"/>
                <w:szCs w:val="20"/>
                <w14:textFill>
                  <w14:solidFill>
                    <w14:schemeClr w14:val="tx1"/>
                  </w14:solidFill>
                </w14:textFill>
              </w:rPr>
              <w:t>t/a×（1-80%）+0.0</w:t>
            </w:r>
            <w:r>
              <w:rPr>
                <w:rFonts w:hint="default" w:ascii="Times New Roman" w:hAnsi="Times New Roman" w:cs="Times New Roman"/>
                <w:color w:val="000000" w:themeColor="text1"/>
                <w:kern w:val="0"/>
                <w:sz w:val="24"/>
                <w:szCs w:val="20"/>
                <w:lang w:val="en-US" w:eastAsia="zh-CN"/>
                <w14:textFill>
                  <w14:solidFill>
                    <w14:schemeClr w14:val="tx1"/>
                  </w14:solidFill>
                </w14:textFill>
              </w:rPr>
              <w:t>5</w:t>
            </w:r>
            <w:r>
              <w:rPr>
                <w:rFonts w:hint="default" w:ascii="Times New Roman" w:hAnsi="Times New Roman" w:cs="Times New Roman"/>
                <w:color w:val="000000" w:themeColor="text1"/>
                <w:kern w:val="0"/>
                <w:sz w:val="24"/>
                <w:szCs w:val="20"/>
                <w14:textFill>
                  <w14:solidFill>
                    <w14:schemeClr w14:val="tx1"/>
                  </w14:solidFill>
                </w14:textFill>
              </w:rPr>
              <w:t>t/a×80%×（1-90%）=</w:t>
            </w:r>
            <w:r>
              <w:rPr>
                <w:rFonts w:hint="eastAsia" w:cs="Times New Roman"/>
                <w:color w:val="000000" w:themeColor="text1"/>
                <w:kern w:val="0"/>
                <w:sz w:val="24"/>
                <w:szCs w:val="20"/>
                <w:lang w:eastAsia="zh-CN"/>
                <w14:textFill>
                  <w14:solidFill>
                    <w14:schemeClr w14:val="tx1"/>
                  </w14:solidFill>
                </w14:textFill>
              </w:rPr>
              <w:t>0.014</w:t>
            </w:r>
            <w:r>
              <w:rPr>
                <w:rFonts w:hint="default" w:ascii="Times New Roman" w:hAnsi="Times New Roman" w:cs="Times New Roman"/>
                <w:color w:val="000000" w:themeColor="text1"/>
                <w:sz w:val="24"/>
                <w14:textFill>
                  <w14:solidFill>
                    <w14:schemeClr w14:val="tx1"/>
                  </w14:solidFill>
                </w14:textFill>
              </w:rPr>
              <w:t>t/a，排放速率为0.0</w:t>
            </w:r>
            <w:r>
              <w:rPr>
                <w:rFonts w:hint="eastAsia" w:ascii="Times New Roman" w:hAnsi="Times New Roman" w:cs="Times New Roman"/>
                <w:color w:val="000000" w:themeColor="text1"/>
                <w:sz w:val="24"/>
                <w:lang w:val="en-US" w:eastAsia="zh-CN"/>
                <w14:textFill>
                  <w14:solidFill>
                    <w14:schemeClr w14:val="tx1"/>
                  </w14:solidFill>
                </w14:textFill>
              </w:rPr>
              <w:t>0</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kg/h。焊接烟尘排放量较少，由可移动式焊接烟尘净化器处理后在车间内无组织排放。</w:t>
            </w:r>
          </w:p>
          <w:p w14:paraId="7DDE0740">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抛丸粉尘（颗粒物）</w:t>
            </w:r>
          </w:p>
          <w:p w14:paraId="7CF10F9C">
            <w:pPr>
              <w:tabs>
                <w:tab w:val="center" w:pos="4813"/>
              </w:tabs>
              <w:adjustRightInd w:val="0"/>
              <w:snapToGrid w:val="0"/>
              <w:spacing w:line="360" w:lineRule="auto"/>
              <w:ind w:firstLine="480" w:firstLineChars="200"/>
              <w:rPr>
                <w:rFonts w:hint="eastAsia" w:ascii="Times New Roman" w:hAnsi="Times New Roman" w:eastAsia="宋体" w:cs="Times New Roman"/>
                <w:color w:val="0000FF"/>
                <w:sz w:val="24"/>
                <w:lang w:val="en-US" w:eastAsia="zh-CN"/>
              </w:rPr>
            </w:pPr>
            <w:r>
              <w:rPr>
                <w:rFonts w:hint="default" w:ascii="Times New Roman" w:hAnsi="Times New Roman" w:cs="Times New Roman"/>
                <w:color w:val="000000" w:themeColor="text1"/>
                <w:sz w:val="24"/>
                <w14:textFill>
                  <w14:solidFill>
                    <w14:schemeClr w14:val="tx1"/>
                  </w14:solidFill>
                </w14:textFill>
              </w:rPr>
              <w:t>在生产过程中，部分工件需要进行抛丸处理。根据《排放源统计调查产排污核算方法和系</w:t>
            </w:r>
            <w:r>
              <w:rPr>
                <w:rFonts w:hint="default" w:ascii="Times New Roman" w:hAnsi="Times New Roman" w:cs="Times New Roman"/>
                <w:color w:val="000000" w:themeColor="text1"/>
                <w:sz w:val="24"/>
                <w:highlight w:val="none"/>
                <w14:textFill>
                  <w14:solidFill>
                    <w14:schemeClr w14:val="tx1"/>
                  </w14:solidFill>
                </w14:textFill>
              </w:rPr>
              <w:t>数手册》附表1-工业行业产排污系数手册-机械行业系数手册-06预处理工序可知，抛丸工序产污系数为2.19kg/t-原料计算。根据企业提供资料需进行抛丸的</w:t>
            </w:r>
            <w:r>
              <w:rPr>
                <w:rFonts w:hint="eastAsia" w:cs="Times New Roman"/>
                <w:color w:val="000000" w:themeColor="text1"/>
                <w:sz w:val="24"/>
                <w:highlight w:val="none"/>
                <w:lang w:eastAsia="zh-CN"/>
                <w14:textFill>
                  <w14:solidFill>
                    <w14:schemeClr w14:val="tx1"/>
                  </w14:solidFill>
                </w14:textFill>
              </w:rPr>
              <w:t>钢件</w:t>
            </w:r>
            <w:r>
              <w:rPr>
                <w:rFonts w:hint="default" w:ascii="Times New Roman" w:hAnsi="Times New Roman" w:cs="Times New Roman"/>
                <w:color w:val="000000" w:themeColor="text1"/>
                <w:sz w:val="24"/>
                <w:highlight w:val="none"/>
                <w14:textFill>
                  <w14:solidFill>
                    <w14:schemeClr w14:val="tx1"/>
                  </w14:solidFill>
                </w14:textFill>
              </w:rPr>
              <w:t>共有</w:t>
            </w:r>
            <w:r>
              <w:rPr>
                <w:rFonts w:hint="eastAsia" w:cs="Times New Roman"/>
                <w:color w:val="000000" w:themeColor="text1"/>
                <w:sz w:val="24"/>
                <w:highlight w:val="none"/>
                <w:lang w:val="en-US" w:eastAsia="zh-CN"/>
                <w14:textFill>
                  <w14:solidFill>
                    <w14:schemeClr w14:val="tx1"/>
                  </w14:solidFill>
                </w14:textFill>
              </w:rPr>
              <w:t>990</w:t>
            </w:r>
            <w:r>
              <w:rPr>
                <w:rFonts w:hint="default" w:ascii="Times New Roman" w:hAnsi="Times New Roman" w:cs="Times New Roman"/>
                <w:color w:val="000000" w:themeColor="text1"/>
                <w:sz w:val="24"/>
                <w:highlight w:val="none"/>
                <w14:textFill>
                  <w14:solidFill>
                    <w14:schemeClr w14:val="tx1"/>
                  </w14:solidFill>
                </w14:textFill>
              </w:rPr>
              <w:t>t/a。计算可得抛丸颗粒物</w:t>
            </w:r>
            <w:r>
              <w:rPr>
                <w:rFonts w:hint="eastAsia" w:cs="Times New Roman"/>
                <w:color w:val="000000" w:themeColor="text1"/>
                <w:sz w:val="24"/>
                <w:highlight w:val="none"/>
                <w:lang w:eastAsia="zh-CN"/>
                <w14:textFill>
                  <w14:solidFill>
                    <w14:schemeClr w14:val="tx1"/>
                  </w14:solidFill>
                </w14:textFill>
              </w:rPr>
              <w:t>产生量</w:t>
            </w:r>
            <w:r>
              <w:rPr>
                <w:rFonts w:hint="default" w:ascii="Times New Roman" w:hAnsi="Times New Roman" w:cs="Times New Roman"/>
                <w:color w:val="000000" w:themeColor="text1"/>
                <w:sz w:val="24"/>
                <w:highlight w:val="none"/>
                <w14:textFill>
                  <w14:solidFill>
                    <w14:schemeClr w14:val="tx1"/>
                  </w14:solidFill>
                </w14:textFill>
              </w:rPr>
              <w:t>为</w:t>
            </w:r>
            <w:r>
              <w:rPr>
                <w:rFonts w:hint="eastAsia" w:cs="Times New Roman"/>
                <w:color w:val="000000" w:themeColor="text1"/>
                <w:sz w:val="24"/>
                <w:highlight w:val="none"/>
                <w:lang w:val="en-US" w:eastAsia="zh-CN"/>
                <w14:textFill>
                  <w14:solidFill>
                    <w14:schemeClr w14:val="tx1"/>
                  </w14:solidFill>
                </w14:textFill>
              </w:rPr>
              <w:t>2.17</w:t>
            </w:r>
            <w:r>
              <w:rPr>
                <w:rFonts w:hint="default" w:ascii="Times New Roman" w:hAnsi="Times New Roman" w:cs="Times New Roman"/>
                <w:color w:val="000000" w:themeColor="text1"/>
                <w:sz w:val="24"/>
                <w:highlight w:val="none"/>
                <w14:textFill>
                  <w14:solidFill>
                    <w14:schemeClr w14:val="tx1"/>
                  </w14:solidFill>
                </w14:textFill>
              </w:rPr>
              <w:t>t/a。抛丸机为密闭设备，抛丸废气捕集效率以99%计，设备自带风机风量为8000m³/h，经密闭管道收集后进入一套布袋除尘器处理后经排气筒（DA00</w:t>
            </w:r>
            <w:r>
              <w:rPr>
                <w:rFonts w:hint="eastAsia"/>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）排放，</w:t>
            </w:r>
            <w:r>
              <w:rPr>
                <w:rFonts w:hint="default" w:ascii="Times New Roman" w:hAnsi="Times New Roman" w:cs="Times New Roman"/>
                <w:color w:val="000000"/>
                <w:sz w:val="24"/>
                <w:highlight w:val="none"/>
              </w:rPr>
              <w:t>处理效率以99%计，则有组织收集的颗粒物量为</w:t>
            </w:r>
            <w:r>
              <w:rPr>
                <w:rFonts w:hint="eastAsia" w:cs="Times New Roman"/>
                <w:color w:val="000000"/>
                <w:sz w:val="24"/>
                <w:highlight w:val="none"/>
                <w:lang w:val="en-US" w:eastAsia="zh-CN"/>
              </w:rPr>
              <w:t>2.15</w:t>
            </w:r>
            <w:r>
              <w:rPr>
                <w:rFonts w:hint="default" w:ascii="Times New Roman" w:hAnsi="Times New Roman" w:cs="Times New Roman"/>
                <w:color w:val="000000"/>
                <w:sz w:val="24"/>
                <w:highlight w:val="none"/>
              </w:rPr>
              <w:t>t/a，产生速率</w:t>
            </w:r>
            <w:r>
              <w:rPr>
                <w:rFonts w:hint="eastAsia" w:cs="Times New Roman"/>
                <w:color w:val="000000"/>
                <w:sz w:val="24"/>
                <w:highlight w:val="none"/>
                <w:lang w:val="en-US" w:eastAsia="zh-CN"/>
              </w:rPr>
              <w:t>0.9</w:t>
            </w:r>
            <w:r>
              <w:rPr>
                <w:rFonts w:hint="default" w:ascii="Times New Roman" w:hAnsi="Times New Roman" w:cs="Times New Roman"/>
                <w:color w:val="000000"/>
                <w:sz w:val="24"/>
                <w:highlight w:val="none"/>
              </w:rPr>
              <w:t>kg/h</w:t>
            </w:r>
            <w:r>
              <w:rPr>
                <w:rFonts w:hint="default" w:ascii="Times New Roman" w:hAnsi="Times New Roman" w:cs="Times New Roman"/>
                <w:color w:val="000000"/>
                <w:sz w:val="24"/>
              </w:rPr>
              <w:t>，有组织产生浓度为</w:t>
            </w:r>
            <w:r>
              <w:rPr>
                <w:rFonts w:hint="eastAsia" w:cs="Times New Roman"/>
                <w:color w:val="000000"/>
                <w:sz w:val="24"/>
                <w:lang w:val="en-US" w:eastAsia="zh-CN"/>
              </w:rPr>
              <w:t>112.5</w:t>
            </w:r>
            <w:r>
              <w:rPr>
                <w:rFonts w:hint="default" w:ascii="Times New Roman" w:hAnsi="Times New Roman" w:cs="Times New Roman"/>
                <w:color w:val="000000"/>
                <w:sz w:val="24"/>
              </w:rPr>
              <w:t>mg/m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w:t>
            </w:r>
            <w:r>
              <w:rPr>
                <w:rFonts w:hint="eastAsia" w:cs="Times New Roman"/>
                <w:color w:val="000000"/>
                <w:sz w:val="24"/>
                <w:lang w:eastAsia="zh-CN"/>
              </w:rPr>
              <w:t>有</w:t>
            </w:r>
            <w:r>
              <w:rPr>
                <w:rFonts w:hint="default" w:ascii="Times New Roman" w:hAnsi="Times New Roman" w:cs="Times New Roman"/>
                <w:color w:val="000000"/>
                <w:sz w:val="24"/>
              </w:rPr>
              <w:t>组织的排放量0.</w:t>
            </w:r>
            <w:r>
              <w:rPr>
                <w:rFonts w:hint="eastAsia" w:cs="Times New Roman"/>
                <w:color w:val="000000"/>
                <w:sz w:val="24"/>
                <w:lang w:val="en-US" w:eastAsia="zh-CN"/>
              </w:rPr>
              <w:t>021</w:t>
            </w:r>
            <w:r>
              <w:rPr>
                <w:rFonts w:hint="default" w:ascii="Times New Roman" w:hAnsi="Times New Roman" w:cs="Times New Roman"/>
                <w:color w:val="000000"/>
                <w:sz w:val="24"/>
              </w:rPr>
              <w:t>t/a，</w:t>
            </w:r>
            <w:r>
              <w:rPr>
                <w:rFonts w:hint="eastAsia" w:cs="Times New Roman"/>
                <w:color w:val="000000"/>
                <w:sz w:val="24"/>
                <w:lang w:eastAsia="zh-CN"/>
              </w:rPr>
              <w:t>有</w:t>
            </w:r>
            <w:r>
              <w:rPr>
                <w:rFonts w:hint="default" w:ascii="Times New Roman" w:hAnsi="Times New Roman" w:cs="Times New Roman"/>
                <w:color w:val="000000"/>
                <w:sz w:val="24"/>
              </w:rPr>
              <w:t>组织的排放速率0.</w:t>
            </w:r>
            <w:r>
              <w:rPr>
                <w:rFonts w:hint="eastAsia" w:cs="Times New Roman"/>
                <w:color w:val="000000"/>
                <w:sz w:val="24"/>
                <w:lang w:val="en-US" w:eastAsia="zh-CN"/>
              </w:rPr>
              <w:t>009</w:t>
            </w:r>
            <w:r>
              <w:rPr>
                <w:rFonts w:hint="default" w:ascii="Times New Roman" w:hAnsi="Times New Roman" w:cs="Times New Roman"/>
                <w:color w:val="000000"/>
                <w:sz w:val="24"/>
              </w:rPr>
              <w:t>kg/h，</w:t>
            </w:r>
            <w:r>
              <w:rPr>
                <w:rFonts w:hint="eastAsia" w:cs="Times New Roman"/>
                <w:color w:val="000000"/>
                <w:sz w:val="24"/>
                <w:lang w:eastAsia="zh-CN"/>
              </w:rPr>
              <w:t>有</w:t>
            </w:r>
            <w:r>
              <w:rPr>
                <w:rFonts w:hint="default" w:ascii="Times New Roman" w:hAnsi="Times New Roman" w:cs="Times New Roman"/>
                <w:color w:val="000000"/>
                <w:sz w:val="24"/>
              </w:rPr>
              <w:t>组织的排放浓度为</w:t>
            </w:r>
            <w:r>
              <w:rPr>
                <w:rFonts w:hint="eastAsia" w:cs="Times New Roman"/>
                <w:color w:val="000000"/>
                <w:sz w:val="24"/>
                <w:lang w:val="en-US" w:eastAsia="zh-CN"/>
              </w:rPr>
              <w:t>1.13</w:t>
            </w:r>
            <w:r>
              <w:rPr>
                <w:rFonts w:hint="default" w:ascii="Times New Roman" w:hAnsi="Times New Roman" w:cs="Times New Roman"/>
                <w:color w:val="000000"/>
                <w:sz w:val="24"/>
              </w:rPr>
              <w:t>mg/m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w:t>
            </w:r>
            <w:r>
              <w:rPr>
                <w:rFonts w:hint="eastAsia" w:cs="Times New Roman"/>
                <w:color w:val="000000"/>
                <w:sz w:val="24"/>
                <w:lang w:eastAsia="zh-CN"/>
              </w:rPr>
              <w:t>无组织排放量</w:t>
            </w:r>
            <w:r>
              <w:rPr>
                <w:rFonts w:hint="eastAsia" w:cs="Times New Roman"/>
                <w:color w:val="000000"/>
                <w:sz w:val="24"/>
                <w:lang w:val="en-US" w:eastAsia="zh-CN"/>
              </w:rPr>
              <w:t>0.02</w:t>
            </w:r>
            <w:r>
              <w:rPr>
                <w:rFonts w:hint="default" w:ascii="Times New Roman" w:hAnsi="Times New Roman" w:cs="Times New Roman"/>
                <w:color w:val="000000"/>
                <w:sz w:val="24"/>
                <w:highlight w:val="none"/>
              </w:rPr>
              <w:t>t/a</w:t>
            </w:r>
            <w:r>
              <w:rPr>
                <w:rFonts w:hint="eastAsia" w:ascii="Times New Roman" w:hAnsi="Times New Roman" w:cs="Times New Roman"/>
                <w:color w:val="000000"/>
                <w:sz w:val="24"/>
                <w:highlight w:val="none"/>
                <w:lang w:eastAsia="zh-CN"/>
              </w:rPr>
              <w:t>。</w:t>
            </w:r>
          </w:p>
          <w:p w14:paraId="5605E53C">
            <w:pPr>
              <w:tabs>
                <w:tab w:val="left" w:pos="1215"/>
              </w:tabs>
              <w:adjustRightInd w:val="0"/>
              <w:snapToGrid w:val="0"/>
              <w:spacing w:line="360" w:lineRule="auto"/>
              <w:ind w:firstLine="480" w:firstLineChars="200"/>
              <w:jc w:val="left"/>
              <w:rPr>
                <w:rFonts w:hint="default" w:ascii="Times New Roman" w:hAnsi="Times New Roman" w:cs="Times New Roman"/>
                <w:b w:val="0"/>
                <w:bCs/>
                <w:sz w:val="24"/>
              </w:rPr>
            </w:pPr>
            <w:r>
              <w:rPr>
                <w:rFonts w:hint="default" w:ascii="Times New Roman" w:hAnsi="Times New Roman" w:cs="Times New Roman"/>
                <w:b w:val="0"/>
                <w:bCs/>
                <w:sz w:val="24"/>
                <w:lang w:val="en-US" w:eastAsia="zh-CN"/>
              </w:rPr>
              <w:t>4、</w:t>
            </w:r>
            <w:r>
              <w:rPr>
                <w:rFonts w:hint="default" w:ascii="Times New Roman" w:hAnsi="Times New Roman" w:cs="Times New Roman"/>
                <w:b w:val="0"/>
                <w:bCs/>
                <w:sz w:val="24"/>
              </w:rPr>
              <w:t>喷漆、晾干废气（非甲烷总烃、颗粒物）</w:t>
            </w:r>
          </w:p>
          <w:p w14:paraId="0B4AF889">
            <w:pPr>
              <w:pStyle w:val="39"/>
              <w:spacing w:line="360" w:lineRule="auto"/>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rPr>
              <w:t>本项目使用的喷涂涂料为水性漆，无需调漆。喷漆、晾干工序均在喷漆房内进行。喷涂工序产生的污染物主要为漆雾及有机废气，晾干工序产生的污染物主要为有机废气。</w:t>
            </w:r>
          </w:p>
          <w:p w14:paraId="0B2A1102">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 w:val="0"/>
                <w:bCs w:val="0"/>
                <w:sz w:val="24"/>
                <w:szCs w:val="28"/>
              </w:rPr>
            </w:pPr>
            <w:bookmarkStart w:id="20" w:name="_Hlk160461025"/>
            <w:r>
              <w:rPr>
                <w:rFonts w:hint="default" w:ascii="Times New Roman" w:hAnsi="Times New Roman" w:cs="Times New Roman"/>
                <w:sz w:val="24"/>
                <w:szCs w:val="28"/>
              </w:rPr>
              <w:t>①非甲烷总烃：本项目水性环氧树脂底漆用量</w:t>
            </w:r>
            <w:r>
              <w:rPr>
                <w:rFonts w:hint="default" w:ascii="Times New Roman" w:hAnsi="Times New Roman" w:cs="Times New Roman"/>
                <w:sz w:val="24"/>
                <w:szCs w:val="28"/>
                <w:lang w:val="en-US" w:eastAsia="zh-CN"/>
              </w:rPr>
              <w:t>2.46</w:t>
            </w:r>
            <w:r>
              <w:rPr>
                <w:rFonts w:hint="default" w:ascii="Times New Roman" w:hAnsi="Times New Roman" w:cs="Times New Roman"/>
                <w:sz w:val="24"/>
                <w:szCs w:val="28"/>
              </w:rPr>
              <w:t>t/a，挥发性有机化合物含量约为15%，则水性环氧树脂底漆的挥发性有机化合物用量为0.</w:t>
            </w:r>
            <w:r>
              <w:rPr>
                <w:rFonts w:hint="default" w:ascii="Times New Roman" w:hAnsi="Times New Roman" w:cs="Times New Roman"/>
                <w:sz w:val="24"/>
                <w:szCs w:val="28"/>
                <w:lang w:val="en-US" w:eastAsia="zh-CN"/>
              </w:rPr>
              <w:t>4428</w:t>
            </w:r>
            <w:r>
              <w:rPr>
                <w:rFonts w:hint="default" w:ascii="Times New Roman" w:hAnsi="Times New Roman" w:cs="Times New Roman"/>
                <w:sz w:val="24"/>
                <w:szCs w:val="28"/>
              </w:rPr>
              <w:t>t/a；本项目水性丙烯酸聚氨酯面漆用量</w:t>
            </w:r>
            <w:r>
              <w:rPr>
                <w:rFonts w:hint="default" w:ascii="Times New Roman" w:hAnsi="Times New Roman" w:cs="Times New Roman"/>
                <w:sz w:val="24"/>
                <w:szCs w:val="28"/>
                <w:lang w:val="en-US" w:eastAsia="zh-CN"/>
              </w:rPr>
              <w:t>2.12</w:t>
            </w:r>
            <w:r>
              <w:rPr>
                <w:rFonts w:hint="default" w:ascii="Times New Roman" w:hAnsi="Times New Roman" w:cs="Times New Roman"/>
                <w:sz w:val="24"/>
                <w:szCs w:val="28"/>
              </w:rPr>
              <w:t>t/a，挥发性有机化合物含量约为18%，水性丙烯酸聚氨酯面漆挥发性有机化合物用量为0.</w:t>
            </w:r>
            <w:r>
              <w:rPr>
                <w:rFonts w:hint="default" w:ascii="Times New Roman" w:hAnsi="Times New Roman" w:cs="Times New Roman"/>
                <w:sz w:val="24"/>
                <w:szCs w:val="28"/>
                <w:lang w:val="en-US" w:eastAsia="zh-CN"/>
              </w:rPr>
              <w:t>318</w:t>
            </w:r>
            <w:r>
              <w:rPr>
                <w:rFonts w:hint="default" w:ascii="Times New Roman" w:hAnsi="Times New Roman" w:cs="Times New Roman"/>
                <w:sz w:val="24"/>
                <w:szCs w:val="28"/>
              </w:rPr>
              <w:t>t/a。因此涂料的挥发性有机物产生总量</w:t>
            </w:r>
            <w:r>
              <w:rPr>
                <w:rFonts w:hint="default" w:ascii="Times New Roman" w:hAnsi="Times New Roman" w:cs="Times New Roman"/>
                <w:b w:val="0"/>
                <w:bCs w:val="0"/>
                <w:sz w:val="24"/>
                <w:szCs w:val="28"/>
              </w:rPr>
              <w:t>为</w:t>
            </w:r>
            <w:r>
              <w:rPr>
                <w:rFonts w:hint="default" w:ascii="Times New Roman" w:hAnsi="Times New Roman" w:cs="Times New Roman"/>
                <w:b w:val="0"/>
                <w:bCs w:val="0"/>
                <w:sz w:val="24"/>
                <w:szCs w:val="28"/>
                <w:lang w:val="en-US" w:eastAsia="zh-CN"/>
              </w:rPr>
              <w:t>0.7608</w:t>
            </w:r>
            <w:r>
              <w:rPr>
                <w:rFonts w:hint="default" w:ascii="Times New Roman" w:hAnsi="Times New Roman" w:cs="Times New Roman"/>
                <w:b w:val="0"/>
                <w:bCs w:val="0"/>
                <w:sz w:val="24"/>
                <w:szCs w:val="28"/>
              </w:rPr>
              <w:t>t/a。</w:t>
            </w:r>
          </w:p>
          <w:bookmarkEnd w:id="20"/>
          <w:p w14:paraId="4687B40C">
            <w:pPr>
              <w:pStyle w:val="39"/>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②漆雾：喷涂过程中会产生漆雾颗粒，项目涂料用量为</w:t>
            </w:r>
            <w:r>
              <w:rPr>
                <w:rFonts w:hint="default" w:ascii="Times New Roman" w:hAnsi="Times New Roman" w:cs="Times New Roman"/>
                <w:b w:val="0"/>
                <w:bCs w:val="0"/>
                <w:color w:val="auto"/>
                <w:lang w:val="en-US" w:eastAsia="zh-CN"/>
              </w:rPr>
              <w:t>2.46</w:t>
            </w:r>
            <w:r>
              <w:rPr>
                <w:rFonts w:hint="default" w:ascii="Times New Roman" w:hAnsi="Times New Roman" w:cs="Times New Roman"/>
                <w:b w:val="0"/>
                <w:bCs w:val="0"/>
                <w:color w:val="auto"/>
                <w:szCs w:val="28"/>
              </w:rPr>
              <w:t>t/a，</w:t>
            </w:r>
            <w:r>
              <w:rPr>
                <w:rFonts w:hint="default" w:ascii="Times New Roman" w:hAnsi="Times New Roman" w:cs="Times New Roman"/>
                <w:b w:val="0"/>
                <w:bCs w:val="0"/>
                <w:color w:val="auto"/>
              </w:rPr>
              <w:t>本项目</w:t>
            </w:r>
            <w:r>
              <w:rPr>
                <w:rFonts w:hint="default" w:ascii="Times New Roman" w:hAnsi="Times New Roman" w:cs="Times New Roman"/>
                <w:b w:val="0"/>
                <w:bCs w:val="0"/>
                <w:szCs w:val="28"/>
              </w:rPr>
              <w:t>水性环氧树脂底漆</w:t>
            </w:r>
            <w:r>
              <w:rPr>
                <w:rFonts w:hint="default" w:ascii="Times New Roman" w:hAnsi="Times New Roman" w:cs="Times New Roman"/>
                <w:b w:val="0"/>
                <w:bCs w:val="0"/>
                <w:color w:val="auto"/>
              </w:rPr>
              <w:t>底漆固体份含量为60%，</w:t>
            </w:r>
            <w:r>
              <w:rPr>
                <w:rFonts w:hint="default" w:ascii="Times New Roman" w:hAnsi="Times New Roman" w:cs="Times New Roman"/>
                <w:b w:val="0"/>
                <w:bCs w:val="0"/>
                <w:szCs w:val="28"/>
              </w:rPr>
              <w:t>水性丙烯酸聚氨酯面漆</w:t>
            </w:r>
            <w:r>
              <w:rPr>
                <w:rFonts w:hint="default" w:ascii="Times New Roman" w:hAnsi="Times New Roman" w:cs="Times New Roman"/>
                <w:b w:val="0"/>
                <w:bCs w:val="0"/>
                <w:color w:val="auto"/>
              </w:rPr>
              <w:t>固体份含量为65%，</w:t>
            </w:r>
            <w:r>
              <w:rPr>
                <w:rFonts w:hint="default" w:ascii="Times New Roman" w:hAnsi="Times New Roman" w:cs="Times New Roman"/>
                <w:b w:val="0"/>
                <w:bCs w:val="0"/>
                <w:szCs w:val="28"/>
              </w:rPr>
              <w:t>则水性环氧树脂底漆的固体份用量为</w:t>
            </w:r>
            <w:r>
              <w:rPr>
                <w:rFonts w:hint="default" w:ascii="Times New Roman" w:hAnsi="Times New Roman" w:cs="Times New Roman"/>
                <w:b w:val="0"/>
                <w:bCs w:val="0"/>
                <w:szCs w:val="28"/>
                <w:lang w:val="en-US" w:eastAsia="zh-CN"/>
              </w:rPr>
              <w:t>1.476</w:t>
            </w:r>
            <w:r>
              <w:rPr>
                <w:rFonts w:hint="default" w:ascii="Times New Roman" w:hAnsi="Times New Roman" w:cs="Times New Roman"/>
                <w:b w:val="0"/>
                <w:bCs w:val="0"/>
                <w:szCs w:val="28"/>
              </w:rPr>
              <w:t>t/a，水性丙烯酸聚氨酯面漆固体份用量为</w:t>
            </w:r>
            <w:r>
              <w:rPr>
                <w:rFonts w:hint="default" w:ascii="Times New Roman" w:hAnsi="Times New Roman" w:cs="Times New Roman"/>
                <w:b w:val="0"/>
                <w:bCs w:val="0"/>
                <w:szCs w:val="28"/>
                <w:lang w:val="en-US" w:eastAsia="zh-CN"/>
              </w:rPr>
              <w:t>1.378</w:t>
            </w:r>
            <w:r>
              <w:rPr>
                <w:rFonts w:hint="default" w:ascii="Times New Roman" w:hAnsi="Times New Roman" w:cs="Times New Roman"/>
                <w:b w:val="0"/>
                <w:bCs w:val="0"/>
                <w:szCs w:val="28"/>
              </w:rPr>
              <w:t>t/a，</w:t>
            </w:r>
            <w:r>
              <w:rPr>
                <w:rFonts w:hint="default" w:ascii="Times New Roman" w:hAnsi="Times New Roman" w:cs="Times New Roman"/>
                <w:b w:val="0"/>
                <w:bCs w:val="0"/>
                <w:color w:val="auto"/>
              </w:rPr>
              <w:t>项目总固化组分</w:t>
            </w:r>
            <w:r>
              <w:rPr>
                <w:rFonts w:hint="default" w:ascii="Times New Roman" w:hAnsi="Times New Roman" w:cs="Times New Roman"/>
                <w:b w:val="0"/>
                <w:bCs w:val="0"/>
                <w:color w:val="auto"/>
                <w:lang w:val="en-US" w:eastAsia="zh-CN"/>
              </w:rPr>
              <w:t>2.854</w:t>
            </w:r>
            <w:r>
              <w:rPr>
                <w:rFonts w:hint="default" w:ascii="Times New Roman" w:hAnsi="Times New Roman" w:cs="Times New Roman"/>
                <w:b w:val="0"/>
                <w:bCs w:val="0"/>
                <w:color w:val="auto"/>
              </w:rPr>
              <w:t>t/a；喷漆过程中水性漆固化组分附着率为70%，10%形成漆渣，因此约有20%的固份形成漆雾颗粒，则漆雾产生量共计为0.</w:t>
            </w:r>
            <w:r>
              <w:rPr>
                <w:rFonts w:hint="default" w:ascii="Times New Roman" w:hAnsi="Times New Roman" w:cs="Times New Roman"/>
                <w:b w:val="0"/>
                <w:bCs w:val="0"/>
                <w:color w:val="auto"/>
                <w:lang w:val="en-US" w:eastAsia="zh-CN"/>
              </w:rPr>
              <w:t>5708</w:t>
            </w:r>
            <w:r>
              <w:rPr>
                <w:rFonts w:hint="default" w:ascii="Times New Roman" w:hAnsi="Times New Roman" w:cs="Times New Roman"/>
                <w:b w:val="0"/>
                <w:bCs w:val="0"/>
                <w:color w:val="auto"/>
              </w:rPr>
              <w:t>t/a。</w:t>
            </w:r>
          </w:p>
          <w:p w14:paraId="18C7537A">
            <w:pPr>
              <w:pStyle w:val="3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val="0"/>
                <w:color w:val="auto"/>
              </w:rPr>
            </w:pPr>
            <w:r>
              <w:rPr>
                <w:rFonts w:hint="eastAsia"/>
                <w:b w:val="0"/>
                <w:bCs w:val="0"/>
                <w:lang w:val="en-US" w:eastAsia="zh-CN"/>
              </w:rPr>
              <w:t>喷漆房</w:t>
            </w:r>
            <w:r>
              <w:rPr>
                <w:rFonts w:hint="default" w:ascii="Times New Roman" w:hAnsi="Times New Roman" w:cs="Times New Roman"/>
                <w:b w:val="0"/>
                <w:bCs w:val="0"/>
                <w:color w:val="auto"/>
              </w:rPr>
              <w:t>风量核算：</w:t>
            </w:r>
          </w:p>
          <w:p w14:paraId="176DB9E7">
            <w:pPr>
              <w:pStyle w:val="3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val="0"/>
                <w:color w:val="auto"/>
                <w:szCs w:val="28"/>
              </w:rPr>
            </w:pPr>
            <w:r>
              <w:rPr>
                <w:rFonts w:hint="default" w:ascii="Times New Roman" w:hAnsi="Times New Roman" w:cs="Times New Roman"/>
                <w:b w:val="0"/>
                <w:bCs w:val="0"/>
                <w:color w:val="auto"/>
              </w:rPr>
              <w:t>建设单位设置1个密闭式喷漆房，喷漆房采用负压抽吸的方式收集废气，收集率取98%，项目喷漆房（</w:t>
            </w:r>
            <w:r>
              <w:rPr>
                <w:rFonts w:hint="eastAsia" w:cs="Times New Roman"/>
                <w:b w:val="0"/>
                <w:bCs w:val="0"/>
                <w:color w:val="auto"/>
                <w:lang w:val="en-US" w:eastAsia="zh-CN"/>
              </w:rPr>
              <w:t>18</w:t>
            </w:r>
            <w:r>
              <w:rPr>
                <w:rFonts w:hint="default" w:ascii="Times New Roman" w:hAnsi="Times New Roman" w:cs="Times New Roman"/>
                <w:b w:val="0"/>
                <w:bCs w:val="0"/>
                <w:color w:val="auto"/>
              </w:rPr>
              <w:t>m×</w:t>
            </w:r>
            <w:r>
              <w:rPr>
                <w:rFonts w:hint="eastAsia" w:cs="Times New Roman"/>
                <w:b w:val="0"/>
                <w:bCs w:val="0"/>
                <w:color w:val="auto"/>
                <w:lang w:val="en-US" w:eastAsia="zh-CN"/>
              </w:rPr>
              <w:t>6</w:t>
            </w:r>
            <w:r>
              <w:rPr>
                <w:rFonts w:hint="default" w:ascii="Times New Roman" w:hAnsi="Times New Roman" w:cs="Times New Roman"/>
                <w:b w:val="0"/>
                <w:bCs w:val="0"/>
                <w:color w:val="auto"/>
              </w:rPr>
              <w:t>m×</w:t>
            </w:r>
            <w:r>
              <w:rPr>
                <w:rFonts w:hint="eastAsia" w:cs="Times New Roman"/>
                <w:b w:val="0"/>
                <w:bCs w:val="0"/>
                <w:color w:val="auto"/>
                <w:lang w:val="en-US" w:eastAsia="zh-CN"/>
              </w:rPr>
              <w:t>4</w:t>
            </w:r>
            <w:r>
              <w:rPr>
                <w:rFonts w:hint="default" w:ascii="Times New Roman" w:hAnsi="Times New Roman" w:cs="Times New Roman"/>
                <w:b w:val="0"/>
                <w:bCs w:val="0"/>
                <w:color w:val="auto"/>
              </w:rPr>
              <w:t>m），换气次数为</w:t>
            </w:r>
            <w:r>
              <w:rPr>
                <w:rFonts w:hint="default" w:ascii="Times New Roman" w:hAnsi="Times New Roman" w:cs="Times New Roman"/>
                <w:b w:val="0"/>
                <w:bCs w:val="0"/>
                <w:color w:val="auto"/>
                <w:lang w:val="en-US" w:eastAsia="zh-CN"/>
              </w:rPr>
              <w:t>4</w:t>
            </w:r>
            <w:r>
              <w:rPr>
                <w:rFonts w:hint="default" w:ascii="Times New Roman" w:hAnsi="Times New Roman" w:cs="Times New Roman"/>
                <w:b w:val="0"/>
                <w:bCs w:val="0"/>
                <w:color w:val="auto"/>
              </w:rPr>
              <w:t>0次/h，喷漆房所需风量17280m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/h；</w:t>
            </w:r>
            <w:r>
              <w:rPr>
                <w:rFonts w:hint="default" w:ascii="Times New Roman" w:hAnsi="Times New Roman" w:cs="Times New Roman"/>
                <w:b w:val="0"/>
                <w:bCs w:val="0"/>
                <w:color w:val="auto"/>
                <w:szCs w:val="32"/>
              </w:rPr>
              <w:t>则</w:t>
            </w:r>
            <w:r>
              <w:rPr>
                <w:rFonts w:hint="default" w:ascii="Times New Roman" w:hAnsi="Times New Roman" w:cs="Times New Roman"/>
                <w:b w:val="0"/>
                <w:bCs w:val="0"/>
                <w:color w:val="auto"/>
              </w:rPr>
              <w:t>活性炭</w:t>
            </w:r>
            <w:r>
              <w:rPr>
                <w:rFonts w:hint="default" w:ascii="Times New Roman" w:hAnsi="Times New Roman" w:cs="Times New Roman"/>
                <w:b w:val="0"/>
                <w:bCs w:val="0"/>
                <w:color w:val="auto"/>
                <w:szCs w:val="32"/>
              </w:rPr>
              <w:t>DA00</w:t>
            </w:r>
            <w:r>
              <w:rPr>
                <w:rFonts w:hint="eastAsia" w:ascii="Times New Roman" w:hAnsi="Times New Roman" w:cs="Times New Roman"/>
                <w:b w:val="0"/>
                <w:bCs w:val="0"/>
                <w:color w:val="auto"/>
                <w:szCs w:val="32"/>
                <w:lang w:val="en-US" w:eastAsia="zh-CN"/>
              </w:rPr>
              <w:t>2</w:t>
            </w:r>
            <w:r>
              <w:rPr>
                <w:rFonts w:hint="default" w:ascii="Times New Roman" w:hAnsi="Times New Roman" w:cs="Times New Roman"/>
                <w:b w:val="0"/>
                <w:bCs w:val="0"/>
                <w:color w:val="auto"/>
                <w:szCs w:val="32"/>
              </w:rPr>
              <w:t>所需风量为20000</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/h</w:t>
            </w:r>
            <w:r>
              <w:rPr>
                <w:rFonts w:hint="default" w:ascii="Times New Roman" w:hAnsi="Times New Roman" w:cs="Times New Roman"/>
                <w:b w:val="0"/>
                <w:bCs w:val="0"/>
                <w:color w:val="auto"/>
                <w:szCs w:val="32"/>
              </w:rPr>
              <w:t>，</w:t>
            </w:r>
            <w:r>
              <w:rPr>
                <w:rFonts w:hint="default" w:ascii="Times New Roman" w:hAnsi="Times New Roman" w:cs="Times New Roman"/>
                <w:b w:val="0"/>
                <w:bCs w:val="0"/>
                <w:color w:val="auto"/>
              </w:rPr>
              <w:t>设计风机风量为20000m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/h。密闭负压收集加吸附对废气处理效率</w:t>
            </w:r>
            <w:r>
              <w:rPr>
                <w:rFonts w:hint="default" w:ascii="Times New Roman" w:hAnsi="Times New Roman" w:cs="Times New Roman"/>
                <w:b w:val="0"/>
                <w:bCs w:val="0"/>
                <w:color w:val="auto"/>
                <w:lang w:eastAsia="zh-CN"/>
              </w:rPr>
              <w:t>为</w:t>
            </w:r>
            <w:r>
              <w:rPr>
                <w:rFonts w:hint="default" w:ascii="Times New Roman" w:hAnsi="Times New Roman" w:cs="Times New Roman"/>
                <w:b w:val="0"/>
                <w:bCs w:val="0"/>
                <w:color w:val="auto"/>
                <w:lang w:val="en-US" w:eastAsia="zh-CN"/>
              </w:rPr>
              <w:t>90</w:t>
            </w:r>
            <w:r>
              <w:rPr>
                <w:rFonts w:hint="default" w:ascii="Times New Roman" w:hAnsi="Times New Roman" w:cs="Times New Roman"/>
                <w:b w:val="0"/>
                <w:bCs w:val="0"/>
                <w:color w:val="auto"/>
              </w:rPr>
              <w:t>%。项目喷漆及晾干工序每天工作8h，每年工作300天。根据物料衡算，</w:t>
            </w:r>
            <w:r>
              <w:rPr>
                <w:rFonts w:hint="default" w:ascii="Times New Roman" w:hAnsi="Times New Roman" w:cs="Times New Roman"/>
                <w:b w:val="0"/>
                <w:bCs w:val="0"/>
                <w:color w:val="auto"/>
                <w:szCs w:val="28"/>
              </w:rPr>
              <w:t>涂料的</w:t>
            </w:r>
            <w:r>
              <w:rPr>
                <w:rFonts w:hint="default" w:ascii="Times New Roman" w:hAnsi="Times New Roman" w:cs="Times New Roman"/>
                <w:b w:val="0"/>
                <w:bCs w:val="0"/>
                <w:color w:val="auto"/>
                <w:szCs w:val="28"/>
                <w:highlight w:val="none"/>
              </w:rPr>
              <w:t>挥发性有机物产生总量为</w:t>
            </w:r>
            <w:r>
              <w:rPr>
                <w:rFonts w:hint="default" w:ascii="Times New Roman" w:hAnsi="Times New Roman" w:cs="Times New Roman"/>
                <w:b w:val="0"/>
                <w:bCs w:val="0"/>
                <w:color w:val="auto"/>
                <w:szCs w:val="28"/>
                <w:highlight w:val="none"/>
                <w:lang w:val="en-US" w:eastAsia="zh-CN"/>
              </w:rPr>
              <w:t>0.7608</w:t>
            </w:r>
            <w:r>
              <w:rPr>
                <w:rFonts w:hint="default" w:ascii="Times New Roman" w:hAnsi="Times New Roman" w:cs="Times New Roman"/>
                <w:b w:val="0"/>
                <w:bCs w:val="0"/>
                <w:color w:val="auto"/>
                <w:szCs w:val="28"/>
                <w:highlight w:val="none"/>
              </w:rPr>
              <w:t>t/a，收</w:t>
            </w:r>
            <w:r>
              <w:rPr>
                <w:rFonts w:hint="default" w:ascii="Times New Roman" w:hAnsi="Times New Roman" w:cs="Times New Roman"/>
                <w:b w:val="0"/>
                <w:bCs w:val="0"/>
                <w:szCs w:val="28"/>
                <w:highlight w:val="none"/>
              </w:rPr>
              <w:t>集效率为98%，</w:t>
            </w:r>
            <w:r>
              <w:rPr>
                <w:rFonts w:hint="default" w:ascii="Times New Roman" w:hAnsi="Times New Roman" w:cs="Times New Roman"/>
                <w:b w:val="0"/>
                <w:bCs w:val="0"/>
                <w:color w:val="auto"/>
                <w:highlight w:val="none"/>
              </w:rPr>
              <w:t>则非甲烷总烃有组织产生量为</w:t>
            </w:r>
            <w:r>
              <w:rPr>
                <w:rFonts w:hint="default" w:ascii="Times New Roman" w:hAnsi="Times New Roman" w:cs="Times New Roman"/>
                <w:b w:val="0"/>
                <w:bCs w:val="0"/>
                <w:color w:val="auto"/>
                <w:highlight w:val="none"/>
                <w:lang w:val="en-US" w:eastAsia="zh-CN"/>
              </w:rPr>
              <w:t>0.75</w:t>
            </w:r>
            <w:r>
              <w:rPr>
                <w:rFonts w:hint="default" w:ascii="Times New Roman" w:hAnsi="Times New Roman" w:cs="Times New Roman"/>
                <w:b w:val="0"/>
                <w:bCs w:val="0"/>
                <w:color w:val="auto"/>
                <w:szCs w:val="28"/>
                <w:highlight w:val="none"/>
              </w:rPr>
              <w:t>t/a</w:t>
            </w:r>
            <w:r>
              <w:rPr>
                <w:rFonts w:hint="default" w:ascii="Times New Roman" w:hAnsi="Times New Roman" w:cs="Times New Roman"/>
                <w:b w:val="0"/>
                <w:bCs w:val="0"/>
                <w:color w:val="auto"/>
                <w:highlight w:val="none"/>
              </w:rPr>
              <w:t>，有组织产生速率为0.</w:t>
            </w:r>
            <w:r>
              <w:rPr>
                <w:rFonts w:hint="default" w:ascii="Times New Roman" w:hAnsi="Times New Roman" w:cs="Times New Roman"/>
                <w:b w:val="0"/>
                <w:bCs w:val="0"/>
                <w:color w:val="auto"/>
                <w:highlight w:val="none"/>
                <w:lang w:val="en-US" w:eastAsia="zh-CN"/>
              </w:rPr>
              <w:t>31</w:t>
            </w:r>
            <w:r>
              <w:rPr>
                <w:rFonts w:hint="default" w:ascii="Times New Roman" w:hAnsi="Times New Roman" w:cs="Times New Roman"/>
                <w:b w:val="0"/>
                <w:bCs w:val="0"/>
                <w:color w:val="auto"/>
                <w:highlight w:val="none"/>
              </w:rPr>
              <w:t>kg</w:t>
            </w:r>
            <w:r>
              <w:rPr>
                <w:rFonts w:hint="default" w:ascii="Times New Roman" w:hAnsi="Times New Roman" w:cs="Times New Roman"/>
                <w:b w:val="0"/>
                <w:bCs w:val="0"/>
                <w:color w:val="auto"/>
                <w:szCs w:val="28"/>
                <w:highlight w:val="none"/>
              </w:rPr>
              <w:t>/h，</w:t>
            </w:r>
            <w:r>
              <w:rPr>
                <w:rFonts w:hint="default" w:ascii="Times New Roman" w:hAnsi="Times New Roman" w:cs="Times New Roman"/>
                <w:b w:val="0"/>
                <w:bCs w:val="0"/>
                <w:color w:val="auto"/>
                <w:highlight w:val="none"/>
              </w:rPr>
              <w:t>有组织产生浓度为</w:t>
            </w:r>
            <w:r>
              <w:rPr>
                <w:rFonts w:hint="default" w:ascii="Times New Roman" w:hAnsi="Times New Roman" w:cs="Times New Roman"/>
                <w:b w:val="0"/>
                <w:bCs w:val="0"/>
                <w:color w:val="auto"/>
                <w:highlight w:val="none"/>
                <w:lang w:val="en-US" w:eastAsia="zh-CN"/>
              </w:rPr>
              <w:t>15.5</w:t>
            </w:r>
            <w:r>
              <w:rPr>
                <w:rFonts w:hint="default" w:ascii="Times New Roman" w:hAnsi="Times New Roman" w:cs="Times New Roman"/>
                <w:b w:val="0"/>
                <w:bCs w:val="0"/>
                <w:szCs w:val="21"/>
                <w:highlight w:val="none"/>
              </w:rPr>
              <w:t>mg/m</w:t>
            </w:r>
            <w:r>
              <w:rPr>
                <w:rFonts w:hint="default" w:ascii="Times New Roman" w:hAnsi="Times New Roman" w:cs="Times New Roman"/>
                <w:b w:val="0"/>
                <w:bCs w:val="0"/>
                <w:szCs w:val="21"/>
                <w:highlight w:val="none"/>
                <w:vertAlign w:val="superscript"/>
              </w:rPr>
              <w:t>3</w:t>
            </w:r>
            <w:r>
              <w:rPr>
                <w:rFonts w:hint="default" w:ascii="Times New Roman" w:hAnsi="Times New Roman" w:cs="Times New Roman"/>
                <w:b w:val="0"/>
                <w:bCs w:val="0"/>
                <w:color w:val="auto"/>
                <w:szCs w:val="28"/>
                <w:highlight w:val="none"/>
              </w:rPr>
              <w:t>；</w:t>
            </w:r>
            <w:r>
              <w:rPr>
                <w:rFonts w:hint="default" w:ascii="Times New Roman" w:hAnsi="Times New Roman" w:cs="Times New Roman"/>
                <w:b w:val="0"/>
                <w:bCs w:val="0"/>
                <w:color w:val="auto"/>
                <w:highlight w:val="none"/>
              </w:rPr>
              <w:t>有组织排放量为0.</w:t>
            </w:r>
            <w:r>
              <w:rPr>
                <w:rFonts w:hint="default" w:ascii="Times New Roman" w:hAnsi="Times New Roman" w:cs="Times New Roman"/>
                <w:b w:val="0"/>
                <w:bCs w:val="0"/>
                <w:color w:val="auto"/>
                <w:highlight w:val="none"/>
                <w:lang w:val="en-US" w:eastAsia="zh-CN"/>
              </w:rPr>
              <w:t>075</w:t>
            </w:r>
            <w:r>
              <w:rPr>
                <w:rFonts w:hint="default" w:ascii="Times New Roman" w:hAnsi="Times New Roman" w:cs="Times New Roman"/>
                <w:b w:val="0"/>
                <w:bCs w:val="0"/>
                <w:color w:val="auto"/>
                <w:szCs w:val="28"/>
                <w:highlight w:val="none"/>
              </w:rPr>
              <w:t>t/</w:t>
            </w:r>
            <w:r>
              <w:rPr>
                <w:rFonts w:hint="default" w:ascii="Times New Roman" w:hAnsi="Times New Roman" w:cs="Times New Roman"/>
                <w:b w:val="0"/>
                <w:bCs w:val="0"/>
                <w:color w:val="000000" w:themeColor="text1"/>
                <w:szCs w:val="28"/>
                <w:highlight w:val="none"/>
                <w14:textFill>
                  <w14:solidFill>
                    <w14:schemeClr w14:val="tx1"/>
                  </w14:solidFill>
                </w14:textFill>
              </w:rPr>
              <w:t>a</w:t>
            </w:r>
            <w:r>
              <w:rPr>
                <w:rFonts w:hint="default" w:ascii="Times New Roman" w:hAnsi="Times New Roman" w:cs="Times New Roman"/>
                <w:b w:val="0"/>
                <w:bCs w:val="0"/>
                <w:color w:val="000000" w:themeColor="text1"/>
                <w:highlight w:val="none"/>
                <w14:textFill>
                  <w14:solidFill>
                    <w14:schemeClr w14:val="tx1"/>
                  </w14:solidFill>
                </w14:textFill>
              </w:rPr>
              <w:t>，有组织排放速率为0.0</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32</w:t>
            </w:r>
            <w:r>
              <w:rPr>
                <w:rFonts w:hint="default" w:ascii="Times New Roman" w:hAnsi="Times New Roman" w:cs="Times New Roman"/>
                <w:b w:val="0"/>
                <w:bCs w:val="0"/>
                <w:color w:val="000000" w:themeColor="text1"/>
                <w:highlight w:val="none"/>
                <w14:textFill>
                  <w14:solidFill>
                    <w14:schemeClr w14:val="tx1"/>
                  </w14:solidFill>
                </w14:textFill>
              </w:rPr>
              <w:t>kg</w:t>
            </w:r>
            <w:r>
              <w:rPr>
                <w:rFonts w:hint="default" w:ascii="Times New Roman" w:hAnsi="Times New Roman" w:cs="Times New Roman"/>
                <w:b w:val="0"/>
                <w:bCs w:val="0"/>
                <w:color w:val="000000" w:themeColor="text1"/>
                <w:szCs w:val="28"/>
                <w:highlight w:val="none"/>
                <w14:textFill>
                  <w14:solidFill>
                    <w14:schemeClr w14:val="tx1"/>
                  </w14:solidFill>
                </w14:textFill>
              </w:rPr>
              <w:t>/h，</w:t>
            </w:r>
            <w:r>
              <w:rPr>
                <w:rFonts w:hint="default" w:ascii="Times New Roman" w:hAnsi="Times New Roman" w:cs="Times New Roman"/>
                <w:b w:val="0"/>
                <w:bCs w:val="0"/>
                <w:color w:val="000000" w:themeColor="text1"/>
                <w:highlight w:val="none"/>
                <w14:textFill>
                  <w14:solidFill>
                    <w14:schemeClr w14:val="tx1"/>
                  </w14:solidFill>
                </w14:textFill>
              </w:rPr>
              <w:t>有组织排放浓度为</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1.</w:t>
            </w:r>
            <w:r>
              <w:rPr>
                <w:rFonts w:hint="eastAsia" w:cs="Times New Roman"/>
                <w:b w:val="0"/>
                <w:bCs w:val="0"/>
                <w:color w:val="000000" w:themeColor="text1"/>
                <w:highlight w:val="none"/>
                <w:lang w:val="en-US" w:eastAsia="zh-CN"/>
                <w14:textFill>
                  <w14:solidFill>
                    <w14:schemeClr w14:val="tx1"/>
                  </w14:solidFill>
                </w14:textFill>
              </w:rPr>
              <w:t>55</w:t>
            </w:r>
            <w:r>
              <w:rPr>
                <w:rFonts w:hint="default" w:ascii="Times New Roman" w:hAnsi="Times New Roman" w:cs="Times New Roman"/>
                <w:b w:val="0"/>
                <w:bCs w:val="0"/>
                <w:color w:val="000000" w:themeColor="text1"/>
                <w:szCs w:val="21"/>
                <w:highlight w:val="none"/>
                <w14:textFill>
                  <w14:solidFill>
                    <w14:schemeClr w14:val="tx1"/>
                  </w14:solidFill>
                </w14:textFill>
              </w:rPr>
              <w:t>mg/m</w:t>
            </w:r>
            <w:r>
              <w:rPr>
                <w:rFonts w:hint="default" w:ascii="Times New Roman" w:hAnsi="Times New Roman" w:cs="Times New Roman"/>
                <w:b w:val="0"/>
                <w:bCs w:val="0"/>
                <w:color w:val="000000" w:themeColor="text1"/>
                <w:szCs w:val="21"/>
                <w:highlight w:val="none"/>
                <w:vertAlign w:val="superscript"/>
                <w14:textFill>
                  <w14:solidFill>
                    <w14:schemeClr w14:val="tx1"/>
                  </w14:solidFill>
                </w14:textFill>
              </w:rPr>
              <w:t>3</w:t>
            </w:r>
            <w:r>
              <w:rPr>
                <w:rFonts w:hint="default" w:ascii="Times New Roman" w:hAnsi="Times New Roman" w:cs="Times New Roman"/>
                <w:b w:val="0"/>
                <w:bCs w:val="0"/>
                <w:color w:val="000000" w:themeColor="text1"/>
                <w:szCs w:val="28"/>
                <w:highlight w:val="none"/>
                <w14:textFill>
                  <w14:solidFill>
                    <w14:schemeClr w14:val="tx1"/>
                  </w14:solidFill>
                </w14:textFill>
              </w:rPr>
              <w:t>；</w:t>
            </w:r>
            <w:r>
              <w:rPr>
                <w:rFonts w:hint="default" w:ascii="Times New Roman" w:hAnsi="Times New Roman" w:cs="Times New Roman"/>
                <w:b w:val="0"/>
                <w:bCs w:val="0"/>
                <w:color w:val="000000" w:themeColor="text1"/>
                <w:highlight w:val="none"/>
                <w14:textFill>
                  <w14:solidFill>
                    <w14:schemeClr w14:val="tx1"/>
                  </w14:solidFill>
                </w14:textFill>
              </w:rPr>
              <w:t>无组织排放量为</w:t>
            </w:r>
            <w:r>
              <w:rPr>
                <w:rFonts w:hint="default" w:ascii="Times New Roman" w:hAnsi="Times New Roman" w:cs="Times New Roman"/>
                <w:b w:val="0"/>
                <w:bCs w:val="0"/>
                <w:color w:val="000000" w:themeColor="text1"/>
                <w:szCs w:val="28"/>
                <w:highlight w:val="none"/>
                <w14:textFill>
                  <w14:solidFill>
                    <w14:schemeClr w14:val="tx1"/>
                  </w14:solidFill>
                </w14:textFill>
              </w:rPr>
              <w:t>0.</w:t>
            </w:r>
            <w:r>
              <w:rPr>
                <w:rFonts w:hint="eastAsia" w:cs="Times New Roman"/>
                <w:b w:val="0"/>
                <w:bCs w:val="0"/>
                <w:color w:val="000000" w:themeColor="text1"/>
                <w:lang w:val="en-US" w:eastAsia="zh-CN"/>
                <w14:textFill>
                  <w14:solidFill>
                    <w14:schemeClr w14:val="tx1"/>
                  </w14:solidFill>
                </w14:textFill>
              </w:rPr>
              <w:t>0088</w:t>
            </w:r>
            <w:r>
              <w:rPr>
                <w:rFonts w:hint="default" w:ascii="Times New Roman" w:hAnsi="Times New Roman" w:cs="Times New Roman"/>
                <w:b w:val="0"/>
                <w:bCs w:val="0"/>
                <w:color w:val="000000" w:themeColor="text1"/>
                <w:szCs w:val="28"/>
                <w14:textFill>
                  <w14:solidFill>
                    <w14:schemeClr w14:val="tx1"/>
                  </w14:solidFill>
                </w14:textFill>
              </w:rPr>
              <w:t>t/a；</w:t>
            </w:r>
            <w:r>
              <w:rPr>
                <w:rFonts w:hint="default" w:ascii="Times New Roman" w:hAnsi="Times New Roman" w:cs="Times New Roman"/>
                <w:b w:val="0"/>
                <w:bCs w:val="0"/>
                <w:color w:val="auto"/>
                <w:szCs w:val="28"/>
              </w:rPr>
              <w:t>颗粒物有组织产生量为0.</w:t>
            </w:r>
            <w:r>
              <w:rPr>
                <w:rFonts w:hint="default" w:ascii="Times New Roman" w:hAnsi="Times New Roman" w:cs="Times New Roman"/>
                <w:b w:val="0"/>
                <w:bCs w:val="0"/>
                <w:color w:val="auto"/>
                <w:szCs w:val="28"/>
                <w:lang w:val="en-US" w:eastAsia="zh-CN"/>
              </w:rPr>
              <w:t>56</w:t>
            </w:r>
            <w:r>
              <w:rPr>
                <w:rFonts w:hint="default" w:ascii="Times New Roman" w:hAnsi="Times New Roman" w:cs="Times New Roman"/>
                <w:b w:val="0"/>
                <w:bCs w:val="0"/>
                <w:color w:val="auto"/>
                <w:szCs w:val="28"/>
              </w:rPr>
              <w:t>t/a，</w:t>
            </w:r>
            <w:r>
              <w:rPr>
                <w:rFonts w:hint="default" w:ascii="Times New Roman" w:hAnsi="Times New Roman" w:cs="Times New Roman"/>
                <w:b w:val="0"/>
                <w:bCs w:val="0"/>
                <w:color w:val="auto"/>
              </w:rPr>
              <w:t>有组织产生速率为0.</w:t>
            </w:r>
            <w:r>
              <w:rPr>
                <w:rFonts w:hint="default" w:ascii="Times New Roman" w:hAnsi="Times New Roman" w:cs="Times New Roman"/>
                <w:b w:val="0"/>
                <w:bCs w:val="0"/>
                <w:color w:val="auto"/>
                <w:lang w:val="en-US" w:eastAsia="zh-CN"/>
              </w:rPr>
              <w:t>23</w:t>
            </w:r>
            <w:r>
              <w:rPr>
                <w:rFonts w:hint="default" w:ascii="Times New Roman" w:hAnsi="Times New Roman" w:cs="Times New Roman"/>
                <w:b w:val="0"/>
                <w:bCs w:val="0"/>
                <w:color w:val="auto"/>
              </w:rPr>
              <w:t>kg</w:t>
            </w:r>
            <w:r>
              <w:rPr>
                <w:rFonts w:hint="default" w:ascii="Times New Roman" w:hAnsi="Times New Roman" w:cs="Times New Roman"/>
                <w:b w:val="0"/>
                <w:bCs w:val="0"/>
                <w:color w:val="auto"/>
                <w:szCs w:val="28"/>
              </w:rPr>
              <w:t>/h，</w:t>
            </w:r>
            <w:r>
              <w:rPr>
                <w:rFonts w:hint="default" w:ascii="Times New Roman" w:hAnsi="Times New Roman" w:cs="Times New Roman"/>
                <w:b w:val="0"/>
                <w:bCs w:val="0"/>
                <w:color w:val="auto"/>
              </w:rPr>
              <w:t>有组织产生浓度为</w:t>
            </w:r>
            <w:r>
              <w:rPr>
                <w:rFonts w:hint="default" w:ascii="Times New Roman" w:hAnsi="Times New Roman" w:cs="Times New Roman"/>
                <w:b w:val="0"/>
                <w:bCs w:val="0"/>
                <w:color w:val="auto"/>
                <w:lang w:val="en-US" w:eastAsia="zh-CN"/>
              </w:rPr>
              <w:t>11.5</w:t>
            </w:r>
            <w:r>
              <w:rPr>
                <w:rFonts w:hint="default" w:ascii="Times New Roman" w:hAnsi="Times New Roman" w:cs="Times New Roman"/>
                <w:b w:val="0"/>
                <w:bCs w:val="0"/>
                <w:szCs w:val="21"/>
              </w:rPr>
              <w:t>mg/m</w:t>
            </w:r>
            <w:r>
              <w:rPr>
                <w:rFonts w:hint="default" w:ascii="Times New Roman" w:hAnsi="Times New Roman" w:cs="Times New Roman"/>
                <w:b w:val="0"/>
                <w:bCs w:val="0"/>
                <w:szCs w:val="21"/>
                <w:vertAlign w:val="superscript"/>
              </w:rPr>
              <w:t>3</w:t>
            </w:r>
            <w:r>
              <w:rPr>
                <w:rFonts w:hint="default" w:ascii="Times New Roman" w:hAnsi="Times New Roman" w:cs="Times New Roman"/>
                <w:b w:val="0"/>
                <w:bCs w:val="0"/>
                <w:color w:val="auto"/>
                <w:szCs w:val="28"/>
              </w:rPr>
              <w:t>；有组织排放量为0.0</w:t>
            </w:r>
            <w:r>
              <w:rPr>
                <w:rFonts w:hint="default" w:ascii="Times New Roman" w:hAnsi="Times New Roman" w:cs="Times New Roman"/>
                <w:b w:val="0"/>
                <w:bCs w:val="0"/>
                <w:color w:val="auto"/>
                <w:szCs w:val="28"/>
                <w:lang w:val="en-US" w:eastAsia="zh-CN"/>
              </w:rPr>
              <w:t>56</w:t>
            </w:r>
            <w:r>
              <w:rPr>
                <w:rFonts w:hint="default" w:ascii="Times New Roman" w:hAnsi="Times New Roman" w:cs="Times New Roman"/>
                <w:b w:val="0"/>
                <w:bCs w:val="0"/>
                <w:color w:val="auto"/>
                <w:szCs w:val="28"/>
              </w:rPr>
              <w:t>t/a，</w:t>
            </w:r>
            <w:r>
              <w:rPr>
                <w:rFonts w:hint="default" w:ascii="Times New Roman" w:hAnsi="Times New Roman" w:cs="Times New Roman"/>
                <w:b w:val="0"/>
                <w:bCs w:val="0"/>
                <w:color w:val="auto"/>
              </w:rPr>
              <w:t>有组织排放速率为0.0</w:t>
            </w:r>
            <w:r>
              <w:rPr>
                <w:rFonts w:hint="default" w:ascii="Times New Roman" w:hAnsi="Times New Roman" w:cs="Times New Roman"/>
                <w:b w:val="0"/>
                <w:bCs w:val="0"/>
                <w:color w:val="auto"/>
                <w:lang w:val="en-US" w:eastAsia="zh-CN"/>
              </w:rPr>
              <w:t>23</w:t>
            </w:r>
            <w:r>
              <w:rPr>
                <w:rFonts w:hint="default" w:ascii="Times New Roman" w:hAnsi="Times New Roman" w:cs="Times New Roman"/>
                <w:b w:val="0"/>
                <w:bCs w:val="0"/>
                <w:color w:val="auto"/>
              </w:rPr>
              <w:t>kg</w:t>
            </w:r>
            <w:r>
              <w:rPr>
                <w:rFonts w:hint="default" w:ascii="Times New Roman" w:hAnsi="Times New Roman" w:cs="Times New Roman"/>
                <w:b w:val="0"/>
                <w:bCs w:val="0"/>
                <w:color w:val="auto"/>
                <w:szCs w:val="28"/>
              </w:rPr>
              <w:t>/h，</w:t>
            </w:r>
            <w:r>
              <w:rPr>
                <w:rFonts w:hint="default" w:ascii="Times New Roman" w:hAnsi="Times New Roman" w:cs="Times New Roman"/>
                <w:b w:val="0"/>
                <w:bCs w:val="0"/>
                <w:color w:val="auto"/>
              </w:rPr>
              <w:t>有组织排放浓度为</w:t>
            </w:r>
            <w:r>
              <w:rPr>
                <w:rFonts w:hint="default" w:ascii="Times New Roman" w:hAnsi="Times New Roman" w:cs="Times New Roman"/>
                <w:b w:val="0"/>
                <w:bCs w:val="0"/>
                <w:color w:val="auto"/>
                <w:lang w:val="en-US" w:eastAsia="zh-CN"/>
              </w:rPr>
              <w:t>1.15</w:t>
            </w:r>
            <w:r>
              <w:rPr>
                <w:rFonts w:hint="default" w:ascii="Times New Roman" w:hAnsi="Times New Roman" w:cs="Times New Roman"/>
                <w:b w:val="0"/>
                <w:bCs w:val="0"/>
                <w:szCs w:val="21"/>
              </w:rPr>
              <w:t>mg/m</w:t>
            </w:r>
            <w:r>
              <w:rPr>
                <w:rFonts w:hint="default" w:ascii="Times New Roman" w:hAnsi="Times New Roman" w:cs="Times New Roman"/>
                <w:b w:val="0"/>
                <w:bCs w:val="0"/>
                <w:szCs w:val="21"/>
                <w:vertAlign w:val="superscript"/>
              </w:rPr>
              <w:t>3</w:t>
            </w:r>
            <w:r>
              <w:rPr>
                <w:rFonts w:hint="default" w:ascii="Times New Roman" w:hAnsi="Times New Roman" w:cs="Times New Roman"/>
                <w:b w:val="0"/>
                <w:bCs w:val="0"/>
                <w:color w:val="auto"/>
                <w:szCs w:val="28"/>
              </w:rPr>
              <w:t>；无组织排放量为0.0</w:t>
            </w:r>
            <w:r>
              <w:rPr>
                <w:rFonts w:hint="default" w:ascii="Times New Roman" w:hAnsi="Times New Roman" w:cs="Times New Roman"/>
                <w:b w:val="0"/>
                <w:bCs w:val="0"/>
                <w:color w:val="auto"/>
                <w:szCs w:val="28"/>
                <w:lang w:val="en-US" w:eastAsia="zh-CN"/>
              </w:rPr>
              <w:t>108</w:t>
            </w:r>
            <w:r>
              <w:rPr>
                <w:rFonts w:hint="default" w:ascii="Times New Roman" w:hAnsi="Times New Roman" w:cs="Times New Roman"/>
                <w:b w:val="0"/>
                <w:bCs w:val="0"/>
                <w:color w:val="auto"/>
                <w:szCs w:val="28"/>
              </w:rPr>
              <w:t>t/a。</w:t>
            </w:r>
          </w:p>
          <w:p w14:paraId="0297017F">
            <w:pPr>
              <w:spacing w:line="360" w:lineRule="auto"/>
              <w:ind w:firstLine="482"/>
              <w:rPr>
                <w:rFonts w:hint="default" w:ascii="Times New Roman" w:hAnsi="Times New Roman" w:cs="Times New Roman"/>
                <w:bCs/>
                <w:sz w:val="24"/>
              </w:rPr>
            </w:pPr>
            <w:r>
              <w:rPr>
                <w:rFonts w:hint="default" w:ascii="Times New Roman" w:hAnsi="Times New Roman" w:cs="Times New Roman"/>
                <w:bCs/>
                <w:sz w:val="24"/>
              </w:rPr>
              <w:t>3、废气污染源排放</w:t>
            </w:r>
          </w:p>
          <w:p w14:paraId="253AC7F1">
            <w:pPr>
              <w:spacing w:line="360" w:lineRule="auto"/>
              <w:ind w:firstLine="482"/>
              <w:rPr>
                <w:rFonts w:hint="default" w:ascii="Times New Roman" w:hAnsi="Times New Roman" w:cs="Times New Roman"/>
                <w:bCs/>
                <w:sz w:val="24"/>
              </w:rPr>
            </w:pPr>
            <w:r>
              <w:rPr>
                <w:rFonts w:hint="default" w:ascii="Times New Roman" w:hAnsi="Times New Roman" w:cs="Times New Roman"/>
                <w:bCs/>
                <w:sz w:val="24"/>
              </w:rPr>
              <w:t>本项目废气污染源排放情况见下表：</w:t>
            </w:r>
          </w:p>
          <w:p w14:paraId="66CF69E0">
            <w:pPr>
              <w:jc w:val="center"/>
              <w:rPr>
                <w:rFonts w:hint="default" w:ascii="Times New Roman" w:hAnsi="Times New Roman" w:cs="Times New Roman"/>
                <w:color w:val="auto"/>
                <w:szCs w:val="28"/>
              </w:rPr>
            </w:pPr>
            <w:r>
              <w:rPr>
                <w:rFonts w:hint="default" w:ascii="Times New Roman" w:hAnsi="Times New Roman" w:cs="Times New Roman"/>
                <w:b/>
                <w:sz w:val="24"/>
              </w:rPr>
              <w:t>表4-</w:t>
            </w:r>
            <w:r>
              <w:rPr>
                <w:rFonts w:hint="eastAsia" w:cs="Times New Roman"/>
                <w:b/>
                <w:sz w:val="24"/>
                <w:lang w:val="en-US" w:eastAsia="zh-CN"/>
              </w:rPr>
              <w:t>4</w:t>
            </w:r>
            <w:r>
              <w:rPr>
                <w:rFonts w:hint="default" w:ascii="Times New Roman" w:hAnsi="Times New Roman" w:cs="Times New Roman"/>
                <w:b/>
                <w:sz w:val="24"/>
              </w:rPr>
              <w:t>有组织废气污染源源强核算结果及相关参数一览表</w:t>
            </w:r>
          </w:p>
          <w:tbl>
            <w:tblPr>
              <w:tblStyle w:val="28"/>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6"/>
              <w:gridCol w:w="393"/>
              <w:gridCol w:w="607"/>
              <w:gridCol w:w="668"/>
              <w:gridCol w:w="548"/>
              <w:gridCol w:w="853"/>
              <w:gridCol w:w="361"/>
              <w:gridCol w:w="366"/>
              <w:gridCol w:w="429"/>
              <w:gridCol w:w="501"/>
              <w:gridCol w:w="537"/>
              <w:gridCol w:w="537"/>
              <w:gridCol w:w="545"/>
              <w:gridCol w:w="537"/>
              <w:gridCol w:w="658"/>
              <w:gridCol w:w="346"/>
            </w:tblGrid>
            <w:tr w14:paraId="051A1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 w:hRule="atLeast"/>
                <w:jc w:val="center"/>
              </w:trPr>
              <w:tc>
                <w:tcPr>
                  <w:tcW w:w="318" w:type="pct"/>
                  <w:vMerge w:val="restart"/>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5D08507F">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产污环节</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9D804E">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污染物种类</w:t>
                  </w:r>
                </w:p>
              </w:tc>
              <w:tc>
                <w:tcPr>
                  <w:tcW w:w="108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837AC5">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污染物产生情况</w:t>
                  </w:r>
                </w:p>
              </w:tc>
              <w:tc>
                <w:tcPr>
                  <w:tcW w:w="5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7CF51">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治理工艺</w:t>
                  </w:r>
                </w:p>
              </w:tc>
              <w:tc>
                <w:tcPr>
                  <w:tcW w:w="2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DFB21D">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收集效率</w:t>
                  </w:r>
                </w:p>
              </w:tc>
              <w:tc>
                <w:tcPr>
                  <w:tcW w:w="2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A06C02">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处理效率</w:t>
                  </w:r>
                </w:p>
              </w:tc>
              <w:tc>
                <w:tcPr>
                  <w:tcW w:w="2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B3440">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年排放时间h</w:t>
                  </w:r>
                </w:p>
              </w:tc>
              <w:tc>
                <w:tcPr>
                  <w:tcW w:w="2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555FA">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风量m³/h</w:t>
                  </w:r>
                </w:p>
              </w:tc>
              <w:tc>
                <w:tcPr>
                  <w:tcW w:w="96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0A36D4">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污染物排放情况</w:t>
                  </w:r>
                </w:p>
              </w:tc>
              <w:tc>
                <w:tcPr>
                  <w:tcW w:w="7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890523">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排放标准限值</w:t>
                  </w:r>
                </w:p>
              </w:tc>
              <w:tc>
                <w:tcPr>
                  <w:tcW w:w="2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E5AD85">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是否达标排放</w:t>
                  </w:r>
                </w:p>
              </w:tc>
            </w:tr>
            <w:tr w14:paraId="40F67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85523">
                  <w:pPr>
                    <w:snapToGrid w:val="0"/>
                    <w:jc w:val="center"/>
                    <w:rPr>
                      <w:rFonts w:hint="default" w:ascii="Times New Roman" w:hAnsi="Times New Roman" w:cs="Times New Roman"/>
                      <w:bCs/>
                      <w:color w:val="000000"/>
                      <w:szCs w:val="21"/>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0ACB5">
                  <w:pPr>
                    <w:snapToGrid w:val="0"/>
                    <w:jc w:val="center"/>
                    <w:rPr>
                      <w:rFonts w:hint="default" w:ascii="Times New Roman" w:hAnsi="Times New Roman" w:cs="Times New Roman"/>
                      <w:bCs/>
                      <w:color w:val="000000"/>
                      <w:szCs w:val="21"/>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80600">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产生量t/a</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80969">
                  <w:pPr>
                    <w:snapToGrid w:val="0"/>
                    <w:jc w:val="center"/>
                    <w:rPr>
                      <w:rFonts w:hint="default" w:ascii="Times New Roman" w:hAnsi="Times New Roman" w:cs="Times New Roman"/>
                      <w:color w:val="000000"/>
                      <w:szCs w:val="21"/>
                    </w:rPr>
                  </w:pPr>
                  <w:r>
                    <w:rPr>
                      <w:rFonts w:hint="default" w:ascii="Times New Roman" w:hAnsi="Times New Roman" w:cs="Times New Roman"/>
                      <w:bCs/>
                      <w:color w:val="000000"/>
                      <w:szCs w:val="21"/>
                    </w:rPr>
                    <w:t>产生速率kg/h</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4CEB3">
                  <w:pPr>
                    <w:snapToGrid w:val="0"/>
                    <w:jc w:val="center"/>
                    <w:rPr>
                      <w:rFonts w:hint="default" w:ascii="Times New Roman" w:hAnsi="Times New Roman" w:cs="Times New Roman"/>
                      <w:color w:val="000000"/>
                      <w:szCs w:val="21"/>
                    </w:rPr>
                  </w:pPr>
                  <w:r>
                    <w:rPr>
                      <w:rFonts w:hint="default" w:ascii="Times New Roman" w:hAnsi="Times New Roman" w:cs="Times New Roman"/>
                      <w:bCs/>
                      <w:color w:val="000000"/>
                      <w:szCs w:val="21"/>
                    </w:rPr>
                    <w:t>产生浓度mg/m</w:t>
                  </w:r>
                  <w:r>
                    <w:rPr>
                      <w:rFonts w:hint="default" w:ascii="Times New Roman" w:hAnsi="Times New Roman" w:cs="Times New Roman"/>
                      <w:bCs/>
                      <w:color w:val="000000"/>
                      <w:szCs w:val="21"/>
                      <w:vertAlign w:val="superscript"/>
                    </w:rPr>
                    <w:t>3</w:t>
                  </w:r>
                </w:p>
              </w:tc>
              <w:tc>
                <w:tcPr>
                  <w:tcW w:w="5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6E62A">
                  <w:pPr>
                    <w:snapToGrid w:val="0"/>
                    <w:jc w:val="center"/>
                    <w:rPr>
                      <w:rFonts w:hint="default" w:ascii="Times New Roman" w:hAnsi="Times New Roman" w:cs="Times New Roman"/>
                      <w:color w:val="000000"/>
                      <w:szCs w:val="21"/>
                    </w:rPr>
                  </w:pPr>
                </w:p>
              </w:tc>
              <w:tc>
                <w:tcPr>
                  <w:tcW w:w="2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84461">
                  <w:pPr>
                    <w:snapToGrid w:val="0"/>
                    <w:jc w:val="center"/>
                    <w:rPr>
                      <w:rFonts w:hint="default" w:ascii="Times New Roman" w:hAnsi="Times New Roman" w:cs="Times New Roman"/>
                      <w:color w:val="000000"/>
                      <w:szCs w:val="21"/>
                    </w:rPr>
                  </w:pPr>
                </w:p>
              </w:tc>
              <w:tc>
                <w:tcPr>
                  <w:tcW w:w="2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84D6A">
                  <w:pPr>
                    <w:snapToGrid w:val="0"/>
                    <w:jc w:val="center"/>
                    <w:rPr>
                      <w:rFonts w:hint="default" w:ascii="Times New Roman" w:hAnsi="Times New Roman" w:cs="Times New Roman"/>
                      <w:color w:val="000000"/>
                      <w:szCs w:val="21"/>
                    </w:rPr>
                  </w:pPr>
                </w:p>
              </w:tc>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0CC4A">
                  <w:pPr>
                    <w:snapToGrid w:val="0"/>
                    <w:jc w:val="center"/>
                    <w:rPr>
                      <w:rFonts w:hint="default" w:ascii="Times New Roman" w:hAnsi="Times New Roman" w:cs="Times New Roman"/>
                      <w:color w:val="000000"/>
                      <w:szCs w:val="21"/>
                    </w:rPr>
                  </w:pP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6582D">
                  <w:pPr>
                    <w:snapToGrid w:val="0"/>
                    <w:jc w:val="center"/>
                    <w:rPr>
                      <w:rFonts w:hint="default" w:ascii="Times New Roman" w:hAnsi="Times New Roman" w:cs="Times New Roman"/>
                      <w:bCs/>
                      <w:color w:val="000000"/>
                      <w:szCs w:val="21"/>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12541">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排放量t/a</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005B6">
                  <w:pPr>
                    <w:snapToGrid w:val="0"/>
                    <w:jc w:val="center"/>
                    <w:rPr>
                      <w:rFonts w:hint="default" w:ascii="Times New Roman" w:hAnsi="Times New Roman" w:cs="Times New Roman"/>
                      <w:color w:val="000000"/>
                      <w:szCs w:val="21"/>
                    </w:rPr>
                  </w:pPr>
                  <w:r>
                    <w:rPr>
                      <w:rFonts w:hint="default" w:ascii="Times New Roman" w:hAnsi="Times New Roman" w:cs="Times New Roman"/>
                      <w:bCs/>
                      <w:color w:val="000000"/>
                      <w:szCs w:val="21"/>
                    </w:rPr>
                    <w:t>排放速率kg/h</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61213">
                  <w:pPr>
                    <w:snapToGrid w:val="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排放浓度mg/m</w:t>
                  </w:r>
                  <w:r>
                    <w:rPr>
                      <w:rFonts w:hint="default" w:ascii="Times New Roman" w:hAnsi="Times New Roman" w:cs="Times New Roman"/>
                      <w:bCs/>
                      <w:color w:val="000000"/>
                      <w:szCs w:val="21"/>
                      <w:vertAlign w:val="superscript"/>
                    </w:rPr>
                    <w:t>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5113B">
                  <w:pPr>
                    <w:snapToGrid w:val="0"/>
                    <w:jc w:val="center"/>
                    <w:rPr>
                      <w:rFonts w:hint="default" w:ascii="Times New Roman" w:hAnsi="Times New Roman" w:cs="Times New Roman"/>
                      <w:color w:val="000000"/>
                      <w:szCs w:val="21"/>
                    </w:rPr>
                  </w:pPr>
                  <w:r>
                    <w:rPr>
                      <w:rFonts w:hint="default" w:ascii="Times New Roman" w:hAnsi="Times New Roman" w:cs="Times New Roman"/>
                      <w:bCs/>
                      <w:color w:val="000000"/>
                      <w:szCs w:val="21"/>
                    </w:rPr>
                    <w:t>浓度mg/m</w:t>
                  </w:r>
                  <w:r>
                    <w:rPr>
                      <w:rFonts w:hint="default" w:ascii="Times New Roman" w:hAnsi="Times New Roman" w:cs="Times New Roman"/>
                      <w:bCs/>
                      <w:color w:val="000000"/>
                      <w:szCs w:val="21"/>
                      <w:vertAlign w:val="superscript"/>
                    </w:rPr>
                    <w:t>3</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379C3">
                  <w:pPr>
                    <w:snapToGrid w:val="0"/>
                    <w:jc w:val="center"/>
                    <w:rPr>
                      <w:rFonts w:hint="default" w:ascii="Times New Roman" w:hAnsi="Times New Roman" w:cs="Times New Roman"/>
                      <w:color w:val="000000"/>
                      <w:szCs w:val="21"/>
                    </w:rPr>
                  </w:pPr>
                  <w:r>
                    <w:rPr>
                      <w:rFonts w:hint="default" w:ascii="Times New Roman" w:hAnsi="Times New Roman" w:cs="Times New Roman"/>
                      <w:bCs/>
                      <w:color w:val="000000"/>
                      <w:szCs w:val="21"/>
                    </w:rPr>
                    <w:t>排放速率（kg/h）</w:t>
                  </w: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4C617">
                  <w:pPr>
                    <w:snapToGrid w:val="0"/>
                    <w:jc w:val="center"/>
                    <w:rPr>
                      <w:rFonts w:hint="default" w:ascii="Times New Roman" w:hAnsi="Times New Roman" w:cs="Times New Roman"/>
                      <w:color w:val="000000"/>
                      <w:szCs w:val="21"/>
                    </w:rPr>
                  </w:pPr>
                </w:p>
              </w:tc>
            </w:tr>
            <w:tr w14:paraId="686E3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92C37">
                  <w:pPr>
                    <w:snapToGrid w:val="0"/>
                    <w:jc w:val="center"/>
                    <w:rPr>
                      <w:rFonts w:hint="eastAsia" w:ascii="Times New Roman" w:hAnsi="Times New Roman" w:eastAsia="宋体" w:cs="Times New Roman"/>
                      <w:bCs/>
                      <w:color w:val="000000"/>
                      <w:szCs w:val="21"/>
                      <w:lang w:eastAsia="zh-CN"/>
                    </w:rPr>
                  </w:pPr>
                  <w:bookmarkStart w:id="21" w:name="OLE_LINK9" w:colFirst="4" w:colLast="4"/>
                  <w:bookmarkStart w:id="22" w:name="OLE_LINK83" w:colFirst="10" w:colLast="10"/>
                  <w:r>
                    <w:rPr>
                      <w:rFonts w:hint="eastAsia" w:cs="Times New Roman"/>
                      <w:bCs/>
                      <w:color w:val="000000"/>
                      <w:szCs w:val="21"/>
                      <w:lang w:eastAsia="zh-CN"/>
                    </w:rPr>
                    <w:t>激光切割</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6C652">
                  <w:pPr>
                    <w:snapToGrid w:val="0"/>
                    <w:jc w:val="center"/>
                    <w:rPr>
                      <w:rFonts w:hint="eastAsia" w:ascii="Times New Roman" w:hAnsi="Times New Roman" w:eastAsia="宋体" w:cs="Times New Roman"/>
                      <w:bCs/>
                      <w:color w:val="000000"/>
                      <w:szCs w:val="21"/>
                      <w:lang w:eastAsia="zh-CN"/>
                    </w:rPr>
                  </w:pPr>
                  <w:r>
                    <w:rPr>
                      <w:rFonts w:hint="eastAsia" w:cs="Times New Roman"/>
                      <w:bCs/>
                      <w:color w:val="000000"/>
                      <w:szCs w:val="21"/>
                      <w:lang w:eastAsia="zh-CN"/>
                    </w:rPr>
                    <w:t>颗粒物</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47D17">
                  <w:pPr>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7.83</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B0E28">
                  <w:pPr>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3.26</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E73D5">
                  <w:pPr>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407.5</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29061">
                  <w:pPr>
                    <w:snapToGrid w:val="0"/>
                    <w:jc w:val="center"/>
                    <w:rPr>
                      <w:rFonts w:hint="default" w:ascii="Times New Roman" w:hAnsi="Times New Roman" w:cs="Times New Roman"/>
                      <w:color w:val="000000"/>
                      <w:szCs w:val="21"/>
                    </w:rPr>
                  </w:pPr>
                  <w:r>
                    <w:rPr>
                      <w:rFonts w:eastAsia="宋体"/>
                      <w:bCs/>
                      <w:snapToGrid w:val="0"/>
                      <w:color w:val="000000" w:themeColor="text1"/>
                      <w:spacing w:val="-6"/>
                      <w:kern w:val="2"/>
                      <w:sz w:val="21"/>
                      <w:szCs w:val="21"/>
                      <w14:textFill>
                        <w14:solidFill>
                          <w14:schemeClr w14:val="tx1"/>
                        </w14:solidFill>
                      </w14:textFill>
                    </w:rPr>
                    <w:t>采用设备自带收集系统收集后通过滤筒除尘器</w:t>
                  </w:r>
                  <w:r>
                    <w:rPr>
                      <w:rFonts w:hint="eastAsia" w:eastAsia="宋体"/>
                      <w:bCs/>
                      <w:snapToGrid w:val="0"/>
                      <w:color w:val="000000" w:themeColor="text1"/>
                      <w:spacing w:val="-6"/>
                      <w:kern w:val="2"/>
                      <w:sz w:val="21"/>
                      <w:szCs w:val="21"/>
                      <w:lang w:eastAsia="zh-CN"/>
                      <w14:textFill>
                        <w14:solidFill>
                          <w14:schemeClr w14:val="tx1"/>
                        </w14:solidFill>
                      </w14:textFill>
                    </w:rPr>
                    <w:t>（</w:t>
                  </w:r>
                  <w:r>
                    <w:rPr>
                      <w:rFonts w:hint="eastAsia" w:eastAsia="宋体"/>
                      <w:bCs/>
                      <w:snapToGrid w:val="0"/>
                      <w:color w:val="000000" w:themeColor="text1"/>
                      <w:spacing w:val="-6"/>
                      <w:kern w:val="2"/>
                      <w:sz w:val="21"/>
                      <w:szCs w:val="21"/>
                      <w:lang w:val="en-US" w:eastAsia="zh-CN"/>
                      <w14:textFill>
                        <w14:solidFill>
                          <w14:schemeClr w14:val="tx1"/>
                        </w14:solidFill>
                      </w14:textFill>
                    </w:rPr>
                    <w:t>TA001</w:t>
                  </w:r>
                  <w:r>
                    <w:rPr>
                      <w:rFonts w:hint="eastAsia" w:eastAsia="宋体"/>
                      <w:bCs/>
                      <w:snapToGrid w:val="0"/>
                      <w:color w:val="000000" w:themeColor="text1"/>
                      <w:spacing w:val="-6"/>
                      <w:kern w:val="2"/>
                      <w:sz w:val="21"/>
                      <w:szCs w:val="21"/>
                      <w:lang w:eastAsia="zh-CN"/>
                      <w14:textFill>
                        <w14:solidFill>
                          <w14:schemeClr w14:val="tx1"/>
                        </w14:solidFill>
                      </w14:textFill>
                    </w:rPr>
                    <w:t>）</w:t>
                  </w:r>
                  <w:r>
                    <w:rPr>
                      <w:rFonts w:eastAsia="宋体"/>
                      <w:bCs/>
                      <w:snapToGrid w:val="0"/>
                      <w:color w:val="000000" w:themeColor="text1"/>
                      <w:spacing w:val="-6"/>
                      <w:kern w:val="2"/>
                      <w:sz w:val="21"/>
                      <w:szCs w:val="21"/>
                      <w14:textFill>
                        <w14:solidFill>
                          <w14:schemeClr w14:val="tx1"/>
                        </w14:solidFill>
                      </w14:textFill>
                    </w:rPr>
                    <w:t>处理</w:t>
                  </w:r>
                  <w:r>
                    <w:rPr>
                      <w:rFonts w:hint="eastAsia"/>
                      <w:bCs/>
                      <w:snapToGrid w:val="0"/>
                      <w:color w:val="000000" w:themeColor="text1"/>
                      <w:spacing w:val="-6"/>
                      <w:kern w:val="2"/>
                      <w:sz w:val="21"/>
                      <w:szCs w:val="21"/>
                      <w:lang w:eastAsia="zh-CN"/>
                      <w14:textFill>
                        <w14:solidFill>
                          <w14:schemeClr w14:val="tx1"/>
                        </w14:solidFill>
                      </w14:textFill>
                    </w:rPr>
                    <w:t>后</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1</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8311E">
                  <w:pPr>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90</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A4E5D">
                  <w:pPr>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90</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13E21">
                  <w:pPr>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2400</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1195A">
                  <w:pPr>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8000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80FBD">
                  <w:pPr>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0.783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E1870">
                  <w:pPr>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0.33</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4B923">
                  <w:pPr>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41.25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7F808">
                  <w:pPr>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120</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0FD4B">
                  <w:pPr>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5.9</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78CFB">
                  <w:pPr>
                    <w:snapToGrid w:val="0"/>
                    <w:jc w:val="center"/>
                    <w:rPr>
                      <w:rFonts w:hint="eastAsia" w:ascii="Times New Roman" w:hAnsi="Times New Roman" w:eastAsia="宋体" w:cs="Times New Roman"/>
                      <w:color w:val="000000"/>
                      <w:szCs w:val="21"/>
                      <w:lang w:eastAsia="zh-CN"/>
                    </w:rPr>
                  </w:pPr>
                  <w:r>
                    <w:rPr>
                      <w:rFonts w:hint="eastAsia" w:cs="Times New Roman"/>
                      <w:color w:val="000000"/>
                      <w:szCs w:val="21"/>
                      <w:lang w:eastAsia="zh-CN"/>
                    </w:rPr>
                    <w:t>达标</w:t>
                  </w:r>
                </w:p>
              </w:tc>
            </w:tr>
            <w:tr w14:paraId="2272E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7DFB0">
                  <w:pPr>
                    <w:pStyle w:val="12"/>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抛丸</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B51C5">
                  <w:pPr>
                    <w:snapToGrid w:val="0"/>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颗粒物</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31919">
                  <w:pPr>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2.15</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C805C">
                  <w:pPr>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0.9</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5E8C9">
                  <w:pPr>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112.5</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3737C">
                  <w:pPr>
                    <w:jc w:val="center"/>
                    <w:rPr>
                      <w:rFonts w:hint="eastAsia"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设备自带粉尘收集系统+布袋除尘器（TA002）+20米高排气筒DA00</w:t>
                  </w:r>
                  <w:r>
                    <w:rPr>
                      <w:rFonts w:hint="eastAsia" w:cs="Times New Roman"/>
                      <w:color w:val="000000"/>
                      <w:szCs w:val="21"/>
                      <w:lang w:val="en-US" w:eastAsia="zh-CN"/>
                    </w:rPr>
                    <w:t>2</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E0B7C">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99</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B132D">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99</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1F3A">
                  <w:pPr>
                    <w:snapToGrid w:val="0"/>
                    <w:jc w:val="center"/>
                    <w:rPr>
                      <w:rFonts w:hint="default" w:ascii="Times New Roman" w:hAnsi="Times New Roman" w:eastAsia="Times New Roman" w:cs="Times New Roman"/>
                      <w:color w:val="000000"/>
                      <w:szCs w:val="21"/>
                    </w:rPr>
                  </w:pPr>
                  <w:r>
                    <w:rPr>
                      <w:rFonts w:hint="default" w:ascii="Times New Roman" w:hAnsi="Times New Roman" w:cs="Times New Roman"/>
                      <w:color w:val="000000"/>
                      <w:szCs w:val="21"/>
                    </w:rPr>
                    <w:t>2400</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7D302">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8000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1C5D3">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w:t>
                  </w:r>
                  <w:r>
                    <w:rPr>
                      <w:rFonts w:hint="eastAsia" w:cs="Times New Roman"/>
                      <w:color w:val="000000"/>
                      <w:szCs w:val="21"/>
                      <w:lang w:val="en-US" w:eastAsia="zh-CN"/>
                    </w:rPr>
                    <w:t>021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D7DAF">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w:t>
                  </w:r>
                  <w:r>
                    <w:rPr>
                      <w:rFonts w:hint="eastAsia" w:cs="Times New Roman"/>
                      <w:color w:val="000000"/>
                      <w:szCs w:val="21"/>
                      <w:lang w:val="en-US" w:eastAsia="zh-CN"/>
                    </w:rPr>
                    <w:t>09</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100E1">
                  <w:pPr>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1.13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B41B8">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120</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91293">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5.9</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00950">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r w14:paraId="03249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1E163B">
                  <w:pPr>
                    <w:pStyle w:val="12"/>
                    <w:jc w:val="center"/>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喷漆、晾干</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401A8">
                  <w:pPr>
                    <w:snapToGrid w:val="0"/>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非甲烷总烃</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D2DE6">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0.75</w:t>
                  </w:r>
                  <w:r>
                    <w:rPr>
                      <w:rFonts w:hint="eastAsia" w:cs="Times New Roman"/>
                      <w:color w:val="000000"/>
                      <w:szCs w:val="21"/>
                      <w:lang w:val="en-US" w:eastAsia="zh-CN"/>
                    </w:rPr>
                    <w:t>2</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17513">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0.31</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A8788">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15.5</w:t>
                  </w:r>
                </w:p>
              </w:tc>
              <w:tc>
                <w:tcPr>
                  <w:tcW w:w="5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EEFC9">
                  <w:pPr>
                    <w:jc w:val="center"/>
                    <w:rPr>
                      <w:rFonts w:hint="eastAsia"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采用密闭负压收集+过滤棉+二级活性炭吸附（TA00</w:t>
                  </w:r>
                  <w:r>
                    <w:rPr>
                      <w:rFonts w:hint="eastAsia" w:cs="Times New Roman"/>
                      <w:color w:val="000000"/>
                      <w:szCs w:val="21"/>
                      <w:lang w:val="en-US" w:eastAsia="zh-CN"/>
                    </w:rPr>
                    <w:t>3</w:t>
                  </w:r>
                  <w:r>
                    <w:rPr>
                      <w:rFonts w:hint="default" w:ascii="Times New Roman" w:hAnsi="Times New Roman" w:cs="Times New Roman"/>
                      <w:color w:val="000000"/>
                      <w:szCs w:val="21"/>
                    </w:rPr>
                    <w:t>）+20米高排气筒DA00</w:t>
                  </w:r>
                  <w:r>
                    <w:rPr>
                      <w:rFonts w:hint="eastAsia" w:cs="Times New Roman"/>
                      <w:color w:val="000000"/>
                      <w:szCs w:val="21"/>
                      <w:lang w:val="en-US" w:eastAsia="zh-CN"/>
                    </w:rPr>
                    <w:t>3</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917F5">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98</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A0F66">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90</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EC1E6">
                  <w:pPr>
                    <w:snapToGrid w:val="0"/>
                    <w:jc w:val="center"/>
                    <w:rPr>
                      <w:rFonts w:hint="default" w:ascii="Times New Roman" w:hAnsi="Times New Roman" w:eastAsia="Times New Roman" w:cs="Times New Roman"/>
                      <w:color w:val="000000"/>
                      <w:szCs w:val="21"/>
                    </w:rPr>
                  </w:pPr>
                  <w:r>
                    <w:rPr>
                      <w:rFonts w:hint="default" w:ascii="Times New Roman" w:hAnsi="Times New Roman" w:cs="Times New Roman"/>
                      <w:color w:val="000000"/>
                      <w:szCs w:val="21"/>
                    </w:rPr>
                    <w:t>2400</w:t>
                  </w:r>
                </w:p>
              </w:tc>
              <w:tc>
                <w:tcPr>
                  <w:tcW w:w="2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837E13">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20000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6F7D8">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0.075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AC56">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0.031</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BDFC9">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w:t>
                  </w:r>
                  <w:r>
                    <w:rPr>
                      <w:rFonts w:hint="eastAsia" w:cs="Times New Roman"/>
                      <w:color w:val="000000"/>
                      <w:szCs w:val="21"/>
                      <w:lang w:val="en-US" w:eastAsia="zh-CN"/>
                    </w:rPr>
                    <w:t>5</w:t>
                  </w:r>
                  <w:r>
                    <w:rPr>
                      <w:rFonts w:hint="default" w:ascii="Times New Roman" w:hAnsi="Times New Roman" w:cs="Times New Roman"/>
                      <w:color w:val="000000"/>
                      <w:szCs w:val="21"/>
                      <w:lang w:val="en-US" w:eastAsia="zh-CN"/>
                    </w:rPr>
                    <w:t>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F8593">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70</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55DBB">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3.0</w:t>
                  </w:r>
                </w:p>
              </w:tc>
              <w:tc>
                <w:tcPr>
                  <w:tcW w:w="2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F78AA">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r w14:paraId="5331C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79E5A">
                  <w:pPr>
                    <w:pStyle w:val="12"/>
                    <w:jc w:val="center"/>
                    <w:rPr>
                      <w:rFonts w:hint="default" w:ascii="Times New Roman" w:hAnsi="Times New Roman" w:cs="Times New Roman"/>
                      <w:bCs/>
                      <w:color w:val="000000"/>
                      <w:sz w:val="21"/>
                      <w:szCs w:val="21"/>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2B7AA">
                  <w:pPr>
                    <w:snapToGrid w:val="0"/>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颗粒物</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31029">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0.56</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1D68D">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0.23</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09518">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11.5</w:t>
                  </w:r>
                </w:p>
              </w:tc>
              <w:tc>
                <w:tcPr>
                  <w:tcW w:w="5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4AA8F">
                  <w:pPr>
                    <w:jc w:val="center"/>
                    <w:rPr>
                      <w:rFonts w:hint="default" w:ascii="Times New Roman" w:hAnsi="Times New Roman" w:cs="Times New Roman"/>
                      <w:color w:val="000000"/>
                      <w:szCs w:val="21"/>
                    </w:rPr>
                  </w:pP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01EEB">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98</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EF795">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90</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D03A4">
                  <w:pPr>
                    <w:snapToGrid w:val="0"/>
                    <w:jc w:val="center"/>
                    <w:rPr>
                      <w:rFonts w:hint="default" w:ascii="Times New Roman" w:hAnsi="Times New Roman" w:eastAsia="Times New Roman" w:cs="Times New Roman"/>
                      <w:color w:val="000000"/>
                      <w:szCs w:val="21"/>
                    </w:rPr>
                  </w:pPr>
                  <w:r>
                    <w:rPr>
                      <w:rFonts w:hint="default" w:ascii="Times New Roman" w:hAnsi="Times New Roman" w:cs="Times New Roman"/>
                      <w:color w:val="000000"/>
                      <w:szCs w:val="21"/>
                    </w:rPr>
                    <w:t>2400</w:t>
                  </w: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195BB">
                  <w:pPr>
                    <w:snapToGrid w:val="0"/>
                    <w:jc w:val="center"/>
                    <w:rPr>
                      <w:rFonts w:hint="default" w:ascii="Times New Roman" w:hAnsi="Times New Roman" w:eastAsia="Times New Roman" w:cs="Times New Roman"/>
                      <w:color w:val="000000"/>
                      <w:szCs w:val="21"/>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9D0AB">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0.056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710A2">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0.023</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5C887">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1.15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ACD4A">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120</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27F9A">
                  <w:pPr>
                    <w:snapToGrid w:val="0"/>
                    <w:jc w:val="center"/>
                    <w:rPr>
                      <w:rFonts w:hint="default" w:ascii="Times New Roman" w:hAnsi="Times New Roman" w:cs="Times New Roman"/>
                      <w:color w:val="000000"/>
                      <w:szCs w:val="21"/>
                    </w:rPr>
                  </w:pPr>
                  <w:bookmarkStart w:id="23" w:name="OLE_LINK88"/>
                  <w:r>
                    <w:rPr>
                      <w:rFonts w:hint="default" w:ascii="Times New Roman" w:hAnsi="Times New Roman" w:cs="Times New Roman"/>
                      <w:color w:val="000000"/>
                      <w:szCs w:val="21"/>
                    </w:rPr>
                    <w:t>5.9</w:t>
                  </w:r>
                  <w:bookmarkEnd w:id="23"/>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60A31">
                  <w:pPr>
                    <w:snapToGrid w:val="0"/>
                    <w:jc w:val="center"/>
                    <w:rPr>
                      <w:rFonts w:hint="default" w:ascii="Times New Roman" w:hAnsi="Times New Roman" w:cs="Times New Roman"/>
                      <w:color w:val="000000"/>
                      <w:szCs w:val="21"/>
                    </w:rPr>
                  </w:pPr>
                </w:p>
              </w:tc>
            </w:tr>
            <w:bookmarkEnd w:id="21"/>
            <w:bookmarkEnd w:id="22"/>
            <w:tr w14:paraId="6A29E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C728ED">
                  <w:pPr>
                    <w:pStyle w:val="12"/>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合计</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608DD">
                  <w:pPr>
                    <w:snapToGrid w:val="0"/>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非甲烷总烃</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3B6AD">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0.75</w:t>
                  </w:r>
                  <w:r>
                    <w:rPr>
                      <w:rFonts w:hint="eastAsia" w:cs="Times New Roman"/>
                      <w:color w:val="000000" w:themeColor="text1"/>
                      <w:szCs w:val="21"/>
                      <w:lang w:val="en-US" w:eastAsia="zh-CN"/>
                      <w14:textFill>
                        <w14:solidFill>
                          <w14:schemeClr w14:val="tx1"/>
                        </w14:solidFill>
                      </w14:textFill>
                    </w:rPr>
                    <w:t>2</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85604C">
                  <w:pPr>
                    <w:snapToGrid w:val="0"/>
                    <w:jc w:val="center"/>
                    <w:rPr>
                      <w:rFonts w:hint="eastAsia" w:ascii="Times New Roman" w:hAnsi="Times New Roman" w:eastAsia="宋体" w:cs="Times New Roman"/>
                      <w:color w:val="000000"/>
                      <w:szCs w:val="21"/>
                      <w:lang w:val="en-US" w:eastAsia="zh-CN"/>
                    </w:rPr>
                  </w:pPr>
                  <w:r>
                    <w:rPr>
                      <w:rFonts w:hint="eastAsia" w:eastAsia="宋体" w:cs="Times New Roman"/>
                      <w:color w:val="000000"/>
                      <w:szCs w:val="21"/>
                      <w:lang w:val="en-US" w:eastAsia="zh-CN"/>
                    </w:rPr>
                    <w:t>/</w:t>
                  </w: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5495D">
                  <w:pPr>
                    <w:snapToGrid w:val="0"/>
                    <w:jc w:val="center"/>
                    <w:rPr>
                      <w:rFonts w:hint="default" w:ascii="Times New Roman" w:hAnsi="Times New Roman" w:eastAsia="Times New Roman" w:cs="Times New Roman"/>
                      <w:color w:val="000000"/>
                      <w:szCs w:val="21"/>
                    </w:rPr>
                  </w:pPr>
                  <w:r>
                    <w:rPr>
                      <w:rFonts w:hint="eastAsia" w:eastAsia="宋体" w:cs="Times New Roman"/>
                      <w:color w:val="000000"/>
                      <w:szCs w:val="21"/>
                      <w:lang w:val="en-US" w:eastAsia="zh-CN"/>
                    </w:rPr>
                    <w:t>/</w:t>
                  </w:r>
                </w:p>
              </w:tc>
              <w:tc>
                <w:tcPr>
                  <w:tcW w:w="5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7E3BC">
                  <w:pPr>
                    <w:jc w:val="center"/>
                    <w:rPr>
                      <w:rFonts w:hint="default" w:ascii="Times New Roman" w:hAnsi="Times New Roman" w:cs="Times New Roman"/>
                      <w:color w:val="000000"/>
                      <w:szCs w:val="21"/>
                    </w:rPr>
                  </w:pPr>
                  <w:r>
                    <w:rPr>
                      <w:rFonts w:hint="eastAsia" w:eastAsia="宋体" w:cs="Times New Roman"/>
                      <w:color w:val="000000"/>
                      <w:szCs w:val="21"/>
                      <w:lang w:val="en-US" w:eastAsia="zh-CN"/>
                    </w:rPr>
                    <w:t>/</w:t>
                  </w:r>
                </w:p>
              </w:tc>
              <w:tc>
                <w:tcPr>
                  <w:tcW w:w="214" w:type="pct"/>
                  <w:vMerge w:val="restart"/>
                  <w:tcBorders>
                    <w:top w:val="single" w:color="000000" w:sz="4" w:space="0"/>
                    <w:left w:val="single" w:color="000000" w:sz="4" w:space="0"/>
                    <w:right w:val="single" w:color="000000" w:sz="4" w:space="0"/>
                  </w:tcBorders>
                  <w:shd w:val="clear" w:color="auto" w:fill="auto"/>
                  <w:vAlign w:val="center"/>
                </w:tcPr>
                <w:p w14:paraId="68CFBC02">
                  <w:pPr>
                    <w:snapToGrid w:val="0"/>
                    <w:jc w:val="center"/>
                    <w:rPr>
                      <w:rFonts w:hint="default" w:ascii="Times New Roman" w:hAnsi="Times New Roman" w:eastAsia="Times New Roman" w:cs="Times New Roman"/>
                      <w:color w:val="000000"/>
                      <w:szCs w:val="21"/>
                    </w:rPr>
                  </w:pPr>
                  <w:r>
                    <w:rPr>
                      <w:rFonts w:hint="eastAsia" w:eastAsia="宋体" w:cs="Times New Roman"/>
                      <w:color w:val="000000"/>
                      <w:szCs w:val="21"/>
                      <w:lang w:val="en-US" w:eastAsia="zh-CN"/>
                    </w:rPr>
                    <w:t>/</w:t>
                  </w:r>
                </w:p>
              </w:tc>
              <w:tc>
                <w:tcPr>
                  <w:tcW w:w="2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A4CB9D">
                  <w:pPr>
                    <w:snapToGrid w:val="0"/>
                    <w:jc w:val="center"/>
                    <w:rPr>
                      <w:rFonts w:hint="default" w:ascii="Times New Roman" w:hAnsi="Times New Roman" w:eastAsia="Times New Roman" w:cs="Times New Roman"/>
                      <w:color w:val="000000"/>
                      <w:szCs w:val="21"/>
                    </w:rPr>
                  </w:pPr>
                  <w:r>
                    <w:rPr>
                      <w:rFonts w:hint="eastAsia" w:eastAsia="宋体" w:cs="Times New Roman"/>
                      <w:color w:val="000000"/>
                      <w:szCs w:val="21"/>
                      <w:lang w:val="en-US" w:eastAsia="zh-CN"/>
                    </w:rPr>
                    <w:t>/</w:t>
                  </w:r>
                </w:p>
              </w:tc>
              <w:tc>
                <w:tcPr>
                  <w:tcW w:w="2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171C5">
                  <w:pPr>
                    <w:snapToGrid w:val="0"/>
                    <w:jc w:val="center"/>
                    <w:rPr>
                      <w:rFonts w:hint="default" w:ascii="Times New Roman" w:hAnsi="Times New Roman" w:eastAsia="Times New Roman" w:cs="Times New Roman"/>
                      <w:color w:val="000000"/>
                      <w:szCs w:val="21"/>
                    </w:rPr>
                  </w:pPr>
                  <w:r>
                    <w:rPr>
                      <w:rFonts w:hint="eastAsia" w:eastAsia="宋体" w:cs="Times New Roman"/>
                      <w:color w:val="000000"/>
                      <w:szCs w:val="21"/>
                      <w:lang w:val="en-US" w:eastAsia="zh-CN"/>
                    </w:rPr>
                    <w:t>/</w:t>
                  </w:r>
                </w:p>
              </w:tc>
              <w:tc>
                <w:tcPr>
                  <w:tcW w:w="2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7E905A">
                  <w:pPr>
                    <w:snapToGrid w:val="0"/>
                    <w:jc w:val="center"/>
                    <w:rPr>
                      <w:rFonts w:hint="default" w:ascii="Times New Roman" w:hAnsi="Times New Roman" w:eastAsia="Times New Roman" w:cs="Times New Roman"/>
                      <w:color w:val="000000"/>
                      <w:szCs w:val="21"/>
                    </w:rPr>
                  </w:pPr>
                  <w:r>
                    <w:rPr>
                      <w:rFonts w:hint="eastAsia" w:eastAsia="宋体" w:cs="Times New Roman"/>
                      <w:color w:val="000000"/>
                      <w:szCs w:val="21"/>
                      <w:lang w:val="en-US" w:eastAsia="zh-CN"/>
                    </w:rPr>
                    <w:t>/</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1C673">
                  <w:pPr>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0.075</w:t>
                  </w:r>
                </w:p>
              </w:tc>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9C075">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w:t>
                  </w:r>
                </w:p>
              </w:tc>
              <w:tc>
                <w:tcPr>
                  <w:tcW w:w="3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3D9F26">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w:t>
                  </w:r>
                </w:p>
              </w:tc>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0BE1B">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306D7">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w:t>
                  </w:r>
                </w:p>
              </w:tc>
              <w:tc>
                <w:tcPr>
                  <w:tcW w:w="2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3D23D">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r w14:paraId="2B5F8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56FDC">
                  <w:pPr>
                    <w:pStyle w:val="12"/>
                    <w:jc w:val="center"/>
                    <w:rPr>
                      <w:rFonts w:hint="default" w:ascii="Times New Roman" w:hAnsi="Times New Roman" w:cs="Times New Roman"/>
                      <w:bCs/>
                      <w:color w:val="000000"/>
                      <w:sz w:val="21"/>
                      <w:szCs w:val="21"/>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CF982">
                  <w:pPr>
                    <w:snapToGrid w:val="0"/>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颗粒物</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135B2">
                  <w:pPr>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10.54</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72F04">
                  <w:pPr>
                    <w:jc w:val="center"/>
                    <w:rPr>
                      <w:rFonts w:hint="default" w:ascii="Times New Roman" w:hAnsi="Times New Roman" w:cs="Times New Roman"/>
                      <w:color w:val="000000"/>
                      <w:szCs w:val="21"/>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92815">
                  <w:pPr>
                    <w:jc w:val="center"/>
                    <w:rPr>
                      <w:rFonts w:hint="default" w:ascii="Times New Roman" w:hAnsi="Times New Roman" w:cs="Times New Roman"/>
                      <w:color w:val="000000"/>
                      <w:szCs w:val="21"/>
                    </w:rPr>
                  </w:pPr>
                </w:p>
              </w:tc>
              <w:tc>
                <w:tcPr>
                  <w:tcW w:w="5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69A1B">
                  <w:pPr>
                    <w:jc w:val="center"/>
                    <w:rPr>
                      <w:rFonts w:hint="default" w:ascii="Times New Roman" w:hAnsi="Times New Roman" w:cs="Times New Roman"/>
                      <w:color w:val="000000"/>
                      <w:szCs w:val="21"/>
                    </w:rPr>
                  </w:pPr>
                </w:p>
              </w:tc>
              <w:tc>
                <w:tcPr>
                  <w:tcW w:w="214" w:type="pct"/>
                  <w:vMerge w:val="continue"/>
                  <w:tcBorders>
                    <w:left w:val="single" w:color="000000" w:sz="4" w:space="0"/>
                    <w:bottom w:val="single" w:color="000000" w:sz="4" w:space="0"/>
                    <w:right w:val="single" w:color="000000" w:sz="4" w:space="0"/>
                  </w:tcBorders>
                  <w:shd w:val="clear" w:color="auto" w:fill="auto"/>
                  <w:vAlign w:val="center"/>
                </w:tcPr>
                <w:p w14:paraId="2BDE5F12">
                  <w:pPr>
                    <w:snapToGrid w:val="0"/>
                    <w:jc w:val="center"/>
                    <w:rPr>
                      <w:rFonts w:hint="default" w:ascii="Times New Roman" w:hAnsi="Times New Roman" w:cs="Times New Roman"/>
                      <w:bCs/>
                      <w:color w:val="000000"/>
                      <w:szCs w:val="21"/>
                    </w:rPr>
                  </w:pPr>
                </w:p>
              </w:tc>
              <w:tc>
                <w:tcPr>
                  <w:tcW w:w="2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289B1">
                  <w:pPr>
                    <w:snapToGrid w:val="0"/>
                    <w:jc w:val="center"/>
                    <w:rPr>
                      <w:rFonts w:hint="default" w:ascii="Times New Roman" w:hAnsi="Times New Roman" w:cs="Times New Roman"/>
                      <w:bCs/>
                      <w:color w:val="000000"/>
                      <w:szCs w:val="21"/>
                    </w:rPr>
                  </w:pPr>
                </w:p>
              </w:tc>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BDA80">
                  <w:pPr>
                    <w:snapToGrid w:val="0"/>
                    <w:jc w:val="center"/>
                    <w:rPr>
                      <w:rFonts w:hint="default" w:ascii="Times New Roman" w:hAnsi="Times New Roman" w:cs="Times New Roman"/>
                      <w:bCs/>
                      <w:color w:val="000000"/>
                      <w:szCs w:val="21"/>
                    </w:rPr>
                  </w:pP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4062E">
                  <w:pPr>
                    <w:snapToGrid w:val="0"/>
                    <w:jc w:val="center"/>
                    <w:rPr>
                      <w:rFonts w:hint="default" w:ascii="Times New Roman" w:hAnsi="Times New Roman" w:cs="Times New Roman"/>
                      <w:bCs/>
                      <w:color w:val="000000"/>
                      <w:szCs w:val="21"/>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F23A1">
                  <w:pPr>
                    <w:jc w:val="center"/>
                    <w:rPr>
                      <w:rFonts w:hint="default" w:ascii="Times New Roman" w:hAnsi="Times New Roman" w:eastAsia="宋体" w:cs="Times New Roman"/>
                      <w:color w:val="000000"/>
                      <w:kern w:val="0"/>
                      <w:szCs w:val="21"/>
                      <w:lang w:val="en-US" w:eastAsia="zh-CN"/>
                    </w:rPr>
                  </w:pPr>
                  <w:r>
                    <w:rPr>
                      <w:rFonts w:hint="eastAsia" w:ascii="Times New Roman" w:hAnsi="Times New Roman" w:cs="Times New Roman"/>
                      <w:color w:val="000000"/>
                      <w:kern w:val="0"/>
                      <w:szCs w:val="21"/>
                      <w:lang w:val="en-US" w:eastAsia="zh-CN"/>
                    </w:rPr>
                    <w:t>0.</w:t>
                  </w:r>
                  <w:r>
                    <w:rPr>
                      <w:rFonts w:hint="eastAsia" w:cs="Times New Roman"/>
                      <w:color w:val="000000"/>
                      <w:kern w:val="0"/>
                      <w:szCs w:val="21"/>
                      <w:lang w:val="en-US" w:eastAsia="zh-CN"/>
                    </w:rPr>
                    <w:t>86</w:t>
                  </w:r>
                </w:p>
              </w:tc>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75EFB">
                  <w:pPr>
                    <w:jc w:val="center"/>
                    <w:rPr>
                      <w:rFonts w:hint="default" w:ascii="Times New Roman" w:hAnsi="Times New Roman" w:cs="Times New Roman"/>
                      <w:color w:val="000000"/>
                      <w:kern w:val="0"/>
                      <w:szCs w:val="21"/>
                    </w:rPr>
                  </w:pPr>
                </w:p>
              </w:tc>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030A8">
                  <w:pPr>
                    <w:jc w:val="center"/>
                    <w:rPr>
                      <w:rFonts w:hint="default" w:ascii="Times New Roman" w:hAnsi="Times New Roman" w:cs="Times New Roman"/>
                      <w:color w:val="000000"/>
                      <w:kern w:val="0"/>
                      <w:szCs w:val="21"/>
                    </w:rPr>
                  </w:pPr>
                </w:p>
              </w:tc>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3761B">
                  <w:pPr>
                    <w:snapToGrid w:val="0"/>
                    <w:jc w:val="center"/>
                    <w:rPr>
                      <w:rFonts w:hint="default" w:ascii="Times New Roman" w:hAnsi="Times New Roman" w:cs="Times New Roman"/>
                      <w:color w:val="000000"/>
                      <w:szCs w:val="21"/>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AD811">
                  <w:pPr>
                    <w:snapToGrid w:val="0"/>
                    <w:jc w:val="center"/>
                    <w:rPr>
                      <w:rFonts w:hint="default" w:ascii="Times New Roman" w:hAnsi="Times New Roman" w:cs="Times New Roman"/>
                      <w:color w:val="000000"/>
                      <w:szCs w:val="21"/>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902D5">
                  <w:pPr>
                    <w:snapToGrid w:val="0"/>
                    <w:jc w:val="center"/>
                    <w:rPr>
                      <w:rFonts w:hint="default" w:ascii="Times New Roman" w:hAnsi="Times New Roman" w:cs="Times New Roman"/>
                      <w:color w:val="000000"/>
                      <w:szCs w:val="21"/>
                    </w:rPr>
                  </w:pPr>
                </w:p>
              </w:tc>
            </w:tr>
          </w:tbl>
          <w:p w14:paraId="09E9FF4E">
            <w:pPr>
              <w:jc w:val="center"/>
              <w:rPr>
                <w:rFonts w:hint="default" w:ascii="Times New Roman" w:hAnsi="Times New Roman" w:cs="Times New Roman"/>
                <w:color w:val="auto"/>
                <w:szCs w:val="28"/>
              </w:rPr>
            </w:pPr>
            <w:r>
              <w:rPr>
                <w:rFonts w:ascii="Times New Roman" w:hAnsi="Times New Roman"/>
                <w:b/>
                <w:sz w:val="24"/>
              </w:rPr>
              <w:t>表4-</w:t>
            </w:r>
            <w:r>
              <w:rPr>
                <w:rFonts w:hint="eastAsia"/>
                <w:b/>
                <w:sz w:val="24"/>
                <w:lang w:val="en-US" w:eastAsia="zh-CN"/>
              </w:rPr>
              <w:t>5</w:t>
            </w:r>
            <w:r>
              <w:rPr>
                <w:rFonts w:ascii="Times New Roman" w:hAnsi="Times New Roman"/>
                <w:b/>
                <w:sz w:val="24"/>
              </w:rPr>
              <w:t>无组织废气排放情况一览表</w:t>
            </w:r>
          </w:p>
          <w:tbl>
            <w:tblPr>
              <w:tblStyle w:val="28"/>
              <w:tblW w:w="8477"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280"/>
              <w:gridCol w:w="840"/>
              <w:gridCol w:w="921"/>
              <w:gridCol w:w="1224"/>
              <w:gridCol w:w="915"/>
              <w:gridCol w:w="1000"/>
              <w:gridCol w:w="1263"/>
            </w:tblGrid>
            <w:tr w14:paraId="3F62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34" w:type="dxa"/>
                  <w:vMerge w:val="restart"/>
                  <w:tcBorders>
                    <w:top w:val="single" w:color="auto" w:sz="4" w:space="0"/>
                    <w:left w:val="single" w:color="auto" w:sz="4" w:space="0"/>
                    <w:right w:val="single" w:color="auto" w:sz="4" w:space="0"/>
                  </w:tcBorders>
                  <w:noWrap w:val="0"/>
                  <w:vAlign w:val="center"/>
                </w:tcPr>
                <w:p w14:paraId="0C479934">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000000"/>
                      <w:szCs w:val="21"/>
                    </w:rPr>
                    <w:t>产污环节</w:t>
                  </w:r>
                </w:p>
              </w:tc>
              <w:tc>
                <w:tcPr>
                  <w:tcW w:w="1280" w:type="dxa"/>
                  <w:vMerge w:val="restart"/>
                  <w:tcBorders>
                    <w:top w:val="single" w:color="auto" w:sz="4" w:space="0"/>
                    <w:left w:val="single" w:color="auto" w:sz="4" w:space="0"/>
                    <w:right w:val="single" w:color="auto" w:sz="4" w:space="0"/>
                  </w:tcBorders>
                  <w:noWrap w:val="0"/>
                  <w:vAlign w:val="center"/>
                </w:tcPr>
                <w:p w14:paraId="586A4071">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000000"/>
                      <w:szCs w:val="21"/>
                    </w:rPr>
                    <w:t>污染物种类</w:t>
                  </w:r>
                </w:p>
              </w:tc>
              <w:tc>
                <w:tcPr>
                  <w:tcW w:w="1761" w:type="dxa"/>
                  <w:gridSpan w:val="2"/>
                  <w:tcBorders>
                    <w:top w:val="single" w:color="auto" w:sz="4" w:space="0"/>
                    <w:left w:val="single" w:color="auto" w:sz="4" w:space="0"/>
                    <w:bottom w:val="single" w:color="auto" w:sz="4" w:space="0"/>
                    <w:right w:val="single" w:color="auto" w:sz="4" w:space="0"/>
                  </w:tcBorders>
                  <w:noWrap w:val="0"/>
                  <w:vAlign w:val="center"/>
                </w:tcPr>
                <w:p w14:paraId="2C810E02">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000000"/>
                      <w:szCs w:val="21"/>
                    </w:rPr>
                    <w:t>污染物产生情况</w:t>
                  </w:r>
                </w:p>
              </w:tc>
              <w:tc>
                <w:tcPr>
                  <w:tcW w:w="1224" w:type="dxa"/>
                  <w:vMerge w:val="restart"/>
                  <w:tcBorders>
                    <w:top w:val="single" w:color="auto" w:sz="4" w:space="0"/>
                    <w:left w:val="single" w:color="auto" w:sz="4" w:space="0"/>
                    <w:right w:val="single" w:color="auto" w:sz="4" w:space="0"/>
                  </w:tcBorders>
                  <w:noWrap w:val="0"/>
                  <w:vAlign w:val="center"/>
                </w:tcPr>
                <w:p w14:paraId="1C57E0AC">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000000"/>
                      <w:szCs w:val="21"/>
                    </w:rPr>
                    <w:t>年排放时间h</w:t>
                  </w:r>
                </w:p>
              </w:tc>
              <w:tc>
                <w:tcPr>
                  <w:tcW w:w="1915" w:type="dxa"/>
                  <w:gridSpan w:val="2"/>
                  <w:tcBorders>
                    <w:top w:val="single" w:color="auto" w:sz="4" w:space="0"/>
                    <w:left w:val="single" w:color="auto" w:sz="4" w:space="0"/>
                    <w:right w:val="single" w:color="auto" w:sz="4" w:space="0"/>
                  </w:tcBorders>
                  <w:noWrap w:val="0"/>
                  <w:vAlign w:val="center"/>
                </w:tcPr>
                <w:p w14:paraId="6F7051E3">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000000"/>
                      <w:szCs w:val="21"/>
                    </w:rPr>
                    <w:t>污染物排放情况</w:t>
                  </w:r>
                </w:p>
              </w:tc>
              <w:tc>
                <w:tcPr>
                  <w:tcW w:w="1263" w:type="dxa"/>
                  <w:vMerge w:val="restart"/>
                  <w:tcBorders>
                    <w:top w:val="single" w:color="auto" w:sz="4" w:space="0"/>
                    <w:left w:val="single" w:color="auto" w:sz="4" w:space="0"/>
                    <w:right w:val="single" w:color="auto" w:sz="4" w:space="0"/>
                  </w:tcBorders>
                  <w:noWrap w:val="0"/>
                  <w:vAlign w:val="center"/>
                </w:tcPr>
                <w:p w14:paraId="310BFC45">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000000"/>
                      <w:szCs w:val="21"/>
                    </w:rPr>
                    <w:t>是否达标排放</w:t>
                  </w:r>
                </w:p>
              </w:tc>
            </w:tr>
            <w:tr w14:paraId="5638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34" w:type="dxa"/>
                  <w:vMerge w:val="continue"/>
                  <w:tcBorders>
                    <w:left w:val="single" w:color="auto" w:sz="4" w:space="0"/>
                    <w:bottom w:val="single" w:color="auto" w:sz="4" w:space="0"/>
                    <w:right w:val="single" w:color="auto" w:sz="4" w:space="0"/>
                  </w:tcBorders>
                  <w:noWrap w:val="0"/>
                  <w:vAlign w:val="center"/>
                </w:tcPr>
                <w:p w14:paraId="68A88CAA">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rPr>
                  </w:pPr>
                </w:p>
              </w:tc>
              <w:tc>
                <w:tcPr>
                  <w:tcW w:w="1280" w:type="dxa"/>
                  <w:vMerge w:val="continue"/>
                  <w:tcBorders>
                    <w:left w:val="single" w:color="auto" w:sz="4" w:space="0"/>
                    <w:bottom w:val="single" w:color="auto" w:sz="4" w:space="0"/>
                    <w:right w:val="single" w:color="auto" w:sz="4" w:space="0"/>
                  </w:tcBorders>
                  <w:noWrap w:val="0"/>
                  <w:vAlign w:val="center"/>
                </w:tcPr>
                <w:p w14:paraId="43AC0952">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rPr>
                  </w:pPr>
                </w:p>
              </w:tc>
              <w:tc>
                <w:tcPr>
                  <w:tcW w:w="840" w:type="dxa"/>
                  <w:tcBorders>
                    <w:top w:val="single" w:color="auto" w:sz="4" w:space="0"/>
                    <w:left w:val="single" w:color="auto" w:sz="4" w:space="0"/>
                    <w:bottom w:val="single" w:color="auto" w:sz="4" w:space="0"/>
                    <w:right w:val="single" w:color="auto" w:sz="4" w:space="0"/>
                  </w:tcBorders>
                  <w:noWrap w:val="0"/>
                  <w:vAlign w:val="center"/>
                </w:tcPr>
                <w:p w14:paraId="51731DD2">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产生量t/a</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0C1FFBE2">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产生速率kg/h</w:t>
                  </w:r>
                </w:p>
              </w:tc>
              <w:tc>
                <w:tcPr>
                  <w:tcW w:w="1224" w:type="dxa"/>
                  <w:vMerge w:val="continue"/>
                  <w:tcBorders>
                    <w:left w:val="single" w:color="auto" w:sz="4" w:space="0"/>
                    <w:bottom w:val="single" w:color="auto" w:sz="4" w:space="0"/>
                    <w:right w:val="single" w:color="auto" w:sz="4" w:space="0"/>
                  </w:tcBorders>
                  <w:noWrap w:val="0"/>
                  <w:vAlign w:val="center"/>
                </w:tcPr>
                <w:p w14:paraId="2EDE10FA">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bCs/>
                      <w:color w:val="000000"/>
                      <w:szCs w:val="21"/>
                    </w:rPr>
                  </w:pPr>
                </w:p>
              </w:tc>
              <w:tc>
                <w:tcPr>
                  <w:tcW w:w="915" w:type="dxa"/>
                  <w:tcBorders>
                    <w:left w:val="single" w:color="auto" w:sz="4" w:space="0"/>
                    <w:bottom w:val="single" w:color="auto" w:sz="4" w:space="0"/>
                    <w:right w:val="single" w:color="auto" w:sz="4" w:space="0"/>
                  </w:tcBorders>
                  <w:noWrap w:val="0"/>
                  <w:vAlign w:val="center"/>
                </w:tcPr>
                <w:p w14:paraId="50E2CE92">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排放量t/a</w:t>
                  </w:r>
                </w:p>
              </w:tc>
              <w:tc>
                <w:tcPr>
                  <w:tcW w:w="1000" w:type="dxa"/>
                  <w:tcBorders>
                    <w:left w:val="single" w:color="auto" w:sz="4" w:space="0"/>
                    <w:bottom w:val="single" w:color="auto" w:sz="4" w:space="0"/>
                    <w:right w:val="single" w:color="auto" w:sz="4" w:space="0"/>
                  </w:tcBorders>
                  <w:noWrap w:val="0"/>
                  <w:vAlign w:val="center"/>
                </w:tcPr>
                <w:p w14:paraId="7D7A18B2">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排放速率kg/h</w:t>
                  </w:r>
                </w:p>
              </w:tc>
              <w:tc>
                <w:tcPr>
                  <w:tcW w:w="1263" w:type="dxa"/>
                  <w:vMerge w:val="continue"/>
                  <w:tcBorders>
                    <w:left w:val="single" w:color="auto" w:sz="4" w:space="0"/>
                    <w:bottom w:val="single" w:color="auto" w:sz="4" w:space="0"/>
                    <w:right w:val="single" w:color="auto" w:sz="4" w:space="0"/>
                  </w:tcBorders>
                  <w:noWrap w:val="0"/>
                  <w:vAlign w:val="center"/>
                </w:tcPr>
                <w:p w14:paraId="34F5D290">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bCs/>
                      <w:color w:val="000000"/>
                      <w:szCs w:val="21"/>
                    </w:rPr>
                  </w:pPr>
                </w:p>
              </w:tc>
            </w:tr>
            <w:tr w14:paraId="7E71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34" w:type="dxa"/>
                  <w:tcBorders>
                    <w:top w:val="single" w:color="auto" w:sz="4" w:space="0"/>
                    <w:left w:val="single" w:color="auto" w:sz="4" w:space="0"/>
                    <w:right w:val="single" w:color="auto" w:sz="4" w:space="0"/>
                  </w:tcBorders>
                  <w:noWrap w:val="0"/>
                  <w:vAlign w:val="center"/>
                </w:tcPr>
                <w:p w14:paraId="75FD7C11">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切割</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55B0566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颗粒物</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FA4C23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87</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0E7B249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0.36</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4B402B2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2400</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57D0FC8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0.87</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113F779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0.36</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5754F3D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达标</w:t>
                  </w:r>
                </w:p>
              </w:tc>
            </w:tr>
            <w:tr w14:paraId="4C5A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34" w:type="dxa"/>
                  <w:tcBorders>
                    <w:left w:val="single" w:color="auto" w:sz="4" w:space="0"/>
                    <w:right w:val="single" w:color="auto" w:sz="4" w:space="0"/>
                  </w:tcBorders>
                  <w:noWrap w:val="0"/>
                  <w:vAlign w:val="center"/>
                </w:tcPr>
                <w:p w14:paraId="42D46060">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Cs w:val="21"/>
                    </w:rPr>
                    <w:t>抛丸</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3FE8E47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颗粒物</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97E24D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02</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1405597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08</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620C0CA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2400</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545204F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02</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467375A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08</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5005A22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达标</w:t>
                  </w:r>
                </w:p>
              </w:tc>
            </w:tr>
            <w:tr w14:paraId="67FC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34" w:type="dxa"/>
                  <w:vMerge w:val="restart"/>
                  <w:tcBorders>
                    <w:left w:val="single" w:color="auto" w:sz="4" w:space="0"/>
                    <w:right w:val="single" w:color="auto" w:sz="4" w:space="0"/>
                  </w:tcBorders>
                  <w:noWrap w:val="0"/>
                  <w:vAlign w:val="center"/>
                </w:tcPr>
                <w:p w14:paraId="137B3790">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bCs/>
                      <w:color w:val="000000"/>
                      <w:szCs w:val="21"/>
                    </w:rPr>
                    <w:t>喷漆、晾干</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1403806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非甲烷总烃</w:t>
                  </w:r>
                </w:p>
              </w:tc>
              <w:tc>
                <w:tcPr>
                  <w:tcW w:w="840" w:type="dxa"/>
                  <w:tcBorders>
                    <w:top w:val="single" w:color="auto" w:sz="4" w:space="0"/>
                    <w:left w:val="single" w:color="auto" w:sz="4" w:space="0"/>
                    <w:right w:val="single" w:color="auto" w:sz="4" w:space="0"/>
                  </w:tcBorders>
                  <w:noWrap w:val="0"/>
                  <w:vAlign w:val="center"/>
                </w:tcPr>
                <w:p w14:paraId="15F6268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cs="Times New Roman"/>
                      <w:lang w:val="en-US" w:eastAsia="zh-CN"/>
                    </w:rPr>
                  </w:pPr>
                  <w:r>
                    <w:rPr>
                      <w:rFonts w:hint="default" w:ascii="Times New Roman" w:hAnsi="Times New Roman"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088</w:t>
                  </w:r>
                </w:p>
              </w:tc>
              <w:tc>
                <w:tcPr>
                  <w:tcW w:w="921" w:type="dxa"/>
                  <w:tcBorders>
                    <w:top w:val="single" w:color="auto" w:sz="4" w:space="0"/>
                    <w:left w:val="single" w:color="auto" w:sz="4" w:space="0"/>
                    <w:right w:val="single" w:color="auto" w:sz="4" w:space="0"/>
                  </w:tcBorders>
                  <w:noWrap w:val="0"/>
                  <w:vAlign w:val="center"/>
                </w:tcPr>
                <w:p w14:paraId="5F96E9E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0.004</w:t>
                  </w:r>
                </w:p>
              </w:tc>
              <w:tc>
                <w:tcPr>
                  <w:tcW w:w="1224" w:type="dxa"/>
                  <w:tcBorders>
                    <w:top w:val="single" w:color="auto" w:sz="4" w:space="0"/>
                    <w:left w:val="single" w:color="auto" w:sz="4" w:space="0"/>
                    <w:right w:val="single" w:color="auto" w:sz="4" w:space="0"/>
                  </w:tcBorders>
                  <w:noWrap w:val="0"/>
                  <w:vAlign w:val="center"/>
                </w:tcPr>
                <w:p w14:paraId="36EC732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2400</w:t>
                  </w:r>
                </w:p>
              </w:tc>
              <w:tc>
                <w:tcPr>
                  <w:tcW w:w="915" w:type="dxa"/>
                  <w:tcBorders>
                    <w:top w:val="single" w:color="auto" w:sz="4" w:space="0"/>
                    <w:left w:val="single" w:color="auto" w:sz="4" w:space="0"/>
                    <w:right w:val="single" w:color="auto" w:sz="4" w:space="0"/>
                  </w:tcBorders>
                  <w:noWrap w:val="0"/>
                  <w:vAlign w:val="center"/>
                </w:tcPr>
                <w:p w14:paraId="5DA45DD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08</w:t>
                  </w:r>
                  <w:r>
                    <w:rPr>
                      <w:rFonts w:hint="default" w:ascii="Times New Roman" w:hAnsi="Times New Roman" w:cs="Times New Roman"/>
                      <w:i w:val="0"/>
                      <w:iCs w:val="0"/>
                      <w:color w:val="auto"/>
                      <w:kern w:val="0"/>
                      <w:sz w:val="21"/>
                      <w:szCs w:val="21"/>
                      <w:u w:val="none"/>
                      <w:lang w:val="en-US" w:eastAsia="zh-CN" w:bidi="ar"/>
                    </w:rPr>
                    <w:t>8</w:t>
                  </w:r>
                </w:p>
              </w:tc>
              <w:tc>
                <w:tcPr>
                  <w:tcW w:w="1000" w:type="dxa"/>
                  <w:tcBorders>
                    <w:top w:val="single" w:color="auto" w:sz="4" w:space="0"/>
                    <w:left w:val="single" w:color="auto" w:sz="4" w:space="0"/>
                    <w:right w:val="single" w:color="auto" w:sz="4" w:space="0"/>
                  </w:tcBorders>
                  <w:noWrap w:val="0"/>
                  <w:vAlign w:val="center"/>
                </w:tcPr>
                <w:p w14:paraId="6657B9D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0.004</w:t>
                  </w:r>
                </w:p>
              </w:tc>
              <w:tc>
                <w:tcPr>
                  <w:tcW w:w="1263" w:type="dxa"/>
                  <w:vMerge w:val="restart"/>
                  <w:tcBorders>
                    <w:top w:val="single" w:color="auto" w:sz="4" w:space="0"/>
                    <w:left w:val="single" w:color="auto" w:sz="4" w:space="0"/>
                    <w:right w:val="single" w:color="auto" w:sz="4" w:space="0"/>
                  </w:tcBorders>
                  <w:noWrap w:val="0"/>
                  <w:vAlign w:val="center"/>
                </w:tcPr>
                <w:p w14:paraId="1760965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cs="Times New Roman"/>
                      <w:lang w:val="en-US" w:eastAsia="zh-CN"/>
                    </w:rPr>
                  </w:pPr>
                  <w:r>
                    <w:rPr>
                      <w:rFonts w:hint="default" w:ascii="Times New Roman" w:hAnsi="Times New Roman" w:cs="Times New Roman"/>
                      <w:i w:val="0"/>
                      <w:iCs w:val="0"/>
                      <w:color w:val="auto"/>
                      <w:kern w:val="0"/>
                      <w:sz w:val="21"/>
                      <w:szCs w:val="21"/>
                      <w:u w:val="none"/>
                      <w:lang w:val="en-US" w:eastAsia="zh-CN" w:bidi="ar"/>
                    </w:rPr>
                    <w:t>达标</w:t>
                  </w:r>
                </w:p>
              </w:tc>
            </w:tr>
            <w:tr w14:paraId="5A37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34" w:type="dxa"/>
                  <w:vMerge w:val="continue"/>
                  <w:tcBorders>
                    <w:left w:val="single" w:color="auto" w:sz="4" w:space="0"/>
                    <w:right w:val="single" w:color="auto" w:sz="4" w:space="0"/>
                  </w:tcBorders>
                  <w:noWrap w:val="0"/>
                  <w:vAlign w:val="center"/>
                </w:tcPr>
                <w:p w14:paraId="20E0D31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cs="Times New Roman"/>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57A081B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颗粒物</w:t>
                  </w:r>
                </w:p>
              </w:tc>
              <w:tc>
                <w:tcPr>
                  <w:tcW w:w="840" w:type="dxa"/>
                  <w:tcBorders>
                    <w:left w:val="single" w:color="auto" w:sz="4" w:space="0"/>
                    <w:bottom w:val="single" w:color="auto" w:sz="4" w:space="0"/>
                    <w:right w:val="single" w:color="auto" w:sz="4" w:space="0"/>
                  </w:tcBorders>
                  <w:noWrap w:val="0"/>
                  <w:vAlign w:val="center"/>
                </w:tcPr>
                <w:p w14:paraId="24CDED5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0.0108</w:t>
                  </w:r>
                </w:p>
              </w:tc>
              <w:tc>
                <w:tcPr>
                  <w:tcW w:w="921" w:type="dxa"/>
                  <w:tcBorders>
                    <w:left w:val="single" w:color="auto" w:sz="4" w:space="0"/>
                    <w:bottom w:val="single" w:color="auto" w:sz="4" w:space="0"/>
                    <w:right w:val="single" w:color="auto" w:sz="4" w:space="0"/>
                  </w:tcBorders>
                  <w:noWrap w:val="0"/>
                  <w:vAlign w:val="center"/>
                </w:tcPr>
                <w:p w14:paraId="291B177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0.0045</w:t>
                  </w:r>
                </w:p>
              </w:tc>
              <w:tc>
                <w:tcPr>
                  <w:tcW w:w="1224" w:type="dxa"/>
                  <w:tcBorders>
                    <w:left w:val="single" w:color="auto" w:sz="4" w:space="0"/>
                    <w:bottom w:val="single" w:color="auto" w:sz="4" w:space="0"/>
                    <w:right w:val="single" w:color="auto" w:sz="4" w:space="0"/>
                  </w:tcBorders>
                  <w:noWrap w:val="0"/>
                  <w:vAlign w:val="center"/>
                </w:tcPr>
                <w:p w14:paraId="052041D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2400</w:t>
                  </w:r>
                </w:p>
              </w:tc>
              <w:tc>
                <w:tcPr>
                  <w:tcW w:w="915" w:type="dxa"/>
                  <w:tcBorders>
                    <w:left w:val="single" w:color="auto" w:sz="4" w:space="0"/>
                    <w:bottom w:val="single" w:color="auto" w:sz="4" w:space="0"/>
                    <w:right w:val="single" w:color="auto" w:sz="4" w:space="0"/>
                  </w:tcBorders>
                  <w:noWrap w:val="0"/>
                  <w:vAlign w:val="center"/>
                </w:tcPr>
                <w:p w14:paraId="32E40C7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0.0108</w:t>
                  </w:r>
                </w:p>
              </w:tc>
              <w:tc>
                <w:tcPr>
                  <w:tcW w:w="1000" w:type="dxa"/>
                  <w:tcBorders>
                    <w:left w:val="single" w:color="auto" w:sz="4" w:space="0"/>
                    <w:bottom w:val="single" w:color="auto" w:sz="4" w:space="0"/>
                    <w:right w:val="single" w:color="auto" w:sz="4" w:space="0"/>
                  </w:tcBorders>
                  <w:noWrap w:val="0"/>
                  <w:vAlign w:val="center"/>
                </w:tcPr>
                <w:p w14:paraId="55A4AF6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0.0045</w:t>
                  </w:r>
                </w:p>
              </w:tc>
              <w:tc>
                <w:tcPr>
                  <w:tcW w:w="1263" w:type="dxa"/>
                  <w:vMerge w:val="continue"/>
                  <w:tcBorders>
                    <w:left w:val="single" w:color="auto" w:sz="4" w:space="0"/>
                    <w:bottom w:val="single" w:color="auto" w:sz="4" w:space="0"/>
                    <w:right w:val="single" w:color="auto" w:sz="4" w:space="0"/>
                  </w:tcBorders>
                  <w:noWrap w:val="0"/>
                  <w:vAlign w:val="center"/>
                </w:tcPr>
                <w:p w14:paraId="493BB4E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F10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34" w:type="dxa"/>
                  <w:tcBorders>
                    <w:left w:val="single" w:color="auto" w:sz="4" w:space="0"/>
                    <w:right w:val="single" w:color="auto" w:sz="4" w:space="0"/>
                  </w:tcBorders>
                  <w:noWrap w:val="0"/>
                  <w:vAlign w:val="center"/>
                </w:tcPr>
                <w:p w14:paraId="67A41A20">
                  <w:pPr>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焊接</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59A6D0C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颗粒物</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F53DAA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0.04</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46876DF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0.017</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66C3109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2400</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3C07A51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0.014</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69F799E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04</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7FF4647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达标</w:t>
                  </w:r>
                </w:p>
              </w:tc>
            </w:tr>
            <w:tr w14:paraId="2ABC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34" w:type="dxa"/>
                  <w:vMerge w:val="restart"/>
                  <w:tcBorders>
                    <w:left w:val="single" w:color="auto" w:sz="4" w:space="0"/>
                    <w:right w:val="single" w:color="auto" w:sz="4" w:space="0"/>
                  </w:tcBorders>
                  <w:noWrap w:val="0"/>
                  <w:vAlign w:val="center"/>
                </w:tcPr>
                <w:p w14:paraId="235F1E94">
                  <w:pPr>
                    <w:snapToGrid w:val="0"/>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合计</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66F67B0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颗粒物</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4E4A56B">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0.9408</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38D6A101">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0.3895</w:t>
                  </w:r>
                </w:p>
              </w:tc>
              <w:tc>
                <w:tcPr>
                  <w:tcW w:w="1224" w:type="dxa"/>
                  <w:vMerge w:val="restart"/>
                  <w:tcBorders>
                    <w:top w:val="single" w:color="auto" w:sz="4" w:space="0"/>
                    <w:left w:val="single" w:color="auto" w:sz="4" w:space="0"/>
                    <w:right w:val="single" w:color="auto" w:sz="4" w:space="0"/>
                  </w:tcBorders>
                  <w:noWrap w:val="0"/>
                  <w:vAlign w:val="center"/>
                </w:tcPr>
                <w:p w14:paraId="342829DC">
                  <w:pPr>
                    <w:jc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0EDBFCF3">
                  <w:pPr>
                    <w:keepNext w:val="0"/>
                    <w:keepLines w:val="0"/>
                    <w:widowControl/>
                    <w:suppressLineNumbers w:val="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0.9148</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3E131365">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0.3765</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044BC56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达标</w:t>
                  </w:r>
                </w:p>
              </w:tc>
            </w:tr>
            <w:tr w14:paraId="1CF4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34" w:type="dxa"/>
                  <w:vMerge w:val="continue"/>
                  <w:tcBorders>
                    <w:left w:val="single" w:color="auto" w:sz="4" w:space="0"/>
                    <w:right w:val="single" w:color="auto" w:sz="4" w:space="0"/>
                  </w:tcBorders>
                  <w:noWrap w:val="0"/>
                  <w:vAlign w:val="center"/>
                </w:tcPr>
                <w:p w14:paraId="194441CB">
                  <w:pPr>
                    <w:snapToGrid w:val="0"/>
                    <w:jc w:val="center"/>
                    <w:rPr>
                      <w:rFonts w:hint="eastAsia" w:cs="Times New Roman"/>
                      <w:bCs/>
                      <w:color w:val="000000" w:themeColor="text1"/>
                      <w:szCs w:val="21"/>
                      <w:lang w:val="en-US" w:eastAsia="zh-CN"/>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714D274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非甲烷总烃</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5DBF3EF1">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0.0088</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73A0AAE2">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w:t>
                  </w:r>
                </w:p>
              </w:tc>
              <w:tc>
                <w:tcPr>
                  <w:tcW w:w="1224" w:type="dxa"/>
                  <w:vMerge w:val="continue"/>
                  <w:tcBorders>
                    <w:left w:val="single" w:color="auto" w:sz="4" w:space="0"/>
                    <w:bottom w:val="single" w:color="auto" w:sz="4" w:space="0"/>
                    <w:right w:val="single" w:color="auto" w:sz="4" w:space="0"/>
                  </w:tcBorders>
                  <w:noWrap w:val="0"/>
                  <w:vAlign w:val="center"/>
                </w:tcPr>
                <w:p w14:paraId="6A5DA0C6">
                  <w:pPr>
                    <w:jc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noWrap w:val="0"/>
                  <w:vAlign w:val="center"/>
                </w:tcPr>
                <w:p w14:paraId="049B2FC1">
                  <w:pPr>
                    <w:keepNext w:val="0"/>
                    <w:keepLines w:val="0"/>
                    <w:widowControl/>
                    <w:suppressLineNumbers w:val="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0.0088</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41010448">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3F3EDD9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达标</w:t>
                  </w:r>
                </w:p>
              </w:tc>
            </w:tr>
          </w:tbl>
          <w:p w14:paraId="00BC2A50">
            <w:pPr>
              <w:spacing w:line="360" w:lineRule="auto"/>
              <w:ind w:firstLine="482"/>
              <w:rPr>
                <w:rFonts w:hint="default" w:ascii="Times New Roman" w:hAnsi="Times New Roman" w:cs="Times New Roman"/>
                <w:bCs/>
                <w:sz w:val="24"/>
              </w:rPr>
            </w:pPr>
            <w:r>
              <w:rPr>
                <w:rFonts w:hint="default" w:ascii="Times New Roman" w:hAnsi="Times New Roman" w:cs="Times New Roman"/>
                <w:bCs/>
                <w:sz w:val="24"/>
              </w:rPr>
              <w:t>本项目废气排气筒基本信息情况见下表：</w:t>
            </w:r>
          </w:p>
          <w:p w14:paraId="0CBA7C8A">
            <w:pPr>
              <w:spacing w:line="240" w:lineRule="auto"/>
              <w:jc w:val="center"/>
              <w:rPr>
                <w:rFonts w:hint="default" w:ascii="Times New Roman" w:hAnsi="Times New Roman" w:cs="Times New Roman"/>
                <w:bCs/>
                <w:sz w:val="24"/>
              </w:rPr>
            </w:pPr>
            <w:r>
              <w:rPr>
                <w:rFonts w:ascii="Times New Roman" w:hAnsi="Times New Roman"/>
                <w:b/>
                <w:sz w:val="24"/>
              </w:rPr>
              <w:t>表4-</w:t>
            </w:r>
            <w:r>
              <w:rPr>
                <w:rFonts w:hint="eastAsia"/>
                <w:b/>
                <w:sz w:val="24"/>
                <w:lang w:val="en-US" w:eastAsia="zh-CN"/>
              </w:rPr>
              <w:t>6</w:t>
            </w:r>
            <w:r>
              <w:rPr>
                <w:rFonts w:ascii="Times New Roman" w:hAnsi="Times New Roman"/>
                <w:b/>
                <w:sz w:val="24"/>
              </w:rPr>
              <w:t>排气筒基本信息一览表</w:t>
            </w:r>
          </w:p>
          <w:tbl>
            <w:tblPr>
              <w:tblStyle w:val="28"/>
              <w:tblW w:w="8477"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235"/>
              <w:gridCol w:w="1245"/>
              <w:gridCol w:w="1125"/>
              <w:gridCol w:w="1350"/>
              <w:gridCol w:w="915"/>
              <w:gridCol w:w="1573"/>
            </w:tblGrid>
            <w:tr w14:paraId="5EBE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034" w:type="dxa"/>
                  <w:tcBorders>
                    <w:top w:val="single" w:color="auto" w:sz="4" w:space="0"/>
                    <w:left w:val="single" w:color="auto" w:sz="4" w:space="0"/>
                    <w:bottom w:val="single" w:color="auto" w:sz="4" w:space="0"/>
                    <w:right w:val="single" w:color="auto" w:sz="4" w:space="0"/>
                  </w:tcBorders>
                  <w:noWrap w:val="0"/>
                  <w:vAlign w:val="center"/>
                </w:tcPr>
                <w:p w14:paraId="2684606D">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bCs/>
                      <w:color w:val="000000"/>
                      <w:sz w:val="21"/>
                      <w:szCs w:val="21"/>
                    </w:rPr>
                    <w:t>编号</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6E54A44D">
                  <w:pPr>
                    <w:snapToGrid w:val="0"/>
                    <w:jc w:val="center"/>
                    <w:rPr>
                      <w:rFonts w:hint="default" w:ascii="Times New Roman" w:hAnsi="Times New Roman" w:eastAsia="宋体" w:cs="Times New Roman"/>
                      <w:color w:val="auto"/>
                      <w:sz w:val="21"/>
                      <w:szCs w:val="21"/>
                    </w:rPr>
                  </w:pPr>
                  <w:r>
                    <w:rPr>
                      <w:rFonts w:hint="default" w:ascii="Times New Roman" w:hAnsi="Times New Roman" w:eastAsia="Times New Roman" w:cs="Times New Roman"/>
                      <w:bCs/>
                      <w:color w:val="000000"/>
                      <w:sz w:val="21"/>
                      <w:szCs w:val="21"/>
                    </w:rPr>
                    <w:t>X</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B7100F7">
                  <w:pPr>
                    <w:snapToGrid w:val="0"/>
                    <w:jc w:val="center"/>
                    <w:rPr>
                      <w:rFonts w:hint="default" w:ascii="Times New Roman" w:hAnsi="Times New Roman" w:eastAsia="宋体" w:cs="Times New Roman"/>
                      <w:color w:val="auto"/>
                      <w:sz w:val="21"/>
                      <w:szCs w:val="21"/>
                    </w:rPr>
                  </w:pPr>
                  <w:r>
                    <w:rPr>
                      <w:rFonts w:hint="default" w:ascii="Times New Roman" w:hAnsi="Times New Roman" w:eastAsia="Times New Roman" w:cs="Times New Roman"/>
                      <w:bCs/>
                      <w:color w:val="000000"/>
                      <w:sz w:val="21"/>
                      <w:szCs w:val="21"/>
                    </w:rPr>
                    <w:t>Y</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71FA34B2">
                  <w:pPr>
                    <w:snapToGrid w:val="0"/>
                    <w:jc w:val="center"/>
                    <w:rPr>
                      <w:rFonts w:hint="default" w:ascii="Times New Roman" w:hAnsi="Times New Roman" w:eastAsia="Times New Roman" w:cs="Times New Roman"/>
                      <w:bCs/>
                      <w:color w:val="000000"/>
                      <w:sz w:val="21"/>
                      <w:szCs w:val="21"/>
                    </w:rPr>
                  </w:pPr>
                  <w:r>
                    <w:rPr>
                      <w:rFonts w:hint="default" w:ascii="Times New Roman" w:hAnsi="Times New Roman" w:cs="Times New Roman"/>
                      <w:bCs/>
                      <w:color w:val="000000"/>
                      <w:sz w:val="21"/>
                      <w:szCs w:val="21"/>
                    </w:rPr>
                    <w:t>高度</w:t>
                  </w:r>
                </w:p>
                <w:p w14:paraId="77EA950D">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bCs/>
                      <w:color w:val="000000"/>
                      <w:sz w:val="21"/>
                      <w:szCs w:val="21"/>
                    </w:rPr>
                    <w:t>（</w:t>
                  </w:r>
                  <w:r>
                    <w:rPr>
                      <w:rFonts w:hint="default" w:ascii="Times New Roman" w:hAnsi="Times New Roman" w:eastAsia="Times New Roman" w:cs="Times New Roman"/>
                      <w:bCs/>
                      <w:color w:val="000000"/>
                      <w:sz w:val="21"/>
                      <w:szCs w:val="21"/>
                    </w:rPr>
                    <w:t>m</w:t>
                  </w:r>
                  <w:r>
                    <w:rPr>
                      <w:rFonts w:hint="default" w:ascii="Times New Roman" w:hAnsi="Times New Roman" w:cs="Times New Roman"/>
                      <w:bCs/>
                      <w:color w:val="000000"/>
                      <w:sz w:val="21"/>
                      <w:szCs w:val="21"/>
                    </w:rPr>
                    <w:t>）</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8A78237">
                  <w:pPr>
                    <w:snapToGrid w:val="0"/>
                    <w:jc w:val="center"/>
                    <w:rPr>
                      <w:rFonts w:hint="default" w:ascii="Times New Roman" w:hAnsi="Times New Roman" w:eastAsia="Times New Roman" w:cs="Times New Roman"/>
                      <w:bCs/>
                      <w:color w:val="000000"/>
                      <w:sz w:val="21"/>
                      <w:szCs w:val="21"/>
                    </w:rPr>
                  </w:pPr>
                  <w:r>
                    <w:rPr>
                      <w:rFonts w:hint="default" w:ascii="Times New Roman" w:hAnsi="Times New Roman" w:cs="Times New Roman"/>
                      <w:bCs/>
                      <w:color w:val="000000"/>
                      <w:sz w:val="21"/>
                      <w:szCs w:val="21"/>
                    </w:rPr>
                    <w:t>直径</w:t>
                  </w:r>
                </w:p>
                <w:p w14:paraId="242EEF57">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bCs/>
                      <w:color w:val="000000"/>
                      <w:sz w:val="21"/>
                      <w:szCs w:val="21"/>
                    </w:rPr>
                    <w:t>（</w:t>
                  </w:r>
                  <w:r>
                    <w:rPr>
                      <w:rFonts w:hint="default" w:ascii="Times New Roman" w:hAnsi="Times New Roman" w:eastAsia="Times New Roman" w:cs="Times New Roman"/>
                      <w:bCs/>
                      <w:color w:val="000000"/>
                      <w:sz w:val="21"/>
                      <w:szCs w:val="21"/>
                    </w:rPr>
                    <w:t>m</w:t>
                  </w:r>
                  <w:r>
                    <w:rPr>
                      <w:rFonts w:hint="default" w:ascii="Times New Roman" w:hAnsi="Times New Roman" w:cs="Times New Roman"/>
                      <w:bCs/>
                      <w:color w:val="000000"/>
                      <w:sz w:val="21"/>
                      <w:szCs w:val="21"/>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25A086FD">
                  <w:pPr>
                    <w:snapToGrid w:val="0"/>
                    <w:jc w:val="center"/>
                    <w:rPr>
                      <w:rFonts w:hint="default" w:ascii="Times New Roman" w:hAnsi="Times New Roman" w:eastAsia="Times New Roman" w:cs="Times New Roman"/>
                      <w:bCs/>
                      <w:color w:val="000000"/>
                      <w:sz w:val="21"/>
                      <w:szCs w:val="21"/>
                    </w:rPr>
                  </w:pPr>
                  <w:r>
                    <w:rPr>
                      <w:rFonts w:hint="default" w:ascii="Times New Roman" w:hAnsi="Times New Roman" w:cs="Times New Roman"/>
                      <w:bCs/>
                      <w:color w:val="000000"/>
                      <w:sz w:val="21"/>
                      <w:szCs w:val="21"/>
                    </w:rPr>
                    <w:t>温度</w:t>
                  </w:r>
                </w:p>
                <w:p w14:paraId="4B946FA5">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000000"/>
                      <w:sz w:val="21"/>
                      <w:szCs w:val="21"/>
                    </w:rPr>
                    <w:t>（</w:t>
                  </w:r>
                  <w:r>
                    <w:rPr>
                      <w:rFonts w:hint="default" w:ascii="Times New Roman" w:hAnsi="Times New Roman" w:eastAsia="Times New Roman" w:cs="Times New Roman"/>
                      <w:bCs/>
                      <w:color w:val="000000"/>
                      <w:sz w:val="21"/>
                      <w:szCs w:val="21"/>
                    </w:rPr>
                    <w:t>°C</w:t>
                  </w:r>
                  <w:r>
                    <w:rPr>
                      <w:rFonts w:hint="default" w:ascii="Times New Roman" w:hAnsi="Times New Roman" w:cs="Times New Roman"/>
                      <w:bCs/>
                      <w:color w:val="000000"/>
                      <w:sz w:val="21"/>
                      <w:szCs w:val="21"/>
                    </w:rPr>
                    <w:t>）</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5E858245">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000000"/>
                      <w:sz w:val="21"/>
                      <w:szCs w:val="21"/>
                    </w:rPr>
                    <w:t>排放口类型</w:t>
                  </w:r>
                </w:p>
              </w:tc>
            </w:tr>
            <w:tr w14:paraId="04D6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34" w:type="dxa"/>
                  <w:tcBorders>
                    <w:left w:val="single" w:color="auto" w:sz="4" w:space="0"/>
                    <w:right w:val="single" w:color="auto" w:sz="4" w:space="0"/>
                  </w:tcBorders>
                  <w:noWrap w:val="0"/>
                  <w:vAlign w:val="center"/>
                </w:tcPr>
                <w:p w14:paraId="1DA3A757">
                  <w:pPr>
                    <w:spacing w:line="240" w:lineRule="exact"/>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1</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0BB05423">
                  <w:pPr>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w:cs="Times New Roman"/>
                      <w:color w:val="000000"/>
                      <w:szCs w:val="21"/>
                    </w:rPr>
                    <w:t>116°</w:t>
                  </w:r>
                  <w:r>
                    <w:rPr>
                      <w:rFonts w:hint="default" w:ascii="Times New Roman" w:hAnsi="Times New Roman" w:eastAsia="宋体" w:cs="Times New Roman"/>
                      <w:color w:val="000000"/>
                      <w:szCs w:val="21"/>
                      <w:lang w:val="en-US" w:eastAsia="zh-CN"/>
                    </w:rPr>
                    <w:t>48</w:t>
                  </w:r>
                  <w:r>
                    <w:rPr>
                      <w:rFonts w:hint="default" w:ascii="Times New Roman" w:hAnsi="Times New Roman" w:eastAsia="Times New Roman" w:cs="Times New Roman"/>
                      <w:color w:val="000000"/>
                      <w:szCs w:val="21"/>
                    </w:rPr>
                    <w:t>′5</w:t>
                  </w:r>
                  <w:r>
                    <w:rPr>
                      <w:rFonts w:hint="default" w:ascii="Times New Roman" w:hAnsi="Times New Roman" w:eastAsia="宋体" w:cs="Times New Roman"/>
                      <w:color w:val="000000"/>
                      <w:szCs w:val="21"/>
                      <w:lang w:val="en-US" w:eastAsia="zh-CN"/>
                    </w:rPr>
                    <w:t>2</w:t>
                  </w:r>
                  <w:r>
                    <w:rPr>
                      <w:rFonts w:hint="default" w:ascii="Times New Roman" w:hAnsi="Times New Roman" w:eastAsia="Times New Roman" w:cs="Times New Roman"/>
                      <w:color w:val="000000"/>
                      <w:szCs w:val="21"/>
                    </w:rPr>
                    <w:t>.</w:t>
                  </w:r>
                  <w:r>
                    <w:rPr>
                      <w:rFonts w:hint="default" w:ascii="Times New Roman" w:hAnsi="Times New Roman" w:eastAsia="宋体" w:cs="Times New Roman"/>
                      <w:color w:val="000000"/>
                      <w:szCs w:val="21"/>
                      <w:lang w:val="en-US" w:eastAsia="zh-CN"/>
                    </w:rPr>
                    <w:t>125</w:t>
                  </w:r>
                  <w:r>
                    <w:rPr>
                      <w:rFonts w:hint="default" w:ascii="Times New Roman" w:hAnsi="Times New Roman" w:eastAsia="Times New Roman" w:cs="Times New Roman"/>
                      <w:color w:val="000000"/>
                      <w:szCs w:val="21"/>
                    </w:rPr>
                    <w:t>″</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20EF072A">
                  <w:pPr>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w:cs="Times New Roman"/>
                      <w:color w:val="000000"/>
                      <w:szCs w:val="21"/>
                    </w:rPr>
                    <w:t>34°</w:t>
                  </w:r>
                  <w:r>
                    <w:rPr>
                      <w:rFonts w:hint="default" w:ascii="Times New Roman" w:hAnsi="Times New Roman" w:eastAsia="宋体" w:cs="Times New Roman"/>
                      <w:color w:val="000000"/>
                      <w:szCs w:val="21"/>
                      <w:lang w:val="en-US" w:eastAsia="zh-CN"/>
                    </w:rPr>
                    <w:t>2</w:t>
                  </w:r>
                  <w:r>
                    <w:rPr>
                      <w:rFonts w:hint="default" w:ascii="Times New Roman" w:hAnsi="Times New Roman" w:eastAsia="Times New Roman" w:cs="Times New Roman"/>
                      <w:color w:val="000000"/>
                      <w:szCs w:val="21"/>
                    </w:rPr>
                    <w:t>′</w:t>
                  </w:r>
                  <w:r>
                    <w:rPr>
                      <w:rFonts w:hint="default" w:ascii="Times New Roman" w:hAnsi="Times New Roman" w:eastAsia="宋体" w:cs="Times New Roman"/>
                      <w:color w:val="000000"/>
                      <w:szCs w:val="21"/>
                      <w:lang w:val="en-US" w:eastAsia="zh-CN"/>
                    </w:rPr>
                    <w:t>59</w:t>
                  </w:r>
                  <w:r>
                    <w:rPr>
                      <w:rFonts w:hint="default" w:ascii="Times New Roman" w:hAnsi="Times New Roman" w:eastAsia="Times New Roman" w:cs="Times New Roman"/>
                      <w:color w:val="000000"/>
                      <w:szCs w:val="21"/>
                    </w:rPr>
                    <w:t>.2</w:t>
                  </w:r>
                  <w:r>
                    <w:rPr>
                      <w:rFonts w:hint="default" w:ascii="Times New Roman" w:hAnsi="Times New Roman" w:eastAsia="宋体" w:cs="Times New Roman"/>
                      <w:color w:val="000000"/>
                      <w:szCs w:val="21"/>
                      <w:lang w:val="en-US" w:eastAsia="zh-CN"/>
                    </w:rPr>
                    <w:t>56</w:t>
                  </w:r>
                  <w:r>
                    <w:rPr>
                      <w:rFonts w:hint="default" w:ascii="Times New Roman" w:hAnsi="Times New Roman" w:eastAsia="Times New Roman" w:cs="Times New Roman"/>
                      <w:color w:val="000000"/>
                      <w:szCs w:val="21"/>
                    </w:rPr>
                    <w:t>″</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442497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20</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8B5B685">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w:cs="Times New Roman"/>
                      <w:color w:val="000000"/>
                      <w:szCs w:val="21"/>
                    </w:rPr>
                    <w:t>0.</w:t>
                  </w:r>
                  <w:r>
                    <w:rPr>
                      <w:rFonts w:hint="default" w:ascii="Times New Roman" w:hAnsi="Times New Roman" w:cs="Times New Roman"/>
                      <w:color w:val="000000"/>
                      <w:szCs w:val="21"/>
                    </w:rPr>
                    <w:t>35</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53DFB4CE">
                  <w:pPr>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000000"/>
                      <w:szCs w:val="21"/>
                    </w:rPr>
                    <w:t>常温</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72B8FC0F">
                  <w:pPr>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000000"/>
                      <w:szCs w:val="21"/>
                    </w:rPr>
                    <w:t>一般排放口</w:t>
                  </w:r>
                </w:p>
              </w:tc>
            </w:tr>
            <w:tr w14:paraId="0232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34" w:type="dxa"/>
                  <w:tcBorders>
                    <w:left w:val="single" w:color="auto" w:sz="4" w:space="0"/>
                    <w:right w:val="single" w:color="auto" w:sz="4" w:space="0"/>
                  </w:tcBorders>
                  <w:noWrap w:val="0"/>
                  <w:vAlign w:val="center"/>
                </w:tcPr>
                <w:p w14:paraId="32C04246">
                  <w:pPr>
                    <w:spacing w:line="240" w:lineRule="exact"/>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2</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62F02241">
                  <w:pPr>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w:cs="Times New Roman"/>
                      <w:color w:val="000000"/>
                      <w:szCs w:val="21"/>
                    </w:rPr>
                    <w:t>116°</w:t>
                  </w:r>
                  <w:r>
                    <w:rPr>
                      <w:rFonts w:hint="default" w:ascii="Times New Roman" w:hAnsi="Times New Roman" w:eastAsia="宋体" w:cs="Times New Roman"/>
                      <w:color w:val="000000"/>
                      <w:szCs w:val="21"/>
                      <w:lang w:val="en-US" w:eastAsia="zh-CN"/>
                    </w:rPr>
                    <w:t>48</w:t>
                  </w:r>
                  <w:r>
                    <w:rPr>
                      <w:rFonts w:hint="default" w:ascii="Times New Roman" w:hAnsi="Times New Roman" w:eastAsia="Times New Roman" w:cs="Times New Roman"/>
                      <w:color w:val="000000"/>
                      <w:szCs w:val="21"/>
                    </w:rPr>
                    <w:t>′5</w:t>
                  </w:r>
                  <w:r>
                    <w:rPr>
                      <w:rFonts w:hint="default" w:ascii="Times New Roman" w:hAnsi="Times New Roman" w:eastAsia="宋体" w:cs="Times New Roman"/>
                      <w:color w:val="000000"/>
                      <w:szCs w:val="21"/>
                      <w:lang w:val="en-US" w:eastAsia="zh-CN"/>
                    </w:rPr>
                    <w:t>2</w:t>
                  </w:r>
                  <w:r>
                    <w:rPr>
                      <w:rFonts w:hint="default" w:ascii="Times New Roman" w:hAnsi="Times New Roman" w:eastAsia="Times New Roman" w:cs="Times New Roman"/>
                      <w:color w:val="000000"/>
                      <w:szCs w:val="21"/>
                    </w:rPr>
                    <w:t>.1</w:t>
                  </w:r>
                  <w:r>
                    <w:rPr>
                      <w:rFonts w:hint="default" w:ascii="Times New Roman" w:hAnsi="Times New Roman" w:eastAsia="宋体" w:cs="Times New Roman"/>
                      <w:color w:val="000000"/>
                      <w:szCs w:val="21"/>
                      <w:lang w:val="en-US" w:eastAsia="zh-CN"/>
                    </w:rPr>
                    <w:t>46</w:t>
                  </w:r>
                  <w:r>
                    <w:rPr>
                      <w:rFonts w:hint="default" w:ascii="Times New Roman" w:hAnsi="Times New Roman" w:eastAsia="Times New Roman" w:cs="Times New Roman"/>
                      <w:color w:val="000000"/>
                      <w:szCs w:val="21"/>
                    </w:rPr>
                    <w:t>″</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75B597E">
                  <w:pPr>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w:cs="Times New Roman"/>
                      <w:color w:val="000000"/>
                      <w:szCs w:val="21"/>
                    </w:rPr>
                    <w:t>34°</w:t>
                  </w:r>
                  <w:r>
                    <w:rPr>
                      <w:rFonts w:hint="default" w:ascii="Times New Roman" w:hAnsi="Times New Roman" w:eastAsia="宋体" w:cs="Times New Roman"/>
                      <w:color w:val="000000"/>
                      <w:szCs w:val="21"/>
                      <w:lang w:val="en-US" w:eastAsia="zh-CN"/>
                    </w:rPr>
                    <w:t>2</w:t>
                  </w:r>
                  <w:r>
                    <w:rPr>
                      <w:rFonts w:hint="default" w:ascii="Times New Roman" w:hAnsi="Times New Roman" w:eastAsia="Times New Roman" w:cs="Times New Roman"/>
                      <w:color w:val="000000"/>
                      <w:szCs w:val="21"/>
                    </w:rPr>
                    <w:t>′</w:t>
                  </w:r>
                  <w:r>
                    <w:rPr>
                      <w:rFonts w:hint="default" w:ascii="Times New Roman" w:hAnsi="Times New Roman" w:eastAsia="宋体" w:cs="Times New Roman"/>
                      <w:color w:val="000000"/>
                      <w:szCs w:val="21"/>
                      <w:lang w:val="en-US" w:eastAsia="zh-CN"/>
                    </w:rPr>
                    <w:t>59</w:t>
                  </w:r>
                  <w:r>
                    <w:rPr>
                      <w:rFonts w:hint="default" w:ascii="Times New Roman" w:hAnsi="Times New Roman" w:eastAsia="Times New Roman" w:cs="Times New Roman"/>
                      <w:color w:val="000000"/>
                      <w:szCs w:val="21"/>
                    </w:rPr>
                    <w:t>.2</w:t>
                  </w:r>
                  <w:r>
                    <w:rPr>
                      <w:rFonts w:hint="default" w:ascii="Times New Roman" w:hAnsi="Times New Roman" w:eastAsia="宋体" w:cs="Times New Roman"/>
                      <w:color w:val="000000"/>
                      <w:szCs w:val="21"/>
                      <w:lang w:val="en-US" w:eastAsia="zh-CN"/>
                    </w:rPr>
                    <w:t>2</w:t>
                  </w:r>
                  <w:r>
                    <w:rPr>
                      <w:rFonts w:hint="default" w:ascii="Times New Roman" w:hAnsi="Times New Roman" w:eastAsia="Times New Roman" w:cs="Times New Roman"/>
                      <w:color w:val="000000"/>
                      <w:szCs w:val="21"/>
                    </w:rPr>
                    <w:t>7″</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325D6C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20</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074053A9">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w:cs="Times New Roman"/>
                      <w:color w:val="000000"/>
                      <w:szCs w:val="21"/>
                    </w:rPr>
                    <w:t>0.</w:t>
                  </w:r>
                  <w:r>
                    <w:rPr>
                      <w:rFonts w:hint="default" w:ascii="Times New Roman" w:hAnsi="Times New Roman" w:cs="Times New Roman"/>
                      <w:color w:val="000000"/>
                      <w:szCs w:val="21"/>
                    </w:rPr>
                    <w:t>35</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0A1CF96A">
                  <w:pPr>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000000"/>
                      <w:szCs w:val="21"/>
                    </w:rPr>
                    <w:t>常温</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7F19E374">
                  <w:pPr>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000000"/>
                      <w:szCs w:val="21"/>
                    </w:rPr>
                    <w:t>一般排放口</w:t>
                  </w:r>
                </w:p>
              </w:tc>
            </w:tr>
            <w:tr w14:paraId="4932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34" w:type="dxa"/>
                  <w:tcBorders>
                    <w:left w:val="single" w:color="auto" w:sz="4" w:space="0"/>
                    <w:right w:val="single" w:color="auto" w:sz="4" w:space="0"/>
                  </w:tcBorders>
                  <w:noWrap w:val="0"/>
                  <w:vAlign w:val="center"/>
                </w:tcPr>
                <w:p w14:paraId="2E537B2E">
                  <w:pPr>
                    <w:spacing w:line="24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DA003</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0D5EDC28">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116°</w:t>
                  </w:r>
                  <w:r>
                    <w:rPr>
                      <w:rFonts w:hint="default" w:ascii="Times New Roman" w:hAnsi="Times New Roman" w:eastAsia="宋体" w:cs="Times New Roman"/>
                      <w:color w:val="000000"/>
                      <w:szCs w:val="21"/>
                      <w:lang w:val="en-US" w:eastAsia="zh-CN"/>
                    </w:rPr>
                    <w:t>48</w:t>
                  </w:r>
                  <w:r>
                    <w:rPr>
                      <w:rFonts w:hint="default" w:ascii="Times New Roman" w:hAnsi="Times New Roman" w:eastAsia="Times New Roman" w:cs="Times New Roman"/>
                      <w:color w:val="000000"/>
                      <w:szCs w:val="21"/>
                    </w:rPr>
                    <w:t>′5</w:t>
                  </w:r>
                  <w:r>
                    <w:rPr>
                      <w:rFonts w:hint="default" w:ascii="Times New Roman" w:hAnsi="Times New Roman" w:eastAsia="宋体" w:cs="Times New Roman"/>
                      <w:color w:val="000000"/>
                      <w:szCs w:val="21"/>
                      <w:lang w:val="en-US" w:eastAsia="zh-CN"/>
                    </w:rPr>
                    <w:t>2</w:t>
                  </w:r>
                  <w:r>
                    <w:rPr>
                      <w:rFonts w:hint="default" w:ascii="Times New Roman" w:hAnsi="Times New Roman" w:eastAsia="Times New Roman" w:cs="Times New Roman"/>
                      <w:color w:val="000000"/>
                      <w:szCs w:val="21"/>
                    </w:rPr>
                    <w:t>.1</w:t>
                  </w:r>
                  <w:r>
                    <w:rPr>
                      <w:rFonts w:hint="eastAsia" w:cs="Times New Roman"/>
                      <w:color w:val="000000"/>
                      <w:szCs w:val="21"/>
                      <w:lang w:val="en-US" w:eastAsia="zh-CN"/>
                    </w:rPr>
                    <w:t>3</w:t>
                  </w:r>
                  <w:r>
                    <w:rPr>
                      <w:rFonts w:hint="default" w:ascii="Times New Roman" w:hAnsi="Times New Roman" w:eastAsia="Times New Roman" w:cs="Times New Roman"/>
                      <w:color w:val="000000"/>
                      <w:szCs w:val="21"/>
                    </w:rPr>
                    <w:t>″</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F8B6374">
                  <w:pPr>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34°</w:t>
                  </w:r>
                  <w:r>
                    <w:rPr>
                      <w:rFonts w:hint="default" w:ascii="Times New Roman" w:hAnsi="Times New Roman" w:eastAsia="宋体" w:cs="Times New Roman"/>
                      <w:color w:val="000000"/>
                      <w:szCs w:val="21"/>
                      <w:lang w:val="en-US" w:eastAsia="zh-CN"/>
                    </w:rPr>
                    <w:t>2</w:t>
                  </w:r>
                  <w:r>
                    <w:rPr>
                      <w:rFonts w:hint="default" w:ascii="Times New Roman" w:hAnsi="Times New Roman" w:eastAsia="Times New Roman" w:cs="Times New Roman"/>
                      <w:color w:val="000000"/>
                      <w:szCs w:val="21"/>
                    </w:rPr>
                    <w:t>′</w:t>
                  </w:r>
                  <w:r>
                    <w:rPr>
                      <w:rFonts w:hint="default" w:ascii="Times New Roman" w:hAnsi="Times New Roman" w:eastAsia="宋体" w:cs="Times New Roman"/>
                      <w:color w:val="000000"/>
                      <w:szCs w:val="21"/>
                      <w:lang w:val="en-US" w:eastAsia="zh-CN"/>
                    </w:rPr>
                    <w:t>59</w:t>
                  </w:r>
                  <w:r>
                    <w:rPr>
                      <w:rFonts w:hint="default" w:ascii="Times New Roman" w:hAnsi="Times New Roman" w:eastAsia="Times New Roman" w:cs="Times New Roman"/>
                      <w:color w:val="000000"/>
                      <w:szCs w:val="21"/>
                    </w:rPr>
                    <w:t>.2</w:t>
                  </w:r>
                  <w:r>
                    <w:rPr>
                      <w:rFonts w:hint="eastAsia" w:eastAsia="宋体" w:cs="Times New Roman"/>
                      <w:color w:val="000000"/>
                      <w:szCs w:val="21"/>
                      <w:lang w:val="en-US" w:eastAsia="zh-CN"/>
                    </w:rPr>
                    <w:t>05</w:t>
                  </w:r>
                  <w:r>
                    <w:rPr>
                      <w:rFonts w:hint="default" w:ascii="Times New Roman" w:hAnsi="Times New Roman" w:eastAsia="Times New Roman" w:cs="Times New Roman"/>
                      <w:color w:val="000000"/>
                      <w:szCs w:val="21"/>
                    </w:rPr>
                    <w:t>″</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2993898A">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2B5A5D9D">
                  <w:pPr>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themeColor="text1"/>
                      <w:szCs w:val="21"/>
                      <w14:textFill>
                        <w14:solidFill>
                          <w14:schemeClr w14:val="tx1"/>
                        </w14:solidFill>
                      </w14:textFill>
                    </w:rPr>
                    <w:t>0.</w:t>
                  </w:r>
                  <w:r>
                    <w:rPr>
                      <w:rFonts w:hint="eastAsia" w:eastAsia="宋体"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5</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4FD2A3E6">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常温</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7129F2BE">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一般排放口</w:t>
                  </w:r>
                </w:p>
              </w:tc>
            </w:tr>
          </w:tbl>
          <w:p w14:paraId="34E6CB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4.3.2废气治理措施可行性分析</w:t>
            </w:r>
          </w:p>
          <w:p w14:paraId="2537CEBB">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本项目采取的废气处理措施为采用密闭负压收集+过滤棉+二级活性炭吸附（TA00</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）+20米高排气筒DA00</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，属于《排污许可证申请与核发技术规范总则》（HJ942-2018）及《排污</w:t>
            </w:r>
            <w:r>
              <w:rPr>
                <w:rFonts w:hint="default" w:ascii="Times New Roman" w:hAnsi="Times New Roman" w:cs="Times New Roman"/>
                <w:color w:val="auto"/>
                <w:sz w:val="24"/>
                <w:lang w:val="en-US" w:eastAsia="zh-CN"/>
              </w:rPr>
              <w:t>单位自行监测技术指南</w:t>
            </w:r>
            <w:r>
              <w:rPr>
                <w:rFonts w:hint="default" w:ascii="Times New Roman" w:hAnsi="Times New Roman" w:eastAsia="宋体" w:cs="Times New Roman"/>
                <w:color w:val="auto"/>
                <w:sz w:val="24"/>
                <w:lang w:val="en-US" w:eastAsia="zh-CN"/>
              </w:rPr>
              <w:t>涂装》（HJ1086-2020）中可行技术，因此本项目废气治理措施可行。</w:t>
            </w:r>
          </w:p>
          <w:p w14:paraId="041C44EE">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4.3.3非正常工况污染物排放情况</w:t>
            </w:r>
          </w:p>
          <w:p w14:paraId="06C5E5A7">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非正常工况是指车间废气处理设施运行出现事故，达不到设计要求时的处理效率。通过对该项目废气产生环节及主要污染物识别，综合考虑废气的环境影响和事故可能发生的概率，本环评非正常工况考虑废气治理设施全部失效。废气处理系统出现故障，一般有3种情况：停电、处理装置和风机出现故障，对生产异常情况，采取以下措施：</w:t>
            </w:r>
          </w:p>
          <w:p w14:paraId="71B7A0C4">
            <w:pPr>
              <w:spacing w:line="360" w:lineRule="auto"/>
              <w:ind w:firstLine="480" w:firstLineChars="200"/>
              <w:rPr>
                <w:rStyle w:val="60"/>
                <w:rFonts w:hint="default" w:ascii="Times New Roman" w:hAnsi="Times New Roman" w:cs="Times New Roman"/>
                <w:b w:val="0"/>
                <w:bCs w:val="0"/>
                <w:color w:val="auto"/>
              </w:rPr>
            </w:pPr>
            <w:r>
              <w:rPr>
                <w:rStyle w:val="60"/>
                <w:rFonts w:hint="default" w:ascii="Times New Roman" w:hAnsi="Times New Roman" w:cs="Times New Roman"/>
                <w:b w:val="0"/>
                <w:bCs w:val="0"/>
                <w:color w:val="auto"/>
              </w:rPr>
              <w:t>①如果全厂停电，停止生产无污染物产生。为确保安全，立即疏散工作人员。</w:t>
            </w:r>
          </w:p>
          <w:p w14:paraId="63DC5809">
            <w:pPr>
              <w:spacing w:line="360" w:lineRule="auto"/>
              <w:ind w:firstLine="480" w:firstLineChars="200"/>
              <w:rPr>
                <w:rStyle w:val="60"/>
                <w:rFonts w:hint="default" w:ascii="Times New Roman" w:hAnsi="Times New Roman" w:cs="Times New Roman"/>
                <w:b w:val="0"/>
                <w:bCs w:val="0"/>
                <w:color w:val="auto"/>
              </w:rPr>
            </w:pPr>
            <w:r>
              <w:rPr>
                <w:rStyle w:val="60"/>
                <w:rFonts w:hint="default" w:ascii="Times New Roman" w:hAnsi="Times New Roman" w:cs="Times New Roman"/>
                <w:b w:val="0"/>
                <w:bCs w:val="0"/>
                <w:color w:val="auto"/>
              </w:rPr>
              <w:t>②风机出现故障时，立即停止污染源工序的生产，并及时维修风机。</w:t>
            </w:r>
          </w:p>
          <w:p w14:paraId="42755240">
            <w:pPr>
              <w:spacing w:line="360" w:lineRule="auto"/>
              <w:ind w:firstLine="480" w:firstLineChars="200"/>
              <w:rPr>
                <w:rStyle w:val="60"/>
                <w:rFonts w:hint="default" w:ascii="Times New Roman" w:hAnsi="Times New Roman" w:cs="Times New Roman"/>
                <w:b w:val="0"/>
                <w:bCs w:val="0"/>
                <w:color w:val="auto"/>
              </w:rPr>
            </w:pPr>
            <w:r>
              <w:rPr>
                <w:rStyle w:val="60"/>
                <w:rFonts w:hint="default" w:ascii="Times New Roman" w:hAnsi="Times New Roman" w:cs="Times New Roman"/>
                <w:b w:val="0"/>
                <w:bCs w:val="0"/>
                <w:color w:val="auto"/>
              </w:rPr>
              <w:t>③当废气处理设施出现故障时，应立即进行维修，并停止产污设备的生产。</w:t>
            </w:r>
          </w:p>
          <w:p w14:paraId="5943DEF5">
            <w:pPr>
              <w:spacing w:line="360" w:lineRule="auto"/>
              <w:ind w:firstLine="480" w:firstLineChars="200"/>
              <w:rPr>
                <w:rStyle w:val="60"/>
                <w:rFonts w:hint="default" w:ascii="Times New Roman" w:hAnsi="Times New Roman" w:cs="Times New Roman"/>
                <w:b w:val="0"/>
                <w:bCs w:val="0"/>
                <w:color w:val="auto"/>
              </w:rPr>
            </w:pPr>
            <w:r>
              <w:rPr>
                <w:rStyle w:val="60"/>
                <w:rFonts w:hint="default" w:ascii="Times New Roman" w:hAnsi="Times New Roman" w:cs="Times New Roman"/>
                <w:b w:val="0"/>
                <w:bCs w:val="0"/>
                <w:color w:val="auto"/>
              </w:rPr>
              <w:t>本报告废气非正常排放考虑装置处理效率为0的情况，非正常排放情况及概率下表。</w:t>
            </w:r>
          </w:p>
          <w:p w14:paraId="0353CAD8">
            <w:pPr>
              <w:numPr>
                <w:ilvl w:val="0"/>
                <w:numId w:val="0"/>
              </w:numPr>
              <w:adjustRightInd w:val="0"/>
              <w:snapToGrid w:val="0"/>
              <w:ind w:leftChars="0"/>
              <w:jc w:val="center"/>
              <w:rPr>
                <w:rFonts w:hint="default" w:ascii="Times New Roman" w:hAnsi="Times New Roman" w:cs="Times New Roman"/>
                <w:b/>
                <w:bCs/>
                <w:color w:val="auto"/>
                <w:sz w:val="24"/>
                <w:lang w:bidi="en-US"/>
              </w:rPr>
            </w:pPr>
            <w:r>
              <w:rPr>
                <w:rFonts w:hint="default" w:ascii="Times New Roman" w:hAnsi="Times New Roman" w:cs="Times New Roman"/>
                <w:b/>
                <w:bCs/>
                <w:color w:val="auto"/>
                <w:sz w:val="24"/>
                <w:szCs w:val="24"/>
              </w:rPr>
              <w:t>表4-</w:t>
            </w:r>
            <w:r>
              <w:rPr>
                <w:rFonts w:hint="eastAsia" w:cs="Times New Roman"/>
                <w:b/>
                <w:bCs/>
                <w:color w:val="auto"/>
                <w:sz w:val="24"/>
                <w:szCs w:val="24"/>
                <w:lang w:val="en-US" w:eastAsia="zh-CN"/>
              </w:rPr>
              <w:t>7</w:t>
            </w:r>
            <w:r>
              <w:rPr>
                <w:rFonts w:hint="default" w:ascii="Times New Roman" w:hAnsi="Times New Roman" w:cs="Times New Roman"/>
                <w:b/>
                <w:bCs/>
                <w:color w:val="auto"/>
                <w:sz w:val="24"/>
                <w:szCs w:val="24"/>
                <w:lang w:bidi="en-US"/>
              </w:rPr>
              <w:t>项</w:t>
            </w:r>
            <w:r>
              <w:rPr>
                <w:rFonts w:hint="default" w:ascii="Times New Roman" w:hAnsi="Times New Roman" w:cs="Times New Roman"/>
                <w:b/>
                <w:bCs/>
                <w:color w:val="auto"/>
                <w:sz w:val="24"/>
                <w:lang w:bidi="en-US"/>
              </w:rPr>
              <w:t>目非正常工况下废气产生及排放情况一览表</w:t>
            </w:r>
          </w:p>
          <w:tbl>
            <w:tblPr>
              <w:tblStyle w:val="28"/>
              <w:tblW w:w="49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9"/>
              <w:gridCol w:w="1004"/>
              <w:gridCol w:w="1139"/>
              <w:gridCol w:w="731"/>
              <w:gridCol w:w="1004"/>
              <w:gridCol w:w="662"/>
              <w:gridCol w:w="936"/>
              <w:gridCol w:w="2023"/>
            </w:tblGrid>
            <w:tr w14:paraId="1D777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88" w:type="dxa"/>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523C45B9">
                  <w:pPr>
                    <w:snapToGrid w:val="0"/>
                    <w:ind w:left="-105" w:leftChars="-50" w:right="-105" w:rightChars="-50"/>
                    <w:jc w:val="center"/>
                    <w:rPr>
                      <w:rFonts w:hint="default" w:ascii="Times New Roman" w:hAnsi="Times New Roman" w:eastAsia="Times New Roman" w:cs="Times New Roman"/>
                      <w:bCs/>
                      <w:color w:val="000000"/>
                      <w:szCs w:val="21"/>
                    </w:rPr>
                  </w:pPr>
                  <w:r>
                    <w:rPr>
                      <w:rFonts w:hint="default" w:ascii="Times New Roman" w:hAnsi="Times New Roman" w:cs="Times New Roman"/>
                      <w:bCs/>
                      <w:color w:val="000000"/>
                      <w:szCs w:val="21"/>
                    </w:rPr>
                    <w:t>产排污环节</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B047">
                  <w:pPr>
                    <w:snapToGrid w:val="0"/>
                    <w:ind w:left="-105" w:leftChars="-50" w:right="-105" w:rightChars="-50"/>
                    <w:jc w:val="center"/>
                    <w:rPr>
                      <w:rFonts w:hint="default" w:ascii="Times New Roman" w:hAnsi="Times New Roman" w:eastAsia="Times New Roman" w:cs="Times New Roman"/>
                      <w:bCs/>
                      <w:color w:val="000000"/>
                      <w:szCs w:val="21"/>
                    </w:rPr>
                  </w:pPr>
                  <w:r>
                    <w:rPr>
                      <w:rFonts w:hint="default" w:ascii="Times New Roman" w:hAnsi="Times New Roman" w:cs="Times New Roman"/>
                      <w:bCs/>
                      <w:color w:val="000000"/>
                      <w:szCs w:val="21"/>
                    </w:rPr>
                    <w:t>污染物种类</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EF82">
                  <w:pPr>
                    <w:snapToGrid w:val="0"/>
                    <w:ind w:left="-105" w:leftChars="-50" w:right="-105" w:rightChars="-50"/>
                    <w:jc w:val="center"/>
                    <w:rPr>
                      <w:rFonts w:hint="default" w:ascii="Times New Roman" w:hAnsi="Times New Roman" w:eastAsia="Times New Roman" w:cs="Times New Roman"/>
                      <w:bCs/>
                      <w:color w:val="000000"/>
                      <w:szCs w:val="21"/>
                    </w:rPr>
                  </w:pPr>
                  <w:r>
                    <w:rPr>
                      <w:rFonts w:hint="default" w:ascii="Times New Roman" w:hAnsi="Times New Roman" w:cs="Times New Roman"/>
                      <w:bCs/>
                      <w:color w:val="000000"/>
                      <w:szCs w:val="21"/>
                    </w:rPr>
                    <w:t>非正常工况</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F780">
                  <w:pPr>
                    <w:snapToGrid w:val="0"/>
                    <w:ind w:left="-105" w:leftChars="-50" w:right="-105" w:rightChars="-50"/>
                    <w:jc w:val="center"/>
                    <w:rPr>
                      <w:rFonts w:hint="default" w:ascii="Times New Roman" w:hAnsi="Times New Roman" w:eastAsia="Times New Roman" w:cs="Times New Roman"/>
                      <w:bCs/>
                      <w:color w:val="000000"/>
                      <w:szCs w:val="21"/>
                    </w:rPr>
                  </w:pPr>
                  <w:r>
                    <w:rPr>
                      <w:rFonts w:hint="default" w:ascii="Times New Roman" w:hAnsi="Times New Roman" w:cs="Times New Roman"/>
                      <w:bCs/>
                      <w:color w:val="000000"/>
                      <w:szCs w:val="21"/>
                    </w:rPr>
                    <w:t>频次</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E2C4">
                  <w:pPr>
                    <w:snapToGrid w:val="0"/>
                    <w:ind w:left="-105" w:leftChars="-50" w:right="-105" w:rightChars="-50"/>
                    <w:jc w:val="center"/>
                    <w:rPr>
                      <w:rFonts w:hint="default" w:ascii="Times New Roman" w:hAnsi="Times New Roman" w:eastAsia="Times New Roman" w:cs="Times New Roman"/>
                      <w:bCs/>
                      <w:color w:val="000000"/>
                      <w:szCs w:val="21"/>
                    </w:rPr>
                  </w:pPr>
                  <w:r>
                    <w:rPr>
                      <w:rFonts w:hint="default" w:ascii="Times New Roman" w:hAnsi="Times New Roman" w:cs="Times New Roman"/>
                      <w:bCs/>
                      <w:color w:val="000000"/>
                      <w:szCs w:val="21"/>
                    </w:rPr>
                    <w:t>排放浓度</w:t>
                  </w:r>
                  <w:r>
                    <w:rPr>
                      <w:rFonts w:hint="default" w:ascii="Times New Roman" w:hAnsi="Times New Roman" w:eastAsia="Times New Roman" w:cs="Times New Roman"/>
                      <w:bCs/>
                      <w:color w:val="000000"/>
                      <w:szCs w:val="21"/>
                    </w:rPr>
                    <w:t>mg/m</w:t>
                  </w:r>
                  <w:r>
                    <w:rPr>
                      <w:rFonts w:hint="default" w:ascii="Times New Roman" w:hAnsi="Times New Roman" w:eastAsia="Times New Roman" w:cs="Times New Roman"/>
                      <w:bCs/>
                      <w:color w:val="000000"/>
                      <w:szCs w:val="21"/>
                      <w:vertAlign w:val="superscript"/>
                    </w:rPr>
                    <w:t>3</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A83E">
                  <w:pPr>
                    <w:snapToGrid w:val="0"/>
                    <w:ind w:left="-105" w:leftChars="-50" w:right="-105" w:rightChars="-50"/>
                    <w:jc w:val="center"/>
                    <w:rPr>
                      <w:rFonts w:hint="default" w:ascii="Times New Roman" w:hAnsi="Times New Roman" w:eastAsia="Times New Roman" w:cs="Times New Roman"/>
                      <w:bCs/>
                      <w:color w:val="000000"/>
                      <w:szCs w:val="21"/>
                    </w:rPr>
                  </w:pPr>
                  <w:r>
                    <w:rPr>
                      <w:rFonts w:hint="default" w:ascii="Times New Roman" w:hAnsi="Times New Roman" w:cs="Times New Roman"/>
                      <w:bCs/>
                      <w:color w:val="000000"/>
                      <w:szCs w:val="21"/>
                    </w:rPr>
                    <w:t>持续时间</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C50D">
                  <w:pPr>
                    <w:snapToGrid w:val="0"/>
                    <w:ind w:left="-105" w:leftChars="-50" w:right="-105" w:rightChars="-50"/>
                    <w:jc w:val="center"/>
                    <w:rPr>
                      <w:rFonts w:hint="default" w:ascii="Times New Roman" w:hAnsi="Times New Roman" w:eastAsia="宋体" w:cs="Times New Roman"/>
                      <w:bCs/>
                      <w:color w:val="000000"/>
                      <w:szCs w:val="21"/>
                      <w:lang w:eastAsia="zh-CN"/>
                    </w:rPr>
                  </w:pPr>
                  <w:r>
                    <w:rPr>
                      <w:rFonts w:hint="default" w:ascii="Times New Roman" w:hAnsi="Times New Roman" w:cs="Times New Roman"/>
                      <w:bCs/>
                      <w:color w:val="000000"/>
                      <w:szCs w:val="21"/>
                    </w:rPr>
                    <w:t>排放</w:t>
                  </w:r>
                  <w:r>
                    <w:rPr>
                      <w:rFonts w:hint="default" w:ascii="Times New Roman" w:hAnsi="Times New Roman" w:cs="Times New Roman"/>
                      <w:bCs/>
                      <w:color w:val="000000"/>
                      <w:szCs w:val="21"/>
                      <w:lang w:eastAsia="zh-CN"/>
                    </w:rPr>
                    <w:t>速率</w:t>
                  </w:r>
                </w:p>
                <w:p w14:paraId="32E8500D">
                  <w:pPr>
                    <w:snapToGrid w:val="0"/>
                    <w:ind w:left="-105" w:leftChars="-50" w:right="-105" w:rightChars="-50"/>
                    <w:jc w:val="center"/>
                    <w:rPr>
                      <w:rFonts w:hint="default" w:ascii="Times New Roman" w:hAnsi="Times New Roman" w:eastAsia="Times New Roman" w:cs="Times New Roman"/>
                      <w:bCs/>
                      <w:color w:val="000000"/>
                      <w:szCs w:val="21"/>
                    </w:rPr>
                  </w:pPr>
                  <w:r>
                    <w:rPr>
                      <w:rFonts w:hint="default" w:ascii="Times New Roman" w:hAnsi="Times New Roman" w:cs="Times New Roman"/>
                      <w:bCs/>
                      <w:color w:val="000000"/>
                      <w:szCs w:val="21"/>
                    </w:rPr>
                    <w:t>（</w:t>
                  </w:r>
                  <w:r>
                    <w:rPr>
                      <w:rFonts w:hint="default" w:ascii="Times New Roman" w:hAnsi="Times New Roman" w:eastAsia="Times New Roman" w:cs="Times New Roman"/>
                      <w:bCs/>
                      <w:color w:val="000000"/>
                      <w:szCs w:val="21"/>
                    </w:rPr>
                    <w:t>kg/</w:t>
                  </w:r>
                  <w:r>
                    <w:rPr>
                      <w:rFonts w:hint="default" w:ascii="Times New Roman" w:hAnsi="Times New Roman" w:eastAsia="宋体" w:cs="Times New Roman"/>
                      <w:bCs/>
                      <w:color w:val="000000"/>
                      <w:szCs w:val="21"/>
                      <w:lang w:val="en-US" w:eastAsia="zh-CN"/>
                    </w:rPr>
                    <w:t>h</w:t>
                  </w:r>
                  <w:r>
                    <w:rPr>
                      <w:rFonts w:hint="default" w:ascii="Times New Roman" w:hAnsi="Times New Roman" w:cs="Times New Roman"/>
                      <w:bCs/>
                      <w:color w:val="000000"/>
                      <w:szCs w:val="21"/>
                    </w:rPr>
                    <w:t>）</w:t>
                  </w:r>
                </w:p>
              </w:tc>
              <w:tc>
                <w:tcPr>
                  <w:tcW w:w="2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D777">
                  <w:pPr>
                    <w:snapToGrid w:val="0"/>
                    <w:ind w:left="-105" w:leftChars="-50" w:right="-105" w:rightChars="-50"/>
                    <w:jc w:val="center"/>
                    <w:rPr>
                      <w:rFonts w:hint="default" w:ascii="Times New Roman" w:hAnsi="Times New Roman" w:eastAsia="Times New Roman" w:cs="Times New Roman"/>
                      <w:bCs/>
                      <w:color w:val="000000"/>
                      <w:szCs w:val="21"/>
                    </w:rPr>
                  </w:pPr>
                  <w:r>
                    <w:rPr>
                      <w:rFonts w:hint="default" w:ascii="Times New Roman" w:hAnsi="Times New Roman" w:cs="Times New Roman"/>
                      <w:bCs/>
                      <w:color w:val="000000"/>
                      <w:szCs w:val="21"/>
                    </w:rPr>
                    <w:t>措施</w:t>
                  </w:r>
                </w:p>
              </w:tc>
            </w:tr>
            <w:tr w14:paraId="4B197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23BDAA75">
                  <w:pPr>
                    <w:snapToGrid w:val="0"/>
                    <w:ind w:left="-105" w:leftChars="-50" w:right="-105" w:rightChars="-50"/>
                    <w:jc w:val="center"/>
                    <w:rPr>
                      <w:rFonts w:hint="eastAsia" w:ascii="Times New Roman" w:hAnsi="Times New Roman" w:eastAsia="宋体" w:cs="Times New Roman"/>
                      <w:bCs/>
                      <w:color w:val="000000"/>
                      <w:szCs w:val="21"/>
                      <w:lang w:eastAsia="zh-CN"/>
                    </w:rPr>
                  </w:pPr>
                  <w:r>
                    <w:rPr>
                      <w:rFonts w:hint="eastAsia" w:cs="Times New Roman"/>
                      <w:bCs/>
                      <w:color w:val="000000"/>
                      <w:szCs w:val="21"/>
                      <w:lang w:eastAsia="zh-CN"/>
                    </w:rPr>
                    <w:t>激光切割</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D49F">
                  <w:pPr>
                    <w:snapToGrid w:val="0"/>
                    <w:ind w:left="-105" w:leftChars="-50" w:right="-105" w:rightChars="-50"/>
                    <w:jc w:val="center"/>
                    <w:rPr>
                      <w:rFonts w:hint="eastAsia" w:ascii="Times New Roman" w:hAnsi="Times New Roman" w:eastAsia="宋体" w:cs="Times New Roman"/>
                      <w:bCs/>
                      <w:color w:val="000000"/>
                      <w:szCs w:val="21"/>
                      <w:lang w:eastAsia="zh-CN"/>
                    </w:rPr>
                  </w:pPr>
                  <w:r>
                    <w:rPr>
                      <w:rFonts w:hint="eastAsia" w:cs="Times New Roman"/>
                      <w:bCs/>
                      <w:color w:val="000000"/>
                      <w:szCs w:val="21"/>
                      <w:lang w:eastAsia="zh-CN"/>
                    </w:rPr>
                    <w:t>颗粒物</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4FD6">
                  <w:pPr>
                    <w:snapToGrid w:val="0"/>
                    <w:ind w:left="-105" w:leftChars="-50" w:right="-105" w:rightChars="-50"/>
                    <w:jc w:val="center"/>
                    <w:rPr>
                      <w:rFonts w:hint="default" w:ascii="Times New Roman" w:hAnsi="Times New Roman" w:cs="Times New Roman"/>
                      <w:bCs/>
                      <w:color w:val="000000"/>
                      <w:szCs w:val="21"/>
                    </w:rPr>
                  </w:pPr>
                  <w:r>
                    <w:rPr>
                      <w:rFonts w:hint="default" w:ascii="Times New Roman" w:hAnsi="Times New Roman" w:cs="Times New Roman"/>
                      <w:color w:val="000000"/>
                      <w:szCs w:val="21"/>
                    </w:rPr>
                    <w:t>废气处理装置出现故障，导致废气未经处理直接排放</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7746">
                  <w:pPr>
                    <w:snapToGrid w:val="0"/>
                    <w:ind w:left="-105" w:leftChars="-50" w:right="-105" w:rightChars="-5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1次/</w:t>
                  </w:r>
                  <w:r>
                    <w:rPr>
                      <w:rFonts w:hint="default" w:ascii="Times New Roman" w:hAnsi="Times New Roman" w:eastAsia="Times New Roman" w:cs="Times New Roman"/>
                      <w:color w:val="000000"/>
                      <w:szCs w:val="21"/>
                    </w:rPr>
                    <w:t>a</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1083">
                  <w:pPr>
                    <w:snapToGrid w:val="0"/>
                    <w:jc w:val="center"/>
                    <w:rPr>
                      <w:rFonts w:hint="default" w:ascii="Times New Roman" w:hAnsi="Times New Roman" w:cs="Times New Roman"/>
                      <w:bCs/>
                      <w:color w:val="000000"/>
                      <w:szCs w:val="21"/>
                    </w:rPr>
                  </w:pPr>
                  <w:r>
                    <w:rPr>
                      <w:rFonts w:hint="eastAsia" w:cs="Times New Roman"/>
                      <w:bCs/>
                      <w:color w:val="000000"/>
                      <w:szCs w:val="21"/>
                      <w:lang w:val="en-US" w:eastAsia="zh-CN"/>
                    </w:rPr>
                    <w:t>407.5</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7A82">
                  <w:pPr>
                    <w:snapToGrid w:val="0"/>
                    <w:ind w:left="-105" w:leftChars="-50" w:right="-105" w:rightChars="-50"/>
                    <w:jc w:val="center"/>
                    <w:rPr>
                      <w:rFonts w:hint="default" w:ascii="Times New Roman" w:hAnsi="Times New Roman" w:cs="Times New Roman"/>
                      <w:bCs/>
                      <w:color w:val="000000"/>
                      <w:szCs w:val="21"/>
                    </w:rPr>
                  </w:pPr>
                  <w:r>
                    <w:rPr>
                      <w:rFonts w:hint="default" w:ascii="Times New Roman" w:hAnsi="Times New Roman" w:eastAsia="Times New Roman" w:cs="Times New Roman"/>
                      <w:color w:val="000000"/>
                      <w:szCs w:val="21"/>
                    </w:rPr>
                    <w:t>1h/</w:t>
                  </w:r>
                  <w:r>
                    <w:rPr>
                      <w:rFonts w:hint="default" w:ascii="Times New Roman" w:hAnsi="Times New Roman" w:cs="Times New Roman"/>
                      <w:color w:val="000000"/>
                      <w:szCs w:val="21"/>
                    </w:rPr>
                    <w:t>次</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BBCD6">
                  <w:pPr>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3.26</w:t>
                  </w:r>
                </w:p>
              </w:tc>
              <w:tc>
                <w:tcPr>
                  <w:tcW w:w="2021" w:type="dxa"/>
                  <w:vMerge w:val="restart"/>
                  <w:tcBorders>
                    <w:top w:val="single" w:color="000000" w:sz="4" w:space="0"/>
                    <w:left w:val="single" w:color="000000" w:sz="4" w:space="0"/>
                    <w:right w:val="single" w:color="000000" w:sz="4" w:space="0"/>
                  </w:tcBorders>
                  <w:shd w:val="clear" w:color="auto" w:fill="auto"/>
                  <w:vAlign w:val="center"/>
                </w:tcPr>
                <w:p w14:paraId="1E7821A6">
                  <w:pPr>
                    <w:snapToGrid w:val="0"/>
                    <w:ind w:left="-105" w:leftChars="-50" w:right="-105" w:rightChars="-50"/>
                    <w:jc w:val="center"/>
                    <w:rPr>
                      <w:rFonts w:hint="default" w:ascii="Times New Roman" w:hAnsi="Times New Roman" w:eastAsia="Times New Roman" w:cs="Times New Roman"/>
                      <w:color w:val="000000"/>
                      <w:kern w:val="2"/>
                      <w:sz w:val="21"/>
                      <w:szCs w:val="21"/>
                      <w:lang w:val="en-US" w:eastAsia="zh-CN" w:bidi="ar-SA"/>
                    </w:rPr>
                  </w:pPr>
                  <w:r>
                    <w:rPr>
                      <w:rFonts w:hint="default" w:ascii="Times New Roman" w:hAnsi="Times New Roman" w:cs="Times New Roman"/>
                      <w:color w:val="000000"/>
                      <w:szCs w:val="21"/>
                    </w:rPr>
                    <w:t>制定环保设备例行检查制度，加强定期维护保养，检修时应停止生产活动运行，杜绝废气未经处理直接排放</w:t>
                  </w:r>
                </w:p>
              </w:tc>
            </w:tr>
            <w:tr w14:paraId="70DE4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8B14">
                  <w:pPr>
                    <w:snapToGrid w:val="0"/>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抛丸</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3D14">
                  <w:pPr>
                    <w:snapToGrid w:val="0"/>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颗粒物</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3351">
                  <w:pPr>
                    <w:snapToGrid w:val="0"/>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废气处理装置出现故障，导致废气未经处理直接排放</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4F68">
                  <w:pPr>
                    <w:snapToGrid w:val="0"/>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1次/</w:t>
                  </w:r>
                  <w:r>
                    <w:rPr>
                      <w:rFonts w:hint="default" w:ascii="Times New Roman" w:hAnsi="Times New Roman" w:eastAsia="Times New Roman" w:cs="Times New Roman"/>
                      <w:color w:val="000000"/>
                      <w:szCs w:val="21"/>
                    </w:rPr>
                    <w:t>a</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3872">
                  <w:pPr>
                    <w:snapToGrid w:val="0"/>
                    <w:jc w:val="center"/>
                    <w:rPr>
                      <w:rFonts w:hint="default" w:ascii="Times New Roman" w:hAnsi="Times New Roman" w:eastAsia="Times New Roman" w:cs="Times New Roman"/>
                      <w:color w:val="000000"/>
                      <w:szCs w:val="21"/>
                      <w:highlight w:val="yellow"/>
                    </w:rPr>
                  </w:pPr>
                  <w:r>
                    <w:rPr>
                      <w:rFonts w:hint="eastAsia" w:cs="Times New Roman"/>
                      <w:color w:val="000000"/>
                      <w:szCs w:val="21"/>
                      <w:lang w:val="en-US" w:eastAsia="zh-CN"/>
                    </w:rPr>
                    <w:t>112.5</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2BC9">
                  <w:pPr>
                    <w:snapToGrid w:val="0"/>
                    <w:ind w:left="-105" w:leftChars="-50" w:right="-105" w:rightChars="-5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1h/</w:t>
                  </w:r>
                  <w:r>
                    <w:rPr>
                      <w:rFonts w:hint="default" w:ascii="Times New Roman" w:hAnsi="Times New Roman" w:cs="Times New Roman"/>
                      <w:color w:val="000000"/>
                      <w:szCs w:val="21"/>
                    </w:rPr>
                    <w:t>次</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2993">
                  <w:pPr>
                    <w:snapToGrid w:val="0"/>
                    <w:jc w:val="center"/>
                    <w:rPr>
                      <w:rFonts w:hint="default" w:ascii="Times New Roman" w:hAnsi="Times New Roman" w:eastAsia="Times New Roman" w:cs="Times New Roman"/>
                      <w:bCs/>
                      <w:color w:val="000000"/>
                      <w:szCs w:val="21"/>
                      <w:lang w:val="en-US"/>
                    </w:rPr>
                  </w:pPr>
                  <w:r>
                    <w:rPr>
                      <w:rFonts w:hint="eastAsia" w:cs="Times New Roman"/>
                      <w:color w:val="000000"/>
                      <w:szCs w:val="21"/>
                      <w:lang w:val="en-US" w:eastAsia="zh-CN"/>
                    </w:rPr>
                    <w:t>0.9</w:t>
                  </w:r>
                </w:p>
              </w:tc>
              <w:tc>
                <w:tcPr>
                  <w:tcW w:w="2021" w:type="dxa"/>
                  <w:vMerge w:val="continue"/>
                  <w:tcBorders>
                    <w:left w:val="single" w:color="000000" w:sz="4" w:space="0"/>
                    <w:right w:val="single" w:color="000000" w:sz="4" w:space="0"/>
                  </w:tcBorders>
                  <w:shd w:val="clear" w:color="auto" w:fill="auto"/>
                  <w:vAlign w:val="center"/>
                </w:tcPr>
                <w:p w14:paraId="501263A0">
                  <w:pPr>
                    <w:snapToGrid w:val="0"/>
                    <w:ind w:left="-105" w:leftChars="-50" w:right="-105" w:rightChars="-50"/>
                    <w:jc w:val="center"/>
                    <w:rPr>
                      <w:rFonts w:hint="default" w:ascii="Times New Roman" w:hAnsi="Times New Roman" w:eastAsia="Times New Roman" w:cs="Times New Roman"/>
                      <w:color w:val="000000"/>
                      <w:kern w:val="2"/>
                      <w:sz w:val="21"/>
                      <w:szCs w:val="21"/>
                      <w:lang w:val="en-US" w:eastAsia="zh-CN" w:bidi="ar-SA"/>
                    </w:rPr>
                  </w:pPr>
                </w:p>
              </w:tc>
            </w:tr>
            <w:tr w14:paraId="14F10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25ED9">
                  <w:pPr>
                    <w:snapToGrid w:val="0"/>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喷漆、晾干</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795C">
                  <w:pPr>
                    <w:snapToGrid w:val="0"/>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非甲烷总烃</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A57FB0">
                  <w:pPr>
                    <w:snapToGrid w:val="0"/>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废气处理装置出现故障，导致废气未经处理直接排放</w:t>
                  </w:r>
                </w:p>
              </w:tc>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03E6E">
                  <w:pPr>
                    <w:snapToGrid w:val="0"/>
                    <w:ind w:left="-105" w:leftChars="-50" w:right="-105" w:rightChars="-50"/>
                    <w:jc w:val="center"/>
                    <w:rPr>
                      <w:rFonts w:hint="default" w:ascii="Times New Roman" w:hAnsi="Times New Roman" w:cs="Times New Roman"/>
                      <w:color w:val="000000"/>
                      <w:szCs w:val="21"/>
                    </w:rPr>
                  </w:pPr>
                  <w:r>
                    <w:rPr>
                      <w:rFonts w:hint="default" w:ascii="Times New Roman" w:hAnsi="Times New Roman" w:eastAsia="Times New Roman" w:cs="Times New Roman"/>
                      <w:color w:val="000000"/>
                      <w:szCs w:val="21"/>
                    </w:rPr>
                    <w:t>1</w:t>
                  </w:r>
                  <w:r>
                    <w:rPr>
                      <w:rFonts w:hint="default" w:ascii="Times New Roman" w:hAnsi="Times New Roman" w:cs="Times New Roman"/>
                      <w:color w:val="000000"/>
                      <w:szCs w:val="21"/>
                    </w:rPr>
                    <w:t>次/</w:t>
                  </w:r>
                  <w:r>
                    <w:rPr>
                      <w:rFonts w:hint="default" w:ascii="Times New Roman" w:hAnsi="Times New Roman" w:eastAsia="Times New Roman" w:cs="Times New Roman"/>
                      <w:color w:val="000000"/>
                      <w:szCs w:val="21"/>
                    </w:rPr>
                    <w:t>a</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E457">
                  <w:pPr>
                    <w:snapToGrid w:val="0"/>
                    <w:jc w:val="center"/>
                    <w:rPr>
                      <w:rFonts w:hint="default" w:ascii="Times New Roman" w:hAnsi="Times New Roman" w:eastAsia="Times New Roman" w:cs="Times New Roman"/>
                      <w:color w:val="000000"/>
                      <w:szCs w:val="21"/>
                      <w:highlight w:val="yellow"/>
                    </w:rPr>
                  </w:pPr>
                  <w:r>
                    <w:rPr>
                      <w:rFonts w:hint="default" w:ascii="Times New Roman" w:hAnsi="Times New Roman" w:cs="Times New Roman"/>
                      <w:color w:val="000000"/>
                      <w:szCs w:val="21"/>
                      <w:lang w:val="en-US" w:eastAsia="zh-CN"/>
                    </w:rPr>
                    <w:t>15.5</w:t>
                  </w:r>
                </w:p>
              </w:tc>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CFCA66">
                  <w:pPr>
                    <w:snapToGrid w:val="0"/>
                    <w:ind w:left="-105" w:leftChars="-50" w:right="-105" w:rightChars="-5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1h/</w:t>
                  </w:r>
                  <w:r>
                    <w:rPr>
                      <w:rFonts w:hint="default" w:ascii="Times New Roman" w:hAnsi="Times New Roman" w:cs="Times New Roman"/>
                      <w:color w:val="000000"/>
                      <w:szCs w:val="21"/>
                    </w:rPr>
                    <w:t>次</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A15E">
                  <w:pPr>
                    <w:snapToGrid w:val="0"/>
                    <w:jc w:val="center"/>
                    <w:rPr>
                      <w:rFonts w:hint="default" w:ascii="Times New Roman" w:hAnsi="Times New Roman" w:eastAsia="等线" w:cs="Times New Roman"/>
                      <w:color w:val="000000"/>
                      <w:lang w:val="en-US"/>
                    </w:rPr>
                  </w:pPr>
                  <w:r>
                    <w:rPr>
                      <w:rFonts w:hint="default" w:ascii="Times New Roman" w:hAnsi="Times New Roman" w:cs="Times New Roman"/>
                      <w:color w:val="000000"/>
                      <w:szCs w:val="21"/>
                      <w:lang w:val="en-US" w:eastAsia="zh-CN"/>
                    </w:rPr>
                    <w:t>0.31</w:t>
                  </w:r>
                </w:p>
              </w:tc>
              <w:tc>
                <w:tcPr>
                  <w:tcW w:w="2021" w:type="dxa"/>
                  <w:vMerge w:val="continue"/>
                  <w:tcBorders>
                    <w:left w:val="single" w:color="000000" w:sz="4" w:space="0"/>
                    <w:right w:val="single" w:color="000000" w:sz="4" w:space="0"/>
                  </w:tcBorders>
                  <w:shd w:val="clear" w:color="auto" w:fill="auto"/>
                  <w:vAlign w:val="center"/>
                </w:tcPr>
                <w:p w14:paraId="44FF65CB">
                  <w:pPr>
                    <w:snapToGrid w:val="0"/>
                    <w:ind w:left="-105" w:leftChars="-50" w:right="-105" w:rightChars="-50"/>
                    <w:jc w:val="center"/>
                    <w:rPr>
                      <w:rFonts w:hint="default" w:ascii="Times New Roman" w:hAnsi="Times New Roman" w:eastAsia="Times New Roman" w:cs="Times New Roman"/>
                      <w:color w:val="000000"/>
                      <w:szCs w:val="21"/>
                    </w:rPr>
                  </w:pPr>
                </w:p>
              </w:tc>
            </w:tr>
            <w:tr w14:paraId="289B0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6DBCA">
                  <w:pPr>
                    <w:snapToGrid w:val="0"/>
                    <w:ind w:left="-105" w:leftChars="-50" w:right="-105" w:rightChars="-50"/>
                    <w:jc w:val="center"/>
                    <w:rPr>
                      <w:rFonts w:hint="default" w:ascii="Times New Roman" w:hAnsi="Times New Roman" w:cs="Times New Roman"/>
                      <w:bCs/>
                      <w:color w:val="000000"/>
                      <w:szCs w:val="21"/>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BBC8">
                  <w:pPr>
                    <w:snapToGrid w:val="0"/>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颗粒物</w:t>
                  </w: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2DAF8">
                  <w:pPr>
                    <w:snapToGrid w:val="0"/>
                    <w:ind w:left="-105" w:leftChars="-50" w:right="-105" w:rightChars="-50"/>
                    <w:jc w:val="center"/>
                    <w:rPr>
                      <w:rFonts w:hint="default" w:ascii="Times New Roman" w:hAnsi="Times New Roman" w:cs="Times New Roman"/>
                      <w:color w:val="000000"/>
                      <w:szCs w:val="21"/>
                    </w:rPr>
                  </w:pPr>
                </w:p>
              </w:tc>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74AD7">
                  <w:pPr>
                    <w:snapToGrid w:val="0"/>
                    <w:ind w:left="-105" w:leftChars="-50" w:right="-105" w:rightChars="-50"/>
                    <w:jc w:val="center"/>
                    <w:rPr>
                      <w:rFonts w:hint="default" w:ascii="Times New Roman" w:hAnsi="Times New Roman" w:eastAsia="Times New Roman" w:cs="Times New Roman"/>
                      <w:color w:val="000000"/>
                      <w:szCs w:val="21"/>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DF91">
                  <w:pPr>
                    <w:snapToGrid w:val="0"/>
                    <w:jc w:val="center"/>
                    <w:rPr>
                      <w:rFonts w:hint="default" w:ascii="Times New Roman" w:hAnsi="Times New Roman" w:cs="Times New Roman"/>
                      <w:color w:val="000000"/>
                      <w:szCs w:val="21"/>
                      <w:highlight w:val="yellow"/>
                    </w:rPr>
                  </w:pPr>
                  <w:r>
                    <w:rPr>
                      <w:rFonts w:hint="default" w:ascii="Times New Roman" w:hAnsi="Times New Roman" w:cs="Times New Roman"/>
                      <w:color w:val="000000"/>
                      <w:szCs w:val="21"/>
                      <w:lang w:val="en-US" w:eastAsia="zh-CN"/>
                    </w:rPr>
                    <w:t>11.5</w:t>
                  </w:r>
                </w:p>
              </w:tc>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37FC3">
                  <w:pPr>
                    <w:snapToGrid w:val="0"/>
                    <w:ind w:left="-105" w:leftChars="-50" w:right="-105" w:rightChars="-50"/>
                    <w:jc w:val="center"/>
                    <w:rPr>
                      <w:rFonts w:hint="default" w:ascii="Times New Roman" w:hAnsi="Times New Roman" w:eastAsia="Times New Roman" w:cs="Times New Roman"/>
                      <w:color w:val="000000"/>
                      <w:szCs w:val="21"/>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3DA0">
                  <w:pPr>
                    <w:snapToGrid w:val="0"/>
                    <w:jc w:val="center"/>
                    <w:rPr>
                      <w:rFonts w:hint="default" w:ascii="Times New Roman" w:hAnsi="Times New Roman" w:eastAsia="等线" w:cs="Times New Roman"/>
                      <w:color w:val="000000"/>
                    </w:rPr>
                  </w:pPr>
                  <w:r>
                    <w:rPr>
                      <w:rFonts w:hint="default" w:ascii="Times New Roman" w:hAnsi="Times New Roman" w:cs="Times New Roman"/>
                      <w:color w:val="000000"/>
                      <w:szCs w:val="21"/>
                      <w:lang w:val="en-US" w:eastAsia="zh-CN"/>
                    </w:rPr>
                    <w:t>0.23</w:t>
                  </w:r>
                </w:p>
              </w:tc>
              <w:tc>
                <w:tcPr>
                  <w:tcW w:w="2021" w:type="dxa"/>
                  <w:vMerge w:val="continue"/>
                  <w:tcBorders>
                    <w:left w:val="single" w:color="000000" w:sz="4" w:space="0"/>
                    <w:bottom w:val="single" w:color="000000" w:sz="4" w:space="0"/>
                    <w:right w:val="single" w:color="000000" w:sz="4" w:space="0"/>
                  </w:tcBorders>
                  <w:shd w:val="clear" w:color="auto" w:fill="auto"/>
                  <w:vAlign w:val="center"/>
                </w:tcPr>
                <w:p w14:paraId="5D3DD82C">
                  <w:pPr>
                    <w:snapToGrid w:val="0"/>
                    <w:ind w:left="-105" w:leftChars="-50" w:right="-105" w:rightChars="-50"/>
                    <w:jc w:val="center"/>
                    <w:rPr>
                      <w:rFonts w:hint="default" w:ascii="Times New Roman" w:hAnsi="Times New Roman" w:eastAsia="Times New Roman" w:cs="Times New Roman"/>
                      <w:color w:val="000000"/>
                      <w:szCs w:val="21"/>
                    </w:rPr>
                  </w:pPr>
                </w:p>
              </w:tc>
            </w:tr>
          </w:tbl>
          <w:p w14:paraId="027028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60"/>
                <w:rFonts w:hint="default" w:ascii="Times New Roman" w:hAnsi="Times New Roman" w:cs="Times New Roman"/>
                <w:b w:val="0"/>
                <w:bCs w:val="0"/>
                <w:color w:val="auto"/>
              </w:rPr>
            </w:pPr>
            <w:r>
              <w:rPr>
                <w:rStyle w:val="60"/>
                <w:rFonts w:hint="default" w:ascii="Times New Roman" w:hAnsi="Times New Roman" w:cs="Times New Roman"/>
                <w:b w:val="0"/>
                <w:bCs w:val="0"/>
                <w:color w:val="auto"/>
              </w:rPr>
              <w:t>本项目在生产时应先运行废气治理设施，待设施正常运转后再启动生产设备，确保废气的达标排放。另生产设施与废气治理设施设置联动装置，即废气治理设施一旦故障，生产设备应立刻停机，以确保废气不会超标排放。</w:t>
            </w:r>
          </w:p>
          <w:p w14:paraId="59BF05E1">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default" w:ascii="Times New Roman" w:hAnsi="Times New Roman" w:cs="Times New Roman"/>
                <w:color w:val="auto"/>
                <w:sz w:val="24"/>
              </w:rPr>
            </w:pPr>
            <w:r>
              <w:rPr>
                <w:rFonts w:hint="default" w:ascii="Times New Roman" w:hAnsi="Times New Roman" w:cs="Times New Roman"/>
                <w:color w:val="auto"/>
                <w:sz w:val="24"/>
              </w:rPr>
              <w:t>4.3.</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废气检测计划</w:t>
            </w:r>
          </w:p>
          <w:p w14:paraId="199F35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val="0"/>
                <w:sz w:val="24"/>
                <w:lang w:val="en-US" w:eastAsia="zh-CN"/>
              </w:rPr>
            </w:pPr>
            <w:r>
              <w:rPr>
                <w:rFonts w:hint="default" w:ascii="Times New Roman" w:hAnsi="Times New Roman" w:cs="Times New Roman"/>
                <w:bCs/>
                <w:sz w:val="24"/>
              </w:rPr>
              <w:t>根据《排污单位自行监测技术指南涂装》（HJ 1086—2020），废气自行监测计划见下表4-</w:t>
            </w:r>
            <w:r>
              <w:rPr>
                <w:rFonts w:hint="eastAsia" w:cs="Times New Roman"/>
                <w:bCs/>
                <w:sz w:val="24"/>
                <w:lang w:val="en-US" w:eastAsia="zh-CN"/>
              </w:rPr>
              <w:t>8</w:t>
            </w:r>
          </w:p>
          <w:p w14:paraId="4002F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4"/>
                <w:szCs w:val="24"/>
                <w:lang w:eastAsia="zh-CN"/>
              </w:rPr>
            </w:pPr>
            <w:r>
              <w:rPr>
                <w:rFonts w:hint="default" w:ascii="Times New Roman" w:hAnsi="Times New Roman" w:cs="Times New Roman"/>
                <w:b/>
                <w:bCs w:val="0"/>
                <w:color w:val="auto"/>
                <w:sz w:val="24"/>
                <w:szCs w:val="24"/>
              </w:rPr>
              <w:t>表4-</w:t>
            </w:r>
            <w:r>
              <w:rPr>
                <w:rFonts w:hint="eastAsia" w:cs="Times New Roman"/>
                <w:b/>
                <w:bCs w:val="0"/>
                <w:color w:val="auto"/>
                <w:sz w:val="24"/>
                <w:szCs w:val="24"/>
                <w:lang w:val="en-US" w:eastAsia="zh-CN"/>
              </w:rPr>
              <w:t>8</w:t>
            </w:r>
            <w:r>
              <w:rPr>
                <w:rFonts w:hint="default" w:ascii="Times New Roman" w:hAnsi="Times New Roman" w:cs="Times New Roman"/>
                <w:b/>
                <w:bCs w:val="0"/>
                <w:color w:val="auto"/>
                <w:sz w:val="24"/>
                <w:szCs w:val="24"/>
              </w:rPr>
              <w:t xml:space="preserve"> 废气监测计划</w:t>
            </w:r>
            <w:r>
              <w:rPr>
                <w:rFonts w:hint="default" w:ascii="Times New Roman" w:hAnsi="Times New Roman" w:cs="Times New Roman"/>
                <w:b/>
                <w:bCs w:val="0"/>
                <w:color w:val="auto"/>
                <w:sz w:val="24"/>
                <w:szCs w:val="24"/>
                <w:lang w:eastAsia="zh-CN"/>
              </w:rPr>
              <w:t>内容一览表</w:t>
            </w:r>
          </w:p>
          <w:tbl>
            <w:tblPr>
              <w:tblStyle w:val="28"/>
              <w:tblpPr w:leftFromText="180" w:rightFromText="180" w:vertAnchor="text" w:horzAnchor="page" w:tblpX="116" w:tblpY="304"/>
              <w:tblOverlap w:val="never"/>
              <w:tblW w:w="843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87"/>
              <w:gridCol w:w="2342"/>
              <w:gridCol w:w="2504"/>
              <w:gridCol w:w="2099"/>
            </w:tblGrid>
            <w:tr w14:paraId="03E0F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881" w:type="pct"/>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3731EDD4">
                  <w:pPr>
                    <w:tabs>
                      <w:tab w:val="left" w:pos="1215"/>
                    </w:tabs>
                    <w:adjustRightInd w:val="0"/>
                    <w:snapToGrid w:val="0"/>
                    <w:jc w:val="center"/>
                    <w:rPr>
                      <w:rFonts w:ascii="Times New Roman" w:hAnsi="Times New Roman" w:eastAsia="Times New Roman"/>
                      <w:color w:val="000000"/>
                      <w:szCs w:val="21"/>
                    </w:rPr>
                  </w:pPr>
                  <w:r>
                    <w:rPr>
                      <w:rFonts w:ascii="Times New Roman" w:hAnsi="Times New Roman"/>
                      <w:color w:val="000000"/>
                      <w:szCs w:val="21"/>
                    </w:rPr>
                    <w:t>排放形式</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79BF5">
                  <w:pPr>
                    <w:tabs>
                      <w:tab w:val="left" w:pos="1215"/>
                    </w:tabs>
                    <w:adjustRightInd w:val="0"/>
                    <w:snapToGrid w:val="0"/>
                    <w:jc w:val="center"/>
                    <w:rPr>
                      <w:rFonts w:ascii="Times New Roman" w:hAnsi="Times New Roman" w:eastAsia="Times New Roman"/>
                      <w:color w:val="000000"/>
                      <w:szCs w:val="21"/>
                    </w:rPr>
                  </w:pPr>
                  <w:r>
                    <w:rPr>
                      <w:rFonts w:ascii="Times New Roman" w:hAnsi="Times New Roman"/>
                      <w:color w:val="000000"/>
                      <w:szCs w:val="21"/>
                    </w:rPr>
                    <w:t>监测点位</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4A58E">
                  <w:pPr>
                    <w:tabs>
                      <w:tab w:val="left" w:pos="1215"/>
                    </w:tabs>
                    <w:adjustRightInd w:val="0"/>
                    <w:snapToGrid w:val="0"/>
                    <w:jc w:val="center"/>
                    <w:rPr>
                      <w:rFonts w:ascii="Times New Roman" w:hAnsi="Times New Roman" w:eastAsia="Times New Roman"/>
                      <w:color w:val="000000"/>
                      <w:szCs w:val="21"/>
                    </w:rPr>
                  </w:pPr>
                  <w:r>
                    <w:rPr>
                      <w:rFonts w:ascii="Times New Roman" w:hAnsi="Times New Roman"/>
                      <w:color w:val="000000"/>
                      <w:szCs w:val="21"/>
                    </w:rPr>
                    <w:t>监测指标</w:t>
                  </w:r>
                </w:p>
              </w:tc>
              <w:tc>
                <w:tcPr>
                  <w:tcW w:w="1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B9DC">
                  <w:pPr>
                    <w:tabs>
                      <w:tab w:val="left" w:pos="1215"/>
                    </w:tabs>
                    <w:adjustRightInd w:val="0"/>
                    <w:snapToGrid w:val="0"/>
                    <w:jc w:val="center"/>
                    <w:rPr>
                      <w:rFonts w:ascii="Times New Roman" w:hAnsi="Times New Roman" w:eastAsia="Times New Roman"/>
                      <w:color w:val="000000"/>
                      <w:szCs w:val="21"/>
                    </w:rPr>
                  </w:pPr>
                  <w:r>
                    <w:rPr>
                      <w:rFonts w:ascii="Times New Roman" w:hAnsi="Times New Roman"/>
                      <w:color w:val="000000"/>
                      <w:szCs w:val="21"/>
                    </w:rPr>
                    <w:t>监测频次</w:t>
                  </w:r>
                </w:p>
              </w:tc>
            </w:tr>
            <w:tr w14:paraId="2D113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pct"/>
                  <w:vMerge w:val="restart"/>
                  <w:tcBorders>
                    <w:top w:val="single" w:color="000000" w:sz="4" w:space="0"/>
                    <w:left w:val="single" w:color="000000" w:sz="4" w:space="0"/>
                    <w:right w:val="single" w:color="000000" w:sz="4" w:space="0"/>
                  </w:tcBorders>
                  <w:shd w:val="clear" w:color="auto" w:fill="auto"/>
                  <w:vAlign w:val="center"/>
                </w:tcPr>
                <w:p w14:paraId="6CF5ECCF">
                  <w:pPr>
                    <w:tabs>
                      <w:tab w:val="left" w:pos="1215"/>
                    </w:tabs>
                    <w:adjustRightInd w:val="0"/>
                    <w:snapToGrid w:val="0"/>
                    <w:jc w:val="center"/>
                    <w:rPr>
                      <w:rFonts w:hint="eastAsia" w:ascii="Times New Roman" w:hAnsi="Times New Roman" w:eastAsia="宋体"/>
                      <w:bCs/>
                      <w:color w:val="000000"/>
                      <w:szCs w:val="21"/>
                      <w:lang w:val="en-US" w:eastAsia="zh-CN"/>
                    </w:rPr>
                  </w:pPr>
                  <w:r>
                    <w:rPr>
                      <w:rFonts w:hint="eastAsia" w:eastAsia="宋体"/>
                      <w:bCs/>
                      <w:color w:val="000000"/>
                      <w:szCs w:val="21"/>
                      <w:lang w:val="en-US" w:eastAsia="zh-CN"/>
                    </w:rPr>
                    <w:t>有组织</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88117">
                  <w:pPr>
                    <w:tabs>
                      <w:tab w:val="left" w:pos="1215"/>
                    </w:tabs>
                    <w:adjustRightInd w:val="0"/>
                    <w:snapToGrid w:val="0"/>
                    <w:jc w:val="center"/>
                    <w:rPr>
                      <w:rFonts w:hint="eastAsia" w:ascii="Times New Roman" w:hAnsi="Times New Roman" w:eastAsia="等线"/>
                      <w:bCs/>
                      <w:color w:val="000000"/>
                      <w:szCs w:val="21"/>
                      <w:lang w:val="en-US" w:eastAsia="zh-CN"/>
                    </w:rPr>
                  </w:pPr>
                  <w:r>
                    <w:rPr>
                      <w:rFonts w:ascii="Times New Roman" w:hAnsi="Times New Roman" w:eastAsia="等线"/>
                      <w:bCs/>
                      <w:color w:val="000000"/>
                      <w:szCs w:val="21"/>
                    </w:rPr>
                    <w:t>DA00</w:t>
                  </w:r>
                  <w:r>
                    <w:rPr>
                      <w:rFonts w:hint="eastAsia" w:eastAsia="等线"/>
                      <w:bCs/>
                      <w:color w:val="000000"/>
                      <w:szCs w:val="21"/>
                      <w:lang w:val="en-US" w:eastAsia="zh-CN"/>
                    </w:rPr>
                    <w:t>1</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7BFF4">
                  <w:pPr>
                    <w:tabs>
                      <w:tab w:val="left" w:pos="1215"/>
                    </w:tabs>
                    <w:adjustRightInd w:val="0"/>
                    <w:snapToGrid w:val="0"/>
                    <w:jc w:val="center"/>
                    <w:rPr>
                      <w:rFonts w:ascii="Times New Roman" w:hAnsi="Times New Roman" w:eastAsia="Times New Roman"/>
                      <w:bCs/>
                      <w:color w:val="000000"/>
                      <w:szCs w:val="21"/>
                    </w:rPr>
                  </w:pPr>
                  <w:r>
                    <w:rPr>
                      <w:rFonts w:ascii="Times New Roman" w:hAnsi="Times New Roman"/>
                      <w:bCs/>
                      <w:color w:val="000000"/>
                      <w:szCs w:val="21"/>
                    </w:rPr>
                    <w:t>颗粒物</w:t>
                  </w:r>
                </w:p>
              </w:tc>
              <w:tc>
                <w:tcPr>
                  <w:tcW w:w="1244" w:type="pct"/>
                  <w:vMerge w:val="restart"/>
                  <w:tcBorders>
                    <w:top w:val="single" w:color="000000" w:sz="4" w:space="0"/>
                    <w:left w:val="single" w:color="000000" w:sz="4" w:space="0"/>
                    <w:right w:val="single" w:color="000000" w:sz="4" w:space="0"/>
                  </w:tcBorders>
                  <w:shd w:val="clear" w:color="auto" w:fill="auto"/>
                  <w:vAlign w:val="center"/>
                </w:tcPr>
                <w:p w14:paraId="1E456FED">
                  <w:pPr>
                    <w:tabs>
                      <w:tab w:val="left" w:pos="1215"/>
                    </w:tabs>
                    <w:adjustRightInd w:val="0"/>
                    <w:snapToGrid w:val="0"/>
                    <w:jc w:val="center"/>
                    <w:rPr>
                      <w:rFonts w:ascii="Times New Roman" w:hAnsi="Times New Roman" w:eastAsia="Times New Roman"/>
                      <w:bCs/>
                      <w:color w:val="000000"/>
                      <w:szCs w:val="21"/>
                    </w:rPr>
                  </w:pPr>
                  <w:r>
                    <w:rPr>
                      <w:rFonts w:ascii="Times New Roman" w:hAnsi="Times New Roman" w:eastAsia="Times New Roman"/>
                      <w:bCs/>
                      <w:color w:val="000000"/>
                      <w:szCs w:val="21"/>
                    </w:rPr>
                    <w:t>1</w:t>
                  </w:r>
                  <w:r>
                    <w:rPr>
                      <w:rFonts w:ascii="Times New Roman" w:hAnsi="Times New Roman"/>
                      <w:bCs/>
                      <w:color w:val="000000"/>
                      <w:szCs w:val="21"/>
                    </w:rPr>
                    <w:t>次</w:t>
                  </w:r>
                  <w:r>
                    <w:rPr>
                      <w:rFonts w:ascii="Times New Roman" w:hAnsi="Times New Roman" w:eastAsia="Times New Roman"/>
                      <w:bCs/>
                      <w:color w:val="000000"/>
                      <w:szCs w:val="21"/>
                    </w:rPr>
                    <w:t>/</w:t>
                  </w:r>
                  <w:r>
                    <w:rPr>
                      <w:rFonts w:ascii="Times New Roman" w:hAnsi="Times New Roman"/>
                      <w:bCs/>
                      <w:color w:val="000000"/>
                      <w:szCs w:val="21"/>
                    </w:rPr>
                    <w:t>年</w:t>
                  </w:r>
                </w:p>
              </w:tc>
            </w:tr>
            <w:tr w14:paraId="4C1DC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81" w:type="pct"/>
                  <w:vMerge w:val="continue"/>
                  <w:tcBorders>
                    <w:left w:val="single" w:color="000000" w:sz="4" w:space="0"/>
                    <w:right w:val="single" w:color="000000" w:sz="4" w:space="0"/>
                  </w:tcBorders>
                  <w:shd w:val="clear" w:color="auto" w:fill="auto"/>
                  <w:vAlign w:val="center"/>
                </w:tcPr>
                <w:p w14:paraId="434F80B9">
                  <w:pPr>
                    <w:tabs>
                      <w:tab w:val="left" w:pos="1215"/>
                    </w:tabs>
                    <w:adjustRightInd w:val="0"/>
                    <w:snapToGrid w:val="0"/>
                    <w:jc w:val="center"/>
                    <w:rPr>
                      <w:rFonts w:ascii="Times New Roman" w:hAnsi="Times New Roman" w:eastAsia="Times New Roman"/>
                      <w:bCs/>
                      <w:color w:val="000000"/>
                      <w:szCs w:val="21"/>
                    </w:rPr>
                  </w:pP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6C596">
                  <w:pPr>
                    <w:tabs>
                      <w:tab w:val="left" w:pos="1215"/>
                    </w:tabs>
                    <w:adjustRightInd w:val="0"/>
                    <w:snapToGrid w:val="0"/>
                    <w:jc w:val="center"/>
                    <w:rPr>
                      <w:rFonts w:hint="eastAsia" w:ascii="Times New Roman" w:hAnsi="Times New Roman" w:eastAsia="等线"/>
                      <w:bCs/>
                      <w:color w:val="000000"/>
                      <w:szCs w:val="21"/>
                      <w:lang w:val="en-US" w:eastAsia="zh-CN"/>
                    </w:rPr>
                  </w:pPr>
                  <w:r>
                    <w:rPr>
                      <w:rFonts w:ascii="Times New Roman" w:hAnsi="Times New Roman" w:eastAsia="等线"/>
                      <w:bCs/>
                      <w:color w:val="000000"/>
                      <w:szCs w:val="21"/>
                    </w:rPr>
                    <w:t>DA00</w:t>
                  </w:r>
                  <w:r>
                    <w:rPr>
                      <w:rFonts w:hint="eastAsia" w:eastAsia="等线"/>
                      <w:bCs/>
                      <w:color w:val="000000"/>
                      <w:szCs w:val="21"/>
                      <w:lang w:val="en-US" w:eastAsia="zh-CN"/>
                    </w:rPr>
                    <w:t>2</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1D581">
                  <w:pPr>
                    <w:tabs>
                      <w:tab w:val="left" w:pos="1215"/>
                    </w:tabs>
                    <w:adjustRightInd w:val="0"/>
                    <w:snapToGrid w:val="0"/>
                    <w:jc w:val="center"/>
                    <w:rPr>
                      <w:rFonts w:ascii="Times New Roman" w:hAnsi="Times New Roman"/>
                      <w:bCs/>
                      <w:color w:val="000000"/>
                      <w:szCs w:val="21"/>
                    </w:rPr>
                  </w:pPr>
                  <w:r>
                    <w:rPr>
                      <w:rFonts w:ascii="Times New Roman" w:hAnsi="Times New Roman"/>
                      <w:bCs/>
                      <w:color w:val="000000"/>
                      <w:szCs w:val="21"/>
                    </w:rPr>
                    <w:t>颗粒物</w:t>
                  </w:r>
                </w:p>
              </w:tc>
              <w:tc>
                <w:tcPr>
                  <w:tcW w:w="1244" w:type="pct"/>
                  <w:vMerge w:val="continue"/>
                  <w:tcBorders>
                    <w:left w:val="single" w:color="000000" w:sz="4" w:space="0"/>
                    <w:right w:val="single" w:color="000000" w:sz="4" w:space="0"/>
                  </w:tcBorders>
                  <w:shd w:val="clear" w:color="auto" w:fill="auto"/>
                  <w:vAlign w:val="center"/>
                </w:tcPr>
                <w:p w14:paraId="48B46BE1">
                  <w:pPr>
                    <w:tabs>
                      <w:tab w:val="left" w:pos="1215"/>
                    </w:tabs>
                    <w:adjustRightInd w:val="0"/>
                    <w:snapToGrid w:val="0"/>
                    <w:jc w:val="center"/>
                    <w:rPr>
                      <w:rFonts w:ascii="Times New Roman" w:hAnsi="Times New Roman" w:eastAsia="Times New Roman"/>
                      <w:bCs/>
                      <w:color w:val="000000"/>
                      <w:szCs w:val="21"/>
                    </w:rPr>
                  </w:pPr>
                </w:p>
              </w:tc>
            </w:tr>
            <w:tr w14:paraId="1A704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81" w:type="pct"/>
                  <w:vMerge w:val="continue"/>
                  <w:tcBorders>
                    <w:left w:val="single" w:color="000000" w:sz="4" w:space="0"/>
                    <w:bottom w:val="single" w:color="000000" w:sz="4" w:space="0"/>
                    <w:right w:val="single" w:color="000000" w:sz="4" w:space="0"/>
                  </w:tcBorders>
                  <w:shd w:val="clear" w:color="auto" w:fill="auto"/>
                  <w:vAlign w:val="center"/>
                </w:tcPr>
                <w:p w14:paraId="5F38A375">
                  <w:pPr>
                    <w:tabs>
                      <w:tab w:val="left" w:pos="1215"/>
                    </w:tabs>
                    <w:adjustRightInd w:val="0"/>
                    <w:snapToGrid w:val="0"/>
                    <w:jc w:val="center"/>
                    <w:rPr>
                      <w:rFonts w:ascii="Times New Roman" w:hAnsi="Times New Roman" w:eastAsia="Times New Roman"/>
                      <w:bCs/>
                      <w:color w:val="000000"/>
                      <w:szCs w:val="21"/>
                    </w:rPr>
                  </w:pP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C5A9D">
                  <w:pPr>
                    <w:tabs>
                      <w:tab w:val="left" w:pos="1215"/>
                    </w:tabs>
                    <w:adjustRightInd w:val="0"/>
                    <w:snapToGrid w:val="0"/>
                    <w:jc w:val="center"/>
                    <w:rPr>
                      <w:rFonts w:hint="default" w:ascii="Times New Roman" w:hAnsi="Times New Roman" w:eastAsia="等线"/>
                      <w:bCs/>
                      <w:color w:val="000000"/>
                      <w:szCs w:val="21"/>
                      <w:lang w:val="en-US" w:eastAsia="zh-CN"/>
                    </w:rPr>
                  </w:pPr>
                  <w:r>
                    <w:rPr>
                      <w:rFonts w:hint="eastAsia" w:eastAsia="等线"/>
                      <w:bCs/>
                      <w:color w:val="000000"/>
                      <w:szCs w:val="21"/>
                      <w:lang w:val="en-US" w:eastAsia="zh-CN"/>
                    </w:rPr>
                    <w:t>DA003</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EB672">
                  <w:pPr>
                    <w:tabs>
                      <w:tab w:val="left" w:pos="1215"/>
                    </w:tabs>
                    <w:adjustRightInd w:val="0"/>
                    <w:snapToGrid w:val="0"/>
                    <w:jc w:val="center"/>
                    <w:rPr>
                      <w:rFonts w:ascii="Times New Roman" w:hAnsi="Times New Roman"/>
                      <w:bCs/>
                      <w:color w:val="000000"/>
                      <w:szCs w:val="21"/>
                    </w:rPr>
                  </w:pPr>
                  <w:r>
                    <w:rPr>
                      <w:rFonts w:ascii="Times New Roman" w:hAnsi="Times New Roman"/>
                      <w:bCs/>
                      <w:color w:val="000000"/>
                      <w:szCs w:val="21"/>
                    </w:rPr>
                    <w:t>颗粒物、非甲烷总烃</w:t>
                  </w:r>
                </w:p>
              </w:tc>
              <w:tc>
                <w:tcPr>
                  <w:tcW w:w="1244" w:type="pct"/>
                  <w:vMerge w:val="continue"/>
                  <w:tcBorders>
                    <w:left w:val="single" w:color="000000" w:sz="4" w:space="0"/>
                    <w:bottom w:val="single" w:color="000000" w:sz="4" w:space="0"/>
                    <w:right w:val="single" w:color="000000" w:sz="4" w:space="0"/>
                  </w:tcBorders>
                  <w:shd w:val="clear" w:color="auto" w:fill="auto"/>
                  <w:vAlign w:val="center"/>
                </w:tcPr>
                <w:p w14:paraId="4879BEDD">
                  <w:pPr>
                    <w:tabs>
                      <w:tab w:val="left" w:pos="1215"/>
                    </w:tabs>
                    <w:adjustRightInd w:val="0"/>
                    <w:snapToGrid w:val="0"/>
                    <w:jc w:val="center"/>
                    <w:rPr>
                      <w:rFonts w:ascii="Times New Roman" w:hAnsi="Times New Roman" w:eastAsia="Times New Roman"/>
                      <w:bCs/>
                      <w:color w:val="000000"/>
                      <w:szCs w:val="21"/>
                    </w:rPr>
                  </w:pPr>
                </w:p>
              </w:tc>
            </w:tr>
            <w:tr w14:paraId="73CFB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D1633">
                  <w:pPr>
                    <w:tabs>
                      <w:tab w:val="left" w:pos="1215"/>
                    </w:tabs>
                    <w:adjustRightInd w:val="0"/>
                    <w:snapToGrid w:val="0"/>
                    <w:jc w:val="center"/>
                    <w:rPr>
                      <w:rFonts w:ascii="Times New Roman" w:hAnsi="Times New Roman" w:eastAsia="Times New Roman"/>
                      <w:bCs/>
                      <w:color w:val="000000"/>
                      <w:szCs w:val="21"/>
                    </w:rPr>
                  </w:pPr>
                  <w:r>
                    <w:rPr>
                      <w:rFonts w:ascii="Times New Roman" w:hAnsi="Times New Roman"/>
                      <w:bCs/>
                      <w:color w:val="000000"/>
                      <w:szCs w:val="21"/>
                    </w:rPr>
                    <w:t>无组织</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45F68">
                  <w:pPr>
                    <w:tabs>
                      <w:tab w:val="left" w:pos="1215"/>
                    </w:tabs>
                    <w:adjustRightInd w:val="0"/>
                    <w:snapToGrid w:val="0"/>
                    <w:jc w:val="center"/>
                    <w:rPr>
                      <w:rFonts w:ascii="Times New Roman" w:hAnsi="Times New Roman" w:eastAsia="Times New Roman"/>
                      <w:bCs/>
                      <w:color w:val="000000"/>
                      <w:szCs w:val="21"/>
                    </w:rPr>
                  </w:pPr>
                  <w:r>
                    <w:rPr>
                      <w:rFonts w:ascii="Times New Roman" w:hAnsi="Times New Roman"/>
                      <w:bCs/>
                      <w:color w:val="000000"/>
                      <w:szCs w:val="21"/>
                    </w:rPr>
                    <w:t>厂界</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08A8B">
                  <w:pPr>
                    <w:tabs>
                      <w:tab w:val="left" w:pos="1215"/>
                    </w:tabs>
                    <w:adjustRightInd w:val="0"/>
                    <w:snapToGrid w:val="0"/>
                    <w:jc w:val="center"/>
                    <w:rPr>
                      <w:rFonts w:ascii="Times New Roman" w:hAnsi="Times New Roman" w:eastAsia="Times New Roman"/>
                      <w:bCs/>
                      <w:color w:val="000000"/>
                      <w:szCs w:val="21"/>
                    </w:rPr>
                  </w:pPr>
                  <w:r>
                    <w:rPr>
                      <w:rFonts w:ascii="Times New Roman" w:hAnsi="Times New Roman"/>
                      <w:bCs/>
                      <w:color w:val="000000"/>
                      <w:szCs w:val="21"/>
                    </w:rPr>
                    <w:t>非甲烷总烃、颗粒物</w:t>
                  </w:r>
                </w:p>
              </w:tc>
              <w:tc>
                <w:tcPr>
                  <w:tcW w:w="1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041EC">
                  <w:pPr>
                    <w:tabs>
                      <w:tab w:val="left" w:pos="1215"/>
                    </w:tabs>
                    <w:adjustRightInd w:val="0"/>
                    <w:snapToGrid w:val="0"/>
                    <w:jc w:val="center"/>
                    <w:rPr>
                      <w:rFonts w:ascii="Times New Roman" w:hAnsi="Times New Roman" w:eastAsia="Times New Roman"/>
                      <w:bCs/>
                      <w:color w:val="000000"/>
                      <w:szCs w:val="21"/>
                    </w:rPr>
                  </w:pPr>
                  <w:r>
                    <w:rPr>
                      <w:rFonts w:ascii="Times New Roman" w:hAnsi="Times New Roman" w:eastAsia="Times New Roman"/>
                      <w:bCs/>
                      <w:color w:val="000000"/>
                      <w:szCs w:val="21"/>
                    </w:rPr>
                    <w:t>1</w:t>
                  </w:r>
                  <w:r>
                    <w:rPr>
                      <w:rFonts w:ascii="Times New Roman" w:hAnsi="Times New Roman"/>
                      <w:bCs/>
                      <w:color w:val="000000"/>
                      <w:szCs w:val="21"/>
                    </w:rPr>
                    <w:t>次</w:t>
                  </w:r>
                  <w:r>
                    <w:rPr>
                      <w:rFonts w:ascii="Times New Roman" w:hAnsi="Times New Roman" w:eastAsia="Times New Roman"/>
                      <w:bCs/>
                      <w:color w:val="000000"/>
                      <w:szCs w:val="21"/>
                    </w:rPr>
                    <w:t>/</w:t>
                  </w:r>
                  <w:r>
                    <w:rPr>
                      <w:rFonts w:ascii="Times New Roman" w:hAnsi="Times New Roman"/>
                      <w:bCs/>
                      <w:color w:val="000000"/>
                      <w:szCs w:val="21"/>
                    </w:rPr>
                    <w:t>半年</w:t>
                  </w:r>
                </w:p>
              </w:tc>
            </w:tr>
            <w:tr w14:paraId="29841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332C0">
                  <w:pPr>
                    <w:tabs>
                      <w:tab w:val="left" w:pos="1215"/>
                    </w:tabs>
                    <w:adjustRightInd w:val="0"/>
                    <w:snapToGrid w:val="0"/>
                    <w:jc w:val="center"/>
                    <w:rPr>
                      <w:rFonts w:ascii="Times New Roman" w:hAnsi="Times New Roman" w:eastAsia="Times New Roman"/>
                      <w:bCs/>
                      <w:color w:val="000000"/>
                      <w:szCs w:val="21"/>
                    </w:rPr>
                  </w:pP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51D46">
                  <w:pPr>
                    <w:tabs>
                      <w:tab w:val="left" w:pos="1215"/>
                    </w:tabs>
                    <w:adjustRightInd w:val="0"/>
                    <w:snapToGrid w:val="0"/>
                    <w:jc w:val="center"/>
                    <w:rPr>
                      <w:rFonts w:ascii="Times New Roman" w:hAnsi="Times New Roman" w:eastAsia="Times New Roman"/>
                      <w:bCs/>
                      <w:color w:val="000000"/>
                      <w:szCs w:val="21"/>
                    </w:rPr>
                  </w:pPr>
                  <w:r>
                    <w:rPr>
                      <w:rFonts w:ascii="Times New Roman" w:hAnsi="Times New Roman"/>
                      <w:bCs/>
                      <w:color w:val="000000"/>
                      <w:szCs w:val="21"/>
                    </w:rPr>
                    <w:t>厂房外</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6E227">
                  <w:pPr>
                    <w:tabs>
                      <w:tab w:val="left" w:pos="1215"/>
                    </w:tabs>
                    <w:adjustRightInd w:val="0"/>
                    <w:snapToGrid w:val="0"/>
                    <w:jc w:val="center"/>
                    <w:rPr>
                      <w:rFonts w:ascii="Times New Roman" w:hAnsi="Times New Roman" w:eastAsia="Times New Roman"/>
                      <w:bCs/>
                      <w:color w:val="000000"/>
                      <w:szCs w:val="21"/>
                    </w:rPr>
                  </w:pPr>
                  <w:r>
                    <w:rPr>
                      <w:rFonts w:ascii="Times New Roman" w:hAnsi="Times New Roman"/>
                      <w:bCs/>
                      <w:color w:val="000000"/>
                      <w:szCs w:val="21"/>
                    </w:rPr>
                    <w:t>非甲烷总烃</w:t>
                  </w:r>
                </w:p>
              </w:tc>
              <w:tc>
                <w:tcPr>
                  <w:tcW w:w="1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B848">
                  <w:pPr>
                    <w:tabs>
                      <w:tab w:val="left" w:pos="1215"/>
                    </w:tabs>
                    <w:adjustRightInd w:val="0"/>
                    <w:snapToGrid w:val="0"/>
                    <w:jc w:val="center"/>
                    <w:rPr>
                      <w:rFonts w:ascii="Times New Roman" w:hAnsi="Times New Roman" w:eastAsia="Times New Roman"/>
                      <w:bCs/>
                      <w:color w:val="000000"/>
                      <w:szCs w:val="21"/>
                    </w:rPr>
                  </w:pPr>
                  <w:r>
                    <w:rPr>
                      <w:rFonts w:ascii="Times New Roman" w:hAnsi="Times New Roman" w:eastAsia="Times New Roman"/>
                      <w:bCs/>
                      <w:color w:val="000000"/>
                      <w:szCs w:val="21"/>
                    </w:rPr>
                    <w:t>1</w:t>
                  </w:r>
                  <w:r>
                    <w:rPr>
                      <w:rFonts w:ascii="Times New Roman" w:hAnsi="Times New Roman"/>
                      <w:bCs/>
                      <w:color w:val="000000"/>
                      <w:szCs w:val="21"/>
                    </w:rPr>
                    <w:t>次</w:t>
                  </w:r>
                  <w:r>
                    <w:rPr>
                      <w:rFonts w:ascii="Times New Roman" w:hAnsi="Times New Roman" w:eastAsia="Times New Roman"/>
                      <w:bCs/>
                      <w:color w:val="000000"/>
                      <w:szCs w:val="21"/>
                    </w:rPr>
                    <w:t>/</w:t>
                  </w:r>
                  <w:r>
                    <w:rPr>
                      <w:rFonts w:ascii="Times New Roman" w:hAnsi="Times New Roman"/>
                      <w:bCs/>
                      <w:color w:val="000000"/>
                      <w:szCs w:val="21"/>
                    </w:rPr>
                    <w:t>半年</w:t>
                  </w:r>
                </w:p>
              </w:tc>
            </w:tr>
          </w:tbl>
          <w:p w14:paraId="4200A0B4">
            <w:pPr>
              <w:spacing w:line="360" w:lineRule="auto"/>
              <w:jc w:val="left"/>
              <w:rPr>
                <w:rFonts w:hint="default" w:ascii="Times New Roman" w:hAnsi="Times New Roman" w:cs="Times New Roman"/>
                <w:b/>
                <w:bCs w:val="0"/>
                <w:color w:val="auto"/>
                <w:sz w:val="24"/>
              </w:rPr>
            </w:pPr>
            <w:r>
              <w:rPr>
                <w:rStyle w:val="60"/>
                <w:rFonts w:hint="default" w:ascii="Times New Roman" w:hAnsi="Times New Roman" w:cs="Times New Roman"/>
                <w:b/>
                <w:bCs w:val="0"/>
                <w:color w:val="auto"/>
              </w:rPr>
              <w:t>4.4</w:t>
            </w:r>
            <w:r>
              <w:rPr>
                <w:rStyle w:val="60"/>
                <w:rFonts w:hint="default" w:ascii="Times New Roman" w:hAnsi="Times New Roman" w:cs="Times New Roman"/>
                <w:b/>
                <w:bCs w:val="0"/>
                <w:color w:val="auto"/>
                <w:highlight w:val="none"/>
              </w:rPr>
              <w:t>声环境影响及保护措施</w:t>
            </w:r>
          </w:p>
          <w:p w14:paraId="082EB5F2">
            <w:pPr>
              <w:spacing w:line="360" w:lineRule="auto"/>
              <w:ind w:firstLine="480" w:firstLineChars="200"/>
              <w:jc w:val="left"/>
              <w:rPr>
                <w:rFonts w:hint="default" w:ascii="Times New Roman" w:hAnsi="Times New Roman" w:cs="Times New Roman"/>
                <w:color w:val="auto"/>
                <w:sz w:val="24"/>
              </w:rPr>
            </w:pPr>
            <w:r>
              <w:rPr>
                <w:rStyle w:val="60"/>
                <w:rFonts w:hint="default" w:ascii="Times New Roman" w:hAnsi="Times New Roman" w:cs="Times New Roman"/>
                <w:b w:val="0"/>
                <w:bCs/>
                <w:color w:val="auto"/>
              </w:rPr>
              <w:t>4.4.1噪声源强</w:t>
            </w:r>
          </w:p>
          <w:p w14:paraId="6288368B">
            <w:pPr>
              <w:tabs>
                <w:tab w:val="left" w:pos="1215"/>
              </w:tabs>
              <w:adjustRightInd w:val="0"/>
              <w:snapToGrid w:val="0"/>
              <w:spacing w:line="360" w:lineRule="auto"/>
              <w:ind w:firstLine="480" w:firstLineChars="200"/>
              <w:jc w:val="left"/>
              <w:rPr>
                <w:rFonts w:ascii="Times New Roman" w:hAnsi="Times New Roman"/>
                <w:kern w:val="28"/>
                <w:sz w:val="24"/>
              </w:rPr>
            </w:pPr>
            <w:bookmarkStart w:id="24" w:name="_Hlk525050712"/>
            <w:r>
              <w:rPr>
                <w:rFonts w:ascii="Times New Roman" w:hAnsi="Times New Roman"/>
                <w:kern w:val="28"/>
                <w:sz w:val="24"/>
              </w:rPr>
              <w:t>本项目噪声主要为风机等运行的噪声，噪声源强一般为50～85dB（A）。各噪声源的排放特征及处置措施具体见下表。</w:t>
            </w:r>
          </w:p>
          <w:p w14:paraId="23DEFD43">
            <w:pPr>
              <w:pStyle w:val="83"/>
              <w:spacing w:before="24" w:after="24"/>
              <w:ind w:left="288"/>
              <w:rPr>
                <w:rFonts w:hint="default" w:ascii="Times New Roman" w:hAnsi="Times New Roman"/>
                <w:kern w:val="28"/>
                <w:sz w:val="24"/>
                <w:lang w:val="en-GB"/>
              </w:rPr>
            </w:pPr>
            <w:r>
              <w:rPr>
                <w:rFonts w:cs="Times New Roman"/>
                <w:kern w:val="2"/>
                <w:sz w:val="24"/>
                <w:szCs w:val="24"/>
              </w:rPr>
              <w:t>表4-</w:t>
            </w:r>
            <w:r>
              <w:rPr>
                <w:rFonts w:hint="eastAsia" w:cs="Times New Roman"/>
                <w:kern w:val="2"/>
                <w:sz w:val="24"/>
                <w:szCs w:val="24"/>
                <w:lang w:val="en-US" w:eastAsia="zh-CN"/>
              </w:rPr>
              <w:t>9</w:t>
            </w:r>
            <w:r>
              <w:rPr>
                <w:rFonts w:cs="Times New Roman"/>
                <w:kern w:val="2"/>
                <w:sz w:val="24"/>
                <w:szCs w:val="24"/>
              </w:rPr>
              <w:t>拟建项目室外噪声源及降噪措施一览表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206"/>
              <w:gridCol w:w="725"/>
              <w:gridCol w:w="725"/>
              <w:gridCol w:w="858"/>
              <w:gridCol w:w="725"/>
              <w:gridCol w:w="717"/>
              <w:gridCol w:w="1265"/>
              <w:gridCol w:w="1331"/>
              <w:gridCol w:w="878"/>
            </w:tblGrid>
            <w:tr w14:paraId="71E0E8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715" w:type="pct"/>
                  <w:vMerge w:val="restart"/>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4517706B">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声源名称</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EDE878">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型号</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858D35">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数量</w:t>
                  </w:r>
                </w:p>
              </w:tc>
              <w:tc>
                <w:tcPr>
                  <w:tcW w:w="13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DB68B">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空间相对位置/m</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7E858">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声源源强</w:t>
                  </w:r>
                </w:p>
              </w:tc>
              <w:tc>
                <w:tcPr>
                  <w:tcW w:w="7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852B4">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声源控制措施</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6DF45D">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运行时段</w:t>
                  </w:r>
                </w:p>
              </w:tc>
            </w:tr>
            <w:tr w14:paraId="36949D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7FAB7">
                  <w:pPr>
                    <w:adjustRightInd w:val="0"/>
                    <w:snapToGrid w:val="0"/>
                    <w:jc w:val="center"/>
                    <w:rPr>
                      <w:rFonts w:ascii="Times New Roman" w:hAnsi="Times New Roman"/>
                      <w:color w:val="000000"/>
                      <w:spacing w:val="-10"/>
                      <w:szCs w:val="21"/>
                    </w:rPr>
                  </w:pP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B05AA">
                  <w:pPr>
                    <w:adjustRightInd w:val="0"/>
                    <w:snapToGrid w:val="0"/>
                    <w:jc w:val="center"/>
                    <w:rPr>
                      <w:rFonts w:ascii="Times New Roman" w:hAnsi="Times New Roman"/>
                      <w:color w:val="000000"/>
                      <w:spacing w:val="-10"/>
                      <w:szCs w:val="21"/>
                    </w:rPr>
                  </w:pP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668C8">
                  <w:pPr>
                    <w:adjustRightInd w:val="0"/>
                    <w:snapToGrid w:val="0"/>
                    <w:jc w:val="center"/>
                    <w:rPr>
                      <w:rFonts w:ascii="Times New Roman" w:hAnsi="Times New Roman"/>
                      <w:color w:val="000000"/>
                      <w:spacing w:val="-10"/>
                      <w:szCs w:val="21"/>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B24A9">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X</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DBAA0">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Y</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5366E">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Z</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49E4C">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声功率级/dB（A）</w:t>
                  </w:r>
                </w:p>
              </w:tc>
              <w:tc>
                <w:tcPr>
                  <w:tcW w:w="7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C1DC5">
                  <w:pPr>
                    <w:adjustRightInd w:val="0"/>
                    <w:snapToGrid w:val="0"/>
                    <w:jc w:val="center"/>
                    <w:rPr>
                      <w:rFonts w:ascii="Times New Roman" w:hAnsi="Times New Roman"/>
                      <w:color w:val="000000"/>
                      <w:spacing w:val="-10"/>
                      <w:szCs w:val="21"/>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57625">
                  <w:pPr>
                    <w:adjustRightInd w:val="0"/>
                    <w:snapToGrid w:val="0"/>
                    <w:jc w:val="center"/>
                    <w:rPr>
                      <w:rFonts w:ascii="Times New Roman" w:hAnsi="Times New Roman"/>
                      <w:color w:val="000000"/>
                      <w:spacing w:val="-10"/>
                      <w:szCs w:val="21"/>
                    </w:rPr>
                  </w:pPr>
                </w:p>
              </w:tc>
            </w:tr>
            <w:tr w14:paraId="0AB36E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9B692">
                  <w:pPr>
                    <w:adjustRightInd w:val="0"/>
                    <w:snapToGrid w:val="0"/>
                    <w:jc w:val="center"/>
                    <w:rPr>
                      <w:rFonts w:ascii="Times New Roman" w:hAnsi="Times New Roman"/>
                      <w:color w:val="000000"/>
                      <w:spacing w:val="-10"/>
                      <w:szCs w:val="21"/>
                    </w:rPr>
                  </w:pPr>
                  <w:bookmarkStart w:id="25" w:name="OLE_LINK5" w:colFirst="6" w:colLast="8"/>
                  <w:r>
                    <w:rPr>
                      <w:rFonts w:ascii="Times New Roman" w:hAnsi="Times New Roman"/>
                      <w:color w:val="000000"/>
                      <w:spacing w:val="-10"/>
                      <w:szCs w:val="21"/>
                    </w:rPr>
                    <w:t>风机</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7506A">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80BC0">
                  <w:pPr>
                    <w:adjustRightInd w:val="0"/>
                    <w:snapToGrid w:val="0"/>
                    <w:jc w:val="center"/>
                    <w:rPr>
                      <w:rFonts w:ascii="Times New Roman" w:hAnsi="Times New Roman"/>
                      <w:color w:val="000000"/>
                      <w:spacing w:val="-10"/>
                      <w:szCs w:val="21"/>
                    </w:rPr>
                  </w:pPr>
                  <w:r>
                    <w:rPr>
                      <w:rFonts w:hint="eastAsia" w:ascii="Times New Roman" w:hAnsi="Times New Roman"/>
                      <w:color w:val="000000"/>
                      <w:spacing w:val="-10"/>
                      <w:szCs w:val="21"/>
                    </w:rPr>
                    <w:t>1</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3AA4">
                  <w:pPr>
                    <w:keepNext w:val="0"/>
                    <w:keepLines w:val="0"/>
                    <w:widowControl/>
                    <w:suppressLineNumbers w:val="0"/>
                    <w:jc w:val="center"/>
                    <w:textAlignment w:val="center"/>
                    <w:rPr>
                      <w:rFonts w:hint="default" w:ascii="Times New Roman" w:hAnsi="Times New Roman" w:cs="Times New Roman"/>
                      <w:color w:val="000000"/>
                      <w:spacing w:val="-10"/>
                      <w:szCs w:val="21"/>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1BDC">
                  <w:pPr>
                    <w:keepNext w:val="0"/>
                    <w:keepLines w:val="0"/>
                    <w:widowControl/>
                    <w:suppressLineNumbers w:val="0"/>
                    <w:jc w:val="center"/>
                    <w:textAlignment w:val="center"/>
                    <w:rPr>
                      <w:rFonts w:hint="default" w:ascii="Times New Roman" w:hAnsi="Times New Roman" w:cs="Times New Roman"/>
                      <w:color w:val="000000"/>
                      <w:spacing w:val="-10"/>
                      <w:szCs w:val="21"/>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9FBF0">
                  <w:pPr>
                    <w:adjustRightInd w:val="0"/>
                    <w:snapToGrid w:val="0"/>
                    <w:jc w:val="center"/>
                    <w:rPr>
                      <w:rFonts w:hint="eastAsia" w:ascii="Times New Roman" w:hAnsi="Times New Roman" w:eastAsia="宋体"/>
                      <w:color w:val="000000"/>
                      <w:spacing w:val="-10"/>
                      <w:szCs w:val="21"/>
                      <w:lang w:eastAsia="zh-CN"/>
                    </w:rPr>
                  </w:pPr>
                  <w:r>
                    <w:rPr>
                      <w:rFonts w:hint="eastAsia"/>
                      <w:color w:val="000000"/>
                      <w:spacing w:val="-10"/>
                      <w:szCs w:val="21"/>
                      <w:lang w:eastAsia="zh-CN"/>
                    </w:rPr>
                    <w:t>1</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55D1A">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75~8</w:t>
                  </w:r>
                  <w:r>
                    <w:rPr>
                      <w:rFonts w:hint="eastAsia" w:ascii="Times New Roman" w:hAnsi="Times New Roman"/>
                      <w:color w:val="000000"/>
                      <w:spacing w:val="-10"/>
                      <w:szCs w:val="21"/>
                    </w:rPr>
                    <w:t>0</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4CD29">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基础减振、消声</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BA34E">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8小时</w:t>
                  </w:r>
                </w:p>
              </w:tc>
            </w:tr>
            <w:bookmarkEnd w:id="25"/>
            <w:tr w14:paraId="5BBCEC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D7B7">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风机</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F8CC6">
                  <w:pPr>
                    <w:adjustRightInd w:val="0"/>
                    <w:snapToGrid w:val="0"/>
                    <w:jc w:val="center"/>
                    <w:rPr>
                      <w:rFonts w:ascii="Times New Roman" w:hAnsi="Times New Roman"/>
                      <w:color w:val="000000"/>
                      <w:spacing w:val="-10"/>
                      <w:szCs w:val="21"/>
                    </w:rPr>
                  </w:pPr>
                  <w:r>
                    <w:rPr>
                      <w:rFonts w:hint="eastAsia" w:ascii="Times New Roman" w:hAnsi="Times New Roman"/>
                      <w:color w:val="000000"/>
                      <w:spacing w:val="-10"/>
                      <w:szCs w:val="21"/>
                    </w:rPr>
                    <w:t>/</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195FD">
                  <w:pPr>
                    <w:adjustRightInd w:val="0"/>
                    <w:snapToGrid w:val="0"/>
                    <w:jc w:val="center"/>
                    <w:rPr>
                      <w:rFonts w:ascii="Times New Roman" w:hAnsi="Times New Roman"/>
                      <w:color w:val="000000"/>
                      <w:spacing w:val="-10"/>
                      <w:szCs w:val="21"/>
                    </w:rPr>
                  </w:pPr>
                  <w:r>
                    <w:rPr>
                      <w:rFonts w:hint="eastAsia" w:ascii="Times New Roman" w:hAnsi="Times New Roman"/>
                      <w:color w:val="000000"/>
                      <w:spacing w:val="-10"/>
                      <w:szCs w:val="21"/>
                    </w:rPr>
                    <w:t>1</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40F2">
                  <w:pPr>
                    <w:keepNext w:val="0"/>
                    <w:keepLines w:val="0"/>
                    <w:widowControl/>
                    <w:suppressLineNumbers w:val="0"/>
                    <w:jc w:val="center"/>
                    <w:textAlignment w:val="center"/>
                    <w:rPr>
                      <w:rFonts w:hint="default" w:ascii="Times New Roman" w:hAnsi="Times New Roman" w:cs="Times New Roman"/>
                      <w:color w:val="000000"/>
                      <w:spacing w:val="-10"/>
                      <w:szCs w:val="21"/>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3D8A">
                  <w:pPr>
                    <w:keepNext w:val="0"/>
                    <w:keepLines w:val="0"/>
                    <w:widowControl/>
                    <w:suppressLineNumbers w:val="0"/>
                    <w:jc w:val="center"/>
                    <w:textAlignment w:val="center"/>
                    <w:rPr>
                      <w:rFonts w:hint="default" w:ascii="Times New Roman" w:hAnsi="Times New Roman" w:cs="Times New Roman"/>
                      <w:color w:val="000000"/>
                      <w:spacing w:val="-10"/>
                      <w:szCs w:val="21"/>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A498">
                  <w:pPr>
                    <w:adjustRightInd w:val="0"/>
                    <w:snapToGrid w:val="0"/>
                    <w:jc w:val="center"/>
                    <w:rPr>
                      <w:rFonts w:hint="eastAsia" w:ascii="Times New Roman" w:hAnsi="Times New Roman" w:eastAsia="宋体"/>
                      <w:color w:val="000000"/>
                      <w:spacing w:val="-10"/>
                      <w:szCs w:val="21"/>
                      <w:lang w:eastAsia="zh-CN"/>
                    </w:rPr>
                  </w:pPr>
                  <w:r>
                    <w:rPr>
                      <w:rFonts w:hint="eastAsia"/>
                      <w:color w:val="000000"/>
                      <w:spacing w:val="-10"/>
                      <w:szCs w:val="21"/>
                      <w:lang w:val="en-US" w:eastAsia="zh-CN"/>
                    </w:rPr>
                    <w:t>1</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815C8">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75~8</w:t>
                  </w:r>
                  <w:r>
                    <w:rPr>
                      <w:rFonts w:hint="eastAsia" w:ascii="Times New Roman" w:hAnsi="Times New Roman"/>
                      <w:color w:val="000000"/>
                      <w:spacing w:val="-10"/>
                      <w:szCs w:val="21"/>
                    </w:rPr>
                    <w:t>0</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7C54D">
                  <w:pPr>
                    <w:adjustRightInd w:val="0"/>
                    <w:snapToGrid w:val="0"/>
                    <w:jc w:val="center"/>
                    <w:rPr>
                      <w:rFonts w:ascii="Times New Roman" w:hAnsi="Times New Roman"/>
                      <w:color w:val="000000"/>
                      <w:spacing w:val="-10"/>
                      <w:szCs w:val="21"/>
                      <w:lang w:val="zh-CN"/>
                    </w:rPr>
                  </w:pPr>
                  <w:r>
                    <w:rPr>
                      <w:rFonts w:ascii="Times New Roman" w:hAnsi="Times New Roman"/>
                      <w:color w:val="000000"/>
                      <w:spacing w:val="-10"/>
                      <w:szCs w:val="21"/>
                    </w:rPr>
                    <w:t>基础减振、消声</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DBF7">
                  <w:pPr>
                    <w:adjustRightInd w:val="0"/>
                    <w:snapToGrid w:val="0"/>
                    <w:jc w:val="center"/>
                    <w:rPr>
                      <w:rFonts w:ascii="Times New Roman" w:hAnsi="Times New Roman"/>
                      <w:color w:val="000000"/>
                      <w:spacing w:val="-10"/>
                      <w:szCs w:val="21"/>
                      <w:lang w:val="zh-CN"/>
                    </w:rPr>
                  </w:pPr>
                  <w:r>
                    <w:rPr>
                      <w:rFonts w:ascii="Times New Roman" w:hAnsi="Times New Roman"/>
                      <w:color w:val="000000"/>
                      <w:spacing w:val="-10"/>
                      <w:szCs w:val="21"/>
                    </w:rPr>
                    <w:t>8小时</w:t>
                  </w:r>
                </w:p>
              </w:tc>
            </w:tr>
            <w:tr w14:paraId="0B6BC3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2F146">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风机</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45D5D">
                  <w:pPr>
                    <w:adjustRightInd w:val="0"/>
                    <w:snapToGrid w:val="0"/>
                    <w:jc w:val="center"/>
                    <w:rPr>
                      <w:rFonts w:ascii="Times New Roman" w:hAnsi="Times New Roman"/>
                      <w:color w:val="000000"/>
                      <w:spacing w:val="-10"/>
                      <w:szCs w:val="21"/>
                    </w:rPr>
                  </w:pPr>
                  <w:r>
                    <w:rPr>
                      <w:rFonts w:hint="eastAsia" w:ascii="Times New Roman" w:hAnsi="Times New Roman"/>
                      <w:color w:val="000000"/>
                      <w:spacing w:val="-10"/>
                      <w:szCs w:val="21"/>
                    </w:rPr>
                    <w:t>/</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BBD17">
                  <w:pPr>
                    <w:adjustRightInd w:val="0"/>
                    <w:snapToGrid w:val="0"/>
                    <w:jc w:val="center"/>
                    <w:rPr>
                      <w:rFonts w:ascii="Times New Roman" w:hAnsi="Times New Roman"/>
                      <w:color w:val="000000"/>
                      <w:spacing w:val="-10"/>
                      <w:szCs w:val="21"/>
                    </w:rPr>
                  </w:pPr>
                  <w:r>
                    <w:rPr>
                      <w:rFonts w:hint="eastAsia" w:ascii="Times New Roman" w:hAnsi="Times New Roman"/>
                      <w:color w:val="000000"/>
                      <w:spacing w:val="-10"/>
                      <w:szCs w:val="21"/>
                    </w:rPr>
                    <w:t>1</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78BA">
                  <w:pPr>
                    <w:keepNext w:val="0"/>
                    <w:keepLines w:val="0"/>
                    <w:widowControl/>
                    <w:suppressLineNumbers w:val="0"/>
                    <w:jc w:val="center"/>
                    <w:textAlignment w:val="center"/>
                    <w:rPr>
                      <w:rFonts w:hint="default" w:ascii="Times New Roman" w:hAnsi="Times New Roman" w:cs="Times New Roman"/>
                      <w:color w:val="000000"/>
                      <w:spacing w:val="-10"/>
                      <w:szCs w:val="21"/>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AA18">
                  <w:pPr>
                    <w:keepNext w:val="0"/>
                    <w:keepLines w:val="0"/>
                    <w:widowControl/>
                    <w:suppressLineNumbers w:val="0"/>
                    <w:jc w:val="center"/>
                    <w:textAlignment w:val="center"/>
                    <w:rPr>
                      <w:rFonts w:hint="default" w:ascii="Times New Roman" w:hAnsi="Times New Roman" w:cs="Times New Roman"/>
                      <w:color w:val="000000"/>
                      <w:spacing w:val="-10"/>
                      <w:szCs w:val="21"/>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A1F15">
                  <w:pPr>
                    <w:adjustRightInd w:val="0"/>
                    <w:snapToGrid w:val="0"/>
                    <w:jc w:val="center"/>
                    <w:rPr>
                      <w:rFonts w:hint="eastAsia" w:ascii="Times New Roman" w:hAnsi="Times New Roman" w:eastAsia="宋体"/>
                      <w:color w:val="000000"/>
                      <w:spacing w:val="-10"/>
                      <w:szCs w:val="21"/>
                      <w:lang w:val="en-US" w:eastAsia="zh-CN"/>
                    </w:rPr>
                  </w:pPr>
                  <w:r>
                    <w:rPr>
                      <w:rFonts w:hint="eastAsia"/>
                      <w:color w:val="000000"/>
                      <w:spacing w:val="-10"/>
                      <w:szCs w:val="21"/>
                      <w:lang w:val="en-US" w:eastAsia="zh-CN"/>
                    </w:rPr>
                    <w:t>1</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EC89C">
                  <w:pPr>
                    <w:adjustRightInd w:val="0"/>
                    <w:snapToGrid w:val="0"/>
                    <w:jc w:val="center"/>
                    <w:rPr>
                      <w:rFonts w:hint="default" w:ascii="Times New Roman" w:hAnsi="Times New Roman" w:eastAsia="宋体"/>
                      <w:color w:val="000000"/>
                      <w:spacing w:val="-10"/>
                      <w:szCs w:val="21"/>
                      <w:lang w:val="en-US" w:eastAsia="zh-CN"/>
                    </w:rPr>
                  </w:pPr>
                  <w:r>
                    <w:rPr>
                      <w:rFonts w:ascii="Times New Roman" w:hAnsi="Times New Roman"/>
                      <w:color w:val="000000"/>
                      <w:spacing w:val="-10"/>
                      <w:szCs w:val="21"/>
                    </w:rPr>
                    <w:t>75~</w:t>
                  </w:r>
                  <w:r>
                    <w:rPr>
                      <w:rFonts w:hint="eastAsia"/>
                      <w:color w:val="000000"/>
                      <w:spacing w:val="-10"/>
                      <w:szCs w:val="21"/>
                      <w:lang w:val="en-US" w:eastAsia="zh-CN"/>
                    </w:rPr>
                    <w:t>80</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EA5E7">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基础减振、消声</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FD4DC">
                  <w:pPr>
                    <w:adjustRightInd w:val="0"/>
                    <w:snapToGrid w:val="0"/>
                    <w:jc w:val="center"/>
                    <w:rPr>
                      <w:rFonts w:ascii="Times New Roman" w:hAnsi="Times New Roman"/>
                      <w:color w:val="000000"/>
                      <w:spacing w:val="-10"/>
                      <w:szCs w:val="21"/>
                    </w:rPr>
                  </w:pPr>
                  <w:r>
                    <w:rPr>
                      <w:rFonts w:ascii="Times New Roman" w:hAnsi="Times New Roman"/>
                      <w:color w:val="000000"/>
                      <w:spacing w:val="-10"/>
                      <w:szCs w:val="21"/>
                    </w:rPr>
                    <w:t>8小时</w:t>
                  </w:r>
                </w:p>
              </w:tc>
            </w:tr>
          </w:tbl>
          <w:p w14:paraId="18D825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highlight w:val="none"/>
              </w:rPr>
            </w:pPr>
            <w:r>
              <w:rPr>
                <w:sz w:val="24"/>
              </w:rPr>
              <w:t>以车间西南角作为坐标原点，东西向为X轴，南北向为Y轴，建立空间坐标系。</w:t>
            </w:r>
            <w:r>
              <w:rPr>
                <w:sz w:val="24"/>
                <w:highlight w:val="none"/>
              </w:rPr>
              <w:t>项目噪声源调查清单见下表：</w:t>
            </w:r>
          </w:p>
          <w:p w14:paraId="27FDBE75">
            <w:pPr>
              <w:pStyle w:val="3"/>
              <w:spacing w:before="0" w:after="0" w:line="240" w:lineRule="auto"/>
              <w:ind w:left="0" w:firstLine="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sz w:val="24"/>
                <w:szCs w:val="32"/>
                <w:highlight w:val="none"/>
                <w:lang w:val="en-GB" w:eastAsia="zh-CN"/>
              </w:rPr>
              <w:t>表</w:t>
            </w:r>
            <w:r>
              <w:rPr>
                <w:rFonts w:hint="default" w:ascii="Times New Roman" w:hAnsi="Times New Roman" w:eastAsia="宋体" w:cs="Times New Roman"/>
                <w:b/>
                <w:bCs/>
                <w:color w:val="auto"/>
                <w:sz w:val="24"/>
                <w:szCs w:val="32"/>
                <w:highlight w:val="none"/>
                <w:lang w:val="en-US" w:eastAsia="zh-CN"/>
              </w:rPr>
              <w:t>4-</w:t>
            </w:r>
            <w:r>
              <w:rPr>
                <w:rFonts w:hint="eastAsia" w:eastAsia="宋体" w:cs="Times New Roman"/>
                <w:b/>
                <w:bCs/>
                <w:color w:val="auto"/>
                <w:sz w:val="24"/>
                <w:szCs w:val="32"/>
                <w:highlight w:val="none"/>
                <w:lang w:val="en-US" w:eastAsia="zh-CN"/>
              </w:rPr>
              <w:t>10</w:t>
            </w:r>
            <w:r>
              <w:rPr>
                <w:rFonts w:hint="default" w:ascii="Times New Roman" w:hAnsi="Times New Roman" w:eastAsia="宋体" w:cs="Times New Roman"/>
                <w:b/>
                <w:bCs/>
                <w:color w:val="auto"/>
                <w:sz w:val="24"/>
                <w:szCs w:val="32"/>
                <w:highlight w:val="none"/>
                <w:lang w:val="en-GB"/>
              </w:rPr>
              <w:t>主要</w:t>
            </w:r>
            <w:r>
              <w:rPr>
                <w:rFonts w:hint="default" w:ascii="Times New Roman" w:hAnsi="Times New Roman" w:eastAsia="宋体" w:cs="Times New Roman"/>
                <w:b/>
                <w:bCs/>
                <w:color w:val="auto"/>
                <w:sz w:val="24"/>
                <w:szCs w:val="32"/>
                <w:highlight w:val="none"/>
                <w:lang w:val="en-GB" w:eastAsia="zh-CN"/>
              </w:rPr>
              <w:t>设备噪声源强调查清单</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3"/>
              <w:gridCol w:w="993"/>
              <w:gridCol w:w="801"/>
              <w:gridCol w:w="1243"/>
              <w:gridCol w:w="413"/>
              <w:gridCol w:w="415"/>
              <w:gridCol w:w="277"/>
              <w:gridCol w:w="828"/>
              <w:gridCol w:w="484"/>
              <w:gridCol w:w="836"/>
              <w:gridCol w:w="740"/>
              <w:gridCol w:w="812"/>
            </w:tblGrid>
            <w:tr w14:paraId="5FE2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vMerge w:val="restart"/>
                  <w:tcBorders>
                    <w:top w:val="single" w:color="auto" w:sz="4" w:space="0"/>
                    <w:left w:val="single" w:color="auto" w:sz="4" w:space="0"/>
                    <w:bottom w:val="single" w:color="auto" w:sz="4" w:space="0"/>
                    <w:right w:val="single" w:color="auto" w:sz="4" w:space="0"/>
                  </w:tcBorders>
                  <w:noWrap w:val="0"/>
                  <w:vAlign w:val="center"/>
                </w:tcPr>
                <w:p w14:paraId="2A35D92E">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eastAsia" w:eastAsia="宋体"/>
                      <w:b/>
                      <w:snapToGrid w:val="0"/>
                      <w:spacing w:val="10"/>
                      <w:sz w:val="21"/>
                      <w:szCs w:val="21"/>
                      <w:lang w:eastAsia="zh-CN"/>
                    </w:rPr>
                  </w:pPr>
                  <w:r>
                    <w:rPr>
                      <w:rFonts w:hint="eastAsia"/>
                      <w:b/>
                      <w:snapToGrid w:val="0"/>
                      <w:spacing w:val="10"/>
                      <w:sz w:val="21"/>
                      <w:szCs w:val="21"/>
                      <w:lang w:eastAsia="zh-CN"/>
                    </w:rPr>
                    <w:t>序号</w:t>
                  </w:r>
                </w:p>
              </w:tc>
              <w:tc>
                <w:tcPr>
                  <w:tcW w:w="589" w:type="pct"/>
                  <w:vMerge w:val="restart"/>
                  <w:tcBorders>
                    <w:top w:val="single" w:color="auto" w:sz="4" w:space="0"/>
                    <w:left w:val="nil"/>
                    <w:bottom w:val="single" w:color="auto" w:sz="4" w:space="0"/>
                    <w:right w:val="single" w:color="auto" w:sz="4" w:space="0"/>
                  </w:tcBorders>
                  <w:noWrap w:val="0"/>
                  <w:vAlign w:val="center"/>
                </w:tcPr>
                <w:p w14:paraId="696E727A">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eastAsia" w:eastAsia="宋体"/>
                      <w:b/>
                      <w:snapToGrid w:val="0"/>
                      <w:spacing w:val="10"/>
                      <w:sz w:val="21"/>
                      <w:szCs w:val="21"/>
                      <w:lang w:eastAsia="zh-CN"/>
                    </w:rPr>
                  </w:pPr>
                  <w:r>
                    <w:rPr>
                      <w:rFonts w:hint="eastAsia"/>
                      <w:b/>
                      <w:snapToGrid w:val="0"/>
                      <w:spacing w:val="10"/>
                      <w:sz w:val="21"/>
                      <w:szCs w:val="21"/>
                      <w:lang w:eastAsia="zh-CN"/>
                    </w:rPr>
                    <w:t>噪声源</w:t>
                  </w:r>
                </w:p>
              </w:tc>
              <w:tc>
                <w:tcPr>
                  <w:tcW w:w="475" w:type="pct"/>
                  <w:vMerge w:val="restart"/>
                  <w:tcBorders>
                    <w:top w:val="single" w:color="auto" w:sz="4" w:space="0"/>
                    <w:left w:val="nil"/>
                    <w:bottom w:val="single" w:color="auto" w:sz="4" w:space="0"/>
                    <w:right w:val="single" w:color="auto" w:sz="4" w:space="0"/>
                  </w:tcBorders>
                  <w:noWrap w:val="0"/>
                  <w:vAlign w:val="center"/>
                </w:tcPr>
                <w:p w14:paraId="4DD1CEC9">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单台设备声源源强dB（A）</w:t>
                  </w:r>
                </w:p>
              </w:tc>
              <w:tc>
                <w:tcPr>
                  <w:tcW w:w="737" w:type="pct"/>
                  <w:vMerge w:val="restart"/>
                  <w:tcBorders>
                    <w:top w:val="single" w:color="auto" w:sz="4" w:space="0"/>
                    <w:left w:val="nil"/>
                    <w:bottom w:val="single" w:color="auto" w:sz="4" w:space="0"/>
                    <w:right w:val="single" w:color="auto" w:sz="4" w:space="0"/>
                  </w:tcBorders>
                  <w:noWrap w:val="0"/>
                  <w:vAlign w:val="center"/>
                </w:tcPr>
                <w:p w14:paraId="1BCCD4EC">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声源控制措施</w:t>
                  </w:r>
                </w:p>
              </w:tc>
              <w:tc>
                <w:tcPr>
                  <w:tcW w:w="655" w:type="pct"/>
                  <w:gridSpan w:val="3"/>
                  <w:tcBorders>
                    <w:top w:val="single" w:color="auto" w:sz="4" w:space="0"/>
                    <w:left w:val="nil"/>
                    <w:bottom w:val="single" w:color="auto" w:sz="4" w:space="0"/>
                    <w:right w:val="single" w:color="auto" w:sz="4" w:space="0"/>
                  </w:tcBorders>
                  <w:noWrap w:val="0"/>
                  <w:vAlign w:val="center"/>
                </w:tcPr>
                <w:p w14:paraId="30AC3618">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空间相对位置</w:t>
                  </w:r>
                </w:p>
              </w:tc>
              <w:tc>
                <w:tcPr>
                  <w:tcW w:w="491" w:type="pct"/>
                  <w:vMerge w:val="restart"/>
                  <w:tcBorders>
                    <w:top w:val="single" w:color="auto" w:sz="4" w:space="0"/>
                    <w:left w:val="nil"/>
                    <w:bottom w:val="single" w:color="auto" w:sz="4" w:space="0"/>
                    <w:right w:val="single" w:color="auto" w:sz="4" w:space="0"/>
                  </w:tcBorders>
                  <w:noWrap w:val="0"/>
                  <w:vAlign w:val="center"/>
                </w:tcPr>
                <w:p w14:paraId="2DEF4F40">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室内边界声级/dB（A）</w:t>
                  </w:r>
                </w:p>
              </w:tc>
              <w:tc>
                <w:tcPr>
                  <w:tcW w:w="287" w:type="pct"/>
                  <w:vMerge w:val="restart"/>
                  <w:tcBorders>
                    <w:top w:val="single" w:color="auto" w:sz="4" w:space="0"/>
                    <w:left w:val="nil"/>
                    <w:bottom w:val="single" w:color="auto" w:sz="4" w:space="0"/>
                    <w:right w:val="single" w:color="auto" w:sz="4" w:space="0"/>
                  </w:tcBorders>
                  <w:noWrap w:val="0"/>
                  <w:vAlign w:val="center"/>
                </w:tcPr>
                <w:p w14:paraId="307455D8">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运行时段</w:t>
                  </w:r>
                </w:p>
              </w:tc>
              <w:tc>
                <w:tcPr>
                  <w:tcW w:w="496" w:type="pct"/>
                  <w:vMerge w:val="restart"/>
                  <w:tcBorders>
                    <w:top w:val="single" w:color="auto" w:sz="4" w:space="0"/>
                    <w:left w:val="nil"/>
                    <w:bottom w:val="single" w:color="auto" w:sz="4" w:space="0"/>
                    <w:right w:val="single" w:color="auto" w:sz="4" w:space="0"/>
                  </w:tcBorders>
                  <w:noWrap w:val="0"/>
                  <w:vAlign w:val="center"/>
                </w:tcPr>
                <w:p w14:paraId="4E2B1ADB">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建筑插入损失/dB（A）</w:t>
                  </w:r>
                </w:p>
              </w:tc>
              <w:tc>
                <w:tcPr>
                  <w:tcW w:w="921" w:type="pct"/>
                  <w:gridSpan w:val="2"/>
                  <w:tcBorders>
                    <w:top w:val="single" w:color="auto" w:sz="4" w:space="0"/>
                    <w:left w:val="nil"/>
                    <w:bottom w:val="nil"/>
                    <w:right w:val="single" w:color="auto" w:sz="4" w:space="0"/>
                  </w:tcBorders>
                  <w:noWrap w:val="0"/>
                  <w:vAlign w:val="center"/>
                </w:tcPr>
                <w:p w14:paraId="722F5787">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建筑物外噪声</w:t>
                  </w:r>
                </w:p>
              </w:tc>
            </w:tr>
            <w:tr w14:paraId="5A78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vMerge w:val="continue"/>
                  <w:tcBorders>
                    <w:top w:val="single" w:color="auto" w:sz="4" w:space="0"/>
                    <w:left w:val="single" w:color="auto" w:sz="4" w:space="0"/>
                    <w:bottom w:val="single" w:color="auto" w:sz="4" w:space="0"/>
                    <w:right w:val="single" w:color="auto" w:sz="4" w:space="0"/>
                  </w:tcBorders>
                  <w:noWrap w:val="0"/>
                  <w:vAlign w:val="center"/>
                </w:tcPr>
                <w:p w14:paraId="1BB64DCE">
                  <w:pPr>
                    <w:keepNext w:val="0"/>
                    <w:keepLines w:val="0"/>
                    <w:pageBreakBefore w:val="0"/>
                    <w:widowControl/>
                    <w:kinsoku/>
                    <w:wordWrap/>
                    <w:overflowPunct/>
                    <w:topLinePunct w:val="0"/>
                    <w:autoSpaceDE/>
                    <w:autoSpaceDN/>
                    <w:bidi w:val="0"/>
                    <w:adjustRightInd/>
                    <w:spacing w:line="240" w:lineRule="auto"/>
                    <w:ind w:right="0" w:firstLine="0"/>
                    <w:jc w:val="center"/>
                    <w:textAlignment w:val="auto"/>
                    <w:rPr>
                      <w:b/>
                      <w:bCs/>
                      <w:sz w:val="21"/>
                      <w:szCs w:val="21"/>
                    </w:rPr>
                  </w:pPr>
                </w:p>
              </w:tc>
              <w:tc>
                <w:tcPr>
                  <w:tcW w:w="589" w:type="pct"/>
                  <w:vMerge w:val="continue"/>
                  <w:tcBorders>
                    <w:top w:val="single" w:color="auto" w:sz="4" w:space="0"/>
                    <w:left w:val="nil"/>
                    <w:bottom w:val="single" w:color="auto" w:sz="4" w:space="0"/>
                    <w:right w:val="single" w:color="auto" w:sz="4" w:space="0"/>
                  </w:tcBorders>
                  <w:noWrap w:val="0"/>
                  <w:vAlign w:val="center"/>
                </w:tcPr>
                <w:p w14:paraId="351CFB9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b/>
                      <w:bCs/>
                    </w:rPr>
                  </w:pPr>
                </w:p>
              </w:tc>
              <w:tc>
                <w:tcPr>
                  <w:tcW w:w="475" w:type="pct"/>
                  <w:vMerge w:val="continue"/>
                  <w:tcBorders>
                    <w:top w:val="single" w:color="auto" w:sz="4" w:space="0"/>
                    <w:left w:val="nil"/>
                    <w:bottom w:val="single" w:color="auto" w:sz="4" w:space="0"/>
                    <w:right w:val="single" w:color="auto" w:sz="4" w:space="0"/>
                  </w:tcBorders>
                  <w:noWrap w:val="0"/>
                  <w:vAlign w:val="center"/>
                </w:tcPr>
                <w:p w14:paraId="14C2871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b/>
                      <w:bCs/>
                    </w:rPr>
                  </w:pPr>
                </w:p>
              </w:tc>
              <w:tc>
                <w:tcPr>
                  <w:tcW w:w="737" w:type="pct"/>
                  <w:vMerge w:val="continue"/>
                  <w:tcBorders>
                    <w:top w:val="single" w:color="auto" w:sz="4" w:space="0"/>
                    <w:left w:val="nil"/>
                    <w:bottom w:val="single" w:color="auto" w:sz="4" w:space="0"/>
                    <w:right w:val="single" w:color="auto" w:sz="4" w:space="0"/>
                  </w:tcBorders>
                  <w:noWrap w:val="0"/>
                  <w:vAlign w:val="center"/>
                </w:tcPr>
                <w:p w14:paraId="5AF626AD">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p>
              </w:tc>
              <w:tc>
                <w:tcPr>
                  <w:tcW w:w="245" w:type="pct"/>
                  <w:tcBorders>
                    <w:top w:val="single" w:color="auto" w:sz="4" w:space="0"/>
                    <w:left w:val="nil"/>
                    <w:bottom w:val="single" w:color="auto" w:sz="4" w:space="0"/>
                    <w:right w:val="single" w:color="auto" w:sz="4" w:space="0"/>
                  </w:tcBorders>
                  <w:noWrap w:val="0"/>
                  <w:vAlign w:val="center"/>
                </w:tcPr>
                <w:p w14:paraId="79E7FB20">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X</w:t>
                  </w:r>
                </w:p>
              </w:tc>
              <w:tc>
                <w:tcPr>
                  <w:tcW w:w="246" w:type="pct"/>
                  <w:tcBorders>
                    <w:top w:val="single" w:color="auto" w:sz="4" w:space="0"/>
                    <w:left w:val="nil"/>
                    <w:bottom w:val="single" w:color="auto" w:sz="4" w:space="0"/>
                    <w:right w:val="single" w:color="auto" w:sz="4" w:space="0"/>
                  </w:tcBorders>
                  <w:noWrap w:val="0"/>
                  <w:vAlign w:val="center"/>
                </w:tcPr>
                <w:p w14:paraId="2A4E6F62">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Y</w:t>
                  </w:r>
                </w:p>
              </w:tc>
              <w:tc>
                <w:tcPr>
                  <w:tcW w:w="164" w:type="pct"/>
                  <w:tcBorders>
                    <w:top w:val="single" w:color="auto" w:sz="4" w:space="0"/>
                    <w:left w:val="nil"/>
                    <w:bottom w:val="single" w:color="auto" w:sz="4" w:space="0"/>
                    <w:right w:val="single" w:color="auto" w:sz="4" w:space="0"/>
                  </w:tcBorders>
                  <w:noWrap w:val="0"/>
                  <w:vAlign w:val="center"/>
                </w:tcPr>
                <w:p w14:paraId="757533F3">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Z</w:t>
                  </w:r>
                </w:p>
              </w:tc>
              <w:tc>
                <w:tcPr>
                  <w:tcW w:w="491" w:type="pct"/>
                  <w:vMerge w:val="continue"/>
                  <w:tcBorders>
                    <w:top w:val="single" w:color="auto" w:sz="4" w:space="0"/>
                    <w:left w:val="nil"/>
                    <w:bottom w:val="single" w:color="auto" w:sz="4" w:space="0"/>
                    <w:right w:val="single" w:color="auto" w:sz="4" w:space="0"/>
                  </w:tcBorders>
                  <w:noWrap w:val="0"/>
                  <w:vAlign w:val="center"/>
                </w:tcPr>
                <w:p w14:paraId="32C57422">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p>
              </w:tc>
              <w:tc>
                <w:tcPr>
                  <w:tcW w:w="287" w:type="pct"/>
                  <w:vMerge w:val="continue"/>
                  <w:tcBorders>
                    <w:top w:val="single" w:color="auto" w:sz="4" w:space="0"/>
                    <w:left w:val="nil"/>
                    <w:bottom w:val="single" w:color="auto" w:sz="4" w:space="0"/>
                    <w:right w:val="single" w:color="auto" w:sz="4" w:space="0"/>
                  </w:tcBorders>
                  <w:noWrap w:val="0"/>
                  <w:vAlign w:val="center"/>
                </w:tcPr>
                <w:p w14:paraId="69C5EF9F">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p>
              </w:tc>
              <w:tc>
                <w:tcPr>
                  <w:tcW w:w="496" w:type="pct"/>
                  <w:vMerge w:val="continue"/>
                  <w:tcBorders>
                    <w:top w:val="single" w:color="auto" w:sz="4" w:space="0"/>
                    <w:left w:val="nil"/>
                    <w:bottom w:val="single" w:color="auto" w:sz="4" w:space="0"/>
                    <w:right w:val="single" w:color="auto" w:sz="4" w:space="0"/>
                  </w:tcBorders>
                  <w:noWrap w:val="0"/>
                  <w:vAlign w:val="center"/>
                </w:tcPr>
                <w:p w14:paraId="0E2DC8F9">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p>
              </w:tc>
              <w:tc>
                <w:tcPr>
                  <w:tcW w:w="439" w:type="pct"/>
                  <w:tcBorders>
                    <w:top w:val="single" w:color="auto" w:sz="4" w:space="0"/>
                    <w:left w:val="nil"/>
                    <w:bottom w:val="single" w:color="auto" w:sz="4" w:space="0"/>
                    <w:right w:val="single" w:color="auto" w:sz="4" w:space="0"/>
                  </w:tcBorders>
                  <w:noWrap w:val="0"/>
                  <w:vAlign w:val="center"/>
                </w:tcPr>
                <w:p w14:paraId="0C85BB84">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声压级/dB（A）</w:t>
                  </w:r>
                </w:p>
              </w:tc>
              <w:tc>
                <w:tcPr>
                  <w:tcW w:w="481" w:type="pct"/>
                  <w:tcBorders>
                    <w:top w:val="single" w:color="auto" w:sz="4" w:space="0"/>
                    <w:left w:val="nil"/>
                    <w:bottom w:val="single" w:color="auto" w:sz="4" w:space="0"/>
                    <w:right w:val="single" w:color="auto" w:sz="4" w:space="0"/>
                  </w:tcBorders>
                  <w:noWrap w:val="0"/>
                  <w:vAlign w:val="center"/>
                </w:tcPr>
                <w:p w14:paraId="714B97DE">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b/>
                      <w:snapToGrid w:val="0"/>
                      <w:spacing w:val="10"/>
                      <w:sz w:val="21"/>
                      <w:szCs w:val="21"/>
                    </w:rPr>
                  </w:pPr>
                  <w:r>
                    <w:rPr>
                      <w:b/>
                      <w:snapToGrid w:val="0"/>
                      <w:spacing w:val="10"/>
                      <w:sz w:val="21"/>
                      <w:szCs w:val="21"/>
                    </w:rPr>
                    <w:t>建筑物外距离（m）</w:t>
                  </w:r>
                </w:p>
              </w:tc>
            </w:tr>
            <w:tr w14:paraId="75C3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top w:val="nil"/>
                    <w:left w:val="single" w:color="auto" w:sz="4" w:space="0"/>
                    <w:right w:val="single" w:color="auto" w:sz="4" w:space="0"/>
                  </w:tcBorders>
                  <w:noWrap w:val="0"/>
                  <w:vAlign w:val="center"/>
                </w:tcPr>
                <w:p w14:paraId="35CE711C">
                  <w:pPr>
                    <w:spacing w:line="240" w:lineRule="auto"/>
                    <w:ind w:firstLine="0" w:firstLineChars="0"/>
                    <w:jc w:val="center"/>
                  </w:pPr>
                  <w:r>
                    <w:rPr>
                      <w:rFonts w:hint="default" w:ascii="Times New Roman" w:hAnsi="Times New Roman" w:cs="Times New Roman"/>
                      <w:sz w:val="21"/>
                      <w:szCs w:val="21"/>
                    </w:rPr>
                    <w:t>1</w:t>
                  </w:r>
                </w:p>
              </w:tc>
              <w:tc>
                <w:tcPr>
                  <w:tcW w:w="589" w:type="pct"/>
                  <w:tcBorders>
                    <w:top w:val="single" w:color="auto" w:sz="4" w:space="0"/>
                    <w:left w:val="nil"/>
                    <w:bottom w:val="single" w:color="auto" w:sz="4" w:space="0"/>
                    <w:right w:val="single" w:color="auto" w:sz="4" w:space="0"/>
                  </w:tcBorders>
                  <w:noWrap w:val="0"/>
                  <w:vAlign w:val="center"/>
                </w:tcPr>
                <w:p w14:paraId="380A32AD">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电动平板车</w:t>
                  </w:r>
                </w:p>
              </w:tc>
              <w:tc>
                <w:tcPr>
                  <w:tcW w:w="475" w:type="pct"/>
                  <w:tcBorders>
                    <w:top w:val="single" w:color="auto" w:sz="4" w:space="0"/>
                    <w:left w:val="nil"/>
                    <w:bottom w:val="single" w:color="auto" w:sz="4" w:space="0"/>
                    <w:right w:val="single" w:color="auto" w:sz="4" w:space="0"/>
                  </w:tcBorders>
                  <w:noWrap w:val="0"/>
                  <w:vAlign w:val="center"/>
                </w:tcPr>
                <w:p w14:paraId="3E1EF25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70~80</w:t>
                  </w:r>
                </w:p>
              </w:tc>
              <w:tc>
                <w:tcPr>
                  <w:tcW w:w="737" w:type="pct"/>
                  <w:vMerge w:val="restart"/>
                  <w:tcBorders>
                    <w:top w:val="nil"/>
                    <w:left w:val="nil"/>
                    <w:right w:val="single" w:color="auto" w:sz="4" w:space="0"/>
                  </w:tcBorders>
                  <w:noWrap w:val="0"/>
                  <w:vAlign w:val="center"/>
                </w:tcPr>
                <w:p w14:paraId="2BCC9DD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低噪声设备、减振、隔声</w:t>
                  </w:r>
                </w:p>
              </w:tc>
              <w:tc>
                <w:tcPr>
                  <w:tcW w:w="245" w:type="pct"/>
                  <w:tcBorders>
                    <w:top w:val="single" w:color="auto" w:sz="4" w:space="0"/>
                    <w:left w:val="nil"/>
                    <w:bottom w:val="single" w:color="auto" w:sz="4" w:space="0"/>
                    <w:right w:val="single" w:color="auto" w:sz="4" w:space="0"/>
                  </w:tcBorders>
                  <w:noWrap w:val="0"/>
                  <w:vAlign w:val="center"/>
                </w:tcPr>
                <w:p w14:paraId="35DD5AA9">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246" w:type="pct"/>
                  <w:tcBorders>
                    <w:top w:val="single" w:color="auto" w:sz="4" w:space="0"/>
                    <w:left w:val="nil"/>
                    <w:bottom w:val="single" w:color="auto" w:sz="4" w:space="0"/>
                    <w:right w:val="single" w:color="auto" w:sz="4" w:space="0"/>
                  </w:tcBorders>
                  <w:noWrap w:val="0"/>
                  <w:vAlign w:val="center"/>
                </w:tcPr>
                <w:p w14:paraId="25868CFE">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64" w:type="pct"/>
                  <w:tcBorders>
                    <w:top w:val="single" w:color="auto" w:sz="4" w:space="0"/>
                    <w:left w:val="nil"/>
                    <w:bottom w:val="single" w:color="auto" w:sz="4" w:space="0"/>
                    <w:right w:val="single" w:color="auto" w:sz="4" w:space="0"/>
                  </w:tcBorders>
                  <w:noWrap w:val="0"/>
                  <w:vAlign w:val="center"/>
                </w:tcPr>
                <w:p w14:paraId="5602A12E">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2B6763E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94</w:t>
                  </w:r>
                </w:p>
                <w:p w14:paraId="24F54AF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南</w:t>
                  </w:r>
                  <w:r>
                    <w:rPr>
                      <w:rFonts w:hint="eastAsia"/>
                      <w:lang w:val="en-US" w:eastAsia="zh-CN"/>
                    </w:rPr>
                    <w:t>29</w:t>
                  </w:r>
                </w:p>
                <w:p w14:paraId="07AD8E5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西</w:t>
                  </w:r>
                  <w:r>
                    <w:rPr>
                      <w:rFonts w:hint="eastAsia"/>
                      <w:lang w:val="en-US" w:eastAsia="zh-CN"/>
                    </w:rPr>
                    <w:t>44</w:t>
                  </w:r>
                </w:p>
                <w:p w14:paraId="79FA01A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北</w:t>
                  </w:r>
                  <w:r>
                    <w:rPr>
                      <w:rFonts w:hint="eastAsia"/>
                      <w:lang w:val="en-US" w:eastAsia="zh-CN"/>
                    </w:rPr>
                    <w:t>48</w:t>
                  </w:r>
                </w:p>
              </w:tc>
              <w:tc>
                <w:tcPr>
                  <w:tcW w:w="287" w:type="pct"/>
                  <w:tcBorders>
                    <w:top w:val="single" w:color="auto" w:sz="4" w:space="0"/>
                    <w:left w:val="nil"/>
                    <w:bottom w:val="single" w:color="auto" w:sz="4" w:space="0"/>
                    <w:right w:val="single" w:color="auto" w:sz="4" w:space="0"/>
                  </w:tcBorders>
                  <w:noWrap w:val="0"/>
                  <w:vAlign w:val="center"/>
                </w:tcPr>
                <w:p w14:paraId="598D33B7">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21098FE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2091A17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东30</w:t>
                  </w:r>
                </w:p>
                <w:p w14:paraId="585A821A">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南18</w:t>
                  </w:r>
                </w:p>
                <w:p w14:paraId="1A4A02E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西34</w:t>
                  </w:r>
                </w:p>
                <w:p w14:paraId="314BD1D0">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北11</w:t>
                  </w:r>
                </w:p>
              </w:tc>
              <w:tc>
                <w:tcPr>
                  <w:tcW w:w="481" w:type="pct"/>
                  <w:tcBorders>
                    <w:top w:val="single" w:color="auto" w:sz="4" w:space="0"/>
                    <w:left w:val="nil"/>
                    <w:bottom w:val="single" w:color="auto" w:sz="4" w:space="0"/>
                    <w:right w:val="single" w:color="auto" w:sz="4" w:space="0"/>
                  </w:tcBorders>
                  <w:noWrap w:val="0"/>
                  <w:vAlign w:val="center"/>
                </w:tcPr>
                <w:p w14:paraId="155C3BC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1</w:t>
                  </w:r>
                </w:p>
              </w:tc>
            </w:tr>
            <w:tr w14:paraId="5964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1A89CCA1">
                  <w:pPr>
                    <w:spacing w:line="240" w:lineRule="auto"/>
                    <w:ind w:firstLine="0" w:firstLineChars="0"/>
                    <w:jc w:val="center"/>
                  </w:pPr>
                  <w:r>
                    <w:rPr>
                      <w:rFonts w:hint="default" w:ascii="Times New Roman" w:hAnsi="Times New Roman" w:cs="Times New Roman"/>
                      <w:sz w:val="21"/>
                      <w:szCs w:val="21"/>
                    </w:rPr>
                    <w:t>2</w:t>
                  </w:r>
                </w:p>
              </w:tc>
              <w:tc>
                <w:tcPr>
                  <w:tcW w:w="589" w:type="pct"/>
                  <w:tcBorders>
                    <w:top w:val="single" w:color="auto" w:sz="4" w:space="0"/>
                    <w:left w:val="nil"/>
                    <w:bottom w:val="single" w:color="auto" w:sz="4" w:space="0"/>
                    <w:right w:val="single" w:color="auto" w:sz="4" w:space="0"/>
                  </w:tcBorders>
                  <w:noWrap w:val="0"/>
                  <w:vAlign w:val="center"/>
                </w:tcPr>
                <w:p w14:paraId="3C30A315">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气体保护焊机</w:t>
                  </w:r>
                </w:p>
              </w:tc>
              <w:tc>
                <w:tcPr>
                  <w:tcW w:w="475" w:type="pct"/>
                  <w:tcBorders>
                    <w:top w:val="single" w:color="auto" w:sz="4" w:space="0"/>
                    <w:left w:val="nil"/>
                    <w:bottom w:val="single" w:color="auto" w:sz="4" w:space="0"/>
                    <w:right w:val="single" w:color="auto" w:sz="4" w:space="0"/>
                  </w:tcBorders>
                  <w:noWrap w:val="0"/>
                  <w:vAlign w:val="center"/>
                </w:tcPr>
                <w:p w14:paraId="0B94364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70~80</w:t>
                  </w:r>
                </w:p>
              </w:tc>
              <w:tc>
                <w:tcPr>
                  <w:tcW w:w="737" w:type="pct"/>
                  <w:vMerge w:val="continue"/>
                  <w:tcBorders>
                    <w:left w:val="nil"/>
                    <w:right w:val="single" w:color="auto" w:sz="4" w:space="0"/>
                  </w:tcBorders>
                  <w:noWrap w:val="0"/>
                  <w:vAlign w:val="center"/>
                </w:tcPr>
                <w:p w14:paraId="02595770">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4B3AB5EA">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246" w:type="pct"/>
                  <w:tcBorders>
                    <w:top w:val="single" w:color="auto" w:sz="4" w:space="0"/>
                    <w:left w:val="nil"/>
                    <w:bottom w:val="single" w:color="auto" w:sz="4" w:space="0"/>
                    <w:right w:val="single" w:color="auto" w:sz="4" w:space="0"/>
                  </w:tcBorders>
                  <w:noWrap w:val="0"/>
                  <w:vAlign w:val="center"/>
                </w:tcPr>
                <w:p w14:paraId="65B088F9">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64" w:type="pct"/>
                  <w:tcBorders>
                    <w:top w:val="single" w:color="auto" w:sz="4" w:space="0"/>
                    <w:left w:val="nil"/>
                    <w:bottom w:val="single" w:color="auto" w:sz="4" w:space="0"/>
                    <w:right w:val="single" w:color="auto" w:sz="4" w:space="0"/>
                  </w:tcBorders>
                  <w:noWrap w:val="0"/>
                  <w:vAlign w:val="center"/>
                </w:tcPr>
                <w:p w14:paraId="7E324139">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33AFA835">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118</w:t>
                  </w:r>
                </w:p>
                <w:p w14:paraId="7AAACDC9">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南</w:t>
                  </w:r>
                  <w:r>
                    <w:rPr>
                      <w:rFonts w:hint="eastAsia"/>
                      <w:lang w:val="en-US" w:eastAsia="zh-CN"/>
                    </w:rPr>
                    <w:t>11</w:t>
                  </w:r>
                </w:p>
                <w:p w14:paraId="6816D43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西</w:t>
                  </w:r>
                  <w:r>
                    <w:rPr>
                      <w:rFonts w:hint="eastAsia"/>
                      <w:lang w:val="en-US" w:eastAsia="zh-CN"/>
                    </w:rPr>
                    <w:t>20</w:t>
                  </w:r>
                </w:p>
                <w:p w14:paraId="7AF3662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北</w:t>
                  </w:r>
                  <w:r>
                    <w:rPr>
                      <w:rFonts w:hint="eastAsia"/>
                      <w:lang w:val="en-US" w:eastAsia="zh-CN"/>
                    </w:rPr>
                    <w:t>66</w:t>
                  </w:r>
                </w:p>
              </w:tc>
              <w:tc>
                <w:tcPr>
                  <w:tcW w:w="287" w:type="pct"/>
                  <w:tcBorders>
                    <w:top w:val="single" w:color="auto" w:sz="4" w:space="0"/>
                    <w:left w:val="nil"/>
                    <w:bottom w:val="single" w:color="auto" w:sz="4" w:space="0"/>
                    <w:right w:val="single" w:color="auto" w:sz="4" w:space="0"/>
                  </w:tcBorders>
                  <w:noWrap w:val="0"/>
                  <w:vAlign w:val="center"/>
                </w:tcPr>
                <w:p w14:paraId="3B54243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150D2D87">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34B767B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26</w:t>
                  </w:r>
                </w:p>
                <w:p w14:paraId="672DD25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南18</w:t>
                  </w:r>
                </w:p>
                <w:p w14:paraId="4CC8D335">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西34</w:t>
                  </w:r>
                </w:p>
                <w:p w14:paraId="0B8D270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北11</w:t>
                  </w:r>
                </w:p>
              </w:tc>
              <w:tc>
                <w:tcPr>
                  <w:tcW w:w="481" w:type="pct"/>
                  <w:tcBorders>
                    <w:top w:val="single" w:color="auto" w:sz="4" w:space="0"/>
                    <w:left w:val="nil"/>
                    <w:bottom w:val="single" w:color="auto" w:sz="4" w:space="0"/>
                    <w:right w:val="single" w:color="auto" w:sz="4" w:space="0"/>
                  </w:tcBorders>
                  <w:noWrap w:val="0"/>
                  <w:vAlign w:val="center"/>
                </w:tcPr>
                <w:p w14:paraId="3E18971A">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1</w:t>
                  </w:r>
                </w:p>
              </w:tc>
            </w:tr>
            <w:tr w14:paraId="1587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5D3F346B">
                  <w:pPr>
                    <w:spacing w:line="240" w:lineRule="auto"/>
                    <w:ind w:firstLine="0" w:firstLineChars="0"/>
                    <w:jc w:val="center"/>
                  </w:pPr>
                  <w:r>
                    <w:rPr>
                      <w:rFonts w:hint="default" w:ascii="Times New Roman" w:hAnsi="Times New Roman" w:cs="Times New Roman"/>
                      <w:sz w:val="21"/>
                      <w:szCs w:val="21"/>
                    </w:rPr>
                    <w:t>3</w:t>
                  </w:r>
                </w:p>
              </w:tc>
              <w:tc>
                <w:tcPr>
                  <w:tcW w:w="589" w:type="pct"/>
                  <w:tcBorders>
                    <w:top w:val="single" w:color="auto" w:sz="4" w:space="0"/>
                    <w:left w:val="nil"/>
                    <w:bottom w:val="single" w:color="auto" w:sz="4" w:space="0"/>
                    <w:right w:val="single" w:color="auto" w:sz="4" w:space="0"/>
                  </w:tcBorders>
                  <w:noWrap w:val="0"/>
                  <w:vAlign w:val="center"/>
                </w:tcPr>
                <w:p w14:paraId="7068501E">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氩弧焊机</w:t>
                  </w:r>
                </w:p>
              </w:tc>
              <w:tc>
                <w:tcPr>
                  <w:tcW w:w="475" w:type="pct"/>
                  <w:tcBorders>
                    <w:top w:val="single" w:color="auto" w:sz="4" w:space="0"/>
                    <w:left w:val="nil"/>
                    <w:bottom w:val="single" w:color="auto" w:sz="4" w:space="0"/>
                    <w:right w:val="single" w:color="auto" w:sz="4" w:space="0"/>
                  </w:tcBorders>
                  <w:noWrap w:val="0"/>
                  <w:vAlign w:val="center"/>
                </w:tcPr>
                <w:p w14:paraId="3D116B69">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75~80</w:t>
                  </w:r>
                </w:p>
              </w:tc>
              <w:tc>
                <w:tcPr>
                  <w:tcW w:w="737" w:type="pct"/>
                  <w:vMerge w:val="continue"/>
                  <w:tcBorders>
                    <w:left w:val="nil"/>
                    <w:right w:val="single" w:color="auto" w:sz="4" w:space="0"/>
                  </w:tcBorders>
                  <w:noWrap w:val="0"/>
                  <w:vAlign w:val="center"/>
                </w:tcPr>
                <w:p w14:paraId="6F0F612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5DC10CC5">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246" w:type="pct"/>
                  <w:tcBorders>
                    <w:top w:val="single" w:color="auto" w:sz="4" w:space="0"/>
                    <w:left w:val="nil"/>
                    <w:bottom w:val="single" w:color="auto" w:sz="4" w:space="0"/>
                    <w:right w:val="single" w:color="auto" w:sz="4" w:space="0"/>
                  </w:tcBorders>
                  <w:noWrap w:val="0"/>
                  <w:vAlign w:val="center"/>
                </w:tcPr>
                <w:p w14:paraId="0C05632C">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64" w:type="pct"/>
                  <w:tcBorders>
                    <w:top w:val="single" w:color="auto" w:sz="4" w:space="0"/>
                    <w:left w:val="nil"/>
                    <w:bottom w:val="single" w:color="auto" w:sz="4" w:space="0"/>
                    <w:right w:val="single" w:color="auto" w:sz="4" w:space="0"/>
                  </w:tcBorders>
                  <w:noWrap w:val="0"/>
                  <w:vAlign w:val="center"/>
                </w:tcPr>
                <w:p w14:paraId="6919DC51">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12922A5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126</w:t>
                  </w:r>
                </w:p>
                <w:p w14:paraId="36B4C4D3">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eastAsia" w:eastAsia="宋体"/>
                      <w:lang w:eastAsia="zh-CN"/>
                    </w:rPr>
                  </w:pPr>
                  <w:r>
                    <w:t>南</w:t>
                  </w:r>
                  <w:r>
                    <w:rPr>
                      <w:rFonts w:hint="eastAsia"/>
                      <w:lang w:val="en-US" w:eastAsia="zh-CN"/>
                    </w:rPr>
                    <w:t>7</w:t>
                  </w:r>
                </w:p>
                <w:p w14:paraId="7E9E2C9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西</w:t>
                  </w:r>
                  <w:r>
                    <w:rPr>
                      <w:rFonts w:hint="eastAsia"/>
                      <w:lang w:val="en-US" w:eastAsia="zh-CN"/>
                    </w:rPr>
                    <w:t>12</w:t>
                  </w:r>
                </w:p>
                <w:p w14:paraId="3E13906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北</w:t>
                  </w:r>
                  <w:r>
                    <w:rPr>
                      <w:rFonts w:hint="eastAsia"/>
                      <w:lang w:val="en-US" w:eastAsia="zh-CN"/>
                    </w:rPr>
                    <w:t>70</w:t>
                  </w:r>
                </w:p>
              </w:tc>
              <w:tc>
                <w:tcPr>
                  <w:tcW w:w="287" w:type="pct"/>
                  <w:tcBorders>
                    <w:top w:val="single" w:color="auto" w:sz="4" w:space="0"/>
                    <w:left w:val="nil"/>
                    <w:bottom w:val="single" w:color="auto" w:sz="4" w:space="0"/>
                    <w:right w:val="single" w:color="auto" w:sz="4" w:space="0"/>
                  </w:tcBorders>
                  <w:noWrap w:val="0"/>
                  <w:vAlign w:val="center"/>
                </w:tcPr>
                <w:p w14:paraId="15200BD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7990109A">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14C66919">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东52</w:t>
                  </w:r>
                </w:p>
                <w:p w14:paraId="60C54FD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南30</w:t>
                  </w:r>
                </w:p>
                <w:p w14:paraId="17F11B5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西47</w:t>
                  </w:r>
                </w:p>
                <w:p w14:paraId="480CAFCC">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北35</w:t>
                  </w:r>
                </w:p>
              </w:tc>
              <w:tc>
                <w:tcPr>
                  <w:tcW w:w="481" w:type="pct"/>
                  <w:tcBorders>
                    <w:top w:val="single" w:color="auto" w:sz="4" w:space="0"/>
                    <w:left w:val="nil"/>
                    <w:bottom w:val="single" w:color="auto" w:sz="4" w:space="0"/>
                    <w:right w:val="single" w:color="auto" w:sz="4" w:space="0"/>
                  </w:tcBorders>
                  <w:noWrap w:val="0"/>
                  <w:vAlign w:val="center"/>
                </w:tcPr>
                <w:p w14:paraId="42705169">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1</w:t>
                  </w:r>
                </w:p>
              </w:tc>
            </w:tr>
            <w:tr w14:paraId="792D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4866BE79">
                  <w:pPr>
                    <w:spacing w:line="240" w:lineRule="auto"/>
                    <w:ind w:firstLine="0" w:firstLineChars="0"/>
                    <w:jc w:val="center"/>
                  </w:pPr>
                  <w:r>
                    <w:rPr>
                      <w:rFonts w:hint="default" w:ascii="Times New Roman" w:hAnsi="Times New Roman" w:cs="Times New Roman"/>
                      <w:sz w:val="21"/>
                      <w:szCs w:val="21"/>
                    </w:rPr>
                    <w:t>4</w:t>
                  </w:r>
                </w:p>
              </w:tc>
              <w:tc>
                <w:tcPr>
                  <w:tcW w:w="589" w:type="pct"/>
                  <w:tcBorders>
                    <w:top w:val="single" w:color="auto" w:sz="4" w:space="0"/>
                    <w:left w:val="nil"/>
                    <w:bottom w:val="single" w:color="auto" w:sz="4" w:space="0"/>
                    <w:right w:val="single" w:color="auto" w:sz="4" w:space="0"/>
                  </w:tcBorders>
                  <w:noWrap w:val="0"/>
                  <w:vAlign w:val="center"/>
                </w:tcPr>
                <w:p w14:paraId="338AABB1">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电焊机</w:t>
                  </w:r>
                </w:p>
              </w:tc>
              <w:tc>
                <w:tcPr>
                  <w:tcW w:w="475" w:type="pct"/>
                  <w:tcBorders>
                    <w:top w:val="single" w:color="auto" w:sz="4" w:space="0"/>
                    <w:left w:val="nil"/>
                    <w:bottom w:val="single" w:color="auto" w:sz="4" w:space="0"/>
                    <w:right w:val="single" w:color="auto" w:sz="4" w:space="0"/>
                  </w:tcBorders>
                  <w:noWrap w:val="0"/>
                  <w:vAlign w:val="center"/>
                </w:tcPr>
                <w:p w14:paraId="011D5AD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80~85</w:t>
                  </w:r>
                </w:p>
              </w:tc>
              <w:tc>
                <w:tcPr>
                  <w:tcW w:w="737" w:type="pct"/>
                  <w:vMerge w:val="continue"/>
                  <w:tcBorders>
                    <w:left w:val="nil"/>
                    <w:right w:val="single" w:color="auto" w:sz="4" w:space="0"/>
                  </w:tcBorders>
                  <w:noWrap w:val="0"/>
                  <w:vAlign w:val="center"/>
                </w:tcPr>
                <w:p w14:paraId="218C25A7">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09FBE6AC">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246" w:type="pct"/>
                  <w:tcBorders>
                    <w:top w:val="single" w:color="auto" w:sz="4" w:space="0"/>
                    <w:left w:val="nil"/>
                    <w:bottom w:val="single" w:color="auto" w:sz="4" w:space="0"/>
                    <w:right w:val="single" w:color="auto" w:sz="4" w:space="0"/>
                  </w:tcBorders>
                  <w:noWrap w:val="0"/>
                  <w:vAlign w:val="center"/>
                </w:tcPr>
                <w:p w14:paraId="78A92E99">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64" w:type="pct"/>
                  <w:tcBorders>
                    <w:top w:val="single" w:color="auto" w:sz="4" w:space="0"/>
                    <w:left w:val="nil"/>
                    <w:bottom w:val="single" w:color="auto" w:sz="4" w:space="0"/>
                    <w:right w:val="single" w:color="auto" w:sz="4" w:space="0"/>
                  </w:tcBorders>
                  <w:noWrap w:val="0"/>
                  <w:vAlign w:val="center"/>
                </w:tcPr>
                <w:p w14:paraId="6516D253">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370074C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98</w:t>
                  </w:r>
                </w:p>
                <w:p w14:paraId="04E9006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南</w:t>
                  </w:r>
                  <w:r>
                    <w:rPr>
                      <w:rFonts w:hint="eastAsia"/>
                      <w:lang w:val="en-US" w:eastAsia="zh-CN"/>
                    </w:rPr>
                    <w:t>20</w:t>
                  </w:r>
                </w:p>
                <w:p w14:paraId="026064AD">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西</w:t>
                  </w:r>
                  <w:r>
                    <w:rPr>
                      <w:rFonts w:hint="eastAsia"/>
                      <w:lang w:val="en-US" w:eastAsia="zh-CN"/>
                    </w:rPr>
                    <w:t>40</w:t>
                  </w:r>
                </w:p>
                <w:p w14:paraId="1ED0824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北</w:t>
                  </w:r>
                  <w:r>
                    <w:rPr>
                      <w:rFonts w:hint="eastAsia"/>
                      <w:lang w:val="en-US" w:eastAsia="zh-CN"/>
                    </w:rPr>
                    <w:t>57</w:t>
                  </w:r>
                </w:p>
              </w:tc>
              <w:tc>
                <w:tcPr>
                  <w:tcW w:w="287" w:type="pct"/>
                  <w:tcBorders>
                    <w:top w:val="single" w:color="auto" w:sz="4" w:space="0"/>
                    <w:left w:val="nil"/>
                    <w:bottom w:val="single" w:color="auto" w:sz="4" w:space="0"/>
                    <w:right w:val="single" w:color="auto" w:sz="4" w:space="0"/>
                  </w:tcBorders>
                  <w:noWrap w:val="0"/>
                  <w:vAlign w:val="center"/>
                </w:tcPr>
                <w:p w14:paraId="6C3CBA97">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07CCC4CA">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6A59EC58">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东53</w:t>
                  </w:r>
                </w:p>
                <w:p w14:paraId="027306E9">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南45</w:t>
                  </w:r>
                </w:p>
                <w:p w14:paraId="01D87688">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西50</w:t>
                  </w:r>
                </w:p>
                <w:p w14:paraId="4E82FB3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北40</w:t>
                  </w:r>
                </w:p>
              </w:tc>
              <w:tc>
                <w:tcPr>
                  <w:tcW w:w="481" w:type="pct"/>
                  <w:tcBorders>
                    <w:top w:val="single" w:color="auto" w:sz="4" w:space="0"/>
                    <w:left w:val="nil"/>
                    <w:bottom w:val="single" w:color="auto" w:sz="4" w:space="0"/>
                    <w:right w:val="single" w:color="auto" w:sz="4" w:space="0"/>
                  </w:tcBorders>
                  <w:noWrap w:val="0"/>
                  <w:vAlign w:val="center"/>
                </w:tcPr>
                <w:p w14:paraId="58E7BB7C">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1</w:t>
                  </w:r>
                </w:p>
              </w:tc>
            </w:tr>
            <w:tr w14:paraId="070C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07425D85">
                  <w:pPr>
                    <w:spacing w:line="240" w:lineRule="auto"/>
                    <w:ind w:firstLine="0" w:firstLineChars="0"/>
                    <w:jc w:val="center"/>
                  </w:pPr>
                  <w:r>
                    <w:rPr>
                      <w:rFonts w:hint="default" w:ascii="Times New Roman" w:hAnsi="Times New Roman" w:cs="Times New Roman"/>
                      <w:sz w:val="21"/>
                      <w:szCs w:val="21"/>
                    </w:rPr>
                    <w:t>5</w:t>
                  </w:r>
                </w:p>
              </w:tc>
              <w:tc>
                <w:tcPr>
                  <w:tcW w:w="589" w:type="pct"/>
                  <w:tcBorders>
                    <w:top w:val="single" w:color="auto" w:sz="4" w:space="0"/>
                    <w:left w:val="nil"/>
                    <w:bottom w:val="single" w:color="auto" w:sz="4" w:space="0"/>
                    <w:right w:val="single" w:color="auto" w:sz="4" w:space="0"/>
                  </w:tcBorders>
                  <w:noWrap w:val="0"/>
                  <w:vAlign w:val="center"/>
                </w:tcPr>
                <w:p w14:paraId="21A37E79">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通过式抛丸清理机</w:t>
                  </w:r>
                </w:p>
              </w:tc>
              <w:tc>
                <w:tcPr>
                  <w:tcW w:w="475" w:type="pct"/>
                  <w:tcBorders>
                    <w:top w:val="single" w:color="auto" w:sz="4" w:space="0"/>
                    <w:left w:val="nil"/>
                    <w:bottom w:val="single" w:color="auto" w:sz="4" w:space="0"/>
                    <w:right w:val="single" w:color="auto" w:sz="4" w:space="0"/>
                  </w:tcBorders>
                  <w:noWrap w:val="0"/>
                  <w:vAlign w:val="center"/>
                </w:tcPr>
                <w:p w14:paraId="60CF98CE">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80~85</w:t>
                  </w:r>
                </w:p>
              </w:tc>
              <w:tc>
                <w:tcPr>
                  <w:tcW w:w="737" w:type="pct"/>
                  <w:vMerge w:val="continue"/>
                  <w:tcBorders>
                    <w:left w:val="nil"/>
                    <w:right w:val="single" w:color="auto" w:sz="4" w:space="0"/>
                  </w:tcBorders>
                  <w:noWrap w:val="0"/>
                  <w:vAlign w:val="center"/>
                </w:tcPr>
                <w:p w14:paraId="793C0473">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74220BD7">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246" w:type="pct"/>
                  <w:tcBorders>
                    <w:top w:val="single" w:color="auto" w:sz="4" w:space="0"/>
                    <w:left w:val="nil"/>
                    <w:bottom w:val="single" w:color="auto" w:sz="4" w:space="0"/>
                    <w:right w:val="single" w:color="auto" w:sz="4" w:space="0"/>
                  </w:tcBorders>
                  <w:noWrap w:val="0"/>
                  <w:vAlign w:val="center"/>
                </w:tcPr>
                <w:p w14:paraId="3FBED92A">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64" w:type="pct"/>
                  <w:tcBorders>
                    <w:top w:val="single" w:color="auto" w:sz="4" w:space="0"/>
                    <w:left w:val="nil"/>
                    <w:bottom w:val="single" w:color="auto" w:sz="4" w:space="0"/>
                    <w:right w:val="single" w:color="auto" w:sz="4" w:space="0"/>
                  </w:tcBorders>
                  <w:noWrap w:val="0"/>
                  <w:vAlign w:val="center"/>
                </w:tcPr>
                <w:p w14:paraId="20630A41">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511F8A48">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106</w:t>
                  </w:r>
                </w:p>
                <w:p w14:paraId="4BBC077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南</w:t>
                  </w:r>
                  <w:r>
                    <w:rPr>
                      <w:rFonts w:hint="eastAsia"/>
                      <w:lang w:val="en-US" w:eastAsia="zh-CN"/>
                    </w:rPr>
                    <w:t>24</w:t>
                  </w:r>
                </w:p>
                <w:p w14:paraId="1F29CBFC">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西</w:t>
                  </w:r>
                  <w:r>
                    <w:rPr>
                      <w:rFonts w:hint="eastAsia"/>
                      <w:lang w:val="en-US" w:eastAsia="zh-CN"/>
                    </w:rPr>
                    <w:t>32</w:t>
                  </w:r>
                </w:p>
                <w:p w14:paraId="1741523D">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eastAsia="宋体"/>
                      <w:lang w:val="en-US" w:eastAsia="zh-CN"/>
                    </w:rPr>
                  </w:pPr>
                  <w:r>
                    <w:t>北</w:t>
                  </w:r>
                  <w:r>
                    <w:rPr>
                      <w:rFonts w:hint="eastAsia"/>
                      <w:lang w:val="en-US" w:eastAsia="zh-CN"/>
                    </w:rPr>
                    <w:t>53</w:t>
                  </w:r>
                </w:p>
              </w:tc>
              <w:tc>
                <w:tcPr>
                  <w:tcW w:w="287" w:type="pct"/>
                  <w:tcBorders>
                    <w:top w:val="single" w:color="auto" w:sz="4" w:space="0"/>
                    <w:left w:val="nil"/>
                    <w:bottom w:val="single" w:color="auto" w:sz="4" w:space="0"/>
                    <w:right w:val="single" w:color="auto" w:sz="4" w:space="0"/>
                  </w:tcBorders>
                  <w:noWrap w:val="0"/>
                  <w:vAlign w:val="center"/>
                </w:tcPr>
                <w:p w14:paraId="0A99C9AD">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6B92007E">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1A995D9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24</w:t>
                  </w:r>
                </w:p>
                <w:p w14:paraId="01FAFE1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南18</w:t>
                  </w:r>
                </w:p>
                <w:p w14:paraId="7E823B7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西34</w:t>
                  </w:r>
                </w:p>
                <w:p w14:paraId="7511A7CC">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北11</w:t>
                  </w:r>
                </w:p>
              </w:tc>
              <w:tc>
                <w:tcPr>
                  <w:tcW w:w="481" w:type="pct"/>
                  <w:tcBorders>
                    <w:top w:val="single" w:color="auto" w:sz="4" w:space="0"/>
                    <w:left w:val="nil"/>
                    <w:bottom w:val="single" w:color="auto" w:sz="4" w:space="0"/>
                    <w:right w:val="single" w:color="auto" w:sz="4" w:space="0"/>
                  </w:tcBorders>
                  <w:noWrap w:val="0"/>
                  <w:vAlign w:val="center"/>
                </w:tcPr>
                <w:p w14:paraId="5EB86FEE">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68BF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3124AC68">
                  <w:pPr>
                    <w:spacing w:line="240" w:lineRule="auto"/>
                    <w:ind w:firstLine="0" w:firstLineChars="0"/>
                    <w:jc w:val="center"/>
                  </w:pPr>
                  <w:r>
                    <w:rPr>
                      <w:rFonts w:hint="default" w:ascii="Times New Roman" w:hAnsi="Times New Roman" w:cs="Times New Roman"/>
                      <w:sz w:val="21"/>
                      <w:szCs w:val="21"/>
                    </w:rPr>
                    <w:t>6</w:t>
                  </w:r>
                </w:p>
              </w:tc>
              <w:tc>
                <w:tcPr>
                  <w:tcW w:w="589" w:type="pct"/>
                  <w:tcBorders>
                    <w:top w:val="single" w:color="auto" w:sz="4" w:space="0"/>
                    <w:left w:val="nil"/>
                    <w:bottom w:val="single" w:color="auto" w:sz="4" w:space="0"/>
                    <w:right w:val="single" w:color="auto" w:sz="4" w:space="0"/>
                  </w:tcBorders>
                  <w:noWrap w:val="0"/>
                  <w:vAlign w:val="center"/>
                </w:tcPr>
                <w:p w14:paraId="2B2496C4">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单点压力机</w:t>
                  </w:r>
                </w:p>
              </w:tc>
              <w:tc>
                <w:tcPr>
                  <w:tcW w:w="475" w:type="pct"/>
                  <w:tcBorders>
                    <w:top w:val="single" w:color="auto" w:sz="4" w:space="0"/>
                    <w:left w:val="nil"/>
                    <w:bottom w:val="single" w:color="auto" w:sz="4" w:space="0"/>
                    <w:right w:val="single" w:color="auto" w:sz="4" w:space="0"/>
                  </w:tcBorders>
                  <w:noWrap w:val="0"/>
                  <w:vAlign w:val="center"/>
                </w:tcPr>
                <w:p w14:paraId="17F02813">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rPr>
                      <w:rFonts w:hint="eastAsia"/>
                      <w:lang w:val="en-US" w:eastAsia="zh-CN"/>
                    </w:rPr>
                    <w:t>80</w:t>
                  </w:r>
                  <w:r>
                    <w:t>~</w:t>
                  </w:r>
                  <w:r>
                    <w:rPr>
                      <w:rFonts w:hint="eastAsia"/>
                      <w:lang w:val="en-US" w:eastAsia="zh-CN"/>
                    </w:rPr>
                    <w:t>9</w:t>
                  </w:r>
                  <w:r>
                    <w:t>0</w:t>
                  </w:r>
                </w:p>
              </w:tc>
              <w:tc>
                <w:tcPr>
                  <w:tcW w:w="737" w:type="pct"/>
                  <w:vMerge w:val="continue"/>
                  <w:tcBorders>
                    <w:left w:val="nil"/>
                    <w:right w:val="single" w:color="auto" w:sz="4" w:space="0"/>
                  </w:tcBorders>
                  <w:noWrap w:val="0"/>
                  <w:vAlign w:val="center"/>
                </w:tcPr>
                <w:p w14:paraId="7E87DD07">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2E96982F">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246" w:type="pct"/>
                  <w:tcBorders>
                    <w:top w:val="single" w:color="auto" w:sz="4" w:space="0"/>
                    <w:left w:val="nil"/>
                    <w:bottom w:val="single" w:color="auto" w:sz="4" w:space="0"/>
                    <w:right w:val="single" w:color="auto" w:sz="4" w:space="0"/>
                  </w:tcBorders>
                  <w:noWrap w:val="0"/>
                  <w:vAlign w:val="center"/>
                </w:tcPr>
                <w:p w14:paraId="431910CD">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64" w:type="pct"/>
                  <w:tcBorders>
                    <w:top w:val="single" w:color="auto" w:sz="4" w:space="0"/>
                    <w:left w:val="nil"/>
                    <w:bottom w:val="single" w:color="auto" w:sz="4" w:space="0"/>
                    <w:right w:val="single" w:color="auto" w:sz="4" w:space="0"/>
                  </w:tcBorders>
                  <w:noWrap w:val="0"/>
                  <w:vAlign w:val="center"/>
                </w:tcPr>
                <w:p w14:paraId="7CBDBC7E">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22B2216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119</w:t>
                  </w:r>
                </w:p>
                <w:p w14:paraId="2C47B29A">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南</w:t>
                  </w:r>
                  <w:r>
                    <w:rPr>
                      <w:rFonts w:hint="eastAsia"/>
                      <w:lang w:val="en-US" w:eastAsia="zh-CN"/>
                    </w:rPr>
                    <w:t>11</w:t>
                  </w:r>
                </w:p>
                <w:p w14:paraId="4C0502F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西</w:t>
                  </w:r>
                  <w:r>
                    <w:rPr>
                      <w:rFonts w:hint="eastAsia"/>
                      <w:lang w:val="en-US" w:eastAsia="zh-CN"/>
                    </w:rPr>
                    <w:t>19</w:t>
                  </w:r>
                </w:p>
                <w:p w14:paraId="5122C6FE">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eastAsia="宋体"/>
                      <w:lang w:val="en-US" w:eastAsia="zh-CN"/>
                    </w:rPr>
                  </w:pPr>
                  <w:r>
                    <w:t>北</w:t>
                  </w:r>
                  <w:r>
                    <w:rPr>
                      <w:rFonts w:hint="eastAsia"/>
                      <w:lang w:val="en-US" w:eastAsia="zh-CN"/>
                    </w:rPr>
                    <w:t>66</w:t>
                  </w:r>
                </w:p>
              </w:tc>
              <w:tc>
                <w:tcPr>
                  <w:tcW w:w="287" w:type="pct"/>
                  <w:tcBorders>
                    <w:top w:val="single" w:color="auto" w:sz="4" w:space="0"/>
                    <w:left w:val="nil"/>
                    <w:bottom w:val="single" w:color="auto" w:sz="4" w:space="0"/>
                    <w:right w:val="single" w:color="auto" w:sz="4" w:space="0"/>
                  </w:tcBorders>
                  <w:noWrap w:val="0"/>
                  <w:vAlign w:val="center"/>
                </w:tcPr>
                <w:p w14:paraId="37014201">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3F5D2AA6">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71ABDA0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31</w:t>
                  </w:r>
                </w:p>
                <w:p w14:paraId="7FD3F2ED">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南18</w:t>
                  </w:r>
                </w:p>
                <w:p w14:paraId="7467C95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西34</w:t>
                  </w:r>
                </w:p>
                <w:p w14:paraId="5C4D12AB">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北11</w:t>
                  </w:r>
                </w:p>
              </w:tc>
              <w:tc>
                <w:tcPr>
                  <w:tcW w:w="481" w:type="pct"/>
                  <w:tcBorders>
                    <w:top w:val="single" w:color="auto" w:sz="4" w:space="0"/>
                    <w:left w:val="nil"/>
                    <w:bottom w:val="single" w:color="auto" w:sz="4" w:space="0"/>
                    <w:right w:val="single" w:color="auto" w:sz="4" w:space="0"/>
                  </w:tcBorders>
                  <w:noWrap w:val="0"/>
                  <w:vAlign w:val="center"/>
                </w:tcPr>
                <w:p w14:paraId="207D5F9B">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2835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33F9AE01">
                  <w:pPr>
                    <w:spacing w:line="240" w:lineRule="auto"/>
                    <w:ind w:firstLine="0" w:firstLineChars="0"/>
                    <w:jc w:val="center"/>
                  </w:pPr>
                  <w:r>
                    <w:rPr>
                      <w:rFonts w:hint="default" w:ascii="Times New Roman" w:hAnsi="Times New Roman" w:cs="Times New Roman"/>
                      <w:sz w:val="21"/>
                      <w:szCs w:val="21"/>
                    </w:rPr>
                    <w:t>7</w:t>
                  </w:r>
                </w:p>
              </w:tc>
              <w:tc>
                <w:tcPr>
                  <w:tcW w:w="589" w:type="pct"/>
                  <w:tcBorders>
                    <w:top w:val="single" w:color="auto" w:sz="4" w:space="0"/>
                    <w:left w:val="nil"/>
                    <w:bottom w:val="single" w:color="auto" w:sz="4" w:space="0"/>
                    <w:right w:val="single" w:color="auto" w:sz="4" w:space="0"/>
                  </w:tcBorders>
                  <w:noWrap w:val="0"/>
                  <w:vAlign w:val="center"/>
                </w:tcPr>
                <w:p w14:paraId="479D43AA">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1000吨电动螺旋压力机</w:t>
                  </w:r>
                </w:p>
              </w:tc>
              <w:tc>
                <w:tcPr>
                  <w:tcW w:w="475" w:type="pct"/>
                  <w:tcBorders>
                    <w:top w:val="single" w:color="auto" w:sz="4" w:space="0"/>
                    <w:left w:val="nil"/>
                    <w:bottom w:val="single" w:color="auto" w:sz="4" w:space="0"/>
                    <w:right w:val="single" w:color="auto" w:sz="4" w:space="0"/>
                  </w:tcBorders>
                  <w:noWrap w:val="0"/>
                  <w:vAlign w:val="center"/>
                </w:tcPr>
                <w:p w14:paraId="333BBFBC">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75~80</w:t>
                  </w:r>
                </w:p>
              </w:tc>
              <w:tc>
                <w:tcPr>
                  <w:tcW w:w="737" w:type="pct"/>
                  <w:vMerge w:val="continue"/>
                  <w:tcBorders>
                    <w:left w:val="nil"/>
                    <w:right w:val="single" w:color="auto" w:sz="4" w:space="0"/>
                  </w:tcBorders>
                  <w:noWrap w:val="0"/>
                  <w:vAlign w:val="center"/>
                </w:tcPr>
                <w:p w14:paraId="5B810A1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035636A2">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246" w:type="pct"/>
                  <w:tcBorders>
                    <w:top w:val="single" w:color="auto" w:sz="4" w:space="0"/>
                    <w:left w:val="nil"/>
                    <w:bottom w:val="single" w:color="auto" w:sz="4" w:space="0"/>
                    <w:right w:val="single" w:color="auto" w:sz="4" w:space="0"/>
                  </w:tcBorders>
                  <w:noWrap w:val="0"/>
                  <w:vAlign w:val="center"/>
                </w:tcPr>
                <w:p w14:paraId="68154CA8">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64" w:type="pct"/>
                  <w:tcBorders>
                    <w:top w:val="single" w:color="auto" w:sz="4" w:space="0"/>
                    <w:left w:val="nil"/>
                    <w:bottom w:val="single" w:color="auto" w:sz="4" w:space="0"/>
                    <w:right w:val="single" w:color="auto" w:sz="4" w:space="0"/>
                  </w:tcBorders>
                  <w:noWrap w:val="0"/>
                  <w:vAlign w:val="center"/>
                </w:tcPr>
                <w:p w14:paraId="5B847D7B">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220D83A3">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74</w:t>
                  </w:r>
                </w:p>
                <w:p w14:paraId="573CE08D">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南</w:t>
                  </w:r>
                  <w:r>
                    <w:rPr>
                      <w:rFonts w:hint="eastAsia"/>
                      <w:lang w:val="en-US" w:eastAsia="zh-CN"/>
                    </w:rPr>
                    <w:t>24</w:t>
                  </w:r>
                </w:p>
                <w:p w14:paraId="519143A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西</w:t>
                  </w:r>
                  <w:r>
                    <w:rPr>
                      <w:rFonts w:hint="eastAsia"/>
                      <w:lang w:val="en-US" w:eastAsia="zh-CN"/>
                    </w:rPr>
                    <w:t>64</w:t>
                  </w:r>
                </w:p>
                <w:p w14:paraId="3FFBB9B6">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eastAsia="宋体"/>
                      <w:lang w:val="en-US" w:eastAsia="zh-CN"/>
                    </w:rPr>
                  </w:pPr>
                  <w:r>
                    <w:t>北</w:t>
                  </w:r>
                  <w:r>
                    <w:rPr>
                      <w:rFonts w:hint="eastAsia"/>
                      <w:lang w:val="en-US" w:eastAsia="zh-CN"/>
                    </w:rPr>
                    <w:t>53</w:t>
                  </w:r>
                </w:p>
              </w:tc>
              <w:tc>
                <w:tcPr>
                  <w:tcW w:w="287" w:type="pct"/>
                  <w:tcBorders>
                    <w:top w:val="single" w:color="auto" w:sz="4" w:space="0"/>
                    <w:left w:val="nil"/>
                    <w:bottom w:val="single" w:color="auto" w:sz="4" w:space="0"/>
                    <w:right w:val="single" w:color="auto" w:sz="4" w:space="0"/>
                  </w:tcBorders>
                  <w:noWrap w:val="0"/>
                  <w:vAlign w:val="center"/>
                </w:tcPr>
                <w:p w14:paraId="3672D70F">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49DA2F71">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4381C418">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东52</w:t>
                  </w:r>
                </w:p>
                <w:p w14:paraId="45CE301B">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南30</w:t>
                  </w:r>
                </w:p>
                <w:p w14:paraId="6F52D0C8">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西47</w:t>
                  </w:r>
                </w:p>
                <w:p w14:paraId="2DD1ACC0">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北35</w:t>
                  </w:r>
                </w:p>
              </w:tc>
              <w:tc>
                <w:tcPr>
                  <w:tcW w:w="481" w:type="pct"/>
                  <w:tcBorders>
                    <w:top w:val="single" w:color="auto" w:sz="4" w:space="0"/>
                    <w:left w:val="nil"/>
                    <w:bottom w:val="single" w:color="auto" w:sz="4" w:space="0"/>
                    <w:right w:val="single" w:color="auto" w:sz="4" w:space="0"/>
                  </w:tcBorders>
                  <w:noWrap w:val="0"/>
                  <w:vAlign w:val="center"/>
                </w:tcPr>
                <w:p w14:paraId="0C57016D">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06AA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253B92D3">
                  <w:pPr>
                    <w:spacing w:line="240" w:lineRule="auto"/>
                    <w:ind w:firstLine="0" w:firstLineChars="0"/>
                    <w:jc w:val="center"/>
                  </w:pPr>
                  <w:r>
                    <w:rPr>
                      <w:rFonts w:hint="default" w:ascii="Times New Roman" w:hAnsi="Times New Roman" w:cs="Times New Roman"/>
                      <w:sz w:val="21"/>
                      <w:szCs w:val="21"/>
                    </w:rPr>
                    <w:t>8</w:t>
                  </w:r>
                </w:p>
              </w:tc>
              <w:tc>
                <w:tcPr>
                  <w:tcW w:w="589" w:type="pct"/>
                  <w:tcBorders>
                    <w:top w:val="single" w:color="auto" w:sz="4" w:space="0"/>
                    <w:left w:val="nil"/>
                    <w:bottom w:val="single" w:color="auto" w:sz="4" w:space="0"/>
                    <w:right w:val="single" w:color="auto" w:sz="4" w:space="0"/>
                  </w:tcBorders>
                  <w:noWrap w:val="0"/>
                  <w:vAlign w:val="center"/>
                </w:tcPr>
                <w:p w14:paraId="75790CA3">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单梁起重机</w:t>
                  </w:r>
                </w:p>
              </w:tc>
              <w:tc>
                <w:tcPr>
                  <w:tcW w:w="475" w:type="pct"/>
                  <w:tcBorders>
                    <w:top w:val="single" w:color="auto" w:sz="4" w:space="0"/>
                    <w:left w:val="nil"/>
                    <w:bottom w:val="single" w:color="auto" w:sz="4" w:space="0"/>
                    <w:right w:val="single" w:color="auto" w:sz="4" w:space="0"/>
                  </w:tcBorders>
                  <w:noWrap w:val="0"/>
                  <w:vAlign w:val="center"/>
                </w:tcPr>
                <w:p w14:paraId="7EB12042">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80~85</w:t>
                  </w:r>
                </w:p>
              </w:tc>
              <w:tc>
                <w:tcPr>
                  <w:tcW w:w="737" w:type="pct"/>
                  <w:vMerge w:val="continue"/>
                  <w:tcBorders>
                    <w:left w:val="nil"/>
                    <w:right w:val="single" w:color="auto" w:sz="4" w:space="0"/>
                  </w:tcBorders>
                  <w:noWrap w:val="0"/>
                  <w:vAlign w:val="center"/>
                </w:tcPr>
                <w:p w14:paraId="242D5803">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077E1FBA">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246" w:type="pct"/>
                  <w:tcBorders>
                    <w:top w:val="single" w:color="auto" w:sz="4" w:space="0"/>
                    <w:left w:val="nil"/>
                    <w:bottom w:val="single" w:color="auto" w:sz="4" w:space="0"/>
                    <w:right w:val="single" w:color="auto" w:sz="4" w:space="0"/>
                  </w:tcBorders>
                  <w:noWrap w:val="0"/>
                  <w:vAlign w:val="center"/>
                </w:tcPr>
                <w:p w14:paraId="5067040E">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64" w:type="pct"/>
                  <w:tcBorders>
                    <w:top w:val="single" w:color="auto" w:sz="4" w:space="0"/>
                    <w:left w:val="nil"/>
                    <w:bottom w:val="single" w:color="auto" w:sz="4" w:space="0"/>
                    <w:right w:val="single" w:color="auto" w:sz="4" w:space="0"/>
                  </w:tcBorders>
                  <w:noWrap w:val="0"/>
                  <w:vAlign w:val="center"/>
                </w:tcPr>
                <w:p w14:paraId="2860D6DD">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5913952A">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eastAsia"/>
                      <w:lang w:val="en-US" w:eastAsia="zh-CN"/>
                    </w:rPr>
                  </w:pPr>
                  <w:r>
                    <w:t>东</w:t>
                  </w:r>
                  <w:r>
                    <w:rPr>
                      <w:rFonts w:hint="eastAsia"/>
                      <w:lang w:val="en-US" w:eastAsia="zh-CN"/>
                    </w:rPr>
                    <w:t>122</w:t>
                  </w:r>
                </w:p>
                <w:p w14:paraId="19D97388">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南</w:t>
                  </w:r>
                  <w:r>
                    <w:rPr>
                      <w:rFonts w:hint="eastAsia"/>
                      <w:lang w:val="en-US" w:eastAsia="zh-CN"/>
                    </w:rPr>
                    <w:t>24</w:t>
                  </w:r>
                </w:p>
                <w:p w14:paraId="44C7A320">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西</w:t>
                  </w:r>
                  <w:r>
                    <w:rPr>
                      <w:rFonts w:hint="eastAsia"/>
                      <w:lang w:val="en-US" w:eastAsia="zh-CN"/>
                    </w:rPr>
                    <w:t>16</w:t>
                  </w:r>
                </w:p>
                <w:p w14:paraId="487DE8C7">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eastAsia="宋体"/>
                      <w:lang w:val="en-US" w:eastAsia="zh-CN"/>
                    </w:rPr>
                  </w:pPr>
                  <w:r>
                    <w:t>北</w:t>
                  </w:r>
                  <w:r>
                    <w:rPr>
                      <w:rFonts w:hint="eastAsia"/>
                      <w:lang w:val="en-US" w:eastAsia="zh-CN"/>
                    </w:rPr>
                    <w:t>53</w:t>
                  </w:r>
                </w:p>
              </w:tc>
              <w:tc>
                <w:tcPr>
                  <w:tcW w:w="287" w:type="pct"/>
                  <w:tcBorders>
                    <w:top w:val="single" w:color="auto" w:sz="4" w:space="0"/>
                    <w:left w:val="nil"/>
                    <w:bottom w:val="single" w:color="auto" w:sz="4" w:space="0"/>
                    <w:right w:val="single" w:color="auto" w:sz="4" w:space="0"/>
                  </w:tcBorders>
                  <w:noWrap w:val="0"/>
                  <w:vAlign w:val="center"/>
                </w:tcPr>
                <w:p w14:paraId="2C275221">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29F06D43">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1A297B4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东53</w:t>
                  </w:r>
                </w:p>
                <w:p w14:paraId="3E4753F3">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南45</w:t>
                  </w:r>
                </w:p>
                <w:p w14:paraId="5FF52190">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西50</w:t>
                  </w:r>
                </w:p>
                <w:p w14:paraId="4418E924">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北40</w:t>
                  </w:r>
                </w:p>
              </w:tc>
              <w:tc>
                <w:tcPr>
                  <w:tcW w:w="481" w:type="pct"/>
                  <w:tcBorders>
                    <w:top w:val="single" w:color="auto" w:sz="4" w:space="0"/>
                    <w:left w:val="nil"/>
                    <w:bottom w:val="single" w:color="auto" w:sz="4" w:space="0"/>
                    <w:right w:val="single" w:color="auto" w:sz="4" w:space="0"/>
                  </w:tcBorders>
                  <w:noWrap w:val="0"/>
                  <w:vAlign w:val="center"/>
                </w:tcPr>
                <w:p w14:paraId="5F051ED6">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6743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78B03519">
                  <w:pPr>
                    <w:spacing w:line="240" w:lineRule="auto"/>
                    <w:ind w:firstLine="0" w:firstLineChars="0"/>
                    <w:jc w:val="center"/>
                    <w:rPr>
                      <w:rFonts w:hint="eastAsia" w:eastAsia="宋体"/>
                      <w:lang w:eastAsia="zh-CN"/>
                    </w:rPr>
                  </w:pPr>
                  <w:r>
                    <w:rPr>
                      <w:rFonts w:hint="eastAsia" w:cs="Times New Roman"/>
                      <w:sz w:val="21"/>
                      <w:szCs w:val="21"/>
                      <w:lang w:val="en-US" w:eastAsia="zh-CN"/>
                    </w:rPr>
                    <w:t>9</w:t>
                  </w:r>
                </w:p>
              </w:tc>
              <w:tc>
                <w:tcPr>
                  <w:tcW w:w="589" w:type="pct"/>
                  <w:tcBorders>
                    <w:top w:val="single" w:color="auto" w:sz="4" w:space="0"/>
                    <w:left w:val="nil"/>
                    <w:bottom w:val="single" w:color="auto" w:sz="4" w:space="0"/>
                    <w:right w:val="single" w:color="auto" w:sz="4" w:space="0"/>
                  </w:tcBorders>
                  <w:noWrap w:val="0"/>
                  <w:vAlign w:val="center"/>
                </w:tcPr>
                <w:p w14:paraId="54747356">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激光管切机</w:t>
                  </w:r>
                </w:p>
              </w:tc>
              <w:tc>
                <w:tcPr>
                  <w:tcW w:w="475" w:type="pct"/>
                  <w:tcBorders>
                    <w:top w:val="single" w:color="auto" w:sz="4" w:space="0"/>
                    <w:left w:val="nil"/>
                    <w:bottom w:val="single" w:color="auto" w:sz="4" w:space="0"/>
                    <w:right w:val="single" w:color="auto" w:sz="4" w:space="0"/>
                  </w:tcBorders>
                  <w:noWrap w:val="0"/>
                  <w:vAlign w:val="center"/>
                </w:tcPr>
                <w:p w14:paraId="30B6DF9E">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80~85</w:t>
                  </w:r>
                </w:p>
              </w:tc>
              <w:tc>
                <w:tcPr>
                  <w:tcW w:w="737" w:type="pct"/>
                  <w:vMerge w:val="continue"/>
                  <w:tcBorders>
                    <w:left w:val="nil"/>
                    <w:right w:val="single" w:color="auto" w:sz="4" w:space="0"/>
                  </w:tcBorders>
                  <w:noWrap w:val="0"/>
                  <w:vAlign w:val="center"/>
                </w:tcPr>
                <w:p w14:paraId="2F1B088C">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5F8F47FE">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246" w:type="pct"/>
                  <w:tcBorders>
                    <w:top w:val="single" w:color="auto" w:sz="4" w:space="0"/>
                    <w:left w:val="nil"/>
                    <w:bottom w:val="single" w:color="auto" w:sz="4" w:space="0"/>
                    <w:right w:val="single" w:color="auto" w:sz="4" w:space="0"/>
                  </w:tcBorders>
                  <w:noWrap w:val="0"/>
                  <w:vAlign w:val="center"/>
                </w:tcPr>
                <w:p w14:paraId="4B04232F">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64" w:type="pct"/>
                  <w:tcBorders>
                    <w:top w:val="single" w:color="auto" w:sz="4" w:space="0"/>
                    <w:left w:val="nil"/>
                    <w:bottom w:val="single" w:color="auto" w:sz="4" w:space="0"/>
                    <w:right w:val="single" w:color="auto" w:sz="4" w:space="0"/>
                  </w:tcBorders>
                  <w:noWrap w:val="0"/>
                  <w:vAlign w:val="center"/>
                </w:tcPr>
                <w:p w14:paraId="0DD98456">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069D840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103</w:t>
                  </w:r>
                </w:p>
                <w:p w14:paraId="68A4B1E0">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南</w:t>
                  </w:r>
                  <w:r>
                    <w:rPr>
                      <w:rFonts w:hint="eastAsia"/>
                      <w:lang w:val="en-US" w:eastAsia="zh-CN"/>
                    </w:rPr>
                    <w:t>55</w:t>
                  </w:r>
                </w:p>
                <w:p w14:paraId="782DC38D">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西</w:t>
                  </w:r>
                  <w:r>
                    <w:rPr>
                      <w:rFonts w:hint="eastAsia"/>
                      <w:lang w:val="en-US" w:eastAsia="zh-CN"/>
                    </w:rPr>
                    <w:t>35</w:t>
                  </w:r>
                </w:p>
                <w:p w14:paraId="5A2A8C76">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eastAsia="宋体"/>
                      <w:lang w:val="en-US" w:eastAsia="zh-CN"/>
                    </w:rPr>
                  </w:pPr>
                  <w:r>
                    <w:t>北</w:t>
                  </w:r>
                  <w:r>
                    <w:rPr>
                      <w:rFonts w:hint="eastAsia"/>
                      <w:lang w:val="en-US" w:eastAsia="zh-CN"/>
                    </w:rPr>
                    <w:t>22</w:t>
                  </w:r>
                </w:p>
              </w:tc>
              <w:tc>
                <w:tcPr>
                  <w:tcW w:w="287" w:type="pct"/>
                  <w:tcBorders>
                    <w:top w:val="single" w:color="auto" w:sz="4" w:space="0"/>
                    <w:left w:val="nil"/>
                    <w:bottom w:val="single" w:color="auto" w:sz="4" w:space="0"/>
                    <w:right w:val="single" w:color="auto" w:sz="4" w:space="0"/>
                  </w:tcBorders>
                  <w:noWrap w:val="0"/>
                  <w:vAlign w:val="center"/>
                </w:tcPr>
                <w:p w14:paraId="3D80F56A">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4C9C8C7D">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7395B4D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东30</w:t>
                  </w:r>
                </w:p>
                <w:p w14:paraId="07284690">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eastAsia" w:eastAsia="宋体"/>
                      <w:lang w:eastAsia="zh-CN"/>
                    </w:rPr>
                  </w:pPr>
                  <w:r>
                    <w:t>南1</w:t>
                  </w:r>
                  <w:r>
                    <w:rPr>
                      <w:rFonts w:hint="eastAsia"/>
                      <w:lang w:val="en-US" w:eastAsia="zh-CN"/>
                    </w:rPr>
                    <w:t>6</w:t>
                  </w:r>
                </w:p>
                <w:p w14:paraId="653B0E5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西34</w:t>
                  </w:r>
                </w:p>
                <w:p w14:paraId="5B1D8467">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eastAsia" w:eastAsia="宋体"/>
                      <w:lang w:eastAsia="zh-CN"/>
                    </w:rPr>
                  </w:pPr>
                  <w:r>
                    <w:t>北1</w:t>
                  </w:r>
                  <w:r>
                    <w:rPr>
                      <w:rFonts w:hint="eastAsia"/>
                      <w:lang w:val="en-US" w:eastAsia="zh-CN"/>
                    </w:rPr>
                    <w:t>3</w:t>
                  </w:r>
                </w:p>
              </w:tc>
              <w:tc>
                <w:tcPr>
                  <w:tcW w:w="481" w:type="pct"/>
                  <w:tcBorders>
                    <w:top w:val="single" w:color="auto" w:sz="4" w:space="0"/>
                    <w:left w:val="nil"/>
                    <w:bottom w:val="single" w:color="auto" w:sz="4" w:space="0"/>
                    <w:right w:val="single" w:color="auto" w:sz="4" w:space="0"/>
                  </w:tcBorders>
                  <w:noWrap w:val="0"/>
                  <w:vAlign w:val="center"/>
                </w:tcPr>
                <w:p w14:paraId="1B0F989C">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3B77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1B22F2C5">
                  <w:pPr>
                    <w:spacing w:line="240" w:lineRule="auto"/>
                    <w:ind w:firstLine="0" w:firstLineChars="0"/>
                    <w:jc w:val="center"/>
                    <w:rPr>
                      <w:rFonts w:hint="eastAsia" w:eastAsia="宋体"/>
                      <w:lang w:eastAsia="zh-CN"/>
                    </w:rPr>
                  </w:pPr>
                  <w:r>
                    <w:rPr>
                      <w:rFonts w:hint="default" w:ascii="Times New Roman" w:hAnsi="Times New Roman" w:cs="Times New Roman"/>
                      <w:sz w:val="21"/>
                      <w:szCs w:val="21"/>
                    </w:rPr>
                    <w:t>1</w:t>
                  </w:r>
                  <w:r>
                    <w:rPr>
                      <w:rFonts w:hint="eastAsia" w:cs="Times New Roman"/>
                      <w:sz w:val="21"/>
                      <w:szCs w:val="21"/>
                      <w:lang w:val="en-US" w:eastAsia="zh-CN"/>
                    </w:rPr>
                    <w:t>0</w:t>
                  </w:r>
                </w:p>
              </w:tc>
              <w:tc>
                <w:tcPr>
                  <w:tcW w:w="589" w:type="pct"/>
                  <w:tcBorders>
                    <w:top w:val="single" w:color="auto" w:sz="4" w:space="0"/>
                    <w:left w:val="nil"/>
                    <w:bottom w:val="single" w:color="auto" w:sz="4" w:space="0"/>
                    <w:right w:val="single" w:color="auto" w:sz="4" w:space="0"/>
                  </w:tcBorders>
                  <w:noWrap w:val="0"/>
                  <w:vAlign w:val="center"/>
                </w:tcPr>
                <w:p w14:paraId="57085B88">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油压机</w:t>
                  </w:r>
                </w:p>
              </w:tc>
              <w:tc>
                <w:tcPr>
                  <w:tcW w:w="475" w:type="pct"/>
                  <w:tcBorders>
                    <w:top w:val="single" w:color="auto" w:sz="4" w:space="0"/>
                    <w:left w:val="nil"/>
                    <w:bottom w:val="single" w:color="auto" w:sz="4" w:space="0"/>
                    <w:right w:val="single" w:color="auto" w:sz="4" w:space="0"/>
                  </w:tcBorders>
                  <w:noWrap w:val="0"/>
                  <w:vAlign w:val="center"/>
                </w:tcPr>
                <w:p w14:paraId="41F4C502">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70~80</w:t>
                  </w:r>
                </w:p>
              </w:tc>
              <w:tc>
                <w:tcPr>
                  <w:tcW w:w="737" w:type="pct"/>
                  <w:vMerge w:val="continue"/>
                  <w:tcBorders>
                    <w:left w:val="nil"/>
                    <w:right w:val="single" w:color="auto" w:sz="4" w:space="0"/>
                  </w:tcBorders>
                  <w:noWrap w:val="0"/>
                  <w:vAlign w:val="center"/>
                </w:tcPr>
                <w:p w14:paraId="4273AD2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2F80FF59">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74</w:t>
                  </w:r>
                </w:p>
              </w:tc>
              <w:tc>
                <w:tcPr>
                  <w:tcW w:w="246" w:type="pct"/>
                  <w:tcBorders>
                    <w:top w:val="single" w:color="auto" w:sz="4" w:space="0"/>
                    <w:left w:val="nil"/>
                    <w:bottom w:val="single" w:color="auto" w:sz="4" w:space="0"/>
                    <w:right w:val="single" w:color="auto" w:sz="4" w:space="0"/>
                  </w:tcBorders>
                  <w:noWrap w:val="0"/>
                  <w:vAlign w:val="center"/>
                </w:tcPr>
                <w:p w14:paraId="4B66E955">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64" w:type="pct"/>
                  <w:tcBorders>
                    <w:top w:val="single" w:color="auto" w:sz="4" w:space="0"/>
                    <w:left w:val="nil"/>
                    <w:bottom w:val="single" w:color="auto" w:sz="4" w:space="0"/>
                    <w:right w:val="single" w:color="auto" w:sz="4" w:space="0"/>
                  </w:tcBorders>
                  <w:noWrap w:val="0"/>
                  <w:vAlign w:val="center"/>
                </w:tcPr>
                <w:p w14:paraId="77F62A19">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6F5F945B">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东75</w:t>
                  </w:r>
                </w:p>
                <w:p w14:paraId="66DB9C9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南40</w:t>
                  </w:r>
                </w:p>
                <w:p w14:paraId="75B62190">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西60</w:t>
                  </w:r>
                </w:p>
                <w:p w14:paraId="082EDE48">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北30</w:t>
                  </w:r>
                </w:p>
              </w:tc>
              <w:tc>
                <w:tcPr>
                  <w:tcW w:w="287" w:type="pct"/>
                  <w:tcBorders>
                    <w:top w:val="single" w:color="auto" w:sz="4" w:space="0"/>
                    <w:left w:val="nil"/>
                    <w:bottom w:val="single" w:color="auto" w:sz="4" w:space="0"/>
                    <w:right w:val="single" w:color="auto" w:sz="4" w:space="0"/>
                  </w:tcBorders>
                  <w:noWrap w:val="0"/>
                  <w:vAlign w:val="center"/>
                </w:tcPr>
                <w:p w14:paraId="11DF9EAE">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522FF11F">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4D5D9F0C">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49</w:t>
                  </w:r>
                </w:p>
                <w:p w14:paraId="7B15791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南30</w:t>
                  </w:r>
                </w:p>
                <w:p w14:paraId="5CE53AAC">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西47</w:t>
                  </w:r>
                </w:p>
                <w:p w14:paraId="7298E7BD">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北35</w:t>
                  </w:r>
                </w:p>
              </w:tc>
              <w:tc>
                <w:tcPr>
                  <w:tcW w:w="481" w:type="pct"/>
                  <w:tcBorders>
                    <w:top w:val="single" w:color="auto" w:sz="4" w:space="0"/>
                    <w:left w:val="nil"/>
                    <w:bottom w:val="single" w:color="auto" w:sz="4" w:space="0"/>
                    <w:right w:val="single" w:color="auto" w:sz="4" w:space="0"/>
                  </w:tcBorders>
                  <w:noWrap w:val="0"/>
                  <w:vAlign w:val="center"/>
                </w:tcPr>
                <w:p w14:paraId="517FE14F">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06A5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2CBE3F8F">
                  <w:pPr>
                    <w:spacing w:line="240" w:lineRule="auto"/>
                    <w:ind w:firstLine="0" w:firstLineChars="0"/>
                    <w:jc w:val="center"/>
                    <w:rPr>
                      <w:rFonts w:hint="eastAsia" w:eastAsia="宋体"/>
                      <w:lang w:eastAsia="zh-CN"/>
                    </w:rPr>
                  </w:pPr>
                  <w:r>
                    <w:rPr>
                      <w:rFonts w:hint="default" w:ascii="Times New Roman" w:hAnsi="Times New Roman" w:cs="Times New Roman"/>
                      <w:sz w:val="21"/>
                      <w:szCs w:val="21"/>
                    </w:rPr>
                    <w:t>1</w:t>
                  </w:r>
                  <w:r>
                    <w:rPr>
                      <w:rFonts w:hint="eastAsia" w:cs="Times New Roman"/>
                      <w:sz w:val="21"/>
                      <w:szCs w:val="21"/>
                      <w:lang w:val="en-US" w:eastAsia="zh-CN"/>
                    </w:rPr>
                    <w:t>1</w:t>
                  </w:r>
                </w:p>
              </w:tc>
              <w:tc>
                <w:tcPr>
                  <w:tcW w:w="589" w:type="pct"/>
                  <w:tcBorders>
                    <w:top w:val="single" w:color="auto" w:sz="4" w:space="0"/>
                    <w:left w:val="nil"/>
                    <w:bottom w:val="single" w:color="auto" w:sz="4" w:space="0"/>
                    <w:right w:val="single" w:color="auto" w:sz="4" w:space="0"/>
                  </w:tcBorders>
                  <w:noWrap w:val="0"/>
                  <w:vAlign w:val="center"/>
                </w:tcPr>
                <w:p w14:paraId="1F35F122">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台车式电阻炉</w:t>
                  </w:r>
                </w:p>
              </w:tc>
              <w:tc>
                <w:tcPr>
                  <w:tcW w:w="475" w:type="pct"/>
                  <w:tcBorders>
                    <w:top w:val="single" w:color="auto" w:sz="4" w:space="0"/>
                    <w:left w:val="nil"/>
                    <w:bottom w:val="single" w:color="auto" w:sz="4" w:space="0"/>
                    <w:right w:val="single" w:color="auto" w:sz="4" w:space="0"/>
                  </w:tcBorders>
                  <w:noWrap w:val="0"/>
                  <w:vAlign w:val="center"/>
                </w:tcPr>
                <w:p w14:paraId="50E85FC6">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75~80</w:t>
                  </w:r>
                </w:p>
              </w:tc>
              <w:tc>
                <w:tcPr>
                  <w:tcW w:w="737" w:type="pct"/>
                  <w:vMerge w:val="continue"/>
                  <w:tcBorders>
                    <w:left w:val="nil"/>
                    <w:right w:val="single" w:color="auto" w:sz="4" w:space="0"/>
                  </w:tcBorders>
                  <w:noWrap w:val="0"/>
                  <w:vAlign w:val="center"/>
                </w:tcPr>
                <w:p w14:paraId="4AD0A94D">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2A1B14F4">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246" w:type="pct"/>
                  <w:tcBorders>
                    <w:top w:val="single" w:color="auto" w:sz="4" w:space="0"/>
                    <w:left w:val="nil"/>
                    <w:bottom w:val="single" w:color="auto" w:sz="4" w:space="0"/>
                    <w:right w:val="single" w:color="auto" w:sz="4" w:space="0"/>
                  </w:tcBorders>
                  <w:noWrap w:val="0"/>
                  <w:vAlign w:val="center"/>
                </w:tcPr>
                <w:p w14:paraId="7081E0A4">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64" w:type="pct"/>
                  <w:tcBorders>
                    <w:top w:val="single" w:color="auto" w:sz="4" w:space="0"/>
                    <w:left w:val="nil"/>
                    <w:bottom w:val="single" w:color="auto" w:sz="4" w:space="0"/>
                    <w:right w:val="single" w:color="auto" w:sz="4" w:space="0"/>
                  </w:tcBorders>
                  <w:noWrap w:val="0"/>
                  <w:vAlign w:val="center"/>
                </w:tcPr>
                <w:p w14:paraId="419B797B">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39B955F3">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东77</w:t>
                  </w:r>
                </w:p>
                <w:p w14:paraId="55CD420C">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南55</w:t>
                  </w:r>
                </w:p>
                <w:p w14:paraId="04B78803">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西72</w:t>
                  </w:r>
                </w:p>
                <w:p w14:paraId="2F51C8C6">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北60</w:t>
                  </w:r>
                </w:p>
              </w:tc>
              <w:tc>
                <w:tcPr>
                  <w:tcW w:w="287" w:type="pct"/>
                  <w:tcBorders>
                    <w:top w:val="single" w:color="auto" w:sz="4" w:space="0"/>
                    <w:left w:val="nil"/>
                    <w:bottom w:val="single" w:color="auto" w:sz="4" w:space="0"/>
                    <w:right w:val="single" w:color="auto" w:sz="4" w:space="0"/>
                  </w:tcBorders>
                  <w:noWrap w:val="0"/>
                  <w:vAlign w:val="center"/>
                </w:tcPr>
                <w:p w14:paraId="0942791B">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418ABC50">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177A1E2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55</w:t>
                  </w:r>
                </w:p>
                <w:p w14:paraId="5EC89329">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南45</w:t>
                  </w:r>
                </w:p>
                <w:p w14:paraId="245723B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eastAsia" w:eastAsia="宋体"/>
                      <w:lang w:eastAsia="zh-CN"/>
                    </w:rPr>
                  </w:pPr>
                  <w:r>
                    <w:t>西5</w:t>
                  </w:r>
                  <w:r>
                    <w:rPr>
                      <w:rFonts w:hint="eastAsia"/>
                      <w:lang w:val="en-US" w:eastAsia="zh-CN"/>
                    </w:rPr>
                    <w:t>2</w:t>
                  </w:r>
                </w:p>
                <w:p w14:paraId="7DDB4DB8">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北40</w:t>
                  </w:r>
                </w:p>
              </w:tc>
              <w:tc>
                <w:tcPr>
                  <w:tcW w:w="481" w:type="pct"/>
                  <w:tcBorders>
                    <w:top w:val="single" w:color="auto" w:sz="4" w:space="0"/>
                    <w:left w:val="nil"/>
                    <w:bottom w:val="single" w:color="auto" w:sz="4" w:space="0"/>
                    <w:right w:val="single" w:color="auto" w:sz="4" w:space="0"/>
                  </w:tcBorders>
                  <w:noWrap w:val="0"/>
                  <w:vAlign w:val="center"/>
                </w:tcPr>
                <w:p w14:paraId="2D9F27F3">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34F6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5613E92F">
                  <w:pPr>
                    <w:spacing w:line="240" w:lineRule="auto"/>
                    <w:ind w:firstLine="0" w:firstLineChars="0"/>
                    <w:jc w:val="center"/>
                    <w:rPr>
                      <w:rFonts w:hint="eastAsia" w:eastAsia="宋体"/>
                      <w:lang w:eastAsia="zh-CN"/>
                    </w:rPr>
                  </w:pPr>
                  <w:r>
                    <w:rPr>
                      <w:rFonts w:hint="default" w:ascii="Times New Roman" w:hAnsi="Times New Roman" w:cs="Times New Roman"/>
                      <w:sz w:val="21"/>
                      <w:szCs w:val="21"/>
                    </w:rPr>
                    <w:t>1</w:t>
                  </w:r>
                  <w:r>
                    <w:rPr>
                      <w:rFonts w:hint="eastAsia" w:cs="Times New Roman"/>
                      <w:sz w:val="21"/>
                      <w:szCs w:val="21"/>
                      <w:lang w:val="en-US" w:eastAsia="zh-CN"/>
                    </w:rPr>
                    <w:t>2</w:t>
                  </w:r>
                </w:p>
              </w:tc>
              <w:tc>
                <w:tcPr>
                  <w:tcW w:w="589" w:type="pct"/>
                  <w:tcBorders>
                    <w:top w:val="single" w:color="auto" w:sz="4" w:space="0"/>
                    <w:left w:val="nil"/>
                    <w:bottom w:val="single" w:color="auto" w:sz="4" w:space="0"/>
                    <w:right w:val="single" w:color="auto" w:sz="4" w:space="0"/>
                  </w:tcBorders>
                  <w:noWrap w:val="0"/>
                  <w:vAlign w:val="center"/>
                </w:tcPr>
                <w:p w14:paraId="4B602A11">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数显卧式铣镗床</w:t>
                  </w:r>
                </w:p>
              </w:tc>
              <w:tc>
                <w:tcPr>
                  <w:tcW w:w="475" w:type="pct"/>
                  <w:tcBorders>
                    <w:top w:val="single" w:color="auto" w:sz="4" w:space="0"/>
                    <w:left w:val="nil"/>
                    <w:bottom w:val="single" w:color="auto" w:sz="4" w:space="0"/>
                    <w:right w:val="single" w:color="auto" w:sz="4" w:space="0"/>
                  </w:tcBorders>
                  <w:noWrap w:val="0"/>
                  <w:vAlign w:val="center"/>
                </w:tcPr>
                <w:p w14:paraId="4C66A0C4">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75~80</w:t>
                  </w:r>
                </w:p>
              </w:tc>
              <w:tc>
                <w:tcPr>
                  <w:tcW w:w="737" w:type="pct"/>
                  <w:vMerge w:val="continue"/>
                  <w:tcBorders>
                    <w:left w:val="nil"/>
                    <w:right w:val="single" w:color="auto" w:sz="4" w:space="0"/>
                  </w:tcBorders>
                  <w:noWrap w:val="0"/>
                  <w:vAlign w:val="center"/>
                </w:tcPr>
                <w:p w14:paraId="4C73DEDA">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2021B9F2">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246" w:type="pct"/>
                  <w:tcBorders>
                    <w:top w:val="single" w:color="auto" w:sz="4" w:space="0"/>
                    <w:left w:val="nil"/>
                    <w:bottom w:val="single" w:color="auto" w:sz="4" w:space="0"/>
                    <w:right w:val="single" w:color="auto" w:sz="4" w:space="0"/>
                  </w:tcBorders>
                  <w:noWrap w:val="0"/>
                  <w:vAlign w:val="center"/>
                </w:tcPr>
                <w:p w14:paraId="1A023424">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164" w:type="pct"/>
                  <w:tcBorders>
                    <w:top w:val="single" w:color="auto" w:sz="4" w:space="0"/>
                    <w:left w:val="nil"/>
                    <w:bottom w:val="single" w:color="auto" w:sz="4" w:space="0"/>
                    <w:right w:val="single" w:color="auto" w:sz="4" w:space="0"/>
                  </w:tcBorders>
                  <w:noWrap w:val="0"/>
                  <w:vAlign w:val="center"/>
                </w:tcPr>
                <w:p w14:paraId="67F6CE86">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60585400">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东78</w:t>
                  </w:r>
                </w:p>
                <w:p w14:paraId="0E420643">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南60</w:t>
                  </w:r>
                </w:p>
                <w:p w14:paraId="3F0655D5">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西75</w:t>
                  </w:r>
                </w:p>
                <w:p w14:paraId="454EA8E1">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北65</w:t>
                  </w:r>
                </w:p>
              </w:tc>
              <w:tc>
                <w:tcPr>
                  <w:tcW w:w="287" w:type="pct"/>
                  <w:tcBorders>
                    <w:top w:val="single" w:color="auto" w:sz="4" w:space="0"/>
                    <w:left w:val="nil"/>
                    <w:bottom w:val="single" w:color="auto" w:sz="4" w:space="0"/>
                    <w:right w:val="single" w:color="auto" w:sz="4" w:space="0"/>
                  </w:tcBorders>
                  <w:noWrap w:val="0"/>
                  <w:vAlign w:val="center"/>
                </w:tcPr>
                <w:p w14:paraId="1EBE628B">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79CE8080">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4FED0C9D">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东30</w:t>
                  </w:r>
                </w:p>
                <w:p w14:paraId="5BDD2FA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南18</w:t>
                  </w:r>
                </w:p>
                <w:p w14:paraId="1B61523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西34</w:t>
                  </w:r>
                </w:p>
                <w:p w14:paraId="4E416330">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北11</w:t>
                  </w:r>
                </w:p>
              </w:tc>
              <w:tc>
                <w:tcPr>
                  <w:tcW w:w="481" w:type="pct"/>
                  <w:tcBorders>
                    <w:top w:val="single" w:color="auto" w:sz="4" w:space="0"/>
                    <w:left w:val="nil"/>
                    <w:bottom w:val="single" w:color="auto" w:sz="4" w:space="0"/>
                    <w:right w:val="single" w:color="auto" w:sz="4" w:space="0"/>
                  </w:tcBorders>
                  <w:noWrap w:val="0"/>
                  <w:vAlign w:val="center"/>
                </w:tcPr>
                <w:p w14:paraId="45D01D55">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3682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4857F9E5">
                  <w:pPr>
                    <w:spacing w:line="240" w:lineRule="auto"/>
                    <w:ind w:firstLine="0" w:firstLineChars="0"/>
                    <w:jc w:val="center"/>
                    <w:rPr>
                      <w:rFonts w:hint="eastAsia" w:eastAsia="宋体"/>
                      <w:lang w:eastAsia="zh-CN"/>
                    </w:rPr>
                  </w:pPr>
                  <w:r>
                    <w:rPr>
                      <w:rFonts w:hint="default" w:ascii="Times New Roman" w:hAnsi="Times New Roman" w:cs="Times New Roman"/>
                      <w:sz w:val="21"/>
                      <w:szCs w:val="21"/>
                    </w:rPr>
                    <w:t>1</w:t>
                  </w:r>
                  <w:r>
                    <w:rPr>
                      <w:rFonts w:hint="eastAsia" w:cs="Times New Roman"/>
                      <w:sz w:val="21"/>
                      <w:szCs w:val="21"/>
                      <w:lang w:val="en-US" w:eastAsia="zh-CN"/>
                    </w:rPr>
                    <w:t>3</w:t>
                  </w:r>
                </w:p>
              </w:tc>
              <w:tc>
                <w:tcPr>
                  <w:tcW w:w="589" w:type="pct"/>
                  <w:tcBorders>
                    <w:top w:val="single" w:color="auto" w:sz="4" w:space="0"/>
                    <w:left w:val="nil"/>
                    <w:bottom w:val="single" w:color="auto" w:sz="4" w:space="0"/>
                    <w:right w:val="single" w:color="auto" w:sz="4" w:space="0"/>
                  </w:tcBorders>
                  <w:noWrap w:val="0"/>
                  <w:vAlign w:val="center"/>
                </w:tcPr>
                <w:p w14:paraId="64B2CB33">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开式可倾压力机</w:t>
                  </w:r>
                </w:p>
              </w:tc>
              <w:tc>
                <w:tcPr>
                  <w:tcW w:w="475" w:type="pct"/>
                  <w:tcBorders>
                    <w:top w:val="single" w:color="auto" w:sz="4" w:space="0"/>
                    <w:left w:val="nil"/>
                    <w:bottom w:val="single" w:color="auto" w:sz="4" w:space="0"/>
                    <w:right w:val="single" w:color="auto" w:sz="4" w:space="0"/>
                  </w:tcBorders>
                  <w:noWrap w:val="0"/>
                  <w:vAlign w:val="center"/>
                </w:tcPr>
                <w:p w14:paraId="6A4F7186">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75~80</w:t>
                  </w:r>
                </w:p>
              </w:tc>
              <w:tc>
                <w:tcPr>
                  <w:tcW w:w="737" w:type="pct"/>
                  <w:vMerge w:val="continue"/>
                  <w:tcBorders>
                    <w:left w:val="nil"/>
                    <w:right w:val="single" w:color="auto" w:sz="4" w:space="0"/>
                  </w:tcBorders>
                  <w:noWrap w:val="0"/>
                  <w:vAlign w:val="center"/>
                </w:tcPr>
                <w:p w14:paraId="5917289C">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7C74AD65">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246" w:type="pct"/>
                  <w:tcBorders>
                    <w:top w:val="single" w:color="auto" w:sz="4" w:space="0"/>
                    <w:left w:val="nil"/>
                    <w:bottom w:val="single" w:color="auto" w:sz="4" w:space="0"/>
                    <w:right w:val="single" w:color="auto" w:sz="4" w:space="0"/>
                  </w:tcBorders>
                  <w:noWrap w:val="0"/>
                  <w:vAlign w:val="center"/>
                </w:tcPr>
                <w:p w14:paraId="2512FCB5">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164" w:type="pct"/>
                  <w:tcBorders>
                    <w:top w:val="single" w:color="auto" w:sz="4" w:space="0"/>
                    <w:left w:val="nil"/>
                    <w:bottom w:val="single" w:color="auto" w:sz="4" w:space="0"/>
                    <w:right w:val="single" w:color="auto" w:sz="4" w:space="0"/>
                  </w:tcBorders>
                  <w:noWrap w:val="0"/>
                  <w:vAlign w:val="center"/>
                </w:tcPr>
                <w:p w14:paraId="01E4962D">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0851DAF0">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东55</w:t>
                  </w:r>
                </w:p>
                <w:p w14:paraId="60F5D0B3">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南43</w:t>
                  </w:r>
                </w:p>
                <w:p w14:paraId="6433E08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西59</w:t>
                  </w:r>
                </w:p>
                <w:p w14:paraId="75EF45B3">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北36</w:t>
                  </w:r>
                </w:p>
              </w:tc>
              <w:tc>
                <w:tcPr>
                  <w:tcW w:w="287" w:type="pct"/>
                  <w:tcBorders>
                    <w:top w:val="single" w:color="auto" w:sz="4" w:space="0"/>
                    <w:left w:val="nil"/>
                    <w:bottom w:val="single" w:color="auto" w:sz="4" w:space="0"/>
                    <w:right w:val="single" w:color="auto" w:sz="4" w:space="0"/>
                  </w:tcBorders>
                  <w:noWrap w:val="0"/>
                  <w:vAlign w:val="center"/>
                </w:tcPr>
                <w:p w14:paraId="6F9C4FC9">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6EBFC02C">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10305CB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东30</w:t>
                  </w:r>
                </w:p>
                <w:p w14:paraId="705810C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南18</w:t>
                  </w:r>
                </w:p>
                <w:p w14:paraId="4303371D">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eastAsia" w:eastAsia="宋体"/>
                      <w:lang w:eastAsia="zh-CN"/>
                    </w:rPr>
                  </w:pPr>
                  <w:r>
                    <w:t>西3</w:t>
                  </w:r>
                  <w:r>
                    <w:rPr>
                      <w:rFonts w:hint="eastAsia"/>
                      <w:lang w:val="en-US" w:eastAsia="zh-CN"/>
                    </w:rPr>
                    <w:t>3</w:t>
                  </w:r>
                </w:p>
                <w:p w14:paraId="016D35DB">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北11</w:t>
                  </w:r>
                </w:p>
              </w:tc>
              <w:tc>
                <w:tcPr>
                  <w:tcW w:w="481" w:type="pct"/>
                  <w:tcBorders>
                    <w:top w:val="single" w:color="auto" w:sz="4" w:space="0"/>
                    <w:left w:val="nil"/>
                    <w:bottom w:val="single" w:color="auto" w:sz="4" w:space="0"/>
                    <w:right w:val="single" w:color="auto" w:sz="4" w:space="0"/>
                  </w:tcBorders>
                  <w:noWrap w:val="0"/>
                  <w:vAlign w:val="center"/>
                </w:tcPr>
                <w:p w14:paraId="47B705B3">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3319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2C81CBFA">
                  <w:pPr>
                    <w:spacing w:line="240" w:lineRule="auto"/>
                    <w:ind w:firstLine="0" w:firstLineChars="0"/>
                    <w:jc w:val="center"/>
                    <w:rPr>
                      <w:rFonts w:hint="eastAsia" w:eastAsia="宋体"/>
                      <w:lang w:eastAsia="zh-CN"/>
                    </w:rPr>
                  </w:pPr>
                  <w:r>
                    <w:rPr>
                      <w:rFonts w:hint="default" w:ascii="Times New Roman" w:hAnsi="Times New Roman" w:cs="Times New Roman"/>
                      <w:sz w:val="21"/>
                      <w:szCs w:val="21"/>
                    </w:rPr>
                    <w:t>1</w:t>
                  </w:r>
                  <w:r>
                    <w:rPr>
                      <w:rFonts w:hint="eastAsia" w:cs="Times New Roman"/>
                      <w:sz w:val="21"/>
                      <w:szCs w:val="21"/>
                      <w:lang w:val="en-US" w:eastAsia="zh-CN"/>
                    </w:rPr>
                    <w:t>4</w:t>
                  </w:r>
                </w:p>
              </w:tc>
              <w:tc>
                <w:tcPr>
                  <w:tcW w:w="589" w:type="pct"/>
                  <w:tcBorders>
                    <w:top w:val="single" w:color="auto" w:sz="4" w:space="0"/>
                    <w:left w:val="nil"/>
                    <w:bottom w:val="single" w:color="auto" w:sz="4" w:space="0"/>
                    <w:right w:val="single" w:color="auto" w:sz="4" w:space="0"/>
                  </w:tcBorders>
                  <w:noWrap w:val="0"/>
                  <w:vAlign w:val="center"/>
                </w:tcPr>
                <w:p w14:paraId="6261A608">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钻床</w:t>
                  </w:r>
                </w:p>
              </w:tc>
              <w:tc>
                <w:tcPr>
                  <w:tcW w:w="475" w:type="pct"/>
                  <w:tcBorders>
                    <w:top w:val="single" w:color="auto" w:sz="4" w:space="0"/>
                    <w:left w:val="nil"/>
                    <w:bottom w:val="single" w:color="auto" w:sz="4" w:space="0"/>
                    <w:right w:val="single" w:color="auto" w:sz="4" w:space="0"/>
                  </w:tcBorders>
                  <w:noWrap w:val="0"/>
                  <w:vAlign w:val="center"/>
                </w:tcPr>
                <w:p w14:paraId="708BFB68">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85~90</w:t>
                  </w:r>
                </w:p>
              </w:tc>
              <w:tc>
                <w:tcPr>
                  <w:tcW w:w="737" w:type="pct"/>
                  <w:vMerge w:val="continue"/>
                  <w:tcBorders>
                    <w:left w:val="nil"/>
                    <w:right w:val="single" w:color="auto" w:sz="4" w:space="0"/>
                  </w:tcBorders>
                  <w:noWrap w:val="0"/>
                  <w:vAlign w:val="center"/>
                </w:tcPr>
                <w:p w14:paraId="22EFBA1B">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55EA9424">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246" w:type="pct"/>
                  <w:tcBorders>
                    <w:top w:val="single" w:color="auto" w:sz="4" w:space="0"/>
                    <w:left w:val="nil"/>
                    <w:bottom w:val="single" w:color="auto" w:sz="4" w:space="0"/>
                    <w:right w:val="single" w:color="auto" w:sz="4" w:space="0"/>
                  </w:tcBorders>
                  <w:noWrap w:val="0"/>
                  <w:vAlign w:val="center"/>
                </w:tcPr>
                <w:p w14:paraId="3A9DE8C0">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64" w:type="pct"/>
                  <w:tcBorders>
                    <w:top w:val="single" w:color="auto" w:sz="4" w:space="0"/>
                    <w:left w:val="nil"/>
                    <w:bottom w:val="single" w:color="auto" w:sz="4" w:space="0"/>
                    <w:right w:val="single" w:color="auto" w:sz="4" w:space="0"/>
                  </w:tcBorders>
                  <w:noWrap w:val="0"/>
                  <w:vAlign w:val="center"/>
                </w:tcPr>
                <w:p w14:paraId="5B5FA151">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711C4E3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东55</w:t>
                  </w:r>
                </w:p>
                <w:p w14:paraId="7C8E5B8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南43</w:t>
                  </w:r>
                </w:p>
                <w:p w14:paraId="5EB6672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西59</w:t>
                  </w:r>
                </w:p>
                <w:p w14:paraId="3CE50654">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北36</w:t>
                  </w:r>
                </w:p>
              </w:tc>
              <w:tc>
                <w:tcPr>
                  <w:tcW w:w="287" w:type="pct"/>
                  <w:tcBorders>
                    <w:top w:val="single" w:color="auto" w:sz="4" w:space="0"/>
                    <w:left w:val="nil"/>
                    <w:bottom w:val="single" w:color="auto" w:sz="4" w:space="0"/>
                    <w:right w:val="single" w:color="auto" w:sz="4" w:space="0"/>
                  </w:tcBorders>
                  <w:noWrap w:val="0"/>
                  <w:vAlign w:val="center"/>
                </w:tcPr>
                <w:p w14:paraId="7958CD53">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4E9D4A9C">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3F52EF7D">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eastAsia" w:eastAsia="宋体"/>
                      <w:lang w:eastAsia="zh-CN"/>
                    </w:rPr>
                  </w:pPr>
                  <w:r>
                    <w:t>东3</w:t>
                  </w:r>
                  <w:r>
                    <w:rPr>
                      <w:rFonts w:hint="eastAsia"/>
                      <w:lang w:val="en-US" w:eastAsia="zh-CN"/>
                    </w:rPr>
                    <w:t>5</w:t>
                  </w:r>
                </w:p>
                <w:p w14:paraId="4D62994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南18</w:t>
                  </w:r>
                </w:p>
                <w:p w14:paraId="6AC23CC8">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西34</w:t>
                  </w:r>
                </w:p>
                <w:p w14:paraId="2D55BACB">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北11</w:t>
                  </w:r>
                </w:p>
              </w:tc>
              <w:tc>
                <w:tcPr>
                  <w:tcW w:w="481" w:type="pct"/>
                  <w:tcBorders>
                    <w:top w:val="single" w:color="auto" w:sz="4" w:space="0"/>
                    <w:left w:val="nil"/>
                    <w:bottom w:val="single" w:color="auto" w:sz="4" w:space="0"/>
                    <w:right w:val="single" w:color="auto" w:sz="4" w:space="0"/>
                  </w:tcBorders>
                  <w:noWrap w:val="0"/>
                  <w:vAlign w:val="center"/>
                </w:tcPr>
                <w:p w14:paraId="7FEA2F5E">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203E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3E80E780">
                  <w:pPr>
                    <w:spacing w:line="240" w:lineRule="auto"/>
                    <w:ind w:firstLine="0" w:firstLineChars="0"/>
                    <w:jc w:val="center"/>
                    <w:rPr>
                      <w:rFonts w:hint="eastAsia" w:eastAsia="宋体"/>
                      <w:lang w:eastAsia="zh-CN"/>
                    </w:rPr>
                  </w:pPr>
                  <w:r>
                    <w:rPr>
                      <w:rFonts w:hint="default" w:ascii="Times New Roman" w:hAnsi="Times New Roman" w:cs="Times New Roman"/>
                      <w:sz w:val="21"/>
                      <w:szCs w:val="21"/>
                    </w:rPr>
                    <w:t>1</w:t>
                  </w:r>
                  <w:r>
                    <w:rPr>
                      <w:rFonts w:hint="eastAsia" w:cs="Times New Roman"/>
                      <w:sz w:val="21"/>
                      <w:szCs w:val="21"/>
                      <w:lang w:val="en-US" w:eastAsia="zh-CN"/>
                    </w:rPr>
                    <w:t>5</w:t>
                  </w:r>
                </w:p>
              </w:tc>
              <w:tc>
                <w:tcPr>
                  <w:tcW w:w="589" w:type="pct"/>
                  <w:tcBorders>
                    <w:top w:val="single" w:color="auto" w:sz="4" w:space="0"/>
                    <w:left w:val="nil"/>
                    <w:bottom w:val="single" w:color="auto" w:sz="4" w:space="0"/>
                    <w:right w:val="single" w:color="auto" w:sz="4" w:space="0"/>
                  </w:tcBorders>
                  <w:noWrap w:val="0"/>
                  <w:vAlign w:val="center"/>
                </w:tcPr>
                <w:p w14:paraId="2F777308">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锯床</w:t>
                  </w:r>
                </w:p>
              </w:tc>
              <w:tc>
                <w:tcPr>
                  <w:tcW w:w="475" w:type="pct"/>
                  <w:tcBorders>
                    <w:top w:val="single" w:color="auto" w:sz="4" w:space="0"/>
                    <w:left w:val="nil"/>
                    <w:bottom w:val="single" w:color="auto" w:sz="4" w:space="0"/>
                    <w:right w:val="single" w:color="auto" w:sz="4" w:space="0"/>
                  </w:tcBorders>
                  <w:noWrap w:val="0"/>
                  <w:vAlign w:val="center"/>
                </w:tcPr>
                <w:p w14:paraId="5420E968">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85~90</w:t>
                  </w:r>
                </w:p>
              </w:tc>
              <w:tc>
                <w:tcPr>
                  <w:tcW w:w="737" w:type="pct"/>
                  <w:vMerge w:val="continue"/>
                  <w:tcBorders>
                    <w:left w:val="nil"/>
                    <w:right w:val="single" w:color="auto" w:sz="4" w:space="0"/>
                  </w:tcBorders>
                  <w:noWrap w:val="0"/>
                  <w:vAlign w:val="center"/>
                </w:tcPr>
                <w:p w14:paraId="536D09E7">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73466B7B">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246" w:type="pct"/>
                  <w:tcBorders>
                    <w:top w:val="single" w:color="auto" w:sz="4" w:space="0"/>
                    <w:left w:val="nil"/>
                    <w:bottom w:val="single" w:color="auto" w:sz="4" w:space="0"/>
                    <w:right w:val="single" w:color="auto" w:sz="4" w:space="0"/>
                  </w:tcBorders>
                  <w:noWrap w:val="0"/>
                  <w:vAlign w:val="center"/>
                </w:tcPr>
                <w:p w14:paraId="093E21DF">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64" w:type="pct"/>
                  <w:tcBorders>
                    <w:top w:val="single" w:color="auto" w:sz="4" w:space="0"/>
                    <w:left w:val="nil"/>
                    <w:bottom w:val="single" w:color="auto" w:sz="4" w:space="0"/>
                    <w:right w:val="single" w:color="auto" w:sz="4" w:space="0"/>
                  </w:tcBorders>
                  <w:noWrap w:val="0"/>
                  <w:vAlign w:val="center"/>
                </w:tcPr>
                <w:p w14:paraId="510DF6FC">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017FF538">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东75</w:t>
                  </w:r>
                </w:p>
                <w:p w14:paraId="2132C099">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南40</w:t>
                  </w:r>
                </w:p>
                <w:p w14:paraId="6B8207F9">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西60</w:t>
                  </w:r>
                </w:p>
                <w:p w14:paraId="2551B793">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北30</w:t>
                  </w:r>
                </w:p>
              </w:tc>
              <w:tc>
                <w:tcPr>
                  <w:tcW w:w="287" w:type="pct"/>
                  <w:tcBorders>
                    <w:top w:val="single" w:color="auto" w:sz="4" w:space="0"/>
                    <w:left w:val="nil"/>
                    <w:bottom w:val="single" w:color="auto" w:sz="4" w:space="0"/>
                    <w:right w:val="single" w:color="auto" w:sz="4" w:space="0"/>
                  </w:tcBorders>
                  <w:noWrap w:val="0"/>
                  <w:vAlign w:val="center"/>
                </w:tcPr>
                <w:p w14:paraId="3F217835">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3837D548">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33126E14">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东52</w:t>
                  </w:r>
                </w:p>
                <w:p w14:paraId="65C2C08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南30</w:t>
                  </w:r>
                </w:p>
                <w:p w14:paraId="4C4F9E1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西47</w:t>
                  </w:r>
                </w:p>
                <w:p w14:paraId="070DE44F">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北35</w:t>
                  </w:r>
                </w:p>
              </w:tc>
              <w:tc>
                <w:tcPr>
                  <w:tcW w:w="481" w:type="pct"/>
                  <w:tcBorders>
                    <w:top w:val="single" w:color="auto" w:sz="4" w:space="0"/>
                    <w:left w:val="nil"/>
                    <w:bottom w:val="single" w:color="auto" w:sz="4" w:space="0"/>
                    <w:right w:val="single" w:color="auto" w:sz="4" w:space="0"/>
                  </w:tcBorders>
                  <w:noWrap w:val="0"/>
                  <w:vAlign w:val="center"/>
                </w:tcPr>
                <w:p w14:paraId="02E4CCCB">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3BCA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2993F09F">
                  <w:pPr>
                    <w:spacing w:line="240" w:lineRule="auto"/>
                    <w:ind w:firstLine="0" w:firstLineChars="0"/>
                    <w:jc w:val="center"/>
                    <w:rPr>
                      <w:rFonts w:hint="eastAsia" w:eastAsia="宋体"/>
                      <w:lang w:eastAsia="zh-CN"/>
                    </w:rPr>
                  </w:pPr>
                  <w:r>
                    <w:rPr>
                      <w:rFonts w:hint="default" w:ascii="Times New Roman" w:hAnsi="Times New Roman" w:cs="Times New Roman"/>
                      <w:sz w:val="21"/>
                      <w:szCs w:val="21"/>
                    </w:rPr>
                    <w:t>1</w:t>
                  </w:r>
                  <w:r>
                    <w:rPr>
                      <w:rFonts w:hint="eastAsia" w:cs="Times New Roman"/>
                      <w:sz w:val="21"/>
                      <w:szCs w:val="21"/>
                      <w:lang w:val="en-US" w:eastAsia="zh-CN"/>
                    </w:rPr>
                    <w:t>6</w:t>
                  </w:r>
                </w:p>
              </w:tc>
              <w:tc>
                <w:tcPr>
                  <w:tcW w:w="589" w:type="pct"/>
                  <w:tcBorders>
                    <w:top w:val="single" w:color="auto" w:sz="4" w:space="0"/>
                    <w:left w:val="nil"/>
                    <w:bottom w:val="single" w:color="auto" w:sz="4" w:space="0"/>
                    <w:right w:val="single" w:color="auto" w:sz="4" w:space="0"/>
                  </w:tcBorders>
                  <w:noWrap w:val="0"/>
                  <w:vAlign w:val="center"/>
                </w:tcPr>
                <w:p w14:paraId="2F709AAA">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折弯机</w:t>
                  </w:r>
                </w:p>
              </w:tc>
              <w:tc>
                <w:tcPr>
                  <w:tcW w:w="475" w:type="pct"/>
                  <w:tcBorders>
                    <w:top w:val="single" w:color="auto" w:sz="4" w:space="0"/>
                    <w:left w:val="nil"/>
                    <w:bottom w:val="single" w:color="auto" w:sz="4" w:space="0"/>
                    <w:right w:val="single" w:color="auto" w:sz="4" w:space="0"/>
                  </w:tcBorders>
                  <w:noWrap w:val="0"/>
                  <w:vAlign w:val="center"/>
                </w:tcPr>
                <w:p w14:paraId="32E7E6EB">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75~80</w:t>
                  </w:r>
                </w:p>
              </w:tc>
              <w:tc>
                <w:tcPr>
                  <w:tcW w:w="737" w:type="pct"/>
                  <w:vMerge w:val="continue"/>
                  <w:tcBorders>
                    <w:left w:val="nil"/>
                    <w:right w:val="single" w:color="auto" w:sz="4" w:space="0"/>
                  </w:tcBorders>
                  <w:noWrap w:val="0"/>
                  <w:vAlign w:val="center"/>
                </w:tcPr>
                <w:p w14:paraId="055D1B3D">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448539E0">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246" w:type="pct"/>
                  <w:tcBorders>
                    <w:top w:val="single" w:color="auto" w:sz="4" w:space="0"/>
                    <w:left w:val="nil"/>
                    <w:bottom w:val="single" w:color="auto" w:sz="4" w:space="0"/>
                    <w:right w:val="single" w:color="auto" w:sz="4" w:space="0"/>
                  </w:tcBorders>
                  <w:noWrap w:val="0"/>
                  <w:vAlign w:val="center"/>
                </w:tcPr>
                <w:p w14:paraId="034DC477">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164" w:type="pct"/>
                  <w:tcBorders>
                    <w:top w:val="single" w:color="auto" w:sz="4" w:space="0"/>
                    <w:left w:val="nil"/>
                    <w:bottom w:val="single" w:color="auto" w:sz="4" w:space="0"/>
                    <w:right w:val="single" w:color="auto" w:sz="4" w:space="0"/>
                  </w:tcBorders>
                  <w:noWrap w:val="0"/>
                  <w:vAlign w:val="center"/>
                </w:tcPr>
                <w:p w14:paraId="59A9F166">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698513B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东77</w:t>
                  </w:r>
                </w:p>
                <w:p w14:paraId="232B305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南55</w:t>
                  </w:r>
                </w:p>
                <w:p w14:paraId="3C10AB68">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西72</w:t>
                  </w:r>
                </w:p>
                <w:p w14:paraId="2B9EFD2B">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北60</w:t>
                  </w:r>
                </w:p>
              </w:tc>
              <w:tc>
                <w:tcPr>
                  <w:tcW w:w="287" w:type="pct"/>
                  <w:tcBorders>
                    <w:top w:val="single" w:color="auto" w:sz="4" w:space="0"/>
                    <w:left w:val="nil"/>
                    <w:bottom w:val="single" w:color="auto" w:sz="4" w:space="0"/>
                    <w:right w:val="single" w:color="auto" w:sz="4" w:space="0"/>
                  </w:tcBorders>
                  <w:noWrap w:val="0"/>
                  <w:vAlign w:val="center"/>
                </w:tcPr>
                <w:p w14:paraId="7AC92EE6">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75D4A174">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10EA5F1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eastAsia" w:eastAsia="宋体"/>
                      <w:lang w:eastAsia="zh-CN"/>
                    </w:rPr>
                  </w:pPr>
                  <w:r>
                    <w:t>东5</w:t>
                  </w:r>
                  <w:r>
                    <w:rPr>
                      <w:rFonts w:hint="eastAsia"/>
                      <w:lang w:val="en-US" w:eastAsia="zh-CN"/>
                    </w:rPr>
                    <w:t>0</w:t>
                  </w:r>
                </w:p>
                <w:p w14:paraId="08FE36D9">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南45</w:t>
                  </w:r>
                </w:p>
                <w:p w14:paraId="58454B4A">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西50</w:t>
                  </w:r>
                </w:p>
                <w:p w14:paraId="7B65EDE0">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北40</w:t>
                  </w:r>
                </w:p>
              </w:tc>
              <w:tc>
                <w:tcPr>
                  <w:tcW w:w="481" w:type="pct"/>
                  <w:tcBorders>
                    <w:top w:val="single" w:color="auto" w:sz="4" w:space="0"/>
                    <w:left w:val="nil"/>
                    <w:bottom w:val="single" w:color="auto" w:sz="4" w:space="0"/>
                    <w:right w:val="single" w:color="auto" w:sz="4" w:space="0"/>
                  </w:tcBorders>
                  <w:noWrap w:val="0"/>
                  <w:vAlign w:val="center"/>
                </w:tcPr>
                <w:p w14:paraId="317BDAB0">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4AAE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right w:val="single" w:color="auto" w:sz="4" w:space="0"/>
                  </w:tcBorders>
                  <w:noWrap w:val="0"/>
                  <w:vAlign w:val="center"/>
                </w:tcPr>
                <w:p w14:paraId="3A3E0D1D">
                  <w:pPr>
                    <w:spacing w:line="240" w:lineRule="auto"/>
                    <w:ind w:firstLine="0" w:firstLineChars="0"/>
                    <w:jc w:val="center"/>
                    <w:rPr>
                      <w:rFonts w:hint="eastAsia" w:eastAsia="宋体"/>
                      <w:lang w:eastAsia="zh-CN"/>
                    </w:rPr>
                  </w:pPr>
                  <w:r>
                    <w:rPr>
                      <w:rFonts w:hint="default" w:ascii="Times New Roman" w:hAnsi="Times New Roman" w:cs="Times New Roman"/>
                      <w:sz w:val="21"/>
                      <w:szCs w:val="21"/>
                    </w:rPr>
                    <w:t>1</w:t>
                  </w:r>
                  <w:r>
                    <w:rPr>
                      <w:rFonts w:hint="eastAsia" w:cs="Times New Roman"/>
                      <w:sz w:val="21"/>
                      <w:szCs w:val="21"/>
                      <w:lang w:val="en-US" w:eastAsia="zh-CN"/>
                    </w:rPr>
                    <w:t>7</w:t>
                  </w:r>
                </w:p>
              </w:tc>
              <w:tc>
                <w:tcPr>
                  <w:tcW w:w="589" w:type="pct"/>
                  <w:tcBorders>
                    <w:top w:val="single" w:color="auto" w:sz="4" w:space="0"/>
                    <w:left w:val="nil"/>
                    <w:bottom w:val="single" w:color="auto" w:sz="4" w:space="0"/>
                    <w:right w:val="single" w:color="auto" w:sz="4" w:space="0"/>
                  </w:tcBorders>
                  <w:noWrap w:val="0"/>
                  <w:vAlign w:val="center"/>
                </w:tcPr>
                <w:p w14:paraId="3E416034">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打磨室</w:t>
                  </w:r>
                </w:p>
              </w:tc>
              <w:tc>
                <w:tcPr>
                  <w:tcW w:w="475" w:type="pct"/>
                  <w:tcBorders>
                    <w:top w:val="single" w:color="auto" w:sz="4" w:space="0"/>
                    <w:left w:val="nil"/>
                    <w:bottom w:val="single" w:color="auto" w:sz="4" w:space="0"/>
                    <w:right w:val="single" w:color="auto" w:sz="4" w:space="0"/>
                  </w:tcBorders>
                  <w:noWrap w:val="0"/>
                  <w:vAlign w:val="center"/>
                </w:tcPr>
                <w:p w14:paraId="7441DB1F">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75~80</w:t>
                  </w:r>
                </w:p>
              </w:tc>
              <w:tc>
                <w:tcPr>
                  <w:tcW w:w="737" w:type="pct"/>
                  <w:vMerge w:val="continue"/>
                  <w:tcBorders>
                    <w:left w:val="nil"/>
                    <w:right w:val="single" w:color="auto" w:sz="4" w:space="0"/>
                  </w:tcBorders>
                  <w:noWrap w:val="0"/>
                  <w:vAlign w:val="center"/>
                </w:tcPr>
                <w:p w14:paraId="3AF4A60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5F951F8A">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246" w:type="pct"/>
                  <w:tcBorders>
                    <w:top w:val="single" w:color="auto" w:sz="4" w:space="0"/>
                    <w:left w:val="nil"/>
                    <w:bottom w:val="single" w:color="auto" w:sz="4" w:space="0"/>
                    <w:right w:val="single" w:color="auto" w:sz="4" w:space="0"/>
                  </w:tcBorders>
                  <w:noWrap w:val="0"/>
                  <w:vAlign w:val="center"/>
                </w:tcPr>
                <w:p w14:paraId="664FD315">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64" w:type="pct"/>
                  <w:tcBorders>
                    <w:top w:val="single" w:color="auto" w:sz="4" w:space="0"/>
                    <w:left w:val="nil"/>
                    <w:bottom w:val="single" w:color="auto" w:sz="4" w:space="0"/>
                    <w:right w:val="single" w:color="auto" w:sz="4" w:space="0"/>
                  </w:tcBorders>
                  <w:noWrap w:val="0"/>
                  <w:vAlign w:val="center"/>
                </w:tcPr>
                <w:p w14:paraId="24C95A9B">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4475E21A">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东78</w:t>
                  </w:r>
                </w:p>
                <w:p w14:paraId="495A5CE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南60</w:t>
                  </w:r>
                </w:p>
                <w:p w14:paraId="433CE32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西75</w:t>
                  </w:r>
                </w:p>
                <w:p w14:paraId="11141653">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北65</w:t>
                  </w:r>
                </w:p>
              </w:tc>
              <w:tc>
                <w:tcPr>
                  <w:tcW w:w="287" w:type="pct"/>
                  <w:tcBorders>
                    <w:top w:val="single" w:color="auto" w:sz="4" w:space="0"/>
                    <w:left w:val="nil"/>
                    <w:bottom w:val="single" w:color="auto" w:sz="4" w:space="0"/>
                    <w:right w:val="single" w:color="auto" w:sz="4" w:space="0"/>
                  </w:tcBorders>
                  <w:noWrap w:val="0"/>
                  <w:vAlign w:val="center"/>
                </w:tcPr>
                <w:p w14:paraId="105A15B1">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2D94B5C6">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41F0A2F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default" w:eastAsia="宋体"/>
                      <w:lang w:val="en-US" w:eastAsia="zh-CN"/>
                    </w:rPr>
                  </w:pPr>
                  <w:r>
                    <w:t>东</w:t>
                  </w:r>
                  <w:r>
                    <w:rPr>
                      <w:rFonts w:hint="eastAsia"/>
                      <w:lang w:val="en-US" w:eastAsia="zh-CN"/>
                    </w:rPr>
                    <w:t>34</w:t>
                  </w:r>
                </w:p>
                <w:p w14:paraId="4CD68EA0">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南18</w:t>
                  </w:r>
                </w:p>
                <w:p w14:paraId="34BF2F7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西34</w:t>
                  </w:r>
                </w:p>
                <w:p w14:paraId="767525A8">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北11</w:t>
                  </w:r>
                </w:p>
              </w:tc>
              <w:tc>
                <w:tcPr>
                  <w:tcW w:w="481" w:type="pct"/>
                  <w:tcBorders>
                    <w:top w:val="single" w:color="auto" w:sz="4" w:space="0"/>
                    <w:left w:val="nil"/>
                    <w:bottom w:val="single" w:color="auto" w:sz="4" w:space="0"/>
                    <w:right w:val="single" w:color="auto" w:sz="4" w:space="0"/>
                  </w:tcBorders>
                  <w:noWrap w:val="0"/>
                  <w:vAlign w:val="center"/>
                </w:tcPr>
                <w:p w14:paraId="72A93F51">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r w14:paraId="0334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5" w:type="pct"/>
                  <w:tcBorders>
                    <w:left w:val="single" w:color="auto" w:sz="4" w:space="0"/>
                    <w:bottom w:val="single" w:color="auto" w:sz="4" w:space="0"/>
                    <w:right w:val="single" w:color="auto" w:sz="4" w:space="0"/>
                  </w:tcBorders>
                  <w:noWrap w:val="0"/>
                  <w:vAlign w:val="center"/>
                </w:tcPr>
                <w:p w14:paraId="78AE8BD0">
                  <w:pPr>
                    <w:spacing w:line="240" w:lineRule="auto"/>
                    <w:ind w:firstLine="0" w:firstLineChars="0"/>
                    <w:jc w:val="center"/>
                    <w:rPr>
                      <w:rFonts w:hint="default" w:eastAsia="宋体"/>
                      <w:lang w:val="en-US" w:eastAsia="zh-CN"/>
                    </w:rPr>
                  </w:pPr>
                  <w:r>
                    <w:rPr>
                      <w:rFonts w:hint="eastAsia" w:cs="Times New Roman"/>
                      <w:sz w:val="21"/>
                      <w:szCs w:val="21"/>
                      <w:lang w:val="en-US" w:eastAsia="zh-CN"/>
                    </w:rPr>
                    <w:t>18</w:t>
                  </w:r>
                </w:p>
              </w:tc>
              <w:tc>
                <w:tcPr>
                  <w:tcW w:w="589" w:type="pct"/>
                  <w:tcBorders>
                    <w:top w:val="single" w:color="auto" w:sz="4" w:space="0"/>
                    <w:left w:val="nil"/>
                    <w:bottom w:val="single" w:color="auto" w:sz="4" w:space="0"/>
                    <w:right w:val="single" w:color="auto" w:sz="4" w:space="0"/>
                  </w:tcBorders>
                  <w:noWrap w:val="0"/>
                  <w:vAlign w:val="center"/>
                </w:tcPr>
                <w:p w14:paraId="50F1AC48">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气刨机</w:t>
                  </w:r>
                </w:p>
              </w:tc>
              <w:tc>
                <w:tcPr>
                  <w:tcW w:w="475" w:type="pct"/>
                  <w:tcBorders>
                    <w:top w:val="single" w:color="auto" w:sz="4" w:space="0"/>
                    <w:left w:val="nil"/>
                    <w:bottom w:val="single" w:color="auto" w:sz="4" w:space="0"/>
                    <w:right w:val="single" w:color="auto" w:sz="4" w:space="0"/>
                  </w:tcBorders>
                  <w:noWrap w:val="0"/>
                  <w:vAlign w:val="center"/>
                </w:tcPr>
                <w:p w14:paraId="2DEB64DF">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80~85</w:t>
                  </w:r>
                </w:p>
              </w:tc>
              <w:tc>
                <w:tcPr>
                  <w:tcW w:w="737" w:type="pct"/>
                  <w:vMerge w:val="continue"/>
                  <w:tcBorders>
                    <w:left w:val="nil"/>
                    <w:bottom w:val="single" w:color="auto" w:sz="4" w:space="0"/>
                    <w:right w:val="single" w:color="auto" w:sz="4" w:space="0"/>
                  </w:tcBorders>
                  <w:noWrap w:val="0"/>
                  <w:vAlign w:val="center"/>
                </w:tcPr>
                <w:p w14:paraId="1082091F">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p>
              </w:tc>
              <w:tc>
                <w:tcPr>
                  <w:tcW w:w="245" w:type="pct"/>
                  <w:tcBorders>
                    <w:top w:val="single" w:color="auto" w:sz="4" w:space="0"/>
                    <w:left w:val="nil"/>
                    <w:bottom w:val="single" w:color="auto" w:sz="4" w:space="0"/>
                    <w:right w:val="single" w:color="auto" w:sz="4" w:space="0"/>
                  </w:tcBorders>
                  <w:noWrap w:val="0"/>
                  <w:vAlign w:val="center"/>
                </w:tcPr>
                <w:p w14:paraId="20F63BB3">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246" w:type="pct"/>
                  <w:tcBorders>
                    <w:top w:val="single" w:color="auto" w:sz="4" w:space="0"/>
                    <w:left w:val="nil"/>
                    <w:bottom w:val="single" w:color="auto" w:sz="4" w:space="0"/>
                    <w:right w:val="single" w:color="auto" w:sz="4" w:space="0"/>
                  </w:tcBorders>
                  <w:noWrap w:val="0"/>
                  <w:vAlign w:val="center"/>
                </w:tcPr>
                <w:p w14:paraId="7E9E5353">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164" w:type="pct"/>
                  <w:tcBorders>
                    <w:top w:val="single" w:color="auto" w:sz="4" w:space="0"/>
                    <w:left w:val="nil"/>
                    <w:bottom w:val="single" w:color="auto" w:sz="4" w:space="0"/>
                    <w:right w:val="single" w:color="auto" w:sz="4" w:space="0"/>
                  </w:tcBorders>
                  <w:noWrap w:val="0"/>
                  <w:vAlign w:val="center"/>
                </w:tcPr>
                <w:p w14:paraId="198B734E">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91" w:type="pct"/>
                  <w:tcBorders>
                    <w:top w:val="single" w:color="auto" w:sz="4" w:space="0"/>
                    <w:left w:val="nil"/>
                    <w:bottom w:val="single" w:color="auto" w:sz="4" w:space="0"/>
                    <w:right w:val="single" w:color="auto" w:sz="4" w:space="0"/>
                  </w:tcBorders>
                  <w:noWrap w:val="0"/>
                  <w:vAlign w:val="center"/>
                </w:tcPr>
                <w:p w14:paraId="1B0A28F2">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东55</w:t>
                  </w:r>
                </w:p>
                <w:p w14:paraId="548E3FAE">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南43</w:t>
                  </w:r>
                </w:p>
                <w:p w14:paraId="6C185FB6">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西59</w:t>
                  </w:r>
                </w:p>
                <w:p w14:paraId="0FAF0754">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北36</w:t>
                  </w:r>
                </w:p>
              </w:tc>
              <w:tc>
                <w:tcPr>
                  <w:tcW w:w="287" w:type="pct"/>
                  <w:tcBorders>
                    <w:top w:val="single" w:color="auto" w:sz="4" w:space="0"/>
                    <w:left w:val="nil"/>
                    <w:bottom w:val="single" w:color="auto" w:sz="4" w:space="0"/>
                    <w:right w:val="single" w:color="auto" w:sz="4" w:space="0"/>
                  </w:tcBorders>
                  <w:noWrap w:val="0"/>
                  <w:vAlign w:val="center"/>
                </w:tcPr>
                <w:p w14:paraId="1C445042">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昼间8h</w:t>
                  </w:r>
                </w:p>
              </w:tc>
              <w:tc>
                <w:tcPr>
                  <w:tcW w:w="496" w:type="pct"/>
                  <w:tcBorders>
                    <w:top w:val="single" w:color="auto" w:sz="4" w:space="0"/>
                    <w:left w:val="nil"/>
                    <w:bottom w:val="single" w:color="auto" w:sz="4" w:space="0"/>
                    <w:right w:val="single" w:color="auto" w:sz="4" w:space="0"/>
                  </w:tcBorders>
                  <w:noWrap w:val="0"/>
                  <w:vAlign w:val="center"/>
                </w:tcPr>
                <w:p w14:paraId="34F884CB">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25</w:t>
                  </w:r>
                </w:p>
              </w:tc>
              <w:tc>
                <w:tcPr>
                  <w:tcW w:w="439" w:type="pct"/>
                  <w:tcBorders>
                    <w:top w:val="single" w:color="auto" w:sz="4" w:space="0"/>
                    <w:left w:val="nil"/>
                    <w:bottom w:val="single" w:color="auto" w:sz="4" w:space="0"/>
                    <w:right w:val="single" w:color="auto" w:sz="4" w:space="0"/>
                  </w:tcBorders>
                  <w:noWrap w:val="0"/>
                  <w:vAlign w:val="center"/>
                </w:tcPr>
                <w:p w14:paraId="755656AC">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rPr>
                      <w:rFonts w:hint="eastAsia" w:eastAsia="宋体"/>
                      <w:lang w:eastAsia="zh-CN"/>
                    </w:rPr>
                  </w:pPr>
                  <w:r>
                    <w:t>东3</w:t>
                  </w:r>
                  <w:r>
                    <w:rPr>
                      <w:rFonts w:hint="eastAsia"/>
                      <w:lang w:val="en-US" w:eastAsia="zh-CN"/>
                    </w:rPr>
                    <w:t>1</w:t>
                  </w:r>
                </w:p>
                <w:p w14:paraId="4782C93B">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南18</w:t>
                  </w:r>
                </w:p>
                <w:p w14:paraId="1377FF91">
                  <w:pPr>
                    <w:pStyle w:val="52"/>
                    <w:keepNext w:val="0"/>
                    <w:keepLines w:val="0"/>
                    <w:pageBreakBefore w:val="0"/>
                    <w:kinsoku/>
                    <w:wordWrap/>
                    <w:overflowPunct/>
                    <w:topLinePunct w:val="0"/>
                    <w:autoSpaceDE/>
                    <w:autoSpaceDN/>
                    <w:bidi w:val="0"/>
                    <w:adjustRightInd/>
                    <w:spacing w:before="0" w:after="0" w:line="240" w:lineRule="auto"/>
                    <w:ind w:right="0" w:firstLine="0"/>
                    <w:jc w:val="center"/>
                    <w:textAlignment w:val="auto"/>
                  </w:pPr>
                  <w:r>
                    <w:t>西34</w:t>
                  </w:r>
                </w:p>
                <w:p w14:paraId="4E79FC04">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北11</w:t>
                  </w:r>
                </w:p>
              </w:tc>
              <w:tc>
                <w:tcPr>
                  <w:tcW w:w="481" w:type="pct"/>
                  <w:tcBorders>
                    <w:top w:val="single" w:color="auto" w:sz="4" w:space="0"/>
                    <w:left w:val="nil"/>
                    <w:bottom w:val="single" w:color="auto" w:sz="4" w:space="0"/>
                    <w:right w:val="single" w:color="auto" w:sz="4" w:space="0"/>
                  </w:tcBorders>
                  <w:noWrap w:val="0"/>
                  <w:vAlign w:val="center"/>
                </w:tcPr>
                <w:p w14:paraId="6F8B68D2">
                  <w:pPr>
                    <w:pStyle w:val="5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pPr>
                  <w:r>
                    <w:t>1</w:t>
                  </w:r>
                </w:p>
              </w:tc>
            </w:tr>
          </w:tbl>
          <w:p w14:paraId="620AFA9E">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60"/>
                <w:rFonts w:hint="default" w:ascii="Times New Roman" w:hAnsi="Times New Roman" w:cs="Times New Roman"/>
                <w:b w:val="0"/>
                <w:bCs/>
                <w:color w:val="auto"/>
              </w:rPr>
            </w:pPr>
            <w:r>
              <w:rPr>
                <w:rStyle w:val="60"/>
                <w:rFonts w:hint="default" w:ascii="Times New Roman" w:hAnsi="Times New Roman" w:cs="Times New Roman"/>
                <w:b w:val="0"/>
                <w:bCs/>
                <w:color w:val="auto"/>
              </w:rPr>
              <w:t>4.4.2噪声预测</w:t>
            </w:r>
          </w:p>
          <w:p w14:paraId="6E70C4EA">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根据《环境影响评价技术导则—声环境》（HJ2.4-2021）的要求，采用的模型为《环境影响评价技术导则 声环境》（HJ2.4.2021）附录A（规范性附录）户外声传播的衰减和附录B（规范性附录）中“B.1工业噪声预测计算模型”。</w:t>
            </w:r>
          </w:p>
          <w:p w14:paraId="17283C6F">
            <w:pPr>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根据设备噪声强度，采用距离衰减模式分析该项目对声环境的影响。预测模式采用《环境影响评价技术导则</w:t>
            </w:r>
            <w:r>
              <w:rPr>
                <w:rFonts w:hint="default" w:ascii="Times New Roman" w:hAnsi="Times New Roman" w:cs="Times New Roman"/>
                <w:color w:val="auto"/>
                <w:sz w:val="24"/>
              </w:rPr>
              <w:t>-</w:t>
            </w:r>
            <w:r>
              <w:rPr>
                <w:rFonts w:hint="default" w:ascii="Times New Roman" w:hAnsi="Times New Roman" w:cs="Times New Roman"/>
                <w:color w:val="auto"/>
                <w:sz w:val="24"/>
                <w:lang w:val="zh-CN"/>
              </w:rPr>
              <w:t>声环境》（HJ2.4</w:t>
            </w:r>
            <w:r>
              <w:rPr>
                <w:rFonts w:hint="default" w:ascii="Times New Roman" w:hAnsi="Times New Roman" w:cs="Times New Roman"/>
                <w:color w:val="auto"/>
                <w:sz w:val="24"/>
              </w:rPr>
              <w:t>-</w:t>
            </w:r>
            <w:r>
              <w:rPr>
                <w:rFonts w:hint="default" w:ascii="Times New Roman" w:hAnsi="Times New Roman" w:cs="Times New Roman"/>
                <w:color w:val="auto"/>
                <w:sz w:val="24"/>
                <w:lang w:val="zh-CN"/>
              </w:rPr>
              <w:t>20</w:t>
            </w:r>
            <w:r>
              <w:rPr>
                <w:rFonts w:hint="default" w:ascii="Times New Roman" w:hAnsi="Times New Roman" w:cs="Times New Roman"/>
                <w:color w:val="auto"/>
                <w:sz w:val="24"/>
              </w:rPr>
              <w:t>21</w:t>
            </w:r>
            <w:r>
              <w:rPr>
                <w:rFonts w:hint="default" w:ascii="Times New Roman" w:hAnsi="Times New Roman" w:cs="Times New Roman"/>
                <w:color w:val="auto"/>
                <w:sz w:val="24"/>
                <w:lang w:val="zh-CN"/>
              </w:rPr>
              <w:t>）中推荐的噪声预测模式，噪声衰减公式：</w:t>
            </w:r>
          </w:p>
          <w:p w14:paraId="1F7B326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①单个室外的点声源在预测点产生的声级计算基本公式</w:t>
            </w:r>
          </w:p>
          <w:p w14:paraId="4B8BB6D2">
            <w:pPr>
              <w:spacing w:line="360" w:lineRule="auto"/>
              <w:jc w:val="center"/>
              <w:rPr>
                <w:rFonts w:hint="default" w:ascii="Times New Roman" w:hAnsi="Times New Roman" w:cs="Times New Roman"/>
                <w:color w:val="auto"/>
                <w:sz w:val="24"/>
                <w:lang w:val="zh-CN"/>
              </w:rPr>
            </w:pPr>
            <w:r>
              <w:rPr>
                <w:rFonts w:hint="default" w:ascii="Times New Roman" w:hAnsi="Times New Roman" w:cs="Times New Roman"/>
                <w:color w:val="auto"/>
                <w:sz w:val="24"/>
              </w:rPr>
              <w:drawing>
                <wp:inline distT="0" distB="0" distL="114300" distR="114300">
                  <wp:extent cx="3581400" cy="257175"/>
                  <wp:effectExtent l="0" t="0" r="0" b="190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19"/>
                          <a:stretch>
                            <a:fillRect/>
                          </a:stretch>
                        </pic:blipFill>
                        <pic:spPr>
                          <a:xfrm>
                            <a:off x="0" y="0"/>
                            <a:ext cx="3581400" cy="257175"/>
                          </a:xfrm>
                          <a:prstGeom prst="rect">
                            <a:avLst/>
                          </a:prstGeom>
                          <a:noFill/>
                          <a:ln>
                            <a:noFill/>
                          </a:ln>
                        </pic:spPr>
                      </pic:pic>
                    </a:graphicData>
                  </a:graphic>
                </wp:inline>
              </w:drawing>
            </w:r>
          </w:p>
          <w:p w14:paraId="2341D52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（r）——预测点处声压级，dB；</w:t>
            </w:r>
          </w:p>
          <w:p w14:paraId="0D6B9793">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w</w:t>
            </w:r>
            <w:r>
              <w:rPr>
                <w:rFonts w:hint="default" w:ascii="Times New Roman" w:hAnsi="Times New Roman" w:cs="Times New Roman"/>
                <w:color w:val="auto"/>
                <w:sz w:val="24"/>
              </w:rPr>
              <w:t>——由点声源产生的声功率级（A计权或倍频带），dB；</w:t>
            </w:r>
          </w:p>
          <w:p w14:paraId="2F047D50">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D</w:t>
            </w:r>
            <w:r>
              <w:rPr>
                <w:rFonts w:hint="default" w:ascii="Times New Roman" w:hAnsi="Times New Roman" w:cs="Times New Roman"/>
                <w:color w:val="auto"/>
                <w:sz w:val="24"/>
                <w:vertAlign w:val="subscript"/>
              </w:rPr>
              <w:t>C</w:t>
            </w:r>
            <w:r>
              <w:rPr>
                <w:rFonts w:hint="default" w:ascii="Times New Roman" w:hAnsi="Times New Roman" w:cs="Times New Roman"/>
                <w:color w:val="auto"/>
                <w:sz w:val="24"/>
              </w:rPr>
              <w:t>——指向性校正，它描述点声源的等效连续声压级与产生声功率级L</w:t>
            </w:r>
            <w:r>
              <w:rPr>
                <w:rFonts w:hint="default" w:ascii="Times New Roman" w:hAnsi="Times New Roman" w:cs="Times New Roman"/>
                <w:color w:val="auto"/>
                <w:sz w:val="24"/>
                <w:vertAlign w:val="subscript"/>
              </w:rPr>
              <w:t>w</w:t>
            </w:r>
            <w:r>
              <w:rPr>
                <w:rFonts w:hint="default" w:ascii="Times New Roman" w:hAnsi="Times New Roman" w:cs="Times New Roman"/>
                <w:color w:val="auto"/>
                <w:sz w:val="24"/>
              </w:rPr>
              <w:t>的全向点声源在规定方向的声级的偏差程度，dB；</w:t>
            </w:r>
          </w:p>
          <w:p w14:paraId="2F5727D3">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——几何发散引起的衰减，dB；</w:t>
            </w:r>
          </w:p>
          <w:p w14:paraId="7E2B3E8E">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atm</w:t>
            </w:r>
            <w:r>
              <w:rPr>
                <w:rFonts w:hint="default" w:ascii="Times New Roman" w:hAnsi="Times New Roman" w:cs="Times New Roman"/>
                <w:color w:val="auto"/>
                <w:sz w:val="24"/>
              </w:rPr>
              <w:t>——大气吸收引起的衰减，dB；</w:t>
            </w:r>
          </w:p>
          <w:p w14:paraId="2D28559C">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——地面效应引起的衰减，dB；</w:t>
            </w:r>
          </w:p>
          <w:p w14:paraId="1E55DE53">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bar</w:t>
            </w:r>
            <w:r>
              <w:rPr>
                <w:rFonts w:hint="default" w:ascii="Times New Roman" w:hAnsi="Times New Roman" w:cs="Times New Roman"/>
                <w:color w:val="auto"/>
                <w:sz w:val="24"/>
              </w:rPr>
              <w:t>——障碍物屏蔽引起的衰减，dB；</w:t>
            </w:r>
          </w:p>
          <w:p w14:paraId="5A7DFC56">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misc</w:t>
            </w:r>
            <w:r>
              <w:rPr>
                <w:rFonts w:hint="default" w:ascii="Times New Roman" w:hAnsi="Times New Roman" w:cs="Times New Roman"/>
                <w:color w:val="auto"/>
                <w:sz w:val="24"/>
              </w:rPr>
              <w:t>——其他多方面效应引起的衰减，dB。</w:t>
            </w:r>
          </w:p>
          <w:p w14:paraId="6B56CEEE">
            <w:pPr>
              <w:tabs>
                <w:tab w:val="left" w:pos="900"/>
              </w:tabs>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②室内声源等效室外声源声功率级计算方法</w:t>
            </w:r>
          </w:p>
          <w:p w14:paraId="0822AD8E">
            <w:pPr>
              <w:tabs>
                <w:tab w:val="left" w:pos="90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声源位于室内，室内声源可采用等效室外声源声功率级法进行计算。设靠近开口处（或窗户）室内、室外某倍频带的声压级或A声级分别为L</w:t>
            </w:r>
            <w:r>
              <w:rPr>
                <w:rFonts w:hint="default" w:ascii="Times New Roman" w:hAnsi="Times New Roman" w:cs="Times New Roman"/>
                <w:color w:val="auto"/>
                <w:sz w:val="24"/>
                <w:vertAlign w:val="subscript"/>
              </w:rPr>
              <w:t>p1</w:t>
            </w:r>
            <w:r>
              <w:rPr>
                <w:rFonts w:hint="default" w:ascii="Times New Roman" w:hAnsi="Times New Roman" w:cs="Times New Roman"/>
                <w:color w:val="auto"/>
                <w:sz w:val="24"/>
              </w:rPr>
              <w:t>和L</w:t>
            </w:r>
            <w:r>
              <w:rPr>
                <w:rFonts w:hint="default" w:ascii="Times New Roman" w:hAnsi="Times New Roman" w:cs="Times New Roman"/>
                <w:color w:val="auto"/>
                <w:sz w:val="24"/>
                <w:vertAlign w:val="subscript"/>
              </w:rPr>
              <w:t>p2</w:t>
            </w:r>
            <w:r>
              <w:rPr>
                <w:rFonts w:hint="default" w:ascii="Times New Roman" w:hAnsi="Times New Roman" w:cs="Times New Roman"/>
                <w:color w:val="auto"/>
                <w:sz w:val="24"/>
              </w:rPr>
              <w:t>。若声源所在室内声场为近似扩散声场，则室外的倍频带声压级可按下式近似求出：</w:t>
            </w:r>
          </w:p>
          <w:p w14:paraId="5D3B1755">
            <w:pPr>
              <w:tabs>
                <w:tab w:val="left" w:pos="900"/>
              </w:tabs>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038350" cy="257175"/>
                  <wp:effectExtent l="0" t="0" r="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0">
                            <a:clrChange>
                              <a:clrFrom>
                                <a:srgbClr val="D7E6D5">
                                  <a:alpha val="100000"/>
                                </a:srgbClr>
                              </a:clrFrom>
                              <a:clrTo>
                                <a:srgbClr val="D7E6D5">
                                  <a:alpha val="100000"/>
                                  <a:alpha val="0"/>
                                </a:srgbClr>
                              </a:clrTo>
                            </a:clrChange>
                          </a:blip>
                          <a:stretch>
                            <a:fillRect/>
                          </a:stretch>
                        </pic:blipFill>
                        <pic:spPr>
                          <a:xfrm>
                            <a:off x="0" y="0"/>
                            <a:ext cx="2038350" cy="257175"/>
                          </a:xfrm>
                          <a:prstGeom prst="rect">
                            <a:avLst/>
                          </a:prstGeom>
                          <a:noFill/>
                          <a:ln>
                            <a:noFill/>
                          </a:ln>
                        </pic:spPr>
                      </pic:pic>
                    </a:graphicData>
                  </a:graphic>
                </wp:inline>
              </w:drawing>
            </w:r>
          </w:p>
          <w:p w14:paraId="646E8C95">
            <w:pPr>
              <w:pStyle w:val="17"/>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p1</w:t>
            </w:r>
            <w:r>
              <w:rPr>
                <w:rFonts w:hint="default" w:ascii="Times New Roman" w:hAnsi="Times New Roman" w:cs="Times New Roman"/>
                <w:color w:val="auto"/>
                <w:sz w:val="24"/>
                <w:szCs w:val="24"/>
              </w:rPr>
              <w:t>——靠近开口处（或窗户）室内某倍频带的声压级或A声级，dB；</w:t>
            </w:r>
          </w:p>
          <w:p w14:paraId="770DF2E3">
            <w:pPr>
              <w:pStyle w:val="17"/>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p2</w:t>
            </w:r>
            <w:r>
              <w:rPr>
                <w:rFonts w:hint="default" w:ascii="Times New Roman" w:hAnsi="Times New Roman" w:cs="Times New Roman"/>
                <w:color w:val="auto"/>
                <w:sz w:val="24"/>
                <w:szCs w:val="24"/>
              </w:rPr>
              <w:t>——靠近开口处（或窗户）室外某倍频带的声压级或A声级，dB；</w:t>
            </w:r>
          </w:p>
          <w:p w14:paraId="0ED0187D">
            <w:pPr>
              <w:pStyle w:val="17"/>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TL——隔墙（或窗户）倍频带或A声级的隔声量，dB。</w:t>
            </w:r>
          </w:p>
          <w:p w14:paraId="3EFFFD94">
            <w:pPr>
              <w:pStyle w:val="17"/>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076575" cy="1457325"/>
                  <wp:effectExtent l="0" t="0" r="1905" b="571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21"/>
                          <a:stretch>
                            <a:fillRect/>
                          </a:stretch>
                        </pic:blipFill>
                        <pic:spPr>
                          <a:xfrm>
                            <a:off x="0" y="0"/>
                            <a:ext cx="3076575" cy="1457325"/>
                          </a:xfrm>
                          <a:prstGeom prst="rect">
                            <a:avLst/>
                          </a:prstGeom>
                          <a:noFill/>
                          <a:ln>
                            <a:noFill/>
                          </a:ln>
                        </pic:spPr>
                      </pic:pic>
                    </a:graphicData>
                  </a:graphic>
                </wp:inline>
              </w:drawing>
            </w:r>
          </w:p>
          <w:p w14:paraId="22C639B9">
            <w:pPr>
              <w:pStyle w:val="17"/>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图4</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 xml:space="preserve">  室内声源等效为室外声源图例</w:t>
            </w:r>
          </w:p>
          <w:p w14:paraId="1368E78A">
            <w:pPr>
              <w:pStyle w:val="17"/>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也可按下式计算某一室内声源靠近围护结构处产生的倍频带声压级：</w:t>
            </w:r>
          </w:p>
          <w:p w14:paraId="46DAB600">
            <w:pPr>
              <w:tabs>
                <w:tab w:val="left" w:pos="900"/>
              </w:tabs>
              <w:spacing w:line="360" w:lineRule="auto"/>
              <w:ind w:firstLine="420" w:firstLineChars="200"/>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428875" cy="504825"/>
                  <wp:effectExtent l="0" t="0" r="9525" b="1333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22"/>
                          <a:stretch>
                            <a:fillRect/>
                          </a:stretch>
                        </pic:blipFill>
                        <pic:spPr>
                          <a:xfrm>
                            <a:off x="0" y="0"/>
                            <a:ext cx="2428875" cy="504825"/>
                          </a:xfrm>
                          <a:prstGeom prst="rect">
                            <a:avLst/>
                          </a:prstGeom>
                          <a:noFill/>
                          <a:ln>
                            <a:noFill/>
                          </a:ln>
                        </pic:spPr>
                      </pic:pic>
                    </a:graphicData>
                  </a:graphic>
                </wp:inline>
              </w:drawing>
            </w:r>
          </w:p>
          <w:p w14:paraId="7621FAA6">
            <w:pPr>
              <w:tabs>
                <w:tab w:val="left" w:pos="90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p1</w:t>
            </w:r>
            <w:r>
              <w:rPr>
                <w:rFonts w:hint="default" w:ascii="Times New Roman" w:hAnsi="Times New Roman" w:cs="Times New Roman"/>
                <w:color w:val="auto"/>
                <w:sz w:val="24"/>
              </w:rPr>
              <w:t>——靠近开口处（或窗户）室内某倍频带的声压级或A声级，dB；</w:t>
            </w:r>
          </w:p>
          <w:p w14:paraId="11CBB642">
            <w:pPr>
              <w:tabs>
                <w:tab w:val="left" w:pos="900"/>
              </w:tabs>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w</w:t>
            </w:r>
            <w:r>
              <w:rPr>
                <w:rFonts w:hint="default" w:ascii="Times New Roman" w:hAnsi="Times New Roman" w:cs="Times New Roman"/>
                <w:color w:val="auto"/>
                <w:sz w:val="24"/>
              </w:rPr>
              <w:t xml:space="preserve"> ——点声源声功率级（A计权或倍频带），dB；</w:t>
            </w:r>
          </w:p>
          <w:p w14:paraId="0EAFB936">
            <w:pPr>
              <w:tabs>
                <w:tab w:val="left" w:pos="900"/>
              </w:tabs>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Q——指向性因数；通常对无指向性声源，当声源放在房间中心时，Q=1；当放在一面墙的中心时，Q=2；当放在两面墙夹角处时，Q=4；当放在三面墙夹角处时，Q=8；</w:t>
            </w:r>
          </w:p>
          <w:p w14:paraId="13767A34">
            <w:pPr>
              <w:tabs>
                <w:tab w:val="left" w:pos="900"/>
              </w:tabs>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R——房间常数；RS /（1-α）1，S为房间内表面面积，m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；α为平均吸声系数；</w:t>
            </w:r>
          </w:p>
          <w:p w14:paraId="68D42228">
            <w:pPr>
              <w:tabs>
                <w:tab w:val="left" w:pos="900"/>
              </w:tabs>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r——声源到靠近围护结构某点处的距离，m。</w:t>
            </w:r>
          </w:p>
          <w:p w14:paraId="19AD6952">
            <w:pPr>
              <w:pStyle w:val="17"/>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然后按下式计算出所有室内声源在围护结构处产生的i倍频带叠加声压级。</w:t>
            </w:r>
          </w:p>
          <w:p w14:paraId="7470C35E">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381250" cy="581025"/>
                  <wp:effectExtent l="0" t="0" r="11430" b="1333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23"/>
                          <a:stretch>
                            <a:fillRect/>
                          </a:stretch>
                        </pic:blipFill>
                        <pic:spPr>
                          <a:xfrm>
                            <a:off x="0" y="0"/>
                            <a:ext cx="2381250" cy="581025"/>
                          </a:xfrm>
                          <a:prstGeom prst="rect">
                            <a:avLst/>
                          </a:prstGeom>
                          <a:noFill/>
                          <a:ln>
                            <a:noFill/>
                          </a:ln>
                        </pic:spPr>
                      </pic:pic>
                    </a:graphicData>
                  </a:graphic>
                </wp:inline>
              </w:drawing>
            </w:r>
          </w:p>
          <w:p w14:paraId="3F5D960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pli</w:t>
            </w:r>
            <w:r>
              <w:rPr>
                <w:rFonts w:hint="default" w:ascii="Times New Roman" w:hAnsi="Times New Roman" w:cs="Times New Roman"/>
                <w:color w:val="auto"/>
                <w:sz w:val="24"/>
              </w:rPr>
              <w:t>（T）——靠近围护结构处室内N个声源i倍频带的叠加声压级，dB；</w:t>
            </w:r>
          </w:p>
          <w:p w14:paraId="26BDD70F">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 xml:space="preserve">pli </w:t>
            </w:r>
            <w:r>
              <w:rPr>
                <w:rFonts w:hint="default" w:ascii="Times New Roman" w:hAnsi="Times New Roman" w:cs="Times New Roman"/>
                <w:color w:val="auto"/>
                <w:sz w:val="24"/>
              </w:rPr>
              <w:t>——室内j声源i倍频带的声压级，dB；</w:t>
            </w:r>
          </w:p>
          <w:p w14:paraId="5BF904C4">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N——室内声源总数。</w:t>
            </w:r>
          </w:p>
          <w:p w14:paraId="32E5F01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在室内近似为扩散声场时，按下式计算出靠近室外围护结构处的声压级：</w:t>
            </w:r>
          </w:p>
          <w:p w14:paraId="31C3D45C">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324100" cy="276225"/>
                  <wp:effectExtent l="0" t="0" r="7620" b="1333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24"/>
                          <a:stretch>
                            <a:fillRect/>
                          </a:stretch>
                        </pic:blipFill>
                        <pic:spPr>
                          <a:xfrm>
                            <a:off x="0" y="0"/>
                            <a:ext cx="2324100" cy="276225"/>
                          </a:xfrm>
                          <a:prstGeom prst="rect">
                            <a:avLst/>
                          </a:prstGeom>
                          <a:noFill/>
                          <a:ln>
                            <a:noFill/>
                          </a:ln>
                        </pic:spPr>
                      </pic:pic>
                    </a:graphicData>
                  </a:graphic>
                </wp:inline>
              </w:drawing>
            </w:r>
          </w:p>
          <w:p w14:paraId="3A88AA7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p2i</w:t>
            </w:r>
            <w:r>
              <w:rPr>
                <w:rFonts w:hint="default" w:ascii="Times New Roman" w:hAnsi="Times New Roman" w:cs="Times New Roman"/>
                <w:color w:val="auto"/>
                <w:sz w:val="24"/>
              </w:rPr>
              <w:t>（T）——靠近围护结构处室外N个声源i倍频带的叠加声压级，dB；</w:t>
            </w:r>
          </w:p>
          <w:p w14:paraId="66F97968">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pli</w:t>
            </w:r>
            <w:r>
              <w:rPr>
                <w:rFonts w:hint="default" w:ascii="Times New Roman" w:hAnsi="Times New Roman" w:cs="Times New Roman"/>
                <w:color w:val="auto"/>
                <w:sz w:val="24"/>
              </w:rPr>
              <w:t>（T）——靠近围护结构处室内N个声源i倍频带的叠加声压级，dB；</w:t>
            </w:r>
          </w:p>
          <w:p w14:paraId="58F7D37B">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TL</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 xml:space="preserve"> ——围护结构i倍频带的隔声量，dB。</w:t>
            </w:r>
          </w:p>
          <w:p w14:paraId="37B9798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③噪声贡献值计算</w:t>
            </w:r>
          </w:p>
          <w:p w14:paraId="01B0F07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设第i个室外声源在预测点产生的A声级为L</w:t>
            </w:r>
            <w:r>
              <w:rPr>
                <w:rFonts w:hint="default" w:ascii="Times New Roman" w:hAnsi="Times New Roman" w:cs="Times New Roman"/>
                <w:color w:val="auto"/>
                <w:sz w:val="24"/>
                <w:vertAlign w:val="subscript"/>
              </w:rPr>
              <w:t>Ai</w:t>
            </w:r>
            <w:r>
              <w:rPr>
                <w:rFonts w:hint="default" w:ascii="Times New Roman" w:hAnsi="Times New Roman" w:cs="Times New Roman"/>
                <w:color w:val="auto"/>
                <w:sz w:val="24"/>
              </w:rPr>
              <w:t>，在T时间内该声源工作时间为t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；第j个等效室外声源在预测点产生的A声级为LA</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，在T时间内该声源工作时间为t</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，则拟建工程声源对预测点产生的贡献值（Leqg）为：</w:t>
            </w:r>
          </w:p>
          <w:p w14:paraId="650103A9">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3400425" cy="647700"/>
                  <wp:effectExtent l="0" t="0" r="13335" b="762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25"/>
                          <a:stretch>
                            <a:fillRect/>
                          </a:stretch>
                        </pic:blipFill>
                        <pic:spPr>
                          <a:xfrm>
                            <a:off x="0" y="0"/>
                            <a:ext cx="3400425" cy="647700"/>
                          </a:xfrm>
                          <a:prstGeom prst="rect">
                            <a:avLst/>
                          </a:prstGeom>
                          <a:noFill/>
                          <a:ln>
                            <a:noFill/>
                          </a:ln>
                        </pic:spPr>
                      </pic:pic>
                    </a:graphicData>
                  </a:graphic>
                </wp:inline>
              </w:drawing>
            </w:r>
          </w:p>
          <w:p w14:paraId="6BC08C8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eqg</w:t>
            </w:r>
            <w:r>
              <w:rPr>
                <w:rFonts w:hint="default" w:ascii="Times New Roman" w:hAnsi="Times New Roman" w:cs="Times New Roman"/>
                <w:color w:val="auto"/>
                <w:sz w:val="24"/>
              </w:rPr>
              <w:t>——建设项目声源在预测点产生的噪声贡献值，dB；</w:t>
            </w:r>
          </w:p>
          <w:p w14:paraId="001B5A0D">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T——用于计算等效声级的时间，s；</w:t>
            </w:r>
          </w:p>
          <w:p w14:paraId="44159D2E">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N——室外声源个数；</w:t>
            </w:r>
          </w:p>
          <w:p w14:paraId="2AB4C1C7">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——在T时间内i声源工作时间，s；</w:t>
            </w:r>
          </w:p>
          <w:p w14:paraId="2DEAC14D">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M ——等效室外声源个数；</w:t>
            </w:r>
          </w:p>
          <w:p w14:paraId="479C7B22">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——在T时间内j声源工作时间，s。</w:t>
            </w:r>
          </w:p>
          <w:p w14:paraId="00915816">
            <w:pPr>
              <w:tabs>
                <w:tab w:val="left" w:pos="1219"/>
              </w:tabs>
              <w:autoSpaceDE w:val="0"/>
              <w:autoSpaceDN w:val="0"/>
              <w:adjustRightInd w:val="0"/>
              <w:spacing w:line="360" w:lineRule="auto"/>
              <w:ind w:right="193" w:firstLine="436" w:firstLineChars="182"/>
              <w:rPr>
                <w:rFonts w:hint="default" w:ascii="Times New Roman" w:hAnsi="Times New Roman" w:cs="Times New Roman"/>
                <w:color w:val="auto"/>
                <w:sz w:val="24"/>
              </w:rPr>
            </w:pPr>
            <w:r>
              <w:rPr>
                <w:rFonts w:hint="default" w:ascii="Times New Roman" w:hAnsi="Times New Roman" w:cs="Times New Roman"/>
                <w:color w:val="auto"/>
                <w:sz w:val="24"/>
              </w:rPr>
              <w:t>④噪声预测值计算</w:t>
            </w:r>
          </w:p>
          <w:p w14:paraId="7463EC7E">
            <w:pPr>
              <w:tabs>
                <w:tab w:val="left" w:pos="1219"/>
              </w:tabs>
              <w:autoSpaceDE w:val="0"/>
              <w:autoSpaceDN w:val="0"/>
              <w:adjustRightInd w:val="0"/>
              <w:spacing w:line="360" w:lineRule="auto"/>
              <w:ind w:right="193" w:firstLine="436" w:firstLineChars="182"/>
              <w:rPr>
                <w:rFonts w:hint="default" w:ascii="Times New Roman" w:hAnsi="Times New Roman" w:cs="Times New Roman"/>
                <w:color w:val="auto"/>
                <w:sz w:val="24"/>
              </w:rPr>
            </w:pPr>
            <w:r>
              <w:rPr>
                <w:rFonts w:hint="default" w:ascii="Times New Roman" w:hAnsi="Times New Roman" w:cs="Times New Roman"/>
                <w:color w:val="auto"/>
                <w:sz w:val="24"/>
              </w:rPr>
              <w:t>预测点的贡献值和背景值按能量叠加方法计算得到的声级。</w:t>
            </w:r>
          </w:p>
          <w:p w14:paraId="6FAD7693">
            <w:pPr>
              <w:tabs>
                <w:tab w:val="left" w:pos="1219"/>
              </w:tabs>
              <w:autoSpaceDE w:val="0"/>
              <w:autoSpaceDN w:val="0"/>
              <w:adjustRightInd w:val="0"/>
              <w:spacing w:line="360" w:lineRule="auto"/>
              <w:ind w:right="193" w:firstLine="436" w:firstLineChars="182"/>
              <w:rPr>
                <w:rFonts w:hint="default" w:ascii="Times New Roman" w:hAnsi="Times New Roman" w:cs="Times New Roman"/>
                <w:color w:val="auto"/>
                <w:sz w:val="24"/>
              </w:rPr>
            </w:pPr>
            <w:r>
              <w:rPr>
                <w:rFonts w:hint="default" w:ascii="Times New Roman" w:hAnsi="Times New Roman" w:cs="Times New Roman"/>
                <w:color w:val="auto"/>
                <w:sz w:val="24"/>
              </w:rPr>
              <w:t>噪声预测值（Leq）计算公式为：</w:t>
            </w:r>
          </w:p>
          <w:p w14:paraId="5BD4E98C">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28900" cy="523875"/>
                  <wp:effectExtent l="0" t="0" r="7620" b="952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26"/>
                          <a:stretch>
                            <a:fillRect/>
                          </a:stretch>
                        </pic:blipFill>
                        <pic:spPr>
                          <a:xfrm>
                            <a:off x="0" y="0"/>
                            <a:ext cx="2628900" cy="523875"/>
                          </a:xfrm>
                          <a:prstGeom prst="rect">
                            <a:avLst/>
                          </a:prstGeom>
                          <a:noFill/>
                          <a:ln>
                            <a:noFill/>
                          </a:ln>
                        </pic:spPr>
                      </pic:pic>
                    </a:graphicData>
                  </a:graphic>
                </wp:inline>
              </w:drawing>
            </w:r>
          </w:p>
          <w:p w14:paraId="3EDC1644">
            <w:pPr>
              <w:pStyle w:val="12"/>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式中：Leq</w:t>
            </w:r>
            <w:r>
              <w:rPr>
                <w:rFonts w:hint="default" w:ascii="Times New Roman" w:hAnsi="Times New Roman" w:cs="Times New Roman"/>
                <w:color w:val="auto"/>
                <w:sz w:val="24"/>
              </w:rPr>
              <w:t>——</w:t>
            </w:r>
            <w:r>
              <w:rPr>
                <w:rFonts w:hint="default" w:ascii="Times New Roman" w:hAnsi="Times New Roman" w:cs="Times New Roman"/>
                <w:color w:val="auto"/>
                <w:sz w:val="24"/>
                <w:szCs w:val="24"/>
              </w:rPr>
              <w:t>预测点的噪声预测值，dB；</w:t>
            </w:r>
          </w:p>
          <w:p w14:paraId="2AEDF495">
            <w:pPr>
              <w:pStyle w:val="12"/>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Leqg</w:t>
            </w:r>
            <w:r>
              <w:rPr>
                <w:rFonts w:hint="default" w:ascii="Times New Roman" w:hAnsi="Times New Roman" w:cs="Times New Roman"/>
                <w:color w:val="auto"/>
                <w:sz w:val="24"/>
              </w:rPr>
              <w:t>——</w:t>
            </w:r>
            <w:r>
              <w:rPr>
                <w:rFonts w:hint="default" w:ascii="Times New Roman" w:hAnsi="Times New Roman" w:cs="Times New Roman"/>
                <w:color w:val="auto"/>
                <w:sz w:val="24"/>
                <w:szCs w:val="24"/>
              </w:rPr>
              <w:t>建设项目声源在预测点产生的噪声贡献值，dB；</w:t>
            </w:r>
          </w:p>
          <w:p w14:paraId="31CFA938">
            <w:pPr>
              <w:pStyle w:val="12"/>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Leqb</w:t>
            </w:r>
            <w:r>
              <w:rPr>
                <w:rFonts w:hint="default" w:ascii="Times New Roman" w:hAnsi="Times New Roman" w:cs="Times New Roman"/>
                <w:color w:val="auto"/>
                <w:sz w:val="24"/>
              </w:rPr>
              <w:t>——</w:t>
            </w:r>
            <w:r>
              <w:rPr>
                <w:rFonts w:hint="default" w:ascii="Times New Roman" w:hAnsi="Times New Roman" w:cs="Times New Roman"/>
                <w:color w:val="auto"/>
                <w:sz w:val="24"/>
                <w:szCs w:val="24"/>
              </w:rPr>
              <w:t>预测点的背景噪声值，dB。</w:t>
            </w:r>
          </w:p>
          <w:p w14:paraId="004A3A69">
            <w:pPr>
              <w:tabs>
                <w:tab w:val="left" w:pos="1219"/>
              </w:tabs>
              <w:autoSpaceDE w:val="0"/>
              <w:autoSpaceDN w:val="0"/>
              <w:adjustRightInd w:val="0"/>
              <w:spacing w:line="360" w:lineRule="auto"/>
              <w:ind w:right="193" w:firstLine="436" w:firstLineChars="182"/>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5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rPr>
              <w:t>⑤</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预测结果</w:t>
            </w:r>
          </w:p>
          <w:p w14:paraId="701BED0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预测结果详见下表4-</w:t>
            </w:r>
            <w:r>
              <w:rPr>
                <w:rFonts w:hint="eastAsia" w:ascii="Times New Roman" w:hAnsi="Times New Roman" w:cs="Times New Roman"/>
                <w:color w:val="auto"/>
                <w:sz w:val="24"/>
                <w:lang w:val="en-US" w:eastAsia="zh-CN"/>
              </w:rPr>
              <w:t>1</w:t>
            </w:r>
            <w:r>
              <w:rPr>
                <w:rFonts w:hint="eastAsia" w:cs="Times New Roman"/>
                <w:color w:val="auto"/>
                <w:sz w:val="24"/>
                <w:lang w:val="en-US" w:eastAsia="zh-CN"/>
              </w:rPr>
              <w:t>1</w:t>
            </w:r>
            <w:r>
              <w:rPr>
                <w:rFonts w:hint="default" w:ascii="Times New Roman" w:hAnsi="Times New Roman" w:cs="Times New Roman"/>
                <w:color w:val="auto"/>
                <w:sz w:val="24"/>
              </w:rPr>
              <w:t>。</w:t>
            </w:r>
          </w:p>
          <w:p w14:paraId="27DCA49F">
            <w:pPr>
              <w:adjustRightInd w:val="0"/>
              <w:snapToGrid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厂界噪声预测结果一览表dB</w:t>
            </w:r>
            <w:r>
              <w:rPr>
                <w:rFonts w:hint="default" w:ascii="Times New Roman" w:hAnsi="Times New Roman" w:eastAsia="宋体" w:cs="Times New Roman"/>
                <w:b/>
                <w:bCs/>
                <w:color w:val="auto"/>
                <w:sz w:val="24"/>
                <w:szCs w:val="24"/>
                <w:highlight w:val="none"/>
                <w:lang w:val="zh-CN"/>
              </w:rPr>
              <w:t>（A</w:t>
            </w:r>
            <w:r>
              <w:rPr>
                <w:rFonts w:hint="default" w:ascii="Times New Roman" w:hAnsi="Times New Roman" w:eastAsia="宋体" w:cs="Times New Roman"/>
                <w:b/>
                <w:bCs/>
                <w:color w:val="auto"/>
                <w:sz w:val="24"/>
                <w:szCs w:val="24"/>
                <w:lang w:val="zh-CN"/>
              </w:rPr>
              <w:t>）</w:t>
            </w:r>
          </w:p>
          <w:tbl>
            <w:tblPr>
              <w:tblStyle w:val="28"/>
              <w:tblW w:w="8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958"/>
              <w:gridCol w:w="1872"/>
              <w:gridCol w:w="1872"/>
              <w:gridCol w:w="1682"/>
              <w:gridCol w:w="732"/>
            </w:tblGrid>
            <w:tr w14:paraId="4395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61" w:type="dxa"/>
                  <w:vMerge w:val="restart"/>
                  <w:vAlign w:val="center"/>
                </w:tcPr>
                <w:p w14:paraId="175E06FA">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厂界</w:t>
                  </w:r>
                </w:p>
              </w:tc>
              <w:tc>
                <w:tcPr>
                  <w:tcW w:w="958" w:type="dxa"/>
                  <w:vMerge w:val="restart"/>
                  <w:vAlign w:val="center"/>
                </w:tcPr>
                <w:p w14:paraId="01EFC235">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贡献值</w:t>
                  </w:r>
                </w:p>
              </w:tc>
              <w:tc>
                <w:tcPr>
                  <w:tcW w:w="1872" w:type="dxa"/>
                  <w:vAlign w:val="center"/>
                </w:tcPr>
                <w:p w14:paraId="487D8833">
                  <w:pPr>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eastAsia="zh-CN"/>
                    </w:rPr>
                    <w:t>现状值</w:t>
                  </w:r>
                  <w:r>
                    <w:rPr>
                      <w:rFonts w:hint="default" w:ascii="Times New Roman" w:hAnsi="Times New Roman" w:cs="Times New Roman"/>
                      <w:b/>
                      <w:bCs/>
                      <w:color w:val="auto"/>
                      <w:szCs w:val="21"/>
                      <w:highlight w:val="none"/>
                      <w:lang w:val="en-US" w:eastAsia="zh-CN"/>
                    </w:rPr>
                    <w:t xml:space="preserve">                                                                                                                   </w:t>
                  </w:r>
                </w:p>
              </w:tc>
              <w:tc>
                <w:tcPr>
                  <w:tcW w:w="1872" w:type="dxa"/>
                  <w:vAlign w:val="center"/>
                </w:tcPr>
                <w:p w14:paraId="048CBBA0">
                  <w:pPr>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eastAsia="zh-CN"/>
                    </w:rPr>
                    <w:t>预测值</w:t>
                  </w:r>
                </w:p>
              </w:tc>
              <w:tc>
                <w:tcPr>
                  <w:tcW w:w="1682" w:type="dxa"/>
                  <w:vAlign w:val="center"/>
                </w:tcPr>
                <w:p w14:paraId="5186B27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评价标准</w:t>
                  </w:r>
                </w:p>
              </w:tc>
              <w:tc>
                <w:tcPr>
                  <w:tcW w:w="732" w:type="dxa"/>
                  <w:vMerge w:val="restart"/>
                  <w:vAlign w:val="center"/>
                </w:tcPr>
                <w:p w14:paraId="15B0F79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达标情况</w:t>
                  </w:r>
                </w:p>
              </w:tc>
            </w:tr>
            <w:tr w14:paraId="39ED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61" w:type="dxa"/>
                  <w:vMerge w:val="continue"/>
                  <w:vAlign w:val="center"/>
                </w:tcPr>
                <w:p w14:paraId="2DD29EBA">
                  <w:pPr>
                    <w:jc w:val="center"/>
                    <w:rPr>
                      <w:rFonts w:hint="default" w:ascii="Times New Roman" w:hAnsi="Times New Roman" w:cs="Times New Roman"/>
                      <w:b/>
                      <w:bCs/>
                      <w:color w:val="auto"/>
                      <w:szCs w:val="21"/>
                    </w:rPr>
                  </w:pPr>
                </w:p>
              </w:tc>
              <w:tc>
                <w:tcPr>
                  <w:tcW w:w="958" w:type="dxa"/>
                  <w:vMerge w:val="continue"/>
                  <w:vAlign w:val="center"/>
                </w:tcPr>
                <w:p w14:paraId="18489C51">
                  <w:pPr>
                    <w:jc w:val="center"/>
                    <w:rPr>
                      <w:rFonts w:hint="default" w:ascii="Times New Roman" w:hAnsi="Times New Roman" w:cs="Times New Roman"/>
                      <w:b/>
                      <w:bCs/>
                      <w:color w:val="auto"/>
                      <w:szCs w:val="21"/>
                    </w:rPr>
                  </w:pPr>
                </w:p>
              </w:tc>
              <w:tc>
                <w:tcPr>
                  <w:tcW w:w="1872" w:type="dxa"/>
                  <w:tcBorders>
                    <w:top w:val="single" w:color="auto" w:sz="4" w:space="0"/>
                    <w:left w:val="single" w:color="auto" w:sz="4" w:space="0"/>
                    <w:bottom w:val="single" w:color="auto" w:sz="4" w:space="0"/>
                    <w:right w:val="single" w:color="auto" w:sz="4" w:space="0"/>
                  </w:tcBorders>
                  <w:vAlign w:val="center"/>
                </w:tcPr>
                <w:p w14:paraId="2E2CFCC8">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1872" w:type="dxa"/>
                  <w:vAlign w:val="center"/>
                </w:tcPr>
                <w:p w14:paraId="22564B56">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1682" w:type="dxa"/>
                  <w:vAlign w:val="center"/>
                </w:tcPr>
                <w:p w14:paraId="33256F8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732" w:type="dxa"/>
                  <w:vMerge w:val="continue"/>
                  <w:vAlign w:val="center"/>
                </w:tcPr>
                <w:p w14:paraId="29CACA30">
                  <w:pPr>
                    <w:jc w:val="center"/>
                    <w:rPr>
                      <w:rFonts w:hint="default" w:ascii="Times New Roman" w:hAnsi="Times New Roman" w:cs="Times New Roman"/>
                      <w:b/>
                      <w:bCs/>
                      <w:color w:val="auto"/>
                      <w:szCs w:val="21"/>
                    </w:rPr>
                  </w:pPr>
                </w:p>
              </w:tc>
            </w:tr>
            <w:tr w14:paraId="6432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61" w:type="dxa"/>
                  <w:vAlign w:val="center"/>
                </w:tcPr>
                <w:p w14:paraId="52D5A385">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厂界东侧</w:t>
                  </w:r>
                </w:p>
              </w:tc>
              <w:tc>
                <w:tcPr>
                  <w:tcW w:w="958" w:type="dxa"/>
                  <w:vAlign w:val="center"/>
                </w:tcPr>
                <w:p w14:paraId="5454A65F">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w:t>
                  </w:r>
                </w:p>
              </w:tc>
              <w:tc>
                <w:tcPr>
                  <w:tcW w:w="1872" w:type="dxa"/>
                  <w:tcBorders>
                    <w:top w:val="single" w:color="auto" w:sz="4" w:space="0"/>
                    <w:left w:val="single" w:color="auto" w:sz="4" w:space="0"/>
                    <w:bottom w:val="single" w:color="auto" w:sz="4" w:space="0"/>
                    <w:right w:val="single" w:color="auto" w:sz="4" w:space="0"/>
                  </w:tcBorders>
                  <w:vAlign w:val="center"/>
                </w:tcPr>
                <w:p w14:paraId="6BF7EEE4">
                  <w:pPr>
                    <w:autoSpaceDE w:val="0"/>
                    <w:jc w:val="center"/>
                    <w:rPr>
                      <w:rFonts w:hint="default" w:ascii="Times New Roman" w:hAnsi="Times New Roman" w:cs="Times New Roman"/>
                      <w:color w:val="auto"/>
                      <w:szCs w:val="21"/>
                      <w:highlight w:val="red"/>
                    </w:rPr>
                  </w:pPr>
                  <w:r>
                    <w:rPr>
                      <w:rFonts w:hint="default" w:ascii="Times New Roman" w:hAnsi="Times New Roman" w:cs="Times New Roman"/>
                      <w:szCs w:val="21"/>
                      <w:lang w:val="en-US" w:eastAsia="zh-CN"/>
                    </w:rPr>
                    <w:t>54</w:t>
                  </w:r>
                </w:p>
              </w:tc>
              <w:tc>
                <w:tcPr>
                  <w:tcW w:w="1872" w:type="dxa"/>
                  <w:vAlign w:val="center"/>
                </w:tcPr>
                <w:p w14:paraId="62260C63">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eastAsia" w:cs="Times New Roman"/>
                      <w:i w:val="0"/>
                      <w:iCs w:val="0"/>
                      <w:color w:val="auto"/>
                      <w:kern w:val="0"/>
                      <w:sz w:val="21"/>
                      <w:szCs w:val="21"/>
                      <w:u w:val="none"/>
                      <w:lang w:val="en-US" w:eastAsia="zh-CN" w:bidi="ar"/>
                    </w:rPr>
                    <w:t>56.1</w:t>
                  </w:r>
                </w:p>
              </w:tc>
              <w:tc>
                <w:tcPr>
                  <w:tcW w:w="1682" w:type="dxa"/>
                  <w:vAlign w:val="center"/>
                </w:tcPr>
                <w:p w14:paraId="5D05F581">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5</w:t>
                  </w:r>
                </w:p>
              </w:tc>
              <w:tc>
                <w:tcPr>
                  <w:tcW w:w="732" w:type="dxa"/>
                  <w:vAlign w:val="center"/>
                </w:tcPr>
                <w:p w14:paraId="3AA7624C">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4F19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61" w:type="dxa"/>
                  <w:vAlign w:val="center"/>
                </w:tcPr>
                <w:p w14:paraId="58596E72">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厂界南侧</w:t>
                  </w:r>
                </w:p>
              </w:tc>
              <w:tc>
                <w:tcPr>
                  <w:tcW w:w="958" w:type="dxa"/>
                  <w:vAlign w:val="center"/>
                </w:tcPr>
                <w:p w14:paraId="15A53AE2">
                  <w:pPr>
                    <w:jc w:val="center"/>
                    <w:rPr>
                      <w:rFonts w:hint="default" w:ascii="Times New Roman" w:hAnsi="Times New Roman" w:cs="Times New Roman"/>
                      <w:color w:val="auto"/>
                      <w:szCs w:val="21"/>
                      <w:lang w:val="en-US"/>
                    </w:rPr>
                  </w:pPr>
                  <w:r>
                    <w:rPr>
                      <w:rFonts w:hint="eastAsia" w:cs="Times New Roman"/>
                      <w:color w:val="auto"/>
                      <w:szCs w:val="21"/>
                      <w:lang w:val="en-US" w:eastAsia="zh-CN"/>
                    </w:rPr>
                    <w:t>54</w:t>
                  </w:r>
                </w:p>
              </w:tc>
              <w:tc>
                <w:tcPr>
                  <w:tcW w:w="1872" w:type="dxa"/>
                  <w:tcBorders>
                    <w:top w:val="single" w:color="auto" w:sz="4" w:space="0"/>
                    <w:left w:val="single" w:color="auto" w:sz="4" w:space="0"/>
                    <w:bottom w:val="single" w:color="auto" w:sz="4" w:space="0"/>
                    <w:right w:val="single" w:color="auto" w:sz="4" w:space="0"/>
                  </w:tcBorders>
                  <w:vAlign w:val="center"/>
                </w:tcPr>
                <w:p w14:paraId="4BB211D1">
                  <w:pPr>
                    <w:autoSpaceDE w:val="0"/>
                    <w:jc w:val="center"/>
                    <w:rPr>
                      <w:rFonts w:hint="default" w:ascii="Times New Roman" w:hAnsi="Times New Roman" w:cs="Times New Roman"/>
                      <w:color w:val="auto"/>
                      <w:szCs w:val="21"/>
                      <w:highlight w:val="red"/>
                    </w:rPr>
                  </w:pPr>
                  <w:r>
                    <w:rPr>
                      <w:rFonts w:hint="default" w:ascii="Times New Roman" w:hAnsi="Times New Roman" w:cs="Times New Roman"/>
                      <w:szCs w:val="21"/>
                      <w:lang w:val="en-US" w:eastAsia="zh-CN"/>
                    </w:rPr>
                    <w:t>53</w:t>
                  </w:r>
                </w:p>
              </w:tc>
              <w:tc>
                <w:tcPr>
                  <w:tcW w:w="1872" w:type="dxa"/>
                  <w:vAlign w:val="center"/>
                </w:tcPr>
                <w:p w14:paraId="5E848175">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56.5</w:t>
                  </w:r>
                </w:p>
              </w:tc>
              <w:tc>
                <w:tcPr>
                  <w:tcW w:w="1682" w:type="dxa"/>
                  <w:vAlign w:val="center"/>
                </w:tcPr>
                <w:p w14:paraId="07A5386B">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5</w:t>
                  </w:r>
                </w:p>
              </w:tc>
              <w:tc>
                <w:tcPr>
                  <w:tcW w:w="732" w:type="dxa"/>
                  <w:vAlign w:val="center"/>
                </w:tcPr>
                <w:p w14:paraId="370283AE">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59A2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61" w:type="dxa"/>
                  <w:vAlign w:val="center"/>
                </w:tcPr>
                <w:p w14:paraId="5CB083DC">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厂界西侧</w:t>
                  </w:r>
                </w:p>
              </w:tc>
              <w:tc>
                <w:tcPr>
                  <w:tcW w:w="958" w:type="dxa"/>
                  <w:vAlign w:val="center"/>
                </w:tcPr>
                <w:p w14:paraId="3626BBA9">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w:t>
                  </w:r>
                </w:p>
              </w:tc>
              <w:tc>
                <w:tcPr>
                  <w:tcW w:w="1872" w:type="dxa"/>
                  <w:tcBorders>
                    <w:top w:val="single" w:color="auto" w:sz="4" w:space="0"/>
                    <w:left w:val="single" w:color="auto" w:sz="4" w:space="0"/>
                    <w:bottom w:val="single" w:color="auto" w:sz="4" w:space="0"/>
                    <w:right w:val="single" w:color="auto" w:sz="4" w:space="0"/>
                  </w:tcBorders>
                  <w:vAlign w:val="center"/>
                </w:tcPr>
                <w:p w14:paraId="7DB1255D">
                  <w:pPr>
                    <w:autoSpaceDE w:val="0"/>
                    <w:jc w:val="center"/>
                    <w:rPr>
                      <w:rFonts w:hint="default" w:ascii="Times New Roman" w:hAnsi="Times New Roman" w:cs="Times New Roman"/>
                      <w:color w:val="auto"/>
                      <w:szCs w:val="21"/>
                      <w:highlight w:val="red"/>
                    </w:rPr>
                  </w:pPr>
                  <w:r>
                    <w:rPr>
                      <w:rFonts w:hint="default" w:ascii="Times New Roman" w:hAnsi="Times New Roman" w:cs="Times New Roman"/>
                      <w:szCs w:val="21"/>
                      <w:lang w:val="en-US" w:eastAsia="zh-CN"/>
                    </w:rPr>
                    <w:t>54</w:t>
                  </w:r>
                </w:p>
              </w:tc>
              <w:tc>
                <w:tcPr>
                  <w:tcW w:w="1872" w:type="dxa"/>
                  <w:vAlign w:val="center"/>
                </w:tcPr>
                <w:p w14:paraId="4AF85C6B">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i w:val="0"/>
                      <w:iCs w:val="0"/>
                      <w:color w:val="auto"/>
                      <w:kern w:val="0"/>
                      <w:sz w:val="21"/>
                      <w:szCs w:val="21"/>
                      <w:u w:val="none"/>
                      <w:lang w:val="en-US" w:eastAsia="zh-CN" w:bidi="ar"/>
                    </w:rPr>
                    <w:t>56.1</w:t>
                  </w:r>
                </w:p>
              </w:tc>
              <w:tc>
                <w:tcPr>
                  <w:tcW w:w="1682" w:type="dxa"/>
                  <w:vAlign w:val="center"/>
                </w:tcPr>
                <w:p w14:paraId="162F38CA">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5</w:t>
                  </w:r>
                </w:p>
              </w:tc>
              <w:tc>
                <w:tcPr>
                  <w:tcW w:w="732" w:type="dxa"/>
                  <w:vAlign w:val="center"/>
                </w:tcPr>
                <w:p w14:paraId="51A3625E">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1ED0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361" w:type="dxa"/>
                  <w:vAlign w:val="center"/>
                </w:tcPr>
                <w:p w14:paraId="2A0EDC92">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厂界北侧</w:t>
                  </w:r>
                </w:p>
              </w:tc>
              <w:tc>
                <w:tcPr>
                  <w:tcW w:w="958" w:type="dxa"/>
                  <w:vAlign w:val="center"/>
                </w:tcPr>
                <w:p w14:paraId="1E27D047">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48</w:t>
                  </w:r>
                </w:p>
              </w:tc>
              <w:tc>
                <w:tcPr>
                  <w:tcW w:w="1872" w:type="dxa"/>
                  <w:tcBorders>
                    <w:top w:val="single" w:color="auto" w:sz="4" w:space="0"/>
                    <w:left w:val="single" w:color="auto" w:sz="4" w:space="0"/>
                    <w:bottom w:val="single" w:color="auto" w:sz="4" w:space="0"/>
                    <w:right w:val="single" w:color="auto" w:sz="4" w:space="0"/>
                  </w:tcBorders>
                  <w:vAlign w:val="center"/>
                </w:tcPr>
                <w:p w14:paraId="6D6F4697">
                  <w:pPr>
                    <w:autoSpaceDE w:val="0"/>
                    <w:jc w:val="center"/>
                    <w:rPr>
                      <w:rFonts w:hint="default" w:ascii="Times New Roman" w:hAnsi="Times New Roman" w:cs="Times New Roman"/>
                      <w:color w:val="auto"/>
                      <w:szCs w:val="21"/>
                      <w:highlight w:val="red"/>
                      <w:lang w:val="en-US"/>
                    </w:rPr>
                  </w:pPr>
                  <w:r>
                    <w:rPr>
                      <w:rFonts w:hint="default" w:ascii="Times New Roman" w:hAnsi="Times New Roman" w:cs="Times New Roman"/>
                      <w:szCs w:val="21"/>
                      <w:lang w:val="en-US" w:eastAsia="zh-CN"/>
                    </w:rPr>
                    <w:t>52</w:t>
                  </w:r>
                </w:p>
              </w:tc>
              <w:tc>
                <w:tcPr>
                  <w:tcW w:w="1872" w:type="dxa"/>
                  <w:vAlign w:val="center"/>
                </w:tcPr>
                <w:p w14:paraId="6DEADF30">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i w:val="0"/>
                      <w:iCs w:val="0"/>
                      <w:color w:val="auto"/>
                      <w:kern w:val="0"/>
                      <w:sz w:val="21"/>
                      <w:szCs w:val="21"/>
                      <w:u w:val="none"/>
                      <w:lang w:val="en-US" w:eastAsia="zh-CN" w:bidi="ar"/>
                    </w:rPr>
                    <w:t>53.5</w:t>
                  </w:r>
                </w:p>
              </w:tc>
              <w:tc>
                <w:tcPr>
                  <w:tcW w:w="1682" w:type="dxa"/>
                  <w:vAlign w:val="center"/>
                </w:tcPr>
                <w:p w14:paraId="791D9FAD">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5</w:t>
                  </w:r>
                </w:p>
              </w:tc>
              <w:tc>
                <w:tcPr>
                  <w:tcW w:w="732" w:type="dxa"/>
                  <w:vAlign w:val="center"/>
                </w:tcPr>
                <w:p w14:paraId="036930F7">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14:paraId="1F086D8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由上表可见，东侧、南侧、西侧、北侧厂界噪声排放达到《工业企业厂界环境噪声排放标准》（GB12348-2008）中</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类标准限值要求</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对外环境的影响不大。</w:t>
            </w:r>
          </w:p>
          <w:p w14:paraId="76D66F64">
            <w:pPr>
              <w:adjustRightInd w:val="0"/>
              <w:snapToGrid w:val="0"/>
              <w:spacing w:line="360" w:lineRule="auto"/>
              <w:jc w:val="center"/>
              <w:rPr>
                <w:rFonts w:hint="default" w:ascii="Times New Roman" w:hAnsi="Times New Roman" w:eastAsia="宋体" w:cs="Times New Roman"/>
                <w:b/>
                <w:bCs/>
                <w:color w:val="auto"/>
                <w:sz w:val="24"/>
                <w:szCs w:val="24"/>
              </w:rPr>
            </w:pPr>
          </w:p>
          <w:p w14:paraId="2824C102">
            <w:pPr>
              <w:adjustRightInd w:val="0"/>
              <w:snapToGrid w:val="0"/>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szCs w:val="24"/>
              </w:rPr>
              <w:t>表4-</w:t>
            </w: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项目敏感点</w:t>
            </w:r>
            <w:r>
              <w:rPr>
                <w:rFonts w:hint="default" w:ascii="Times New Roman" w:hAnsi="Times New Roman" w:eastAsia="宋体" w:cs="Times New Roman"/>
                <w:b/>
                <w:bCs/>
                <w:color w:val="auto"/>
                <w:sz w:val="24"/>
                <w:szCs w:val="24"/>
              </w:rPr>
              <w:t>噪声预测结果一览表dB</w:t>
            </w:r>
            <w:r>
              <w:rPr>
                <w:rFonts w:hint="default" w:ascii="Times New Roman" w:hAnsi="Times New Roman" w:eastAsia="宋体" w:cs="Times New Roman"/>
                <w:b/>
                <w:bCs/>
                <w:color w:val="auto"/>
                <w:sz w:val="24"/>
                <w:szCs w:val="24"/>
                <w:lang w:val="zh-CN"/>
              </w:rPr>
              <w:t>（A）</w:t>
            </w:r>
          </w:p>
          <w:tbl>
            <w:tblPr>
              <w:tblStyle w:val="28"/>
              <w:tblW w:w="8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958"/>
              <w:gridCol w:w="1872"/>
              <w:gridCol w:w="1872"/>
              <w:gridCol w:w="1682"/>
              <w:gridCol w:w="732"/>
            </w:tblGrid>
            <w:tr w14:paraId="77D0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61" w:type="dxa"/>
                  <w:vMerge w:val="restart"/>
                  <w:vAlign w:val="center"/>
                </w:tcPr>
                <w:p w14:paraId="04981C42">
                  <w:pPr>
                    <w:jc w:val="center"/>
                    <w:rPr>
                      <w:rFonts w:hint="eastAsia" w:ascii="Times New Roman" w:hAnsi="Times New Roman" w:eastAsia="宋体" w:cs="Times New Roman"/>
                      <w:b/>
                      <w:bCs/>
                      <w:color w:val="auto"/>
                      <w:szCs w:val="21"/>
                      <w:lang w:eastAsia="zh-CN"/>
                    </w:rPr>
                  </w:pPr>
                  <w:r>
                    <w:rPr>
                      <w:rFonts w:hint="eastAsia" w:cs="Times New Roman"/>
                      <w:b/>
                      <w:bCs/>
                      <w:color w:val="auto"/>
                      <w:szCs w:val="21"/>
                      <w:lang w:eastAsia="zh-CN"/>
                    </w:rPr>
                    <w:t>预测点</w:t>
                  </w:r>
                </w:p>
              </w:tc>
              <w:tc>
                <w:tcPr>
                  <w:tcW w:w="958" w:type="dxa"/>
                  <w:vMerge w:val="restart"/>
                  <w:vAlign w:val="center"/>
                </w:tcPr>
                <w:p w14:paraId="2F7A8B2E">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贡献值</w:t>
                  </w:r>
                </w:p>
              </w:tc>
              <w:tc>
                <w:tcPr>
                  <w:tcW w:w="1872" w:type="dxa"/>
                  <w:vAlign w:val="center"/>
                </w:tcPr>
                <w:p w14:paraId="0B7B959B">
                  <w:pPr>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eastAsia="zh-CN"/>
                    </w:rPr>
                    <w:t>背景</w:t>
                  </w:r>
                  <w:r>
                    <w:rPr>
                      <w:rFonts w:hint="default" w:ascii="Times New Roman" w:hAnsi="Times New Roman" w:cs="Times New Roman"/>
                      <w:b/>
                      <w:bCs/>
                      <w:color w:val="auto"/>
                      <w:szCs w:val="21"/>
                      <w:highlight w:val="none"/>
                      <w:lang w:eastAsia="zh-CN"/>
                    </w:rPr>
                    <w:t>值</w:t>
                  </w:r>
                  <w:r>
                    <w:rPr>
                      <w:rFonts w:hint="default" w:ascii="Times New Roman" w:hAnsi="Times New Roman" w:cs="Times New Roman"/>
                      <w:b/>
                      <w:bCs/>
                      <w:color w:val="auto"/>
                      <w:szCs w:val="21"/>
                      <w:highlight w:val="none"/>
                      <w:lang w:val="en-US" w:eastAsia="zh-CN"/>
                    </w:rPr>
                    <w:t xml:space="preserve">                                                                                                                   </w:t>
                  </w:r>
                </w:p>
              </w:tc>
              <w:tc>
                <w:tcPr>
                  <w:tcW w:w="1872" w:type="dxa"/>
                  <w:vAlign w:val="center"/>
                </w:tcPr>
                <w:p w14:paraId="7F3E42CB">
                  <w:pPr>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eastAsia="zh-CN"/>
                    </w:rPr>
                    <w:t>预测值</w:t>
                  </w:r>
                </w:p>
              </w:tc>
              <w:tc>
                <w:tcPr>
                  <w:tcW w:w="1682" w:type="dxa"/>
                  <w:vAlign w:val="center"/>
                </w:tcPr>
                <w:p w14:paraId="766F7DB5">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评价标准</w:t>
                  </w:r>
                </w:p>
              </w:tc>
              <w:tc>
                <w:tcPr>
                  <w:tcW w:w="732" w:type="dxa"/>
                  <w:vMerge w:val="restart"/>
                  <w:vAlign w:val="center"/>
                </w:tcPr>
                <w:p w14:paraId="39ABD52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达标情况</w:t>
                  </w:r>
                </w:p>
              </w:tc>
            </w:tr>
            <w:tr w14:paraId="23AB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61" w:type="dxa"/>
                  <w:vMerge w:val="continue"/>
                  <w:vAlign w:val="center"/>
                </w:tcPr>
                <w:p w14:paraId="074B36B0">
                  <w:pPr>
                    <w:jc w:val="center"/>
                    <w:rPr>
                      <w:rFonts w:hint="default" w:ascii="Times New Roman" w:hAnsi="Times New Roman" w:cs="Times New Roman"/>
                      <w:b/>
                      <w:bCs/>
                      <w:color w:val="auto"/>
                      <w:szCs w:val="21"/>
                    </w:rPr>
                  </w:pPr>
                </w:p>
              </w:tc>
              <w:tc>
                <w:tcPr>
                  <w:tcW w:w="958" w:type="dxa"/>
                  <w:vMerge w:val="continue"/>
                  <w:vAlign w:val="center"/>
                </w:tcPr>
                <w:p w14:paraId="7E3E2634">
                  <w:pPr>
                    <w:jc w:val="center"/>
                    <w:rPr>
                      <w:rFonts w:hint="default" w:ascii="Times New Roman" w:hAnsi="Times New Roman" w:cs="Times New Roman"/>
                      <w:b/>
                      <w:bCs/>
                      <w:color w:val="auto"/>
                      <w:szCs w:val="21"/>
                    </w:rPr>
                  </w:pPr>
                </w:p>
              </w:tc>
              <w:tc>
                <w:tcPr>
                  <w:tcW w:w="1872" w:type="dxa"/>
                  <w:tcBorders>
                    <w:top w:val="single" w:color="auto" w:sz="4" w:space="0"/>
                    <w:left w:val="single" w:color="auto" w:sz="4" w:space="0"/>
                    <w:bottom w:val="single" w:color="auto" w:sz="4" w:space="0"/>
                    <w:right w:val="single" w:color="auto" w:sz="4" w:space="0"/>
                  </w:tcBorders>
                  <w:vAlign w:val="center"/>
                </w:tcPr>
                <w:p w14:paraId="5F25F4E4">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1872" w:type="dxa"/>
                  <w:vAlign w:val="center"/>
                </w:tcPr>
                <w:p w14:paraId="7B62893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1682" w:type="dxa"/>
                  <w:vAlign w:val="center"/>
                </w:tcPr>
                <w:p w14:paraId="697A7F9E">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732" w:type="dxa"/>
                  <w:vMerge w:val="continue"/>
                  <w:vAlign w:val="center"/>
                </w:tcPr>
                <w:p w14:paraId="45CC8F59">
                  <w:pPr>
                    <w:jc w:val="center"/>
                    <w:rPr>
                      <w:rFonts w:hint="default" w:ascii="Times New Roman" w:hAnsi="Times New Roman" w:cs="Times New Roman"/>
                      <w:b/>
                      <w:bCs/>
                      <w:color w:val="auto"/>
                      <w:szCs w:val="21"/>
                    </w:rPr>
                  </w:pPr>
                </w:p>
              </w:tc>
            </w:tr>
            <w:tr w14:paraId="3959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61" w:type="dxa"/>
                  <w:vAlign w:val="center"/>
                </w:tcPr>
                <w:p w14:paraId="3AF62595">
                  <w:pPr>
                    <w:jc w:val="center"/>
                    <w:rPr>
                      <w:rFonts w:hint="default" w:ascii="Times New Roman" w:hAnsi="Times New Roman" w:cs="Times New Roman"/>
                      <w:color w:val="auto"/>
                      <w:szCs w:val="21"/>
                    </w:rPr>
                  </w:pPr>
                  <w:r>
                    <w:rPr>
                      <w:rFonts w:hint="eastAsia" w:cs="Times New Roman"/>
                      <w:color w:val="auto"/>
                      <w:lang w:eastAsia="zh-CN"/>
                    </w:rPr>
                    <w:t>杜集区经济开发区管委会</w:t>
                  </w:r>
                </w:p>
              </w:tc>
              <w:tc>
                <w:tcPr>
                  <w:tcW w:w="958" w:type="dxa"/>
                  <w:vAlign w:val="center"/>
                </w:tcPr>
                <w:p w14:paraId="1EAC00A1">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40</w:t>
                  </w:r>
                </w:p>
              </w:tc>
              <w:tc>
                <w:tcPr>
                  <w:tcW w:w="1872" w:type="dxa"/>
                  <w:tcBorders>
                    <w:top w:val="single" w:color="auto" w:sz="4" w:space="0"/>
                    <w:left w:val="single" w:color="auto" w:sz="4" w:space="0"/>
                    <w:bottom w:val="single" w:color="auto" w:sz="4" w:space="0"/>
                    <w:right w:val="single" w:color="auto" w:sz="4" w:space="0"/>
                  </w:tcBorders>
                  <w:vAlign w:val="center"/>
                </w:tcPr>
                <w:p w14:paraId="5A3356FB">
                  <w:pPr>
                    <w:jc w:val="center"/>
                    <w:rPr>
                      <w:rFonts w:hint="default" w:ascii="Times New Roman" w:hAnsi="Times New Roman" w:eastAsia="宋体" w:cs="Times New Roman"/>
                      <w:color w:val="auto"/>
                      <w:szCs w:val="21"/>
                      <w:highlight w:val="red"/>
                      <w:lang w:val="en-US" w:eastAsia="zh-CN"/>
                    </w:rPr>
                  </w:pPr>
                  <w:r>
                    <w:rPr>
                      <w:rFonts w:hint="eastAsia" w:cs="Times New Roman"/>
                      <w:color w:val="auto"/>
                      <w:szCs w:val="21"/>
                      <w:highlight w:val="none"/>
                      <w:lang w:val="en-US" w:eastAsia="zh-CN"/>
                    </w:rPr>
                    <w:t>51</w:t>
                  </w:r>
                </w:p>
              </w:tc>
              <w:tc>
                <w:tcPr>
                  <w:tcW w:w="1872" w:type="dxa"/>
                  <w:vAlign w:val="center"/>
                </w:tcPr>
                <w:p w14:paraId="76F4A7A0">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000000" w:themeColor="text1"/>
                      <w:szCs w:val="21"/>
                      <w:highlight w:val="none"/>
                      <w:lang w:val="en-US" w:eastAsia="zh-CN"/>
                      <w14:textFill>
                        <w14:solidFill>
                          <w14:schemeClr w14:val="tx1"/>
                        </w14:solidFill>
                      </w14:textFill>
                    </w:rPr>
                    <w:t>51.3</w:t>
                  </w:r>
                </w:p>
              </w:tc>
              <w:tc>
                <w:tcPr>
                  <w:tcW w:w="1682" w:type="dxa"/>
                  <w:vAlign w:val="center"/>
                </w:tcPr>
                <w:p w14:paraId="20CBA1A5">
                  <w:pPr>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60</w:t>
                  </w:r>
                  <w:r>
                    <w:rPr>
                      <w:rFonts w:hint="default" w:ascii="Times New Roman" w:hAnsi="Times New Roman" w:eastAsia="宋体" w:cs="Times New Roman"/>
                      <w:b w:val="0"/>
                      <w:bCs w:val="0"/>
                      <w:color w:val="auto"/>
                      <w:sz w:val="24"/>
                      <w:szCs w:val="24"/>
                      <w:highlight w:val="none"/>
                    </w:rPr>
                    <w:t>dB</w:t>
                  </w:r>
                  <w:r>
                    <w:rPr>
                      <w:rFonts w:hint="default" w:ascii="Times New Roman" w:hAnsi="Times New Roman" w:eastAsia="宋体" w:cs="Times New Roman"/>
                      <w:b w:val="0"/>
                      <w:bCs w:val="0"/>
                      <w:color w:val="auto"/>
                      <w:sz w:val="24"/>
                      <w:szCs w:val="24"/>
                      <w:highlight w:val="none"/>
                      <w:lang w:val="zh-CN"/>
                    </w:rPr>
                    <w:t>（A</w:t>
                  </w:r>
                  <w:r>
                    <w:rPr>
                      <w:rFonts w:hint="default" w:ascii="Times New Roman" w:hAnsi="Times New Roman" w:eastAsia="宋体" w:cs="Times New Roman"/>
                      <w:b w:val="0"/>
                      <w:bCs w:val="0"/>
                      <w:color w:val="auto"/>
                      <w:sz w:val="24"/>
                      <w:szCs w:val="24"/>
                      <w:lang w:val="zh-CN"/>
                    </w:rPr>
                    <w:t>）</w:t>
                  </w:r>
                </w:p>
              </w:tc>
              <w:tc>
                <w:tcPr>
                  <w:tcW w:w="732" w:type="dxa"/>
                  <w:vAlign w:val="center"/>
                </w:tcPr>
                <w:p w14:paraId="2436EC15">
                  <w:pPr>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达标</w:t>
                  </w:r>
                </w:p>
              </w:tc>
            </w:tr>
          </w:tbl>
          <w:p w14:paraId="46B8CE5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Style w:val="60"/>
                <w:rFonts w:hint="default" w:ascii="Times New Roman" w:hAnsi="Times New Roman" w:cs="Times New Roman"/>
                <w:b w:val="0"/>
                <w:bCs/>
                <w:color w:val="auto"/>
              </w:rPr>
            </w:pPr>
            <w:r>
              <w:rPr>
                <w:rFonts w:hint="default" w:ascii="Times New Roman" w:hAnsi="Times New Roman" w:cs="Times New Roman"/>
                <w:color w:val="auto"/>
                <w:sz w:val="24"/>
              </w:rPr>
              <w:t>由上表可见，</w:t>
            </w:r>
            <w:r>
              <w:rPr>
                <w:rFonts w:hint="eastAsia" w:cs="Times New Roman"/>
                <w:color w:val="auto"/>
                <w:sz w:val="24"/>
                <w:lang w:eastAsia="zh-CN"/>
              </w:rPr>
              <w:t>管委会声环境满足</w:t>
            </w:r>
            <w:r>
              <w:rPr>
                <w:rFonts w:hint="default" w:ascii="Times New Roman" w:hAnsi="Times New Roman" w:cs="Times New Roman"/>
                <w:color w:val="auto"/>
                <w:sz w:val="24"/>
              </w:rPr>
              <w:t>《</w:t>
            </w:r>
            <w:r>
              <w:rPr>
                <w:rFonts w:hint="eastAsia" w:cs="Times New Roman"/>
                <w:color w:val="auto"/>
                <w:sz w:val="24"/>
                <w:lang w:eastAsia="zh-CN"/>
              </w:rPr>
              <w:t>声环境质量</w:t>
            </w:r>
            <w:r>
              <w:rPr>
                <w:rFonts w:hint="default" w:ascii="Times New Roman" w:hAnsi="Times New Roman" w:cs="Times New Roman"/>
                <w:color w:val="auto"/>
                <w:sz w:val="24"/>
              </w:rPr>
              <w:t>标准》（GB</w:t>
            </w:r>
            <w:r>
              <w:rPr>
                <w:rFonts w:hint="eastAsia" w:cs="Times New Roman"/>
                <w:color w:val="auto"/>
                <w:sz w:val="24"/>
                <w:lang w:val="en-US" w:eastAsia="zh-CN"/>
              </w:rPr>
              <w:t>3096</w:t>
            </w:r>
            <w:r>
              <w:rPr>
                <w:rFonts w:hint="default" w:ascii="Times New Roman" w:hAnsi="Times New Roman" w:cs="Times New Roman"/>
                <w:color w:val="auto"/>
                <w:sz w:val="24"/>
              </w:rPr>
              <w:t>-2008）中</w:t>
            </w:r>
            <w:r>
              <w:rPr>
                <w:rFonts w:hint="eastAsia" w:cs="Times New Roman"/>
                <w:color w:val="auto"/>
                <w:sz w:val="24"/>
                <w:lang w:val="en-US" w:eastAsia="zh-CN"/>
              </w:rPr>
              <w:t>2</w:t>
            </w:r>
            <w:r>
              <w:rPr>
                <w:rFonts w:hint="default" w:ascii="Times New Roman" w:hAnsi="Times New Roman" w:cs="Times New Roman"/>
                <w:color w:val="auto"/>
                <w:sz w:val="24"/>
              </w:rPr>
              <w:t>类标准。</w:t>
            </w:r>
          </w:p>
          <w:p w14:paraId="0549DE02">
            <w:pPr>
              <w:spacing w:line="360" w:lineRule="auto"/>
              <w:jc w:val="left"/>
              <w:rPr>
                <w:rFonts w:hint="default" w:ascii="Times New Roman" w:hAnsi="Times New Roman" w:cs="Times New Roman"/>
                <w:color w:val="auto"/>
                <w:sz w:val="24"/>
              </w:rPr>
            </w:pPr>
            <w:r>
              <w:rPr>
                <w:rStyle w:val="60"/>
                <w:rFonts w:hint="default" w:ascii="Times New Roman" w:hAnsi="Times New Roman" w:cs="Times New Roman"/>
                <w:b w:val="0"/>
                <w:bCs/>
                <w:color w:val="auto"/>
              </w:rPr>
              <w:t>4.4.3噪声控制措施</w:t>
            </w:r>
          </w:p>
          <w:p w14:paraId="6D07ACDB">
            <w:pPr>
              <w:adjustRightInd w:val="0"/>
              <w:snapToGrid w:val="0"/>
              <w:spacing w:line="360" w:lineRule="auto"/>
              <w:ind w:firstLine="496"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lang w:val="en-US" w:eastAsia="zh-CN"/>
              </w:rPr>
              <w:t>1</w:t>
            </w:r>
            <w:r>
              <w:rPr>
                <w:rFonts w:hint="default" w:ascii="Times New Roman" w:hAnsi="Times New Roman" w:cs="Times New Roman"/>
                <w:color w:val="auto"/>
                <w:spacing w:val="4"/>
                <w:sz w:val="24"/>
              </w:rPr>
              <w:t>、风机噪声控制措施</w:t>
            </w:r>
          </w:p>
          <w:p w14:paraId="058E7AE0">
            <w:pPr>
              <w:adjustRightInd w:val="0"/>
              <w:snapToGrid w:val="0"/>
              <w:spacing w:line="360" w:lineRule="auto"/>
              <w:ind w:firstLine="496"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风机进出口安装消声器，减振基础、加装减振垫，采用弹性</w:t>
            </w:r>
            <w:r>
              <w:rPr>
                <w:rFonts w:hint="eastAsia" w:ascii="Times New Roman" w:hAnsi="Times New Roman" w:cs="Times New Roman"/>
                <w:color w:val="auto"/>
                <w:spacing w:val="4"/>
                <w:sz w:val="24"/>
                <w:lang w:eastAsia="zh-CN"/>
              </w:rPr>
              <w:t>支撑</w:t>
            </w:r>
            <w:r>
              <w:rPr>
                <w:rFonts w:hint="default" w:ascii="Times New Roman" w:hAnsi="Times New Roman" w:cs="Times New Roman"/>
                <w:color w:val="auto"/>
                <w:spacing w:val="4"/>
                <w:sz w:val="24"/>
              </w:rPr>
              <w:t>或弹性连接以减少振动，主要降低风机振动产生低频噪声；风机安装在车间或设备房内，通过建筑隔声削减源强。</w:t>
            </w:r>
          </w:p>
          <w:p w14:paraId="2A03BFF1">
            <w:pPr>
              <w:spacing w:line="360" w:lineRule="auto"/>
              <w:ind w:firstLine="496" w:firstLineChars="200"/>
              <w:rPr>
                <w:rFonts w:hint="default" w:ascii="Times New Roman" w:hAnsi="Times New Roman" w:cs="Times New Roman"/>
                <w:color w:val="auto"/>
                <w:sz w:val="24"/>
              </w:rPr>
            </w:pPr>
            <w:r>
              <w:rPr>
                <w:rFonts w:hint="default" w:ascii="Times New Roman" w:hAnsi="Times New Roman" w:cs="Times New Roman"/>
                <w:color w:val="auto"/>
                <w:spacing w:val="4"/>
                <w:sz w:val="24"/>
              </w:rPr>
              <w:t>采取以上各种降噪措施后，厂界噪声满足《工业企业厂界环境噪声排放标准》（GB12348-2008）</w:t>
            </w:r>
            <w:r>
              <w:rPr>
                <w:rFonts w:hint="default" w:ascii="Times New Roman" w:hAnsi="Times New Roman" w:cs="Times New Roman"/>
                <w:color w:val="auto"/>
                <w:spacing w:val="4"/>
                <w:sz w:val="24"/>
                <w:lang w:val="en-US" w:eastAsia="zh-CN"/>
              </w:rPr>
              <w:t>3</w:t>
            </w:r>
            <w:r>
              <w:rPr>
                <w:rFonts w:hint="default" w:ascii="Times New Roman" w:hAnsi="Times New Roman" w:cs="Times New Roman"/>
                <w:color w:val="auto"/>
                <w:spacing w:val="4"/>
                <w:sz w:val="24"/>
              </w:rPr>
              <w:t>类标准的要求。拟建工程采取的降噪措施有效、可行。</w:t>
            </w:r>
          </w:p>
          <w:bookmarkEnd w:id="24"/>
          <w:p w14:paraId="3D91C8B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rPr>
            </w:pPr>
            <w:r>
              <w:rPr>
                <w:rStyle w:val="60"/>
                <w:rFonts w:hint="default" w:ascii="Times New Roman" w:hAnsi="Times New Roman" w:cs="Times New Roman"/>
                <w:b w:val="0"/>
                <w:bCs/>
                <w:color w:val="auto"/>
              </w:rPr>
              <w:t>4.4.4声环境影响监测要求</w:t>
            </w:r>
          </w:p>
          <w:p w14:paraId="28E2D38B">
            <w:pPr>
              <w:spacing w:line="360" w:lineRule="auto"/>
              <w:ind w:firstLine="480" w:firstLineChars="200"/>
              <w:rPr>
                <w:rFonts w:hint="default" w:ascii="Times New Roman" w:hAnsi="Times New Roman" w:eastAsia="宋体" w:cs="Times New Roman"/>
                <w:b/>
                <w:bCs/>
                <w:color w:val="auto"/>
                <w:sz w:val="22"/>
                <w:szCs w:val="22"/>
              </w:rPr>
            </w:pPr>
            <w:r>
              <w:rPr>
                <w:rFonts w:hint="default" w:ascii="Times New Roman" w:hAnsi="Times New Roman" w:cs="Times New Roman"/>
                <w:color w:val="auto"/>
                <w:sz w:val="24"/>
              </w:rPr>
              <w:t>根据《排污单位自行监测技术指南总则》（HJ 819—2017）中“5.4厂界环境噪声监测，5.4.2监测频次厂界环境噪声每季度至少开展一次监测，夜间生产的要监测夜间噪声。”的要求，本项目运营期厂界噪声</w:t>
            </w:r>
            <w:r>
              <w:rPr>
                <w:rFonts w:hint="default" w:ascii="Times New Roman" w:hAnsi="Times New Roman" w:cs="Times New Roman"/>
                <w:color w:val="auto"/>
                <w:kern w:val="0"/>
                <w:sz w:val="24"/>
                <w:lang w:bidi="ar"/>
              </w:rPr>
              <w:t>监测情况如下表所示。</w:t>
            </w:r>
          </w:p>
          <w:p w14:paraId="74B7FD2C">
            <w:pPr>
              <w:adjustRightInd w:val="0"/>
              <w:snapToGrid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运营期厂界噪声监测计划</w:t>
            </w:r>
          </w:p>
          <w:tbl>
            <w:tblPr>
              <w:tblStyle w:val="28"/>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168"/>
              <w:gridCol w:w="3352"/>
              <w:gridCol w:w="1608"/>
            </w:tblGrid>
            <w:tr w14:paraId="7BCC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390" w:type="dxa"/>
                  <w:noWrap w:val="0"/>
                  <w:tcMar>
                    <w:left w:w="57" w:type="dxa"/>
                    <w:right w:w="57" w:type="dxa"/>
                  </w:tcMar>
                  <w:vAlign w:val="center"/>
                </w:tcPr>
                <w:p w14:paraId="21C5D841">
                  <w:pPr>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监测类别</w:t>
                  </w:r>
                </w:p>
              </w:tc>
              <w:tc>
                <w:tcPr>
                  <w:tcW w:w="2168" w:type="dxa"/>
                  <w:noWrap w:val="0"/>
                  <w:vAlign w:val="center"/>
                </w:tcPr>
                <w:p w14:paraId="080EC480">
                  <w:pPr>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监测项目</w:t>
                  </w:r>
                </w:p>
              </w:tc>
              <w:tc>
                <w:tcPr>
                  <w:tcW w:w="3352" w:type="dxa"/>
                  <w:noWrap w:val="0"/>
                  <w:vAlign w:val="center"/>
                </w:tcPr>
                <w:p w14:paraId="66ACB8B1">
                  <w:pPr>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监测布点</w:t>
                  </w:r>
                </w:p>
              </w:tc>
              <w:tc>
                <w:tcPr>
                  <w:tcW w:w="1608" w:type="dxa"/>
                  <w:noWrap w:val="0"/>
                  <w:vAlign w:val="center"/>
                </w:tcPr>
                <w:p w14:paraId="5AE20CC5">
                  <w:pPr>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监测频次</w:t>
                  </w:r>
                </w:p>
              </w:tc>
            </w:tr>
            <w:tr w14:paraId="662E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90" w:type="dxa"/>
                  <w:noWrap w:val="0"/>
                  <w:tcMar>
                    <w:left w:w="57" w:type="dxa"/>
                    <w:right w:w="57" w:type="dxa"/>
                  </w:tcMar>
                  <w:vAlign w:val="center"/>
                </w:tcPr>
                <w:p w14:paraId="3D1A82BB">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168" w:type="dxa"/>
                  <w:noWrap w:val="0"/>
                  <w:vAlign w:val="center"/>
                </w:tcPr>
                <w:p w14:paraId="3E2082FE">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L</w:t>
                  </w:r>
                  <w:r>
                    <w:rPr>
                      <w:rFonts w:hint="default" w:ascii="Times New Roman" w:hAnsi="Times New Roman" w:cs="Times New Roman"/>
                      <w:color w:val="auto"/>
                      <w:szCs w:val="21"/>
                      <w:vertAlign w:val="subscript"/>
                    </w:rPr>
                    <w:t>eq</w:t>
                  </w:r>
                </w:p>
              </w:tc>
              <w:tc>
                <w:tcPr>
                  <w:tcW w:w="3352" w:type="dxa"/>
                  <w:noWrap w:val="0"/>
                  <w:vAlign w:val="center"/>
                </w:tcPr>
                <w:p w14:paraId="0B063842">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厂界外1m</w:t>
                  </w:r>
                </w:p>
              </w:tc>
              <w:tc>
                <w:tcPr>
                  <w:tcW w:w="1608" w:type="dxa"/>
                  <w:noWrap w:val="0"/>
                  <w:vAlign w:val="center"/>
                </w:tcPr>
                <w:p w14:paraId="75D920DE">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每季度一次</w:t>
                  </w:r>
                </w:p>
              </w:tc>
            </w:tr>
          </w:tbl>
          <w:p w14:paraId="29BC3651">
            <w:pPr>
              <w:pStyle w:val="4"/>
              <w:keepNext/>
              <w:keepLines/>
              <w:pageBreakBefore w:val="0"/>
              <w:widowControl w:val="0"/>
              <w:kinsoku/>
              <w:wordWrap/>
              <w:overflowPunct/>
              <w:topLinePunct w:val="0"/>
              <w:autoSpaceDE/>
              <w:autoSpaceDN/>
              <w:bidi w:val="0"/>
              <w:adjustRightInd/>
              <w:snapToGrid/>
              <w:spacing w:before="313" w:beforeLines="100" w:after="0" w:line="360" w:lineRule="auto"/>
              <w:textAlignment w:val="auto"/>
              <w:rPr>
                <w:rStyle w:val="60"/>
                <w:rFonts w:hint="default" w:ascii="Times New Roman" w:hAnsi="Times New Roman" w:cs="Times New Roman"/>
                <w:b/>
                <w:bCs w:val="0"/>
                <w:color w:val="auto"/>
                <w:kern w:val="2"/>
                <w:szCs w:val="24"/>
              </w:rPr>
            </w:pPr>
            <w:r>
              <w:rPr>
                <w:rStyle w:val="60"/>
                <w:rFonts w:hint="default" w:ascii="Times New Roman" w:hAnsi="Times New Roman" w:cs="Times New Roman"/>
                <w:b/>
                <w:bCs w:val="0"/>
                <w:color w:val="auto"/>
                <w:szCs w:val="24"/>
              </w:rPr>
              <w:t>4.5</w:t>
            </w:r>
            <w:r>
              <w:rPr>
                <w:rStyle w:val="60"/>
                <w:rFonts w:hint="default" w:ascii="Times New Roman" w:hAnsi="Times New Roman" w:cs="Times New Roman"/>
                <w:b/>
                <w:bCs w:val="0"/>
                <w:color w:val="auto"/>
                <w:kern w:val="2"/>
                <w:szCs w:val="24"/>
              </w:rPr>
              <w:t>固体废物环境影响及保护措施</w:t>
            </w:r>
          </w:p>
          <w:p w14:paraId="602F0CA0">
            <w:pPr>
              <w:pStyle w:val="7"/>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rPr>
            </w:pPr>
            <w:r>
              <w:rPr>
                <w:rFonts w:hint="default" w:ascii="Times New Roman" w:hAnsi="Times New Roman" w:cs="Times New Roman"/>
                <w:sz w:val="24"/>
              </w:rPr>
              <w:t>本项目固体废物主要为一般工业固废</w:t>
            </w:r>
            <w:r>
              <w:rPr>
                <w:rFonts w:hint="default" w:ascii="Times New Roman" w:hAnsi="Times New Roman" w:cs="Times New Roman"/>
                <w:sz w:val="24"/>
                <w:lang w:eastAsia="zh-CN"/>
              </w:rPr>
              <w:t>、</w:t>
            </w:r>
            <w:r>
              <w:rPr>
                <w:rFonts w:hint="default" w:ascii="Times New Roman" w:hAnsi="Times New Roman" w:cs="Times New Roman"/>
                <w:sz w:val="24"/>
              </w:rPr>
              <w:t>危险废物</w:t>
            </w:r>
            <w:r>
              <w:rPr>
                <w:rFonts w:hint="default" w:ascii="Times New Roman" w:hAnsi="Times New Roman" w:cs="Times New Roman"/>
                <w:sz w:val="24"/>
                <w:lang w:eastAsia="zh-CN"/>
              </w:rPr>
              <w:t>及生活垃圾</w:t>
            </w:r>
            <w:r>
              <w:rPr>
                <w:rFonts w:hint="default" w:ascii="Times New Roman" w:hAnsi="Times New Roman" w:cs="Times New Roman"/>
                <w:sz w:val="24"/>
              </w:rPr>
              <w:t>。</w:t>
            </w:r>
          </w:p>
          <w:p w14:paraId="0E24FC84">
            <w:pPr>
              <w:pStyle w:val="7"/>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1.一般工业固废</w:t>
            </w:r>
          </w:p>
          <w:p w14:paraId="19515765">
            <w:pPr>
              <w:pStyle w:val="7"/>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（1）废边角料：根据企业提供资料，废边角料按</w:t>
            </w:r>
            <w:r>
              <w:rPr>
                <w:rFonts w:hint="default" w:ascii="Times New Roman" w:hAnsi="Times New Roman" w:cs="Times New Roman"/>
                <w:sz w:val="24"/>
                <w:highlight w:val="none"/>
                <w:lang w:val="en-US" w:eastAsia="zh-CN"/>
              </w:rPr>
              <w:t>原料总量</w:t>
            </w:r>
            <w:r>
              <w:rPr>
                <w:rFonts w:hint="default" w:ascii="Times New Roman" w:hAnsi="Times New Roman" w:cs="Times New Roman"/>
                <w:sz w:val="24"/>
                <w:lang w:val="en-US" w:eastAsia="zh-CN"/>
              </w:rPr>
              <w:t>的0.05%计，产生量约为</w:t>
            </w:r>
            <w:r>
              <w:rPr>
                <w:rFonts w:hint="eastAsia" w:cs="Times New Roman"/>
                <w:sz w:val="24"/>
                <w:lang w:val="en-US" w:eastAsia="zh-CN"/>
              </w:rPr>
              <w:t>0.5</w:t>
            </w:r>
            <w:r>
              <w:rPr>
                <w:rFonts w:hint="default" w:ascii="Times New Roman" w:hAnsi="Times New Roman" w:cs="Times New Roman"/>
                <w:sz w:val="24"/>
                <w:lang w:val="en-US" w:eastAsia="zh-CN"/>
              </w:rPr>
              <w:t>t/a。收集后外售综合利用。</w:t>
            </w:r>
          </w:p>
          <w:p w14:paraId="4FF2A8E4">
            <w:pPr>
              <w:tabs>
                <w:tab w:val="right" w:leader="dot" w:pos="9078"/>
              </w:tabs>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（2）</w:t>
            </w:r>
            <w:r>
              <w:rPr>
                <w:rFonts w:hint="default" w:ascii="Times New Roman" w:hAnsi="Times New Roman" w:cs="Times New Roman"/>
                <w:sz w:val="24"/>
                <w:highlight w:val="none"/>
                <w:lang w:val="en-US" w:eastAsia="zh-CN"/>
              </w:rPr>
              <w:t>废钢丸：</w:t>
            </w:r>
            <w:r>
              <w:rPr>
                <w:rFonts w:hint="default" w:ascii="Times New Roman" w:hAnsi="Times New Roman" w:cs="Times New Roman"/>
                <w:sz w:val="24"/>
              </w:rPr>
              <w:t>根据企业提供资料，根据建设单位提供的资料，抛丸过程中会产生废钢丸，产生量约为</w:t>
            </w:r>
            <w:r>
              <w:rPr>
                <w:rFonts w:hint="eastAsia" w:cs="Times New Roman"/>
                <w:sz w:val="24"/>
                <w:lang w:val="en-US" w:eastAsia="zh-CN"/>
              </w:rPr>
              <w:t>0.1</w:t>
            </w:r>
            <w:r>
              <w:rPr>
                <w:rFonts w:hint="default" w:ascii="Times New Roman" w:hAnsi="Times New Roman" w:cs="Times New Roman"/>
                <w:sz w:val="24"/>
              </w:rPr>
              <w:t>t/a，收集后外售综合利用。</w:t>
            </w:r>
          </w:p>
          <w:p w14:paraId="49ABB974">
            <w:pPr>
              <w:adjustRightInd w:val="0"/>
              <w:snapToGrid w:val="0"/>
              <w:spacing w:line="360" w:lineRule="auto"/>
              <w:ind w:firstLine="480" w:firstLineChars="200"/>
              <w:rPr>
                <w:rFonts w:hint="default" w:ascii="Times New Roman" w:hAnsi="Times New Roman" w:cs="Times New Roman"/>
                <w:color w:val="0D0D0D"/>
                <w:sz w:val="24"/>
                <w:highlight w:val="none"/>
              </w:rPr>
            </w:pPr>
            <w:r>
              <w:rPr>
                <w:rFonts w:hint="default" w:ascii="Times New Roman" w:hAnsi="Times New Roman" w:cs="Times New Roman"/>
                <w:color w:val="0D0D0D"/>
                <w:sz w:val="24"/>
                <w:highlight w:val="none"/>
              </w:rPr>
              <w:t>（</w:t>
            </w:r>
            <w:r>
              <w:rPr>
                <w:rFonts w:hint="default" w:ascii="Times New Roman" w:hAnsi="Times New Roman" w:cs="Times New Roman"/>
                <w:color w:val="0D0D0D"/>
                <w:sz w:val="24"/>
                <w:highlight w:val="none"/>
                <w:lang w:val="en-US" w:eastAsia="zh-CN"/>
              </w:rPr>
              <w:t>3</w:t>
            </w:r>
            <w:r>
              <w:rPr>
                <w:rFonts w:hint="default" w:ascii="Times New Roman" w:hAnsi="Times New Roman" w:cs="Times New Roman"/>
                <w:color w:val="0D0D0D"/>
                <w:sz w:val="24"/>
                <w:highlight w:val="none"/>
              </w:rPr>
              <w:t>）废布袋</w:t>
            </w:r>
          </w:p>
          <w:p w14:paraId="076F72C9">
            <w:pPr>
              <w:tabs>
                <w:tab w:val="right" w:leader="dot" w:pos="9078"/>
              </w:tabs>
              <w:adjustRightInd w:val="0"/>
              <w:snapToGrid w:val="0"/>
              <w:spacing w:line="360" w:lineRule="auto"/>
              <w:ind w:firstLine="480" w:firstLineChars="200"/>
              <w:rPr>
                <w:rFonts w:hint="default" w:ascii="Times New Roman" w:hAnsi="Times New Roman" w:cs="Times New Roman"/>
                <w:sz w:val="24"/>
                <w:highlight w:val="none"/>
                <w:lang w:val="en-US" w:eastAsia="zh-CN"/>
              </w:rPr>
            </w:pPr>
            <w:r>
              <w:rPr>
                <w:rFonts w:hint="default" w:ascii="Times New Roman" w:hAnsi="Times New Roman" w:cs="Times New Roman"/>
                <w:sz w:val="24"/>
              </w:rPr>
              <w:t>本项目采用布袋除尘器处理，除尘系统的布袋使用一段时间后需要进行更换，布袋具体更换时间根据实际运行情况而定。根据建设单位提供的资料，一次更换的废布袋约为0.0</w:t>
            </w:r>
            <w:r>
              <w:rPr>
                <w:rFonts w:hint="eastAsia" w:cs="Times New Roman"/>
                <w:sz w:val="24"/>
                <w:lang w:val="en-US" w:eastAsia="zh-CN"/>
              </w:rPr>
              <w:t>1</w:t>
            </w:r>
            <w:r>
              <w:rPr>
                <w:rFonts w:hint="default" w:ascii="Times New Roman" w:hAnsi="Times New Roman" w:cs="Times New Roman"/>
                <w:sz w:val="24"/>
              </w:rPr>
              <w:t>t，每年大概更换10次，则废布袋产生量0.</w:t>
            </w:r>
            <w:r>
              <w:rPr>
                <w:rFonts w:hint="eastAsia" w:cs="Times New Roman"/>
                <w:sz w:val="24"/>
                <w:lang w:val="en-US" w:eastAsia="zh-CN"/>
              </w:rPr>
              <w:t>1</w:t>
            </w:r>
            <w:r>
              <w:rPr>
                <w:rFonts w:hint="default" w:ascii="Times New Roman" w:hAnsi="Times New Roman" w:cs="Times New Roman"/>
                <w:sz w:val="24"/>
              </w:rPr>
              <w:t>t/a，更换后作为一般</w:t>
            </w:r>
            <w:r>
              <w:rPr>
                <w:rFonts w:hint="default" w:ascii="Times New Roman" w:hAnsi="Times New Roman" w:cs="Times New Roman"/>
                <w:sz w:val="24"/>
                <w:highlight w:val="none"/>
              </w:rPr>
              <w:t>固废，收集后外售综合利用。</w:t>
            </w:r>
          </w:p>
          <w:p w14:paraId="15A82D3B">
            <w:pPr>
              <w:pStyle w:val="7"/>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2、危险废物</w:t>
            </w:r>
          </w:p>
          <w:p w14:paraId="04ABE2B9">
            <w:pPr>
              <w:spacing w:line="360" w:lineRule="auto"/>
              <w:ind w:firstLine="480" w:firstLineChars="200"/>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（1）废活性炭</w:t>
            </w:r>
          </w:p>
          <w:p w14:paraId="207638A1">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根据前述章节核算结果，二级活</w:t>
            </w:r>
            <w:r>
              <w:rPr>
                <w:rFonts w:hint="default" w:ascii="Times New Roman" w:hAnsi="Times New Roman" w:cs="Times New Roman"/>
                <w:color w:val="000000" w:themeColor="text1"/>
                <w:sz w:val="24"/>
                <w:highlight w:val="none"/>
                <w14:textFill>
                  <w14:solidFill>
                    <w14:schemeClr w14:val="tx1"/>
                  </w14:solidFill>
                </w14:textFill>
              </w:rPr>
              <w:t>性炭吸附装置年吸附非甲烷总烃量为0.6</w:t>
            </w:r>
            <w:r>
              <w:rPr>
                <w:rFonts w:hint="default" w:ascii="Times New Roman" w:hAnsi="Times New Roman" w:cs="Times New Roman"/>
                <w:color w:val="000000" w:themeColor="text1"/>
                <w:sz w:val="24"/>
                <w:highlight w:val="none"/>
                <w:lang w:val="en-US" w:eastAsia="zh-CN"/>
                <w14:textFill>
                  <w14:solidFill>
                    <w14:schemeClr w14:val="tx1"/>
                  </w14:solidFill>
                </w14:textFill>
              </w:rPr>
              <w:t>75</w:t>
            </w:r>
            <w:r>
              <w:rPr>
                <w:rFonts w:hint="default" w:ascii="Times New Roman" w:hAnsi="Times New Roman" w:cs="Times New Roman"/>
                <w:color w:val="000000" w:themeColor="text1"/>
                <w:sz w:val="24"/>
                <w:highlight w:val="none"/>
                <w14:textFill>
                  <w14:solidFill>
                    <w14:schemeClr w14:val="tx1"/>
                  </w14:solidFill>
                </w14:textFill>
              </w:rPr>
              <w:t>t，活性炭对非甲烷总烃的吸附能力为0.26g/g，则废活性炭产生量为0.6</w:t>
            </w:r>
            <w:r>
              <w:rPr>
                <w:rFonts w:hint="default" w:ascii="Times New Roman" w:hAnsi="Times New Roman" w:cs="Times New Roman"/>
                <w:color w:val="000000" w:themeColor="text1"/>
                <w:sz w:val="24"/>
                <w:highlight w:val="none"/>
                <w:lang w:val="en-US" w:eastAsia="zh-CN"/>
                <w14:textFill>
                  <w14:solidFill>
                    <w14:schemeClr w14:val="tx1"/>
                  </w14:solidFill>
                </w14:textFill>
              </w:rPr>
              <w:t>75</w:t>
            </w:r>
            <w:r>
              <w:rPr>
                <w:rFonts w:hint="default" w:ascii="Times New Roman" w:hAnsi="Times New Roman" w:cs="Times New Roman"/>
                <w:color w:val="000000" w:themeColor="text1"/>
                <w:sz w:val="24"/>
                <w:highlight w:val="none"/>
                <w14:textFill>
                  <w14:solidFill>
                    <w14:schemeClr w14:val="tx1"/>
                  </w14:solidFill>
                </w14:textFill>
              </w:rPr>
              <w:t>÷0.26+0.6</w:t>
            </w:r>
            <w:r>
              <w:rPr>
                <w:rFonts w:hint="default" w:ascii="Times New Roman" w:hAnsi="Times New Roman" w:cs="Times New Roman"/>
                <w:color w:val="000000" w:themeColor="text1"/>
                <w:sz w:val="24"/>
                <w:highlight w:val="none"/>
                <w:lang w:val="en-US" w:eastAsia="zh-CN"/>
                <w14:textFill>
                  <w14:solidFill>
                    <w14:schemeClr w14:val="tx1"/>
                  </w14:solidFill>
                </w14:textFill>
              </w:rPr>
              <w:t>75</w:t>
            </w:r>
            <w:r>
              <w:rPr>
                <w:rFonts w:hint="default" w:ascii="Times New Roman" w:hAnsi="Times New Roman" w:cs="Times New Roman"/>
                <w:color w:val="000000" w:themeColor="text1"/>
                <w:sz w:val="24"/>
                <w:highlight w:val="none"/>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27</w:t>
            </w:r>
            <w:r>
              <w:rPr>
                <w:rFonts w:hint="default" w:ascii="Times New Roman" w:hAnsi="Times New Roman" w:cs="Times New Roman"/>
                <w:color w:val="000000" w:themeColor="text1"/>
                <w:sz w:val="24"/>
                <w:highlight w:val="none"/>
                <w14:textFill>
                  <w14:solidFill>
                    <w14:schemeClr w14:val="tx1"/>
                  </w14:solidFill>
                </w14:textFill>
              </w:rPr>
              <w:t>t/a。经对照《国家危险废物名录</w:t>
            </w:r>
            <w:r>
              <w:rPr>
                <w:rFonts w:hint="default" w:ascii="Times New Roman" w:hAnsi="Times New Roman" w:cs="Times New Roman"/>
                <w:sz w:val="24"/>
                <w:highlight w:val="none"/>
              </w:rPr>
              <w:t>》（2025版），属于危险废物HW49，危废代码900-039-49，更换下来的废活性炭按照危险废物管理要求进行贮存、转移，收集后交由有资质单位处理。</w:t>
            </w:r>
          </w:p>
          <w:p w14:paraId="721366A9">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（2）漆渣</w:t>
            </w:r>
          </w:p>
          <w:p w14:paraId="7BF145E5">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highlight w:val="none"/>
              </w:rPr>
              <w:t>根据工程分析可知，漆渣的产生量约为0.</w:t>
            </w:r>
            <w:r>
              <w:rPr>
                <w:rFonts w:hint="default" w:ascii="Times New Roman" w:hAnsi="Times New Roman" w:cs="Times New Roman"/>
                <w:sz w:val="24"/>
                <w:highlight w:val="none"/>
                <w:lang w:val="en-US" w:eastAsia="zh-CN"/>
              </w:rPr>
              <w:t>29</w:t>
            </w:r>
            <w:r>
              <w:rPr>
                <w:rFonts w:hint="default" w:ascii="Times New Roman" w:hAnsi="Times New Roman" w:cs="Times New Roman"/>
                <w:sz w:val="24"/>
                <w:highlight w:val="none"/>
              </w:rPr>
              <w:t>t/a，对照《国家危险废</w:t>
            </w:r>
            <w:r>
              <w:rPr>
                <w:rFonts w:hint="default" w:ascii="Times New Roman" w:hAnsi="Times New Roman" w:cs="Times New Roman"/>
                <w:sz w:val="24"/>
              </w:rPr>
              <w:t>物名录》（2025年版），属于危险废物，废物类别为HW12，危废代码900-252-12，按照危险废物管理要求进行贮存、转移，收集后交由有资质单位处理。</w:t>
            </w:r>
          </w:p>
          <w:p w14:paraId="4EEA57E1">
            <w:pPr>
              <w:numPr>
                <w:ilvl w:val="0"/>
                <w:numId w:val="10"/>
              </w:num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废过滤棉</w:t>
            </w:r>
          </w:p>
          <w:p w14:paraId="00D49151">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项目喷漆废气颗粒物采用过滤棉处理，过滤棉定期更换，根据同类企业生产经验，产生废过滤棉约0.1t/a，对照《国家危险废物名录》（2025年版），属于危险废物，废物类别为</w:t>
            </w:r>
            <w:bookmarkStart w:id="26" w:name="OLE_LINK91"/>
            <w:r>
              <w:rPr>
                <w:rFonts w:hint="default" w:ascii="Times New Roman" w:hAnsi="Times New Roman" w:cs="Times New Roman"/>
                <w:sz w:val="24"/>
              </w:rPr>
              <w:t>HW49</w:t>
            </w:r>
            <w:bookmarkEnd w:id="26"/>
            <w:r>
              <w:rPr>
                <w:rFonts w:hint="default" w:ascii="Times New Roman" w:hAnsi="Times New Roman" w:cs="Times New Roman"/>
                <w:sz w:val="24"/>
              </w:rPr>
              <w:t>，危废代码</w:t>
            </w:r>
            <w:bookmarkStart w:id="27" w:name="OLE_LINK92"/>
            <w:r>
              <w:rPr>
                <w:rFonts w:hint="default" w:ascii="Times New Roman" w:hAnsi="Times New Roman" w:cs="Times New Roman"/>
                <w:sz w:val="24"/>
              </w:rPr>
              <w:t>900-041-49</w:t>
            </w:r>
            <w:bookmarkEnd w:id="27"/>
            <w:r>
              <w:rPr>
                <w:rFonts w:hint="default" w:ascii="Times New Roman" w:hAnsi="Times New Roman" w:cs="Times New Roman"/>
                <w:sz w:val="24"/>
              </w:rPr>
              <w:t>，按照危险废物管理要求进行贮存、转移，收集后交由有资质单位处理。</w:t>
            </w:r>
          </w:p>
          <w:p w14:paraId="43AAF205">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（4）废机油</w:t>
            </w:r>
          </w:p>
          <w:p w14:paraId="10137E57">
            <w:pPr>
              <w:adjustRightInd w:val="0"/>
              <w:snapToGrid w:val="0"/>
              <w:spacing w:line="360" w:lineRule="auto"/>
              <w:ind w:firstLine="480" w:firstLineChars="200"/>
              <w:rPr>
                <w:rFonts w:hint="default" w:ascii="Times New Roman" w:hAnsi="Times New Roman" w:cs="Times New Roman"/>
                <w:sz w:val="24"/>
                <w:shd w:val="clear" w:color="auto" w:fill="FFFFFF"/>
              </w:rPr>
            </w:pPr>
            <w:bookmarkStart w:id="28" w:name="OLE_LINK19"/>
            <w:r>
              <w:rPr>
                <w:rFonts w:hint="default" w:ascii="Times New Roman" w:hAnsi="Times New Roman" w:cs="Times New Roman"/>
                <w:sz w:val="24"/>
                <w:shd w:val="clear" w:color="auto" w:fill="FFFFFF"/>
              </w:rPr>
              <w:t>本项目生产设备维护及机加工工序油压机消耗中会用到机油，其用量为</w:t>
            </w:r>
            <w:r>
              <w:rPr>
                <w:rFonts w:hint="eastAsia" w:cs="Times New Roman"/>
                <w:sz w:val="24"/>
                <w:shd w:val="clear" w:color="auto" w:fill="FFFFFF"/>
                <w:lang w:val="en-US" w:eastAsia="zh-CN"/>
              </w:rPr>
              <w:t>0.5</w:t>
            </w:r>
            <w:r>
              <w:rPr>
                <w:rFonts w:hint="default" w:ascii="Times New Roman" w:hAnsi="Times New Roman" w:cs="Times New Roman"/>
                <w:sz w:val="24"/>
                <w:shd w:val="clear" w:color="auto" w:fill="FFFFFF"/>
              </w:rPr>
              <w:t>t，定期添加的过程中产生少量废油，其产生量一般为年用量的10~20%，本环评以最大量20%计，则废机油、废液压油产生量分别为0.</w:t>
            </w:r>
            <w:r>
              <w:rPr>
                <w:rFonts w:hint="eastAsia" w:cs="Times New Roman"/>
                <w:sz w:val="24"/>
                <w:shd w:val="clear" w:color="auto" w:fill="FFFFFF"/>
                <w:lang w:val="en-US" w:eastAsia="zh-CN"/>
              </w:rPr>
              <w:t>1</w:t>
            </w:r>
            <w:r>
              <w:rPr>
                <w:rFonts w:hint="default" w:ascii="Times New Roman" w:hAnsi="Times New Roman" w:cs="Times New Roman"/>
                <w:sz w:val="24"/>
                <w:shd w:val="clear" w:color="auto" w:fill="FFFFFF"/>
              </w:rPr>
              <w:t>t/a</w:t>
            </w:r>
            <w:r>
              <w:rPr>
                <w:rFonts w:hint="default" w:ascii="Times New Roman" w:hAnsi="Times New Roman" w:cs="Times New Roman"/>
                <w:sz w:val="24"/>
              </w:rPr>
              <w:t>。对照《国家危险废物名录》（2025年版），属于危险废物，废物类别为HW</w:t>
            </w:r>
            <w:r>
              <w:rPr>
                <w:rFonts w:hint="eastAsia" w:ascii="Times New Roman" w:hAnsi="Times New Roman" w:cs="Times New Roman"/>
                <w:sz w:val="24"/>
                <w:lang w:val="en-US" w:eastAsia="zh-CN"/>
              </w:rPr>
              <w:t>08</w:t>
            </w:r>
            <w:r>
              <w:rPr>
                <w:rFonts w:hint="default" w:ascii="Times New Roman" w:hAnsi="Times New Roman" w:cs="Times New Roman"/>
                <w:sz w:val="24"/>
              </w:rPr>
              <w:t>，危废代码900-</w:t>
            </w:r>
            <w:r>
              <w:rPr>
                <w:rFonts w:hint="eastAsia" w:ascii="Times New Roman" w:hAnsi="Times New Roman" w:cs="Times New Roman"/>
                <w:sz w:val="24"/>
                <w:lang w:val="en-US" w:eastAsia="zh-CN"/>
              </w:rPr>
              <w:t>214</w:t>
            </w:r>
            <w:r>
              <w:rPr>
                <w:rFonts w:hint="default" w:ascii="Times New Roman" w:hAnsi="Times New Roman" w:cs="Times New Roman"/>
                <w:sz w:val="24"/>
              </w:rPr>
              <w:t>-</w:t>
            </w:r>
            <w:r>
              <w:rPr>
                <w:rFonts w:hint="eastAsia" w:ascii="Times New Roman" w:hAnsi="Times New Roman" w:cs="Times New Roman"/>
                <w:sz w:val="24"/>
                <w:lang w:val="en-US" w:eastAsia="zh-CN"/>
              </w:rPr>
              <w:t>08</w:t>
            </w:r>
            <w:r>
              <w:rPr>
                <w:rFonts w:hint="default" w:ascii="Times New Roman" w:hAnsi="Times New Roman" w:cs="Times New Roman"/>
                <w:sz w:val="24"/>
              </w:rPr>
              <w:t>，</w:t>
            </w:r>
            <w:r>
              <w:rPr>
                <w:rFonts w:hint="default" w:ascii="Times New Roman" w:hAnsi="Times New Roman" w:cs="Times New Roman"/>
                <w:sz w:val="24"/>
                <w:shd w:val="clear" w:color="auto" w:fill="FFFFFF"/>
              </w:rPr>
              <w:t>经妥善收集后暂存于危废暂存间中，委托有资质单位处理。</w:t>
            </w:r>
          </w:p>
          <w:bookmarkEnd w:id="28"/>
          <w:p w14:paraId="1CD5EEB3">
            <w:pPr>
              <w:adjustRightInd w:val="0"/>
              <w:snapToGrid w:val="0"/>
              <w:spacing w:line="360" w:lineRule="auto"/>
              <w:ind w:firstLine="480" w:firstLineChars="200"/>
              <w:rPr>
                <w:rFonts w:hint="default" w:ascii="Times New Roman" w:hAnsi="Times New Roman" w:cs="Times New Roman"/>
                <w:sz w:val="24"/>
                <w:shd w:val="clear" w:color="auto" w:fill="FFFFFF"/>
              </w:rPr>
            </w:pPr>
            <w:r>
              <w:rPr>
                <w:rFonts w:hint="default" w:ascii="Times New Roman" w:hAnsi="Times New Roman" w:cs="Times New Roman"/>
                <w:sz w:val="24"/>
                <w:shd w:val="clear" w:color="auto" w:fill="FFFFFF"/>
              </w:rPr>
              <w:t>（5）废液压油</w:t>
            </w:r>
          </w:p>
          <w:p w14:paraId="372118EB">
            <w:pPr>
              <w:adjustRightInd w:val="0"/>
              <w:snapToGrid w:val="0"/>
              <w:spacing w:line="360" w:lineRule="auto"/>
              <w:ind w:firstLine="480" w:firstLineChars="200"/>
              <w:rPr>
                <w:rFonts w:hint="default" w:ascii="Times New Roman" w:hAnsi="Times New Roman" w:cs="Times New Roman"/>
                <w:sz w:val="24"/>
                <w:shd w:val="clear" w:color="auto" w:fill="FFFFFF"/>
              </w:rPr>
            </w:pPr>
            <w:r>
              <w:rPr>
                <w:rFonts w:hint="default" w:ascii="Times New Roman" w:hAnsi="Times New Roman" w:cs="Times New Roman"/>
                <w:sz w:val="24"/>
                <w:shd w:val="clear" w:color="auto" w:fill="FFFFFF"/>
              </w:rPr>
              <w:t>本项目生产设备维护及机加工工序油压机消耗中会用到液压油，其用量为</w:t>
            </w:r>
            <w:r>
              <w:rPr>
                <w:rFonts w:hint="eastAsia" w:cs="Times New Roman"/>
                <w:sz w:val="24"/>
                <w:shd w:val="clear" w:color="auto" w:fill="FFFFFF"/>
                <w:lang w:val="en-US" w:eastAsia="zh-CN"/>
              </w:rPr>
              <w:t>1</w:t>
            </w:r>
            <w:r>
              <w:rPr>
                <w:rFonts w:hint="default" w:ascii="Times New Roman" w:hAnsi="Times New Roman" w:cs="Times New Roman"/>
                <w:sz w:val="24"/>
                <w:shd w:val="clear" w:color="auto" w:fill="FFFFFF"/>
              </w:rPr>
              <w:t>t，定期添加的过程中产生少量废油，其产生量一般为年用量的10~20%，本环评以最大量20%计，则废液压油产生量为</w:t>
            </w:r>
            <w:r>
              <w:rPr>
                <w:rFonts w:hint="eastAsia" w:cs="Times New Roman"/>
                <w:sz w:val="24"/>
                <w:shd w:val="clear" w:color="auto" w:fill="FFFFFF"/>
                <w:lang w:val="en-US" w:eastAsia="zh-CN"/>
              </w:rPr>
              <w:t>0.2</w:t>
            </w:r>
            <w:r>
              <w:rPr>
                <w:rFonts w:hint="default" w:ascii="Times New Roman" w:hAnsi="Times New Roman" w:cs="Times New Roman"/>
                <w:sz w:val="24"/>
                <w:shd w:val="clear" w:color="auto" w:fill="FFFFFF"/>
              </w:rPr>
              <w:t>t/a</w:t>
            </w:r>
            <w:r>
              <w:rPr>
                <w:rFonts w:hint="default" w:ascii="Times New Roman" w:hAnsi="Times New Roman" w:cs="Times New Roman"/>
                <w:sz w:val="24"/>
              </w:rPr>
              <w:t>。对照《国家危险废物名录》（2025年版），属于危险废物，废物类别为HW</w:t>
            </w:r>
            <w:r>
              <w:rPr>
                <w:rFonts w:hint="eastAsia" w:ascii="Times New Roman" w:hAnsi="Times New Roman" w:cs="Times New Roman"/>
                <w:sz w:val="24"/>
                <w:lang w:val="en-US" w:eastAsia="zh-CN"/>
              </w:rPr>
              <w:t>08</w:t>
            </w:r>
            <w:r>
              <w:rPr>
                <w:rFonts w:hint="default" w:ascii="Times New Roman" w:hAnsi="Times New Roman" w:cs="Times New Roman"/>
                <w:sz w:val="24"/>
              </w:rPr>
              <w:t>，危废代码900-</w:t>
            </w:r>
            <w:r>
              <w:rPr>
                <w:rFonts w:hint="eastAsia" w:ascii="Times New Roman" w:hAnsi="Times New Roman" w:cs="Times New Roman"/>
                <w:sz w:val="24"/>
                <w:lang w:val="en-US" w:eastAsia="zh-CN"/>
              </w:rPr>
              <w:t>218</w:t>
            </w:r>
            <w:r>
              <w:rPr>
                <w:rFonts w:hint="default" w:ascii="Times New Roman" w:hAnsi="Times New Roman" w:cs="Times New Roman"/>
                <w:sz w:val="24"/>
              </w:rPr>
              <w:t>-</w:t>
            </w:r>
            <w:r>
              <w:rPr>
                <w:rFonts w:hint="eastAsia" w:ascii="Times New Roman" w:hAnsi="Times New Roman" w:cs="Times New Roman"/>
                <w:sz w:val="24"/>
                <w:lang w:val="en-US" w:eastAsia="zh-CN"/>
              </w:rPr>
              <w:t>08</w:t>
            </w:r>
            <w:r>
              <w:rPr>
                <w:rFonts w:hint="default" w:ascii="Times New Roman" w:hAnsi="Times New Roman" w:cs="Times New Roman"/>
                <w:sz w:val="24"/>
              </w:rPr>
              <w:t>，</w:t>
            </w:r>
            <w:r>
              <w:rPr>
                <w:rFonts w:hint="default" w:ascii="Times New Roman" w:hAnsi="Times New Roman" w:cs="Times New Roman"/>
                <w:sz w:val="24"/>
                <w:shd w:val="clear" w:color="auto" w:fill="FFFFFF"/>
              </w:rPr>
              <w:t>经妥善收集后暂存于危废暂存间中，委托有资质单位处理。</w:t>
            </w:r>
          </w:p>
          <w:p w14:paraId="56E27EE2">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（6）废油桶</w:t>
            </w:r>
          </w:p>
          <w:p w14:paraId="4A2A958B">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本项目生产过程中会产生废油桶，年用油量</w:t>
            </w:r>
            <w:r>
              <w:rPr>
                <w:rFonts w:hint="default" w:ascii="Times New Roman" w:hAnsi="Times New Roman" w:cs="Times New Roman"/>
                <w:sz w:val="24"/>
                <w:lang w:val="en-US" w:eastAsia="zh-CN"/>
              </w:rPr>
              <w:t>8.5</w:t>
            </w:r>
            <w:r>
              <w:rPr>
                <w:rFonts w:hint="default" w:ascii="Times New Roman" w:hAnsi="Times New Roman" w:cs="Times New Roman"/>
                <w:sz w:val="24"/>
              </w:rPr>
              <w:t>t，每桶油重20kg，年产废油桶约</w:t>
            </w:r>
            <w:r>
              <w:rPr>
                <w:rFonts w:hint="eastAsia" w:cs="Times New Roman"/>
                <w:sz w:val="24"/>
                <w:lang w:val="en-US" w:eastAsia="zh-CN"/>
              </w:rPr>
              <w:t>100</w:t>
            </w:r>
            <w:r>
              <w:rPr>
                <w:rFonts w:hint="default" w:ascii="Times New Roman" w:hAnsi="Times New Roman" w:cs="Times New Roman"/>
                <w:sz w:val="24"/>
              </w:rPr>
              <w:t>个，废油桶重约0.5kg，年产废</w:t>
            </w:r>
            <w:bookmarkStart w:id="29" w:name="OLE_LINK2"/>
            <w:r>
              <w:rPr>
                <w:rFonts w:hint="default" w:ascii="Times New Roman" w:hAnsi="Times New Roman" w:cs="Times New Roman"/>
                <w:sz w:val="24"/>
              </w:rPr>
              <w:t>油</w:t>
            </w:r>
            <w:bookmarkEnd w:id="29"/>
            <w:r>
              <w:rPr>
                <w:rFonts w:hint="default" w:ascii="Times New Roman" w:hAnsi="Times New Roman" w:cs="Times New Roman"/>
                <w:sz w:val="24"/>
              </w:rPr>
              <w:t>桶0.</w:t>
            </w:r>
            <w:r>
              <w:rPr>
                <w:rFonts w:hint="eastAsia" w:cs="Times New Roman"/>
                <w:sz w:val="24"/>
                <w:lang w:val="en-US" w:eastAsia="zh-CN"/>
              </w:rPr>
              <w:t>05</w:t>
            </w:r>
            <w:r>
              <w:rPr>
                <w:rFonts w:hint="default" w:ascii="Times New Roman" w:hAnsi="Times New Roman" w:cs="Times New Roman"/>
                <w:sz w:val="24"/>
              </w:rPr>
              <w:t>t/a；对照《国家危险废物名录》（2025年版），属于危险废物，废物类别为HW</w:t>
            </w:r>
            <w:r>
              <w:rPr>
                <w:rFonts w:hint="eastAsia" w:ascii="Times New Roman" w:hAnsi="Times New Roman" w:cs="Times New Roman"/>
                <w:sz w:val="24"/>
                <w:lang w:val="en-US" w:eastAsia="zh-CN"/>
              </w:rPr>
              <w:t>08</w:t>
            </w:r>
            <w:r>
              <w:rPr>
                <w:rFonts w:hint="default" w:ascii="Times New Roman" w:hAnsi="Times New Roman" w:cs="Times New Roman"/>
                <w:sz w:val="24"/>
              </w:rPr>
              <w:t>，危废代码900-</w:t>
            </w:r>
            <w:r>
              <w:rPr>
                <w:rFonts w:hint="eastAsia" w:ascii="Times New Roman" w:hAnsi="Times New Roman" w:cs="Times New Roman"/>
                <w:sz w:val="24"/>
                <w:lang w:val="en-US" w:eastAsia="zh-CN"/>
              </w:rPr>
              <w:t>249</w:t>
            </w:r>
            <w:r>
              <w:rPr>
                <w:rFonts w:hint="default" w:ascii="Times New Roman" w:hAnsi="Times New Roman" w:cs="Times New Roman"/>
                <w:sz w:val="24"/>
              </w:rPr>
              <w:t>-</w:t>
            </w:r>
            <w:r>
              <w:rPr>
                <w:rFonts w:hint="eastAsia" w:ascii="Times New Roman" w:hAnsi="Times New Roman" w:cs="Times New Roman"/>
                <w:sz w:val="24"/>
                <w:lang w:val="en-US" w:eastAsia="zh-CN"/>
              </w:rPr>
              <w:t>08</w:t>
            </w:r>
            <w:r>
              <w:rPr>
                <w:rFonts w:hint="default" w:ascii="Times New Roman" w:hAnsi="Times New Roman" w:cs="Times New Roman"/>
                <w:sz w:val="24"/>
              </w:rPr>
              <w:t>，经妥善收集后暂存于危废暂存间中，定期委托有资质单位处置。</w:t>
            </w:r>
          </w:p>
          <w:p w14:paraId="59CE015A">
            <w:pPr>
              <w:adjustRightInd w:val="0"/>
              <w:snapToGrid w:val="0"/>
              <w:spacing w:line="360" w:lineRule="auto"/>
              <w:ind w:firstLine="480" w:firstLineChars="200"/>
              <w:rPr>
                <w:rFonts w:hint="default" w:ascii="Times New Roman" w:hAnsi="Times New Roman" w:cs="Times New Roman"/>
                <w:sz w:val="24"/>
                <w:shd w:val="clear" w:color="auto" w:fill="FFFFFF"/>
              </w:rPr>
            </w:pPr>
            <w:r>
              <w:rPr>
                <w:rFonts w:hint="default" w:ascii="Times New Roman" w:hAnsi="Times New Roman" w:cs="Times New Roman"/>
                <w:sz w:val="24"/>
                <w:shd w:val="clear" w:color="auto" w:fill="FFFFFF"/>
              </w:rPr>
              <w:t>（7）废油漆桶</w:t>
            </w:r>
          </w:p>
          <w:p w14:paraId="08B7135C">
            <w:pPr>
              <w:adjustRightInd w:val="0"/>
              <w:snapToGrid w:val="0"/>
              <w:spacing w:line="360" w:lineRule="auto"/>
              <w:ind w:firstLine="480" w:firstLineChars="200"/>
              <w:rPr>
                <w:rFonts w:hint="default" w:ascii="Times New Roman" w:hAnsi="Times New Roman" w:cs="Times New Roman"/>
                <w:sz w:val="24"/>
                <w:shd w:val="clear" w:color="auto" w:fill="FFFFFF"/>
              </w:rPr>
            </w:pPr>
            <w:r>
              <w:rPr>
                <w:rFonts w:hint="default" w:ascii="Times New Roman" w:hAnsi="Times New Roman" w:cs="Times New Roman"/>
                <w:sz w:val="24"/>
                <w:shd w:val="clear" w:color="auto" w:fill="FFFFFF"/>
              </w:rPr>
              <w:t>项目油桶容量为20kg，每个油漆桶重0.5kg。水性漆年用量为</w:t>
            </w:r>
            <w:r>
              <w:rPr>
                <w:rFonts w:hint="default" w:ascii="Times New Roman" w:hAnsi="Times New Roman" w:cs="Times New Roman"/>
                <w:sz w:val="24"/>
                <w:shd w:val="clear" w:color="auto" w:fill="FFFFFF"/>
                <w:lang w:val="en-US" w:eastAsia="zh-CN"/>
              </w:rPr>
              <w:t>4.58</w:t>
            </w:r>
            <w:r>
              <w:rPr>
                <w:rFonts w:hint="default" w:ascii="Times New Roman" w:hAnsi="Times New Roman" w:cs="Times New Roman"/>
                <w:sz w:val="24"/>
                <w:shd w:val="clear" w:color="auto" w:fill="FFFFFF"/>
              </w:rPr>
              <w:t>t，则废油漆桶产生量为</w:t>
            </w:r>
            <w:bookmarkStart w:id="30" w:name="OLE_LINK34"/>
            <w:r>
              <w:rPr>
                <w:rFonts w:hint="default" w:ascii="Times New Roman" w:hAnsi="Times New Roman" w:cs="Times New Roman"/>
                <w:sz w:val="24"/>
                <w:shd w:val="clear" w:color="auto" w:fill="FFFFFF"/>
              </w:rPr>
              <w:t>0.</w:t>
            </w:r>
            <w:r>
              <w:rPr>
                <w:rFonts w:hint="eastAsia" w:cs="Times New Roman"/>
                <w:sz w:val="24"/>
                <w:shd w:val="clear" w:color="auto" w:fill="FFFFFF"/>
                <w:lang w:val="en-US" w:eastAsia="zh-CN"/>
              </w:rPr>
              <w:t>115</w:t>
            </w:r>
            <w:r>
              <w:rPr>
                <w:rFonts w:hint="default" w:ascii="Times New Roman" w:hAnsi="Times New Roman" w:cs="Times New Roman"/>
                <w:sz w:val="24"/>
                <w:shd w:val="clear" w:color="auto" w:fill="FFFFFF"/>
              </w:rPr>
              <w:t>t/a</w:t>
            </w:r>
            <w:bookmarkEnd w:id="30"/>
            <w:r>
              <w:rPr>
                <w:rFonts w:hint="default" w:ascii="Times New Roman" w:hAnsi="Times New Roman" w:cs="Times New Roman"/>
                <w:sz w:val="24"/>
                <w:shd w:val="clear" w:color="auto" w:fill="FFFFFF"/>
              </w:rPr>
              <w:t>，对照《国家危险废物名录》（2025年版），属于危险废物，</w:t>
            </w:r>
            <w:bookmarkStart w:id="31" w:name="OLE_LINK26"/>
            <w:r>
              <w:rPr>
                <w:rFonts w:hint="default" w:ascii="Times New Roman" w:hAnsi="Times New Roman" w:cs="Times New Roman"/>
                <w:sz w:val="24"/>
                <w:shd w:val="clear" w:color="auto" w:fill="FFFFFF"/>
              </w:rPr>
              <w:t>废物类别为HW49，危废代码900-041-49</w:t>
            </w:r>
            <w:bookmarkEnd w:id="31"/>
            <w:r>
              <w:rPr>
                <w:rFonts w:hint="default" w:ascii="Times New Roman" w:hAnsi="Times New Roman" w:cs="Times New Roman"/>
                <w:sz w:val="24"/>
                <w:shd w:val="clear" w:color="auto" w:fill="FFFFFF"/>
              </w:rPr>
              <w:t>，按照危险废物管理要求进行贮存、转移，收集后交由有资质单位处理。</w:t>
            </w:r>
          </w:p>
          <w:p w14:paraId="5EB7CF7C">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（8）废乳化液</w:t>
            </w:r>
          </w:p>
          <w:p w14:paraId="4C9FA7A8">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本项目在机加工工序在使用中都用乳化液进行刀具冷却，这样可以延长刀具使用寿命，年用量约为</w:t>
            </w:r>
            <w:r>
              <w:rPr>
                <w:rFonts w:hint="eastAsia" w:cs="Times New Roman"/>
                <w:sz w:val="24"/>
                <w:lang w:val="en-US" w:eastAsia="zh-CN"/>
              </w:rPr>
              <w:t>0.5</w:t>
            </w:r>
            <w:r>
              <w:rPr>
                <w:rFonts w:hint="default" w:ascii="Times New Roman" w:hAnsi="Times New Roman" w:cs="Times New Roman"/>
                <w:sz w:val="24"/>
              </w:rPr>
              <w:t>t，项目废乳化液产生量为使用量的10%，则乳化液产生量为</w:t>
            </w:r>
            <w:r>
              <w:rPr>
                <w:rFonts w:hint="eastAsia" w:cs="Times New Roman"/>
                <w:sz w:val="24"/>
                <w:lang w:val="en-US" w:eastAsia="zh-CN"/>
              </w:rPr>
              <w:t>0.05</w:t>
            </w:r>
            <w:r>
              <w:rPr>
                <w:rFonts w:hint="default" w:ascii="Times New Roman" w:hAnsi="Times New Roman" w:cs="Times New Roman"/>
                <w:sz w:val="24"/>
              </w:rPr>
              <w:t>t/a。对照《国家危险废物名录》（2025年版），属于危险废物，废物类别为HW</w:t>
            </w:r>
            <w:r>
              <w:rPr>
                <w:rFonts w:hint="eastAsia" w:ascii="Times New Roman" w:hAnsi="Times New Roman" w:cs="Times New Roman"/>
                <w:sz w:val="24"/>
                <w:lang w:val="en-US" w:eastAsia="zh-CN"/>
              </w:rPr>
              <w:t>0</w:t>
            </w:r>
            <w:r>
              <w:rPr>
                <w:rFonts w:hint="default" w:ascii="Times New Roman" w:hAnsi="Times New Roman" w:cs="Times New Roman"/>
                <w:sz w:val="24"/>
              </w:rPr>
              <w:t>9，危废代码900-0</w:t>
            </w:r>
            <w:r>
              <w:rPr>
                <w:rFonts w:hint="eastAsia" w:ascii="Times New Roman" w:hAnsi="Times New Roman" w:cs="Times New Roman"/>
                <w:sz w:val="24"/>
                <w:lang w:val="en-US" w:eastAsia="zh-CN"/>
              </w:rPr>
              <w:t>06</w:t>
            </w:r>
            <w:r>
              <w:rPr>
                <w:rFonts w:hint="default" w:ascii="Times New Roman" w:hAnsi="Times New Roman" w:cs="Times New Roman"/>
                <w:sz w:val="24"/>
              </w:rPr>
              <w:t>-</w:t>
            </w:r>
            <w:r>
              <w:rPr>
                <w:rFonts w:hint="eastAsia" w:ascii="Times New Roman" w:hAnsi="Times New Roman" w:cs="Times New Roman"/>
                <w:sz w:val="24"/>
                <w:lang w:val="en-US" w:eastAsia="zh-CN"/>
              </w:rPr>
              <w:t>09</w:t>
            </w:r>
            <w:r>
              <w:rPr>
                <w:rFonts w:hint="default" w:ascii="Times New Roman" w:hAnsi="Times New Roman" w:cs="Times New Roman"/>
                <w:sz w:val="24"/>
              </w:rPr>
              <w:t>，经妥善收集后暂存于危废暂存间中，委托有资质单位处理。</w:t>
            </w:r>
          </w:p>
          <w:p w14:paraId="798433D1">
            <w:pPr>
              <w:numPr>
                <w:ilvl w:val="0"/>
                <w:numId w:val="11"/>
              </w:numPr>
              <w:adjustRightInd w:val="0"/>
              <w:snapToGrid w:val="0"/>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含油抹布及废手套</w:t>
            </w:r>
          </w:p>
          <w:p w14:paraId="773A6060">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sz w:val="24"/>
                <w:lang w:eastAsia="zh-CN"/>
              </w:rPr>
            </w:pPr>
            <w:r>
              <w:rPr>
                <w:rFonts w:hint="default" w:ascii="Times New Roman" w:hAnsi="Times New Roman" w:eastAsia="宋体" w:cs="Times New Roman"/>
                <w:b w:val="0"/>
                <w:bCs w:val="0"/>
                <w:color w:val="auto"/>
                <w:kern w:val="2"/>
                <w:sz w:val="24"/>
                <w:szCs w:val="24"/>
                <w:highlight w:val="none"/>
                <w:lang w:val="en-US" w:eastAsia="zh-CN" w:bidi="ar-SA"/>
              </w:rPr>
              <w:t>本项目设备维护过程中会产生含油棉纱手套等，其含有油污，产生量约为0.0</w:t>
            </w:r>
            <w:r>
              <w:rPr>
                <w:rFonts w:hint="eastAsia" w:ascii="Times New Roman" w:hAnsi="Times New Roman" w:cs="Times New Roman"/>
                <w:b w:val="0"/>
                <w:bCs w:val="0"/>
                <w:color w:val="auto"/>
                <w:kern w:val="2"/>
                <w:sz w:val="24"/>
                <w:szCs w:val="24"/>
                <w:highlight w:val="none"/>
                <w:lang w:val="en-US" w:eastAsia="zh-CN" w:bidi="ar-SA"/>
              </w:rPr>
              <w:t>1</w:t>
            </w:r>
            <w:r>
              <w:rPr>
                <w:rFonts w:hint="default" w:ascii="Times New Roman" w:hAnsi="Times New Roman" w:eastAsia="宋体" w:cs="Times New Roman"/>
                <w:b w:val="0"/>
                <w:bCs w:val="0"/>
                <w:color w:val="auto"/>
                <w:kern w:val="2"/>
                <w:sz w:val="24"/>
                <w:szCs w:val="24"/>
                <w:highlight w:val="none"/>
                <w:lang w:val="en-US" w:eastAsia="zh-CN" w:bidi="ar-SA"/>
              </w:rPr>
              <w:t>t/a，其属于《国家危险废物名录（202</w:t>
            </w:r>
            <w:r>
              <w:rPr>
                <w:rFonts w:hint="default" w:ascii="Times New Roman" w:hAnsi="Times New Roman" w:cs="Times New Roman"/>
                <w:b w:val="0"/>
                <w:bCs w:val="0"/>
                <w:color w:val="auto"/>
                <w:kern w:val="2"/>
                <w:sz w:val="24"/>
                <w:szCs w:val="24"/>
                <w:highlight w:val="none"/>
                <w:lang w:val="en-US" w:eastAsia="zh-CN" w:bidi="ar-SA"/>
              </w:rPr>
              <w:t>5</w:t>
            </w:r>
            <w:r>
              <w:rPr>
                <w:rFonts w:hint="default" w:ascii="Times New Roman" w:hAnsi="Times New Roman" w:eastAsia="宋体" w:cs="Times New Roman"/>
                <w:b w:val="0"/>
                <w:bCs w:val="0"/>
                <w:color w:val="auto"/>
                <w:kern w:val="2"/>
                <w:sz w:val="24"/>
                <w:szCs w:val="24"/>
                <w:highlight w:val="none"/>
                <w:lang w:val="en-US" w:eastAsia="zh-CN" w:bidi="ar-SA"/>
              </w:rPr>
              <w:t>年版）》中“HW08废矿物油与含矿物油废物/非特定行业/900-249-08其他生产、销售、使用过程中产生的废矿物油及沾染矿物油的废弃包装物”，经集中收集后于危废暂存间分类暂存，定期交由有资质单位处理。</w:t>
            </w:r>
          </w:p>
          <w:p w14:paraId="6E0A195C">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3.生活垃圾</w:t>
            </w:r>
          </w:p>
          <w:p w14:paraId="41FCAA8B">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bCs/>
                <w:kern w:val="0"/>
                <w:sz w:val="24"/>
              </w:rPr>
              <w:t>本项目工作人员</w:t>
            </w:r>
            <w:r>
              <w:rPr>
                <w:rFonts w:hint="eastAsia" w:cs="Times New Roman"/>
                <w:bCs/>
                <w:kern w:val="0"/>
                <w:sz w:val="24"/>
                <w:highlight w:val="none"/>
                <w:lang w:val="en-US" w:eastAsia="zh-CN"/>
              </w:rPr>
              <w:t>10</w:t>
            </w:r>
            <w:r>
              <w:rPr>
                <w:rFonts w:hint="default" w:ascii="Times New Roman" w:hAnsi="Times New Roman" w:cs="Times New Roman"/>
                <w:bCs/>
                <w:kern w:val="0"/>
                <w:sz w:val="24"/>
                <w:highlight w:val="none"/>
              </w:rPr>
              <w:t>人</w:t>
            </w:r>
            <w:r>
              <w:rPr>
                <w:rFonts w:hint="default" w:ascii="Times New Roman" w:hAnsi="Times New Roman" w:cs="Times New Roman"/>
                <w:bCs/>
                <w:kern w:val="0"/>
                <w:sz w:val="24"/>
              </w:rPr>
              <w:t>，职工生活垃圾以每人0.5kg/d（年工作300d）估算，生活垃圾产生量为</w:t>
            </w:r>
            <w:r>
              <w:rPr>
                <w:rFonts w:hint="eastAsia" w:cs="Times New Roman"/>
                <w:bCs/>
                <w:kern w:val="0"/>
                <w:sz w:val="24"/>
                <w:lang w:val="en-US" w:eastAsia="zh-CN"/>
              </w:rPr>
              <w:t>1</w:t>
            </w:r>
            <w:r>
              <w:rPr>
                <w:rFonts w:hint="default" w:ascii="Times New Roman" w:hAnsi="Times New Roman" w:cs="Times New Roman"/>
                <w:bCs/>
                <w:kern w:val="0"/>
                <w:sz w:val="24"/>
              </w:rPr>
              <w:t>.5t</w:t>
            </w:r>
            <w:r>
              <w:rPr>
                <w:rFonts w:hint="default" w:ascii="Times New Roman" w:hAnsi="Times New Roman" w:cs="Times New Roman"/>
                <w:sz w:val="24"/>
              </w:rPr>
              <w:t>/a，由环卫部门负责清运</w:t>
            </w:r>
            <w:r>
              <w:rPr>
                <w:rFonts w:hint="default" w:ascii="Times New Roman" w:hAnsi="Times New Roman" w:cs="Times New Roman"/>
                <w:spacing w:val="-1"/>
                <w:sz w:val="24"/>
              </w:rPr>
              <w:t>。</w:t>
            </w:r>
          </w:p>
          <w:p w14:paraId="19EB8920">
            <w:pPr>
              <w:adjustRightInd w:val="0"/>
              <w:snapToGrid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表4-1</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本项目固体废物产生及处理处置情况一览表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0"/>
              <w:gridCol w:w="997"/>
              <w:gridCol w:w="1113"/>
              <w:gridCol w:w="440"/>
              <w:gridCol w:w="1412"/>
              <w:gridCol w:w="1128"/>
              <w:gridCol w:w="1117"/>
              <w:gridCol w:w="1778"/>
            </w:tblGrid>
            <w:tr w14:paraId="65C2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3649FEB2">
                  <w:pPr>
                    <w:pStyle w:val="54"/>
                    <w:adjustRightInd w:val="0"/>
                    <w:snapToGrid w:val="0"/>
                    <w:spacing w:line="240" w:lineRule="auto"/>
                    <w:jc w:val="center"/>
                    <w:rPr>
                      <w:rFonts w:hint="default" w:ascii="Times New Roman" w:hAnsi="Times New Roman" w:eastAsia="宋体" w:cs="Times New Roman"/>
                      <w:b/>
                      <w:bCs/>
                    </w:rPr>
                  </w:pPr>
                  <w:r>
                    <w:rPr>
                      <w:rFonts w:hint="default" w:ascii="Times New Roman" w:hAnsi="Times New Roman" w:eastAsia="宋体" w:cs="Times New Roman"/>
                      <w:b/>
                      <w:bCs/>
                    </w:rPr>
                    <w:t>序号</w:t>
                  </w:r>
                </w:p>
              </w:tc>
              <w:tc>
                <w:tcPr>
                  <w:tcW w:w="591" w:type="pct"/>
                  <w:tcBorders>
                    <w:top w:val="single" w:color="auto" w:sz="4" w:space="0"/>
                    <w:left w:val="nil"/>
                    <w:bottom w:val="single" w:color="auto" w:sz="4" w:space="0"/>
                    <w:right w:val="single" w:color="auto" w:sz="4" w:space="0"/>
                  </w:tcBorders>
                  <w:noWrap w:val="0"/>
                  <w:vAlign w:val="center"/>
                </w:tcPr>
                <w:p w14:paraId="7142F8DE">
                  <w:pPr>
                    <w:pStyle w:val="54"/>
                    <w:adjustRightInd w:val="0"/>
                    <w:snapToGrid w:val="0"/>
                    <w:spacing w:line="240" w:lineRule="auto"/>
                    <w:jc w:val="center"/>
                    <w:rPr>
                      <w:rFonts w:hint="default" w:ascii="Times New Roman" w:hAnsi="Times New Roman" w:eastAsia="宋体" w:cs="Times New Roman"/>
                      <w:b/>
                      <w:bCs/>
                    </w:rPr>
                  </w:pPr>
                  <w:r>
                    <w:rPr>
                      <w:rFonts w:hint="default" w:ascii="Times New Roman" w:hAnsi="Times New Roman" w:eastAsia="宋体" w:cs="Times New Roman"/>
                      <w:b/>
                      <w:bCs/>
                    </w:rPr>
                    <w:t>固体废物名称</w:t>
                  </w:r>
                </w:p>
              </w:tc>
              <w:tc>
                <w:tcPr>
                  <w:tcW w:w="660" w:type="pct"/>
                  <w:tcBorders>
                    <w:top w:val="single" w:color="auto" w:sz="4" w:space="0"/>
                    <w:left w:val="nil"/>
                    <w:bottom w:val="single" w:color="auto" w:sz="4" w:space="0"/>
                    <w:right w:val="single" w:color="auto" w:sz="4" w:space="0"/>
                  </w:tcBorders>
                  <w:noWrap w:val="0"/>
                  <w:vAlign w:val="center"/>
                </w:tcPr>
                <w:p w14:paraId="0069CF5B">
                  <w:pPr>
                    <w:pStyle w:val="54"/>
                    <w:adjustRightInd w:val="0"/>
                    <w:snapToGrid w:val="0"/>
                    <w:spacing w:line="240" w:lineRule="auto"/>
                    <w:jc w:val="center"/>
                    <w:rPr>
                      <w:rFonts w:hint="default" w:ascii="Times New Roman" w:hAnsi="Times New Roman" w:eastAsia="宋体" w:cs="Times New Roman"/>
                      <w:b/>
                      <w:bCs/>
                    </w:rPr>
                  </w:pPr>
                  <w:r>
                    <w:rPr>
                      <w:rFonts w:hint="default" w:ascii="Times New Roman" w:hAnsi="Times New Roman" w:eastAsia="宋体" w:cs="Times New Roman"/>
                      <w:b/>
                      <w:bCs/>
                    </w:rPr>
                    <w:t>产生工序</w:t>
                  </w:r>
                </w:p>
              </w:tc>
              <w:tc>
                <w:tcPr>
                  <w:tcW w:w="261" w:type="pct"/>
                  <w:tcBorders>
                    <w:top w:val="single" w:color="auto" w:sz="4" w:space="0"/>
                    <w:left w:val="nil"/>
                    <w:bottom w:val="single" w:color="auto" w:sz="4" w:space="0"/>
                    <w:right w:val="single" w:color="auto" w:sz="4" w:space="0"/>
                  </w:tcBorders>
                  <w:noWrap w:val="0"/>
                  <w:vAlign w:val="center"/>
                </w:tcPr>
                <w:p w14:paraId="26873721">
                  <w:pPr>
                    <w:pStyle w:val="54"/>
                    <w:adjustRightInd w:val="0"/>
                    <w:snapToGrid w:val="0"/>
                    <w:spacing w:line="240" w:lineRule="auto"/>
                    <w:jc w:val="center"/>
                    <w:rPr>
                      <w:rFonts w:hint="default" w:ascii="Times New Roman" w:hAnsi="Times New Roman" w:eastAsia="宋体" w:cs="Times New Roman"/>
                      <w:b/>
                      <w:bCs/>
                    </w:rPr>
                  </w:pPr>
                  <w:r>
                    <w:rPr>
                      <w:rFonts w:hint="default" w:ascii="Times New Roman" w:hAnsi="Times New Roman" w:eastAsia="宋体" w:cs="Times New Roman"/>
                      <w:b/>
                      <w:bCs/>
                    </w:rPr>
                    <w:t>形态</w:t>
                  </w:r>
                </w:p>
              </w:tc>
              <w:tc>
                <w:tcPr>
                  <w:tcW w:w="837" w:type="pct"/>
                  <w:tcBorders>
                    <w:top w:val="single" w:color="auto" w:sz="4" w:space="0"/>
                    <w:left w:val="nil"/>
                    <w:bottom w:val="single" w:color="auto" w:sz="4" w:space="0"/>
                    <w:right w:val="single" w:color="auto" w:sz="4" w:space="0"/>
                  </w:tcBorders>
                  <w:noWrap w:val="0"/>
                  <w:vAlign w:val="center"/>
                </w:tcPr>
                <w:p w14:paraId="0C235D13">
                  <w:pPr>
                    <w:pStyle w:val="54"/>
                    <w:adjustRightInd w:val="0"/>
                    <w:snapToGrid w:val="0"/>
                    <w:spacing w:line="240" w:lineRule="auto"/>
                    <w:jc w:val="center"/>
                    <w:rPr>
                      <w:rFonts w:hint="default" w:ascii="Times New Roman" w:hAnsi="Times New Roman" w:eastAsia="宋体" w:cs="Times New Roman"/>
                      <w:b/>
                      <w:bCs/>
                    </w:rPr>
                  </w:pPr>
                  <w:r>
                    <w:rPr>
                      <w:rFonts w:hint="default" w:ascii="Times New Roman" w:hAnsi="Times New Roman" w:eastAsia="宋体" w:cs="Times New Roman"/>
                      <w:b/>
                      <w:bCs/>
                    </w:rPr>
                    <w:t>废物代码</w:t>
                  </w:r>
                </w:p>
              </w:tc>
              <w:tc>
                <w:tcPr>
                  <w:tcW w:w="669" w:type="pct"/>
                  <w:tcBorders>
                    <w:top w:val="single" w:color="auto" w:sz="4" w:space="0"/>
                    <w:left w:val="nil"/>
                    <w:bottom w:val="single" w:color="auto" w:sz="4" w:space="0"/>
                    <w:right w:val="single" w:color="auto" w:sz="4" w:space="0"/>
                  </w:tcBorders>
                  <w:noWrap w:val="0"/>
                  <w:vAlign w:val="center"/>
                </w:tcPr>
                <w:p w14:paraId="4652FCFD">
                  <w:pPr>
                    <w:pStyle w:val="54"/>
                    <w:adjustRightInd w:val="0"/>
                    <w:snapToGrid w:val="0"/>
                    <w:spacing w:line="240" w:lineRule="auto"/>
                    <w:jc w:val="center"/>
                    <w:rPr>
                      <w:rFonts w:hint="default" w:ascii="Times New Roman" w:hAnsi="Times New Roman" w:eastAsia="宋体" w:cs="Times New Roman"/>
                      <w:b/>
                      <w:bCs/>
                    </w:rPr>
                  </w:pPr>
                  <w:r>
                    <w:rPr>
                      <w:rFonts w:hint="default" w:ascii="Times New Roman" w:hAnsi="Times New Roman" w:eastAsia="宋体" w:cs="Times New Roman"/>
                      <w:b/>
                      <w:bCs/>
                    </w:rPr>
                    <w:t>预计产生量t/a</w:t>
                  </w:r>
                </w:p>
              </w:tc>
              <w:tc>
                <w:tcPr>
                  <w:tcW w:w="662" w:type="pct"/>
                  <w:tcBorders>
                    <w:top w:val="single" w:color="auto" w:sz="4" w:space="0"/>
                    <w:left w:val="nil"/>
                    <w:bottom w:val="single" w:color="auto" w:sz="4" w:space="0"/>
                    <w:right w:val="single" w:color="auto" w:sz="4" w:space="0"/>
                  </w:tcBorders>
                  <w:noWrap w:val="0"/>
                  <w:vAlign w:val="center"/>
                </w:tcPr>
                <w:p w14:paraId="16B882E8">
                  <w:pPr>
                    <w:pStyle w:val="54"/>
                    <w:adjustRightInd w:val="0"/>
                    <w:snapToGrid w:val="0"/>
                    <w:spacing w:line="240" w:lineRule="auto"/>
                    <w:jc w:val="center"/>
                    <w:rPr>
                      <w:rFonts w:hint="default" w:ascii="Times New Roman" w:hAnsi="Times New Roman" w:eastAsia="宋体" w:cs="Times New Roman"/>
                      <w:b/>
                      <w:bCs/>
                    </w:rPr>
                  </w:pPr>
                  <w:r>
                    <w:rPr>
                      <w:rFonts w:hint="default" w:ascii="Times New Roman" w:hAnsi="Times New Roman" w:eastAsia="宋体" w:cs="Times New Roman"/>
                      <w:b/>
                      <w:bCs/>
                    </w:rPr>
                    <w:t>排放量t/a</w:t>
                  </w:r>
                </w:p>
              </w:tc>
              <w:tc>
                <w:tcPr>
                  <w:tcW w:w="1055" w:type="pct"/>
                  <w:tcBorders>
                    <w:top w:val="single" w:color="auto" w:sz="4" w:space="0"/>
                    <w:left w:val="nil"/>
                    <w:bottom w:val="single" w:color="auto" w:sz="4" w:space="0"/>
                    <w:right w:val="single" w:color="auto" w:sz="4" w:space="0"/>
                  </w:tcBorders>
                  <w:noWrap w:val="0"/>
                  <w:vAlign w:val="center"/>
                </w:tcPr>
                <w:p w14:paraId="515DFCA6">
                  <w:pPr>
                    <w:pStyle w:val="54"/>
                    <w:adjustRightInd w:val="0"/>
                    <w:snapToGrid w:val="0"/>
                    <w:spacing w:line="240" w:lineRule="auto"/>
                    <w:jc w:val="center"/>
                    <w:rPr>
                      <w:rFonts w:hint="default" w:ascii="Times New Roman" w:hAnsi="Times New Roman" w:eastAsia="宋体" w:cs="Times New Roman"/>
                      <w:b/>
                      <w:bCs/>
                    </w:rPr>
                  </w:pPr>
                  <w:r>
                    <w:rPr>
                      <w:rFonts w:hint="default" w:ascii="Times New Roman" w:hAnsi="Times New Roman" w:eastAsia="宋体" w:cs="Times New Roman"/>
                      <w:b/>
                      <w:bCs/>
                    </w:rPr>
                    <w:t>处置措施</w:t>
                  </w:r>
                </w:p>
              </w:tc>
            </w:tr>
            <w:tr w14:paraId="5629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177C368E">
                  <w:pPr>
                    <w:pStyle w:val="54"/>
                    <w:adjustRightInd w:val="0"/>
                    <w:snapToGrid w:val="0"/>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591" w:type="pct"/>
                  <w:tcBorders>
                    <w:top w:val="single" w:color="auto" w:sz="4" w:space="0"/>
                    <w:left w:val="nil"/>
                    <w:bottom w:val="single" w:color="auto" w:sz="4" w:space="0"/>
                    <w:right w:val="single" w:color="auto" w:sz="4" w:space="0"/>
                  </w:tcBorders>
                  <w:noWrap w:val="0"/>
                  <w:vAlign w:val="center"/>
                </w:tcPr>
                <w:p w14:paraId="0B69104D">
                  <w:pPr>
                    <w:pStyle w:val="54"/>
                    <w:adjustRightInd w:val="0"/>
                    <w:snapToGrid w:val="0"/>
                    <w:spacing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rPr>
                    <w:t>废边角料</w:t>
                  </w:r>
                </w:p>
              </w:tc>
              <w:tc>
                <w:tcPr>
                  <w:tcW w:w="660" w:type="pct"/>
                  <w:tcBorders>
                    <w:top w:val="single" w:color="auto" w:sz="4" w:space="0"/>
                    <w:left w:val="nil"/>
                    <w:bottom w:val="single" w:color="auto" w:sz="4" w:space="0"/>
                    <w:right w:val="single" w:color="auto" w:sz="4" w:space="0"/>
                  </w:tcBorders>
                  <w:noWrap w:val="0"/>
                  <w:vAlign w:val="center"/>
                </w:tcPr>
                <w:p w14:paraId="28B96D5E">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rPr>
                  </w:pPr>
                  <w:r>
                    <w:rPr>
                      <w:rFonts w:hint="eastAsia" w:cs="Times New Roman"/>
                      <w:b/>
                      <w:bCs/>
                      <w:lang w:val="en-US" w:eastAsia="zh-CN"/>
                    </w:rPr>
                    <w:t>/</w:t>
                  </w:r>
                </w:p>
              </w:tc>
              <w:tc>
                <w:tcPr>
                  <w:tcW w:w="261" w:type="pct"/>
                  <w:tcBorders>
                    <w:top w:val="single" w:color="auto" w:sz="4" w:space="0"/>
                    <w:left w:val="nil"/>
                    <w:bottom w:val="single" w:color="auto" w:sz="4" w:space="0"/>
                    <w:right w:val="single" w:color="auto" w:sz="4" w:space="0"/>
                  </w:tcBorders>
                  <w:noWrap w:val="0"/>
                  <w:vAlign w:val="center"/>
                </w:tcPr>
                <w:p w14:paraId="6DC09DA5">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rPr>
                  </w:pPr>
                  <w:r>
                    <w:rPr>
                      <w:rFonts w:hint="default" w:ascii="Times New Roman" w:hAnsi="Times New Roman" w:cs="Times New Roman"/>
                      <w:lang w:eastAsia="zh-CN"/>
                    </w:rPr>
                    <w:t>固</w:t>
                  </w:r>
                </w:p>
              </w:tc>
              <w:tc>
                <w:tcPr>
                  <w:tcW w:w="837" w:type="pct"/>
                  <w:tcBorders>
                    <w:top w:val="single" w:color="auto" w:sz="4" w:space="0"/>
                    <w:left w:val="nil"/>
                    <w:bottom w:val="single" w:color="auto" w:sz="4" w:space="0"/>
                    <w:right w:val="single" w:color="auto" w:sz="4" w:space="0"/>
                  </w:tcBorders>
                  <w:noWrap w:val="0"/>
                  <w:vAlign w:val="center"/>
                </w:tcPr>
                <w:p w14:paraId="2F7D3BFD">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rPr>
                  </w:pPr>
                  <w:r>
                    <w:rPr>
                      <w:rFonts w:hint="eastAsia" w:cs="Times New Roman"/>
                      <w:b/>
                      <w:bCs/>
                      <w:lang w:val="en-US" w:eastAsia="zh-CN"/>
                    </w:rPr>
                    <w:t>/</w:t>
                  </w:r>
                </w:p>
              </w:tc>
              <w:tc>
                <w:tcPr>
                  <w:tcW w:w="669" w:type="pct"/>
                  <w:tcBorders>
                    <w:top w:val="single" w:color="auto" w:sz="4" w:space="0"/>
                    <w:left w:val="nil"/>
                    <w:bottom w:val="single" w:color="auto" w:sz="4" w:space="0"/>
                    <w:right w:val="single" w:color="auto" w:sz="4" w:space="0"/>
                  </w:tcBorders>
                  <w:noWrap w:val="0"/>
                  <w:vAlign w:val="center"/>
                </w:tcPr>
                <w:p w14:paraId="3A4C2FF3">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lang w:val="en-US" w:eastAsia="zh-CN"/>
                    </w:rPr>
                  </w:pPr>
                  <w:r>
                    <w:rPr>
                      <w:rFonts w:hint="eastAsia" w:cs="Times New Roman"/>
                      <w:lang w:val="en-US" w:eastAsia="zh-CN"/>
                    </w:rPr>
                    <w:t>0.5</w:t>
                  </w:r>
                </w:p>
              </w:tc>
              <w:tc>
                <w:tcPr>
                  <w:tcW w:w="662" w:type="pct"/>
                  <w:tcBorders>
                    <w:top w:val="single" w:color="auto" w:sz="4" w:space="0"/>
                    <w:left w:val="nil"/>
                    <w:bottom w:val="single" w:color="auto" w:sz="4" w:space="0"/>
                    <w:right w:val="single" w:color="auto" w:sz="4" w:space="0"/>
                  </w:tcBorders>
                  <w:noWrap w:val="0"/>
                  <w:vAlign w:val="center"/>
                </w:tcPr>
                <w:p w14:paraId="4DF97F86">
                  <w:pPr>
                    <w:pStyle w:val="54"/>
                    <w:adjustRightInd w:val="0"/>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0</w:t>
                  </w:r>
                </w:p>
              </w:tc>
              <w:tc>
                <w:tcPr>
                  <w:tcW w:w="1055" w:type="pct"/>
                  <w:vMerge w:val="restart"/>
                  <w:tcBorders>
                    <w:top w:val="single" w:color="auto" w:sz="4" w:space="0"/>
                    <w:left w:val="nil"/>
                    <w:right w:val="single" w:color="auto" w:sz="4" w:space="0"/>
                  </w:tcBorders>
                  <w:noWrap w:val="0"/>
                  <w:vAlign w:val="center"/>
                </w:tcPr>
                <w:p w14:paraId="19B21B79">
                  <w:pPr>
                    <w:pStyle w:val="52"/>
                    <w:spacing w:before="0" w:after="0" w:line="240" w:lineRule="auto"/>
                    <w:ind w:right="0"/>
                    <w:jc w:val="center"/>
                    <w:rPr>
                      <w:rFonts w:hint="default" w:ascii="Times New Roman" w:hAnsi="Times New Roman" w:cs="Times New Roman"/>
                      <w:szCs w:val="21"/>
                    </w:rPr>
                  </w:pPr>
                  <w:r>
                    <w:rPr>
                      <w:rFonts w:hint="default" w:ascii="Times New Roman" w:hAnsi="Times New Roman" w:cs="Times New Roman"/>
                      <w:szCs w:val="21"/>
                    </w:rPr>
                    <w:t>外售综合利用</w:t>
                  </w:r>
                </w:p>
              </w:tc>
            </w:tr>
            <w:tr w14:paraId="71B2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1D36E56F">
                  <w:pPr>
                    <w:pStyle w:val="54"/>
                    <w:adjustRightInd w:val="0"/>
                    <w:snapToGrid w:val="0"/>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591" w:type="pct"/>
                  <w:tcBorders>
                    <w:top w:val="single" w:color="auto" w:sz="4" w:space="0"/>
                    <w:left w:val="nil"/>
                    <w:bottom w:val="single" w:color="auto" w:sz="4" w:space="0"/>
                    <w:right w:val="single" w:color="auto" w:sz="4" w:space="0"/>
                  </w:tcBorders>
                  <w:noWrap w:val="0"/>
                  <w:vAlign w:val="center"/>
                </w:tcPr>
                <w:p w14:paraId="09996F19">
                  <w:pPr>
                    <w:pStyle w:val="54"/>
                    <w:adjustRightInd w:val="0"/>
                    <w:snapToGrid w:val="0"/>
                    <w:spacing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废布袋</w:t>
                  </w:r>
                </w:p>
              </w:tc>
              <w:tc>
                <w:tcPr>
                  <w:tcW w:w="660" w:type="pct"/>
                  <w:tcBorders>
                    <w:top w:val="single" w:color="auto" w:sz="4" w:space="0"/>
                    <w:left w:val="nil"/>
                    <w:bottom w:val="single" w:color="auto" w:sz="4" w:space="0"/>
                    <w:right w:val="single" w:color="auto" w:sz="4" w:space="0"/>
                  </w:tcBorders>
                  <w:noWrap w:val="0"/>
                  <w:vAlign w:val="center"/>
                </w:tcPr>
                <w:p w14:paraId="1AB97E78">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rPr>
                  </w:pPr>
                  <w:r>
                    <w:rPr>
                      <w:rFonts w:hint="eastAsia" w:cs="Times New Roman"/>
                      <w:b/>
                      <w:bCs/>
                      <w:lang w:val="en-US" w:eastAsia="zh-CN"/>
                    </w:rPr>
                    <w:t>/</w:t>
                  </w:r>
                </w:p>
              </w:tc>
              <w:tc>
                <w:tcPr>
                  <w:tcW w:w="261" w:type="pct"/>
                  <w:tcBorders>
                    <w:top w:val="single" w:color="auto" w:sz="4" w:space="0"/>
                    <w:left w:val="nil"/>
                    <w:bottom w:val="single" w:color="auto" w:sz="4" w:space="0"/>
                    <w:right w:val="single" w:color="auto" w:sz="4" w:space="0"/>
                  </w:tcBorders>
                  <w:noWrap w:val="0"/>
                  <w:vAlign w:val="center"/>
                </w:tcPr>
                <w:p w14:paraId="7FC6C433">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rPr>
                  </w:pPr>
                  <w:r>
                    <w:rPr>
                      <w:rFonts w:hint="default" w:ascii="Times New Roman" w:hAnsi="Times New Roman" w:cs="Times New Roman"/>
                      <w:lang w:eastAsia="zh-CN"/>
                    </w:rPr>
                    <w:t>固</w:t>
                  </w:r>
                </w:p>
              </w:tc>
              <w:tc>
                <w:tcPr>
                  <w:tcW w:w="837" w:type="pct"/>
                  <w:tcBorders>
                    <w:top w:val="single" w:color="auto" w:sz="4" w:space="0"/>
                    <w:left w:val="nil"/>
                    <w:bottom w:val="single" w:color="auto" w:sz="4" w:space="0"/>
                    <w:right w:val="single" w:color="auto" w:sz="4" w:space="0"/>
                  </w:tcBorders>
                  <w:noWrap w:val="0"/>
                  <w:vAlign w:val="center"/>
                </w:tcPr>
                <w:p w14:paraId="7F1732AC">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rPr>
                  </w:pPr>
                  <w:r>
                    <w:rPr>
                      <w:rFonts w:hint="eastAsia" w:cs="Times New Roman"/>
                      <w:b/>
                      <w:bCs/>
                      <w:lang w:val="en-US" w:eastAsia="zh-CN"/>
                    </w:rPr>
                    <w:t>/</w:t>
                  </w:r>
                </w:p>
              </w:tc>
              <w:tc>
                <w:tcPr>
                  <w:tcW w:w="669" w:type="pct"/>
                  <w:tcBorders>
                    <w:top w:val="single" w:color="auto" w:sz="4" w:space="0"/>
                    <w:left w:val="nil"/>
                    <w:bottom w:val="single" w:color="auto" w:sz="4" w:space="0"/>
                    <w:right w:val="single" w:color="auto" w:sz="4" w:space="0"/>
                  </w:tcBorders>
                  <w:noWrap w:val="0"/>
                  <w:vAlign w:val="center"/>
                </w:tcPr>
                <w:p w14:paraId="539A2DBC">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lang w:val="en-US" w:eastAsia="zh-CN"/>
                    </w:rPr>
                  </w:pPr>
                  <w:r>
                    <w:rPr>
                      <w:rFonts w:hint="eastAsia" w:cs="Times New Roman"/>
                      <w:lang w:val="en-US" w:eastAsia="zh-CN"/>
                    </w:rPr>
                    <w:t>0.1</w:t>
                  </w:r>
                </w:p>
              </w:tc>
              <w:tc>
                <w:tcPr>
                  <w:tcW w:w="662" w:type="pct"/>
                  <w:tcBorders>
                    <w:top w:val="single" w:color="auto" w:sz="4" w:space="0"/>
                    <w:left w:val="nil"/>
                    <w:bottom w:val="single" w:color="auto" w:sz="4" w:space="0"/>
                    <w:right w:val="single" w:color="auto" w:sz="4" w:space="0"/>
                  </w:tcBorders>
                  <w:noWrap w:val="0"/>
                  <w:vAlign w:val="center"/>
                </w:tcPr>
                <w:p w14:paraId="69436D53">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0</w:t>
                  </w:r>
                </w:p>
              </w:tc>
              <w:tc>
                <w:tcPr>
                  <w:tcW w:w="1055" w:type="pct"/>
                  <w:vMerge w:val="continue"/>
                  <w:tcBorders>
                    <w:left w:val="nil"/>
                    <w:right w:val="single" w:color="auto" w:sz="4" w:space="0"/>
                  </w:tcBorders>
                  <w:noWrap w:val="0"/>
                  <w:vAlign w:val="center"/>
                </w:tcPr>
                <w:p w14:paraId="658E1B62">
                  <w:pPr>
                    <w:pStyle w:val="52"/>
                    <w:spacing w:before="0" w:after="0" w:line="240" w:lineRule="auto"/>
                    <w:ind w:right="0"/>
                    <w:jc w:val="center"/>
                    <w:rPr>
                      <w:rFonts w:hint="default" w:ascii="Times New Roman" w:hAnsi="Times New Roman" w:cs="Times New Roman"/>
                      <w:szCs w:val="21"/>
                    </w:rPr>
                  </w:pPr>
                </w:p>
              </w:tc>
            </w:tr>
            <w:tr w14:paraId="1A7F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090E0E13">
                  <w:pPr>
                    <w:pStyle w:val="54"/>
                    <w:adjustRightInd w:val="0"/>
                    <w:snapToGrid w:val="0"/>
                    <w:spacing w:line="240" w:lineRule="auto"/>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p>
              </w:tc>
              <w:tc>
                <w:tcPr>
                  <w:tcW w:w="591" w:type="pct"/>
                  <w:tcBorders>
                    <w:top w:val="single" w:color="auto" w:sz="4" w:space="0"/>
                    <w:left w:val="nil"/>
                    <w:bottom w:val="single" w:color="auto" w:sz="4" w:space="0"/>
                    <w:right w:val="single" w:color="auto" w:sz="4" w:space="0"/>
                  </w:tcBorders>
                  <w:noWrap w:val="0"/>
                  <w:vAlign w:val="center"/>
                </w:tcPr>
                <w:p w14:paraId="19A05F39">
                  <w:pPr>
                    <w:pStyle w:val="54"/>
                    <w:adjustRightInd w:val="0"/>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废</w:t>
                  </w:r>
                  <w:r>
                    <w:rPr>
                      <w:rFonts w:hint="default" w:ascii="Times New Roman" w:hAnsi="Times New Roman" w:cs="Times New Roman"/>
                      <w:lang w:eastAsia="zh-CN"/>
                    </w:rPr>
                    <w:t>钢丸</w:t>
                  </w:r>
                </w:p>
              </w:tc>
              <w:tc>
                <w:tcPr>
                  <w:tcW w:w="660" w:type="pct"/>
                  <w:tcBorders>
                    <w:top w:val="single" w:color="auto" w:sz="4" w:space="0"/>
                    <w:left w:val="nil"/>
                    <w:bottom w:val="single" w:color="auto" w:sz="4" w:space="0"/>
                    <w:right w:val="single" w:color="auto" w:sz="4" w:space="0"/>
                  </w:tcBorders>
                  <w:noWrap w:val="0"/>
                  <w:vAlign w:val="center"/>
                </w:tcPr>
                <w:p w14:paraId="6A1E09F9">
                  <w:pPr>
                    <w:pStyle w:val="54"/>
                    <w:adjustRightInd w:val="0"/>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生产</w:t>
                  </w:r>
                </w:p>
              </w:tc>
              <w:tc>
                <w:tcPr>
                  <w:tcW w:w="261" w:type="pct"/>
                  <w:tcBorders>
                    <w:top w:val="single" w:color="auto" w:sz="4" w:space="0"/>
                    <w:left w:val="nil"/>
                    <w:bottom w:val="single" w:color="auto" w:sz="4" w:space="0"/>
                    <w:right w:val="single" w:color="auto" w:sz="4" w:space="0"/>
                  </w:tcBorders>
                  <w:noWrap w:val="0"/>
                  <w:vAlign w:val="center"/>
                </w:tcPr>
                <w:p w14:paraId="482BA110">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lang w:eastAsia="zh-CN"/>
                    </w:rPr>
                  </w:pPr>
                  <w:r>
                    <w:rPr>
                      <w:rFonts w:hint="default" w:ascii="Times New Roman" w:hAnsi="Times New Roman" w:cs="Times New Roman"/>
                      <w:lang w:eastAsia="zh-CN"/>
                    </w:rPr>
                    <w:t>固</w:t>
                  </w:r>
                </w:p>
              </w:tc>
              <w:tc>
                <w:tcPr>
                  <w:tcW w:w="837" w:type="pct"/>
                  <w:tcBorders>
                    <w:top w:val="single" w:color="auto" w:sz="4" w:space="0"/>
                    <w:left w:val="nil"/>
                    <w:bottom w:val="single" w:color="auto" w:sz="4" w:space="0"/>
                    <w:right w:val="single" w:color="auto" w:sz="4" w:space="0"/>
                  </w:tcBorders>
                  <w:noWrap w:val="0"/>
                  <w:vAlign w:val="center"/>
                </w:tcPr>
                <w:p w14:paraId="78CE64B1">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rPr>
                  </w:pPr>
                  <w:r>
                    <w:rPr>
                      <w:rFonts w:hint="eastAsia" w:cs="Times New Roman"/>
                      <w:b/>
                      <w:bCs/>
                      <w:lang w:val="en-US" w:eastAsia="zh-CN"/>
                    </w:rPr>
                    <w:t>/</w:t>
                  </w:r>
                </w:p>
              </w:tc>
              <w:tc>
                <w:tcPr>
                  <w:tcW w:w="669" w:type="pct"/>
                  <w:tcBorders>
                    <w:top w:val="single" w:color="auto" w:sz="4" w:space="0"/>
                    <w:left w:val="nil"/>
                    <w:bottom w:val="single" w:color="auto" w:sz="4" w:space="0"/>
                    <w:right w:val="single" w:color="auto" w:sz="4" w:space="0"/>
                  </w:tcBorders>
                  <w:noWrap w:val="0"/>
                  <w:vAlign w:val="center"/>
                </w:tcPr>
                <w:p w14:paraId="43E00255">
                  <w:pPr>
                    <w:pStyle w:val="54"/>
                    <w:adjustRightInd w:val="0"/>
                    <w:snapToGrid w:val="0"/>
                    <w:spacing w:line="240" w:lineRule="auto"/>
                    <w:jc w:val="center"/>
                    <w:rPr>
                      <w:rFonts w:hint="default" w:ascii="Times New Roman" w:hAnsi="Times New Roman" w:eastAsia="宋体" w:cs="Times New Roman"/>
                      <w:lang w:val="en-US" w:eastAsia="zh-CN"/>
                    </w:rPr>
                  </w:pPr>
                  <w:r>
                    <w:rPr>
                      <w:rFonts w:hint="eastAsia" w:cs="Times New Roman"/>
                      <w:lang w:val="en-US" w:eastAsia="zh-CN"/>
                    </w:rPr>
                    <w:t>0.1</w:t>
                  </w:r>
                </w:p>
              </w:tc>
              <w:tc>
                <w:tcPr>
                  <w:tcW w:w="662" w:type="pct"/>
                  <w:tcBorders>
                    <w:top w:val="single" w:color="auto" w:sz="4" w:space="0"/>
                    <w:left w:val="nil"/>
                    <w:bottom w:val="single" w:color="auto" w:sz="4" w:space="0"/>
                    <w:right w:val="single" w:color="auto" w:sz="4" w:space="0"/>
                  </w:tcBorders>
                  <w:noWrap w:val="0"/>
                  <w:vAlign w:val="center"/>
                </w:tcPr>
                <w:p w14:paraId="1A0521DD">
                  <w:pPr>
                    <w:pStyle w:val="54"/>
                    <w:adjustRightInd w:val="0"/>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0</w:t>
                  </w:r>
                </w:p>
              </w:tc>
              <w:tc>
                <w:tcPr>
                  <w:tcW w:w="1055" w:type="pct"/>
                  <w:vMerge w:val="continue"/>
                  <w:tcBorders>
                    <w:left w:val="nil"/>
                    <w:right w:val="single" w:color="auto" w:sz="4" w:space="0"/>
                  </w:tcBorders>
                  <w:noWrap w:val="0"/>
                  <w:vAlign w:val="center"/>
                </w:tcPr>
                <w:p w14:paraId="0E9DAE6F">
                  <w:pPr>
                    <w:pStyle w:val="52"/>
                    <w:spacing w:before="0" w:after="0" w:line="240" w:lineRule="auto"/>
                    <w:ind w:right="0"/>
                    <w:jc w:val="center"/>
                    <w:rPr>
                      <w:rFonts w:hint="default" w:ascii="Times New Roman" w:hAnsi="Times New Roman" w:cs="Times New Roman"/>
                      <w:szCs w:val="21"/>
                    </w:rPr>
                  </w:pPr>
                </w:p>
              </w:tc>
            </w:tr>
            <w:tr w14:paraId="708B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0313A121">
                  <w:pPr>
                    <w:pStyle w:val="54"/>
                    <w:adjustRightInd w:val="0"/>
                    <w:snapToGrid w:val="0"/>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4</w:t>
                  </w:r>
                </w:p>
              </w:tc>
              <w:tc>
                <w:tcPr>
                  <w:tcW w:w="591" w:type="pct"/>
                  <w:tcBorders>
                    <w:top w:val="single" w:color="auto" w:sz="4" w:space="0"/>
                    <w:left w:val="nil"/>
                    <w:bottom w:val="single" w:color="auto" w:sz="4" w:space="0"/>
                    <w:right w:val="single" w:color="auto" w:sz="4" w:space="0"/>
                  </w:tcBorders>
                  <w:noWrap w:val="0"/>
                  <w:vAlign w:val="center"/>
                </w:tcPr>
                <w:p w14:paraId="3D87CDF8">
                  <w:pPr>
                    <w:pStyle w:val="54"/>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eastAsia="宋体" w:cs="Times New Roman"/>
                    </w:rPr>
                    <w:t>废活性炭</w:t>
                  </w:r>
                </w:p>
              </w:tc>
              <w:tc>
                <w:tcPr>
                  <w:tcW w:w="660" w:type="pct"/>
                  <w:tcBorders>
                    <w:top w:val="single" w:color="auto" w:sz="4" w:space="0"/>
                    <w:left w:val="nil"/>
                    <w:bottom w:val="single" w:color="auto" w:sz="4" w:space="0"/>
                    <w:right w:val="single" w:color="auto" w:sz="4" w:space="0"/>
                  </w:tcBorders>
                  <w:noWrap w:val="0"/>
                  <w:vAlign w:val="center"/>
                </w:tcPr>
                <w:p w14:paraId="5F055490">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废气处理</w:t>
                  </w:r>
                </w:p>
              </w:tc>
              <w:tc>
                <w:tcPr>
                  <w:tcW w:w="261" w:type="pct"/>
                  <w:tcBorders>
                    <w:top w:val="single" w:color="auto" w:sz="4" w:space="0"/>
                    <w:left w:val="nil"/>
                    <w:bottom w:val="single" w:color="auto" w:sz="4" w:space="0"/>
                    <w:right w:val="single" w:color="auto" w:sz="4" w:space="0"/>
                  </w:tcBorders>
                  <w:noWrap w:val="0"/>
                  <w:vAlign w:val="center"/>
                </w:tcPr>
                <w:p w14:paraId="2CEE3CD6">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rPr>
                  </w:pPr>
                  <w:r>
                    <w:rPr>
                      <w:rFonts w:hint="default" w:ascii="Times New Roman" w:hAnsi="Times New Roman" w:cs="Times New Roman"/>
                      <w:lang w:eastAsia="zh-CN"/>
                    </w:rPr>
                    <w:t>固</w:t>
                  </w:r>
                </w:p>
              </w:tc>
              <w:tc>
                <w:tcPr>
                  <w:tcW w:w="837" w:type="pct"/>
                  <w:tcBorders>
                    <w:top w:val="single" w:color="auto" w:sz="4" w:space="0"/>
                    <w:left w:val="nil"/>
                    <w:bottom w:val="single" w:color="auto" w:sz="4" w:space="0"/>
                    <w:right w:val="single" w:color="auto" w:sz="4" w:space="0"/>
                  </w:tcBorders>
                  <w:noWrap w:val="0"/>
                  <w:vAlign w:val="center"/>
                </w:tcPr>
                <w:p w14:paraId="0212620D">
                  <w:pPr>
                    <w:keepNext w:val="0"/>
                    <w:keepLines w:val="0"/>
                    <w:pageBreakBefore w:val="0"/>
                    <w:kinsoku/>
                    <w:wordWrap/>
                    <w:overflowPunct/>
                    <w:topLinePunct w:val="0"/>
                    <w:autoSpaceDE w:val="0"/>
                    <w:autoSpaceDN w:val="0"/>
                    <w:bidi w:val="0"/>
                    <w:spacing w:line="240" w:lineRule="auto"/>
                    <w:ind w:right="0" w:rightChars="0"/>
                    <w:jc w:val="center"/>
                    <w:textAlignment w:val="top"/>
                    <w:rPr>
                      <w:rFonts w:hint="default" w:ascii="Times New Roman" w:hAnsi="Times New Roman" w:cs="Times New Roman"/>
                      <w:color w:val="000000"/>
                      <w:kern w:val="0"/>
                      <w:szCs w:val="21"/>
                    </w:rPr>
                  </w:pPr>
                  <w:r>
                    <w:rPr>
                      <w:rFonts w:hint="default" w:ascii="Times New Roman" w:hAnsi="Times New Roman" w:cs="Times New Roman"/>
                      <w:color w:val="000000"/>
                      <w:szCs w:val="21"/>
                    </w:rPr>
                    <w:t>900-039-49</w:t>
                  </w:r>
                </w:p>
              </w:tc>
              <w:tc>
                <w:tcPr>
                  <w:tcW w:w="669" w:type="pct"/>
                  <w:tcBorders>
                    <w:top w:val="single" w:color="auto" w:sz="4" w:space="0"/>
                    <w:left w:val="nil"/>
                    <w:bottom w:val="single" w:color="auto" w:sz="4" w:space="0"/>
                    <w:right w:val="single" w:color="auto" w:sz="4" w:space="0"/>
                  </w:tcBorders>
                  <w:noWrap w:val="0"/>
                  <w:vAlign w:val="center"/>
                </w:tcPr>
                <w:p w14:paraId="78ED4960">
                  <w:pPr>
                    <w:pStyle w:val="54"/>
                    <w:adjustRightInd w:val="0"/>
                    <w:snapToGrid w:val="0"/>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3.27</w:t>
                  </w:r>
                </w:p>
              </w:tc>
              <w:tc>
                <w:tcPr>
                  <w:tcW w:w="662" w:type="pct"/>
                  <w:tcBorders>
                    <w:top w:val="single" w:color="auto" w:sz="4" w:space="0"/>
                    <w:left w:val="nil"/>
                    <w:bottom w:val="single" w:color="auto" w:sz="4" w:space="0"/>
                    <w:right w:val="single" w:color="auto" w:sz="4" w:space="0"/>
                  </w:tcBorders>
                  <w:noWrap w:val="0"/>
                  <w:vAlign w:val="center"/>
                </w:tcPr>
                <w:p w14:paraId="5B8C9229">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0</w:t>
                  </w:r>
                </w:p>
              </w:tc>
              <w:tc>
                <w:tcPr>
                  <w:tcW w:w="1055" w:type="pct"/>
                  <w:vMerge w:val="restart"/>
                  <w:tcBorders>
                    <w:left w:val="nil"/>
                    <w:right w:val="single" w:color="auto" w:sz="4" w:space="0"/>
                  </w:tcBorders>
                  <w:noWrap w:val="0"/>
                  <w:vAlign w:val="center"/>
                </w:tcPr>
                <w:p w14:paraId="007C08A7">
                  <w:pPr>
                    <w:pStyle w:val="54"/>
                    <w:adjustRightInd w:val="0"/>
                    <w:snapToGrid w:val="0"/>
                    <w:spacing w:line="240" w:lineRule="auto"/>
                    <w:jc w:val="center"/>
                    <w:rPr>
                      <w:rFonts w:hint="eastAsia"/>
                      <w:color w:val="000000" w:themeColor="text1"/>
                      <w14:textFill>
                        <w14:solidFill>
                          <w14:schemeClr w14:val="tx1"/>
                        </w14:solidFill>
                      </w14:textFill>
                    </w:rPr>
                  </w:pPr>
                  <w:r>
                    <w:rPr>
                      <w:rFonts w:hint="default" w:ascii="Times New Roman" w:hAnsi="Times New Roman" w:cs="Times New Roman"/>
                      <w:szCs w:val="21"/>
                    </w:rPr>
                    <w:t>暂存危废间委托有资质单位处理</w:t>
                  </w:r>
                </w:p>
              </w:tc>
            </w:tr>
            <w:tr w14:paraId="4424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0DDD4DDA">
                  <w:pPr>
                    <w:pStyle w:val="54"/>
                    <w:adjustRightInd w:val="0"/>
                    <w:snapToGrid w:val="0"/>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591" w:type="pct"/>
                  <w:tcBorders>
                    <w:top w:val="single" w:color="auto" w:sz="4" w:space="0"/>
                    <w:left w:val="nil"/>
                    <w:bottom w:val="single" w:color="auto" w:sz="4" w:space="0"/>
                    <w:right w:val="single" w:color="auto" w:sz="4" w:space="0"/>
                  </w:tcBorders>
                  <w:noWrap w:val="0"/>
                  <w:vAlign w:val="center"/>
                </w:tcPr>
                <w:p w14:paraId="557A1695">
                  <w:pPr>
                    <w:pStyle w:val="54"/>
                    <w:adjustRightInd w:val="0"/>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废过滤棉</w:t>
                  </w:r>
                </w:p>
              </w:tc>
              <w:tc>
                <w:tcPr>
                  <w:tcW w:w="660" w:type="pct"/>
                  <w:tcBorders>
                    <w:top w:val="single" w:color="auto" w:sz="4" w:space="0"/>
                    <w:left w:val="nil"/>
                    <w:bottom w:val="single" w:color="auto" w:sz="4" w:space="0"/>
                    <w:right w:val="single" w:color="auto" w:sz="4" w:space="0"/>
                  </w:tcBorders>
                  <w:noWrap w:val="0"/>
                  <w:vAlign w:val="center"/>
                </w:tcPr>
                <w:p w14:paraId="21D59899">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废气处理</w:t>
                  </w:r>
                </w:p>
              </w:tc>
              <w:tc>
                <w:tcPr>
                  <w:tcW w:w="261" w:type="pct"/>
                  <w:tcBorders>
                    <w:top w:val="single" w:color="auto" w:sz="4" w:space="0"/>
                    <w:left w:val="nil"/>
                    <w:bottom w:val="single" w:color="auto" w:sz="4" w:space="0"/>
                    <w:right w:val="single" w:color="auto" w:sz="4" w:space="0"/>
                  </w:tcBorders>
                  <w:noWrap w:val="0"/>
                  <w:vAlign w:val="center"/>
                </w:tcPr>
                <w:p w14:paraId="5B378279">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eastAsia="宋体" w:cs="Times New Roman"/>
                    </w:rPr>
                  </w:pPr>
                  <w:r>
                    <w:rPr>
                      <w:rFonts w:hint="default" w:ascii="Times New Roman" w:hAnsi="Times New Roman" w:cs="Times New Roman"/>
                      <w:lang w:eastAsia="zh-CN"/>
                    </w:rPr>
                    <w:t>固</w:t>
                  </w:r>
                </w:p>
              </w:tc>
              <w:tc>
                <w:tcPr>
                  <w:tcW w:w="837" w:type="pct"/>
                  <w:tcBorders>
                    <w:top w:val="single" w:color="auto" w:sz="4" w:space="0"/>
                    <w:left w:val="nil"/>
                    <w:bottom w:val="single" w:color="auto" w:sz="4" w:space="0"/>
                    <w:right w:val="single" w:color="auto" w:sz="4" w:space="0"/>
                  </w:tcBorders>
                  <w:noWrap w:val="0"/>
                  <w:vAlign w:val="center"/>
                </w:tcPr>
                <w:p w14:paraId="3AE43C2B">
                  <w:pPr>
                    <w:keepNext w:val="0"/>
                    <w:keepLines w:val="0"/>
                    <w:pageBreakBefore w:val="0"/>
                    <w:kinsoku/>
                    <w:wordWrap/>
                    <w:overflowPunct/>
                    <w:topLinePunct w:val="0"/>
                    <w:autoSpaceDE w:val="0"/>
                    <w:autoSpaceDN w:val="0"/>
                    <w:bidi w:val="0"/>
                    <w:spacing w:line="240" w:lineRule="auto"/>
                    <w:ind w:right="0" w:rightChars="0"/>
                    <w:jc w:val="center"/>
                    <w:textAlignment w:val="top"/>
                    <w:rPr>
                      <w:rFonts w:hint="default" w:ascii="Times New Roman" w:hAnsi="Times New Roman" w:cs="Times New Roman"/>
                      <w:color w:val="000000"/>
                      <w:szCs w:val="21"/>
                    </w:rPr>
                  </w:pPr>
                  <w:r>
                    <w:rPr>
                      <w:rFonts w:hint="default" w:ascii="Times New Roman" w:hAnsi="Times New Roman" w:cs="Times New Roman"/>
                      <w:color w:val="000000"/>
                      <w:szCs w:val="21"/>
                    </w:rPr>
                    <w:t>900-041-49</w:t>
                  </w:r>
                </w:p>
              </w:tc>
              <w:tc>
                <w:tcPr>
                  <w:tcW w:w="669" w:type="pct"/>
                  <w:tcBorders>
                    <w:top w:val="single" w:color="auto" w:sz="4" w:space="0"/>
                    <w:left w:val="nil"/>
                    <w:bottom w:val="single" w:color="auto" w:sz="4" w:space="0"/>
                    <w:right w:val="single" w:color="auto" w:sz="4" w:space="0"/>
                  </w:tcBorders>
                  <w:noWrap w:val="0"/>
                  <w:vAlign w:val="center"/>
                </w:tcPr>
                <w:p w14:paraId="13ACB2C2">
                  <w:pPr>
                    <w:pStyle w:val="54"/>
                    <w:adjustRightInd w:val="0"/>
                    <w:snapToGrid w:val="0"/>
                    <w:spacing w:line="240" w:lineRule="auto"/>
                    <w:jc w:val="center"/>
                    <w:rPr>
                      <w:rFonts w:hint="default" w:ascii="Times New Roman" w:hAnsi="Times New Roman" w:cs="Times New Roman"/>
                      <w:lang w:val="en-US" w:eastAsia="zh-CN"/>
                    </w:rPr>
                  </w:pPr>
                  <w:r>
                    <w:rPr>
                      <w:rFonts w:hint="default" w:ascii="Times New Roman" w:hAnsi="Times New Roman" w:eastAsia="宋体" w:cs="Times New Roman"/>
                      <w:lang w:val="en-US" w:eastAsia="zh-CN"/>
                    </w:rPr>
                    <w:t>0.1</w:t>
                  </w:r>
                </w:p>
              </w:tc>
              <w:tc>
                <w:tcPr>
                  <w:tcW w:w="662" w:type="pct"/>
                  <w:tcBorders>
                    <w:top w:val="single" w:color="auto" w:sz="4" w:space="0"/>
                    <w:left w:val="nil"/>
                    <w:bottom w:val="single" w:color="auto" w:sz="4" w:space="0"/>
                    <w:right w:val="single" w:color="auto" w:sz="4" w:space="0"/>
                  </w:tcBorders>
                  <w:noWrap w:val="0"/>
                  <w:vAlign w:val="center"/>
                </w:tcPr>
                <w:p w14:paraId="2EBCEB80">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0</w:t>
                  </w:r>
                </w:p>
              </w:tc>
              <w:tc>
                <w:tcPr>
                  <w:tcW w:w="1055" w:type="pct"/>
                  <w:vMerge w:val="continue"/>
                  <w:tcBorders>
                    <w:left w:val="nil"/>
                    <w:right w:val="single" w:color="auto" w:sz="4" w:space="0"/>
                  </w:tcBorders>
                  <w:noWrap w:val="0"/>
                  <w:vAlign w:val="center"/>
                </w:tcPr>
                <w:p w14:paraId="509D0937">
                  <w:pPr>
                    <w:pStyle w:val="54"/>
                    <w:adjustRightInd w:val="0"/>
                    <w:snapToGrid w:val="0"/>
                    <w:spacing w:line="240" w:lineRule="auto"/>
                    <w:jc w:val="center"/>
                    <w:rPr>
                      <w:rFonts w:hint="default" w:ascii="Times New Roman" w:hAnsi="Times New Roman" w:cs="Times New Roman"/>
                      <w:szCs w:val="21"/>
                    </w:rPr>
                  </w:pPr>
                </w:p>
              </w:tc>
            </w:tr>
            <w:tr w14:paraId="48C7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669A7880">
                  <w:pPr>
                    <w:pStyle w:val="54"/>
                    <w:adjustRightInd w:val="0"/>
                    <w:snapToGrid w:val="0"/>
                    <w:spacing w:line="240" w:lineRule="auto"/>
                    <w:jc w:val="center"/>
                    <w:rPr>
                      <w:rFonts w:hint="default" w:ascii="Times New Roman" w:hAnsi="Times New Roman" w:cs="Times New Roman"/>
                      <w:lang w:val="en-US" w:eastAsia="zh-CN"/>
                    </w:rPr>
                  </w:pPr>
                  <w:r>
                    <w:rPr>
                      <w:rFonts w:hint="eastAsia" w:cs="Times New Roman"/>
                      <w:lang w:val="en-US" w:eastAsia="zh-CN"/>
                    </w:rPr>
                    <w:t>6</w:t>
                  </w:r>
                </w:p>
              </w:tc>
              <w:tc>
                <w:tcPr>
                  <w:tcW w:w="591" w:type="pct"/>
                  <w:tcBorders>
                    <w:top w:val="single" w:color="auto" w:sz="4" w:space="0"/>
                    <w:left w:val="nil"/>
                    <w:bottom w:val="single" w:color="auto" w:sz="4" w:space="0"/>
                    <w:right w:val="single" w:color="auto" w:sz="4" w:space="0"/>
                  </w:tcBorders>
                  <w:noWrap w:val="0"/>
                  <w:vAlign w:val="center"/>
                </w:tcPr>
                <w:p w14:paraId="4E8B4C79">
                  <w:pPr>
                    <w:keepNext w:val="0"/>
                    <w:keepLines w:val="0"/>
                    <w:pageBreakBefore w:val="0"/>
                    <w:kinsoku/>
                    <w:wordWrap/>
                    <w:overflowPunct/>
                    <w:topLinePunct w:val="0"/>
                    <w:bidi w:val="0"/>
                    <w:spacing w:line="240" w:lineRule="auto"/>
                    <w:ind w:right="0" w:rightChars="0"/>
                    <w:jc w:val="center"/>
                    <w:rPr>
                      <w:rFonts w:hint="eastAsia" w:ascii="Times New Roman" w:hAnsi="Times New Roman" w:eastAsia="宋体" w:cs="Times New Roman"/>
                      <w:lang w:eastAsia="zh-CN"/>
                    </w:rPr>
                  </w:pPr>
                  <w:r>
                    <w:rPr>
                      <w:rFonts w:hint="default" w:ascii="Times New Roman" w:hAnsi="Times New Roman" w:cs="Times New Roman"/>
                      <w:color w:val="000000"/>
                      <w:szCs w:val="21"/>
                    </w:rPr>
                    <w:t>废机油</w:t>
                  </w:r>
                </w:p>
              </w:tc>
              <w:tc>
                <w:tcPr>
                  <w:tcW w:w="660" w:type="pct"/>
                  <w:tcBorders>
                    <w:top w:val="single" w:color="auto" w:sz="4" w:space="0"/>
                    <w:left w:val="nil"/>
                    <w:bottom w:val="single" w:color="auto" w:sz="4" w:space="0"/>
                    <w:right w:val="single" w:color="auto" w:sz="4" w:space="0"/>
                  </w:tcBorders>
                  <w:noWrap w:val="0"/>
                  <w:vAlign w:val="center"/>
                </w:tcPr>
                <w:p w14:paraId="6B4E5C46">
                  <w:pPr>
                    <w:pStyle w:val="52"/>
                    <w:keepNext w:val="0"/>
                    <w:keepLines w:val="0"/>
                    <w:pageBreakBefore w:val="0"/>
                    <w:kinsoku/>
                    <w:wordWrap/>
                    <w:overflowPunct/>
                    <w:topLinePunct w:val="0"/>
                    <w:bidi w:val="0"/>
                    <w:spacing w:before="0" w:after="0" w:line="240" w:lineRule="auto"/>
                    <w:ind w:right="0" w:rightChars="0"/>
                    <w:jc w:val="center"/>
                    <w:rPr>
                      <w:rFonts w:hint="eastAsia" w:ascii="Times New Roman" w:hAnsi="Times New Roman" w:eastAsia="宋体" w:cs="Times New Roman"/>
                      <w:color w:val="000000"/>
                      <w:szCs w:val="21"/>
                      <w:lang w:eastAsia="zh-CN"/>
                    </w:rPr>
                  </w:pPr>
                  <w:r>
                    <w:rPr>
                      <w:rFonts w:hint="default" w:ascii="Times New Roman" w:hAnsi="Times New Roman" w:cs="Times New Roman"/>
                      <w:color w:val="000000"/>
                      <w:szCs w:val="21"/>
                    </w:rPr>
                    <w:t>设备维修</w:t>
                  </w:r>
                </w:p>
              </w:tc>
              <w:tc>
                <w:tcPr>
                  <w:tcW w:w="261" w:type="pct"/>
                  <w:tcBorders>
                    <w:top w:val="single" w:color="auto" w:sz="4" w:space="0"/>
                    <w:left w:val="nil"/>
                    <w:bottom w:val="single" w:color="auto" w:sz="4" w:space="0"/>
                    <w:right w:val="single" w:color="auto" w:sz="4" w:space="0"/>
                  </w:tcBorders>
                  <w:noWrap w:val="0"/>
                  <w:vAlign w:val="center"/>
                </w:tcPr>
                <w:p w14:paraId="1203F318">
                  <w:pPr>
                    <w:pStyle w:val="52"/>
                    <w:keepNext w:val="0"/>
                    <w:keepLines w:val="0"/>
                    <w:pageBreakBefore w:val="0"/>
                    <w:kinsoku/>
                    <w:wordWrap/>
                    <w:overflowPunct/>
                    <w:topLinePunct w:val="0"/>
                    <w:bidi w:val="0"/>
                    <w:spacing w:before="0" w:after="0" w:line="240" w:lineRule="auto"/>
                    <w:ind w:right="0" w:rightChars="0"/>
                    <w:jc w:val="center"/>
                    <w:rPr>
                      <w:rFonts w:hint="eastAsia" w:ascii="Times New Roman" w:hAnsi="Times New Roman" w:eastAsia="宋体" w:cs="Times New Roman"/>
                      <w:lang w:eastAsia="zh-CN"/>
                    </w:rPr>
                  </w:pPr>
                  <w:r>
                    <w:rPr>
                      <w:rFonts w:hint="default" w:ascii="Times New Roman" w:hAnsi="Times New Roman" w:cs="Times New Roman"/>
                      <w:lang w:eastAsia="zh-CN"/>
                    </w:rPr>
                    <w:t>液</w:t>
                  </w:r>
                </w:p>
              </w:tc>
              <w:tc>
                <w:tcPr>
                  <w:tcW w:w="837" w:type="pct"/>
                  <w:tcBorders>
                    <w:top w:val="single" w:color="auto" w:sz="4" w:space="0"/>
                    <w:left w:val="nil"/>
                    <w:bottom w:val="single" w:color="auto" w:sz="4" w:space="0"/>
                    <w:right w:val="single" w:color="auto" w:sz="4" w:space="0"/>
                  </w:tcBorders>
                  <w:noWrap w:val="0"/>
                  <w:vAlign w:val="center"/>
                </w:tcPr>
                <w:p w14:paraId="48099B92">
                  <w:pPr>
                    <w:keepNext w:val="0"/>
                    <w:keepLines w:val="0"/>
                    <w:pageBreakBefore w:val="0"/>
                    <w:kinsoku/>
                    <w:wordWrap/>
                    <w:overflowPunct/>
                    <w:topLinePunct w:val="0"/>
                    <w:bidi w:val="0"/>
                    <w:spacing w:line="240" w:lineRule="auto"/>
                    <w:ind w:right="0" w:rightChars="0"/>
                    <w:jc w:val="center"/>
                    <w:rPr>
                      <w:rFonts w:hint="eastAsia"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900-214-08</w:t>
                  </w:r>
                </w:p>
              </w:tc>
              <w:tc>
                <w:tcPr>
                  <w:tcW w:w="669" w:type="pct"/>
                  <w:tcBorders>
                    <w:top w:val="single" w:color="auto" w:sz="4" w:space="0"/>
                    <w:left w:val="nil"/>
                    <w:bottom w:val="single" w:color="auto" w:sz="4" w:space="0"/>
                    <w:right w:val="single" w:color="auto" w:sz="4" w:space="0"/>
                  </w:tcBorders>
                  <w:noWrap w:val="0"/>
                  <w:vAlign w:val="center"/>
                </w:tcPr>
                <w:p w14:paraId="7D5571AB">
                  <w:pPr>
                    <w:pStyle w:val="54"/>
                    <w:adjustRightInd w:val="0"/>
                    <w:snapToGrid w:val="0"/>
                    <w:spacing w:line="240" w:lineRule="auto"/>
                    <w:jc w:val="center"/>
                    <w:rPr>
                      <w:rFonts w:hint="default" w:ascii="Times New Roman" w:hAnsi="Times New Roman" w:eastAsia="宋体" w:cs="Times New Roman"/>
                      <w:lang w:val="en-US" w:eastAsia="zh-CN"/>
                    </w:rPr>
                  </w:pPr>
                  <w:r>
                    <w:rPr>
                      <w:rFonts w:hint="eastAsia" w:cs="Times New Roman"/>
                      <w:lang w:val="en-US" w:eastAsia="zh-CN"/>
                    </w:rPr>
                    <w:t>0.1</w:t>
                  </w:r>
                </w:p>
              </w:tc>
              <w:tc>
                <w:tcPr>
                  <w:tcW w:w="662" w:type="pct"/>
                  <w:tcBorders>
                    <w:top w:val="single" w:color="auto" w:sz="4" w:space="0"/>
                    <w:left w:val="nil"/>
                    <w:bottom w:val="single" w:color="auto" w:sz="4" w:space="0"/>
                    <w:right w:val="single" w:color="auto" w:sz="4" w:space="0"/>
                  </w:tcBorders>
                  <w:noWrap w:val="0"/>
                  <w:vAlign w:val="center"/>
                </w:tcPr>
                <w:p w14:paraId="3B3C97D1">
                  <w:pPr>
                    <w:pStyle w:val="54"/>
                    <w:adjustRightInd w:val="0"/>
                    <w:snapToGrid w:val="0"/>
                    <w:spacing w:line="240" w:lineRule="auto"/>
                    <w:jc w:val="center"/>
                    <w:rPr>
                      <w:rFonts w:hint="eastAsia" w:ascii="Times New Roman" w:hAnsi="Times New Roman" w:eastAsia="宋体" w:cs="Times New Roman"/>
                      <w:lang w:val="en-US" w:eastAsia="zh-CN"/>
                    </w:rPr>
                  </w:pPr>
                  <w:r>
                    <w:rPr>
                      <w:rFonts w:hint="default" w:ascii="Times New Roman" w:hAnsi="Times New Roman" w:eastAsia="宋体" w:cs="Times New Roman"/>
                    </w:rPr>
                    <w:t>0</w:t>
                  </w:r>
                </w:p>
              </w:tc>
              <w:tc>
                <w:tcPr>
                  <w:tcW w:w="1055" w:type="pct"/>
                  <w:vMerge w:val="continue"/>
                  <w:tcBorders>
                    <w:left w:val="nil"/>
                    <w:right w:val="single" w:color="auto" w:sz="4" w:space="0"/>
                  </w:tcBorders>
                  <w:noWrap w:val="0"/>
                  <w:vAlign w:val="center"/>
                </w:tcPr>
                <w:p w14:paraId="0DBF3125">
                  <w:pPr>
                    <w:pStyle w:val="54"/>
                    <w:adjustRightInd w:val="0"/>
                    <w:snapToGrid w:val="0"/>
                    <w:spacing w:line="240" w:lineRule="auto"/>
                    <w:jc w:val="center"/>
                    <w:rPr>
                      <w:rFonts w:hint="default" w:ascii="Times New Roman" w:hAnsi="Times New Roman" w:cs="Times New Roman"/>
                      <w:szCs w:val="21"/>
                    </w:rPr>
                  </w:pPr>
                </w:p>
              </w:tc>
            </w:tr>
            <w:tr w14:paraId="7F5A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0768DE44">
                  <w:pPr>
                    <w:pStyle w:val="54"/>
                    <w:adjustRightInd w:val="0"/>
                    <w:snapToGrid w:val="0"/>
                    <w:spacing w:line="240" w:lineRule="auto"/>
                    <w:jc w:val="center"/>
                    <w:rPr>
                      <w:rFonts w:hint="default" w:cs="Times New Roman"/>
                      <w:lang w:val="en-US" w:eastAsia="zh-CN"/>
                    </w:rPr>
                  </w:pPr>
                  <w:r>
                    <w:rPr>
                      <w:rFonts w:hint="eastAsia" w:cs="Times New Roman"/>
                      <w:lang w:val="en-US" w:eastAsia="zh-CN"/>
                    </w:rPr>
                    <w:t>7</w:t>
                  </w:r>
                </w:p>
              </w:tc>
              <w:tc>
                <w:tcPr>
                  <w:tcW w:w="591" w:type="pct"/>
                  <w:tcBorders>
                    <w:top w:val="single" w:color="auto" w:sz="4" w:space="0"/>
                    <w:left w:val="nil"/>
                    <w:bottom w:val="single" w:color="auto" w:sz="4" w:space="0"/>
                    <w:right w:val="single" w:color="auto" w:sz="4" w:space="0"/>
                  </w:tcBorders>
                  <w:noWrap w:val="0"/>
                  <w:vAlign w:val="center"/>
                </w:tcPr>
                <w:p w14:paraId="1C312D97">
                  <w:pPr>
                    <w:keepNext w:val="0"/>
                    <w:keepLines w:val="0"/>
                    <w:pageBreakBefore w:val="0"/>
                    <w:kinsoku/>
                    <w:wordWrap/>
                    <w:overflowPunct/>
                    <w:topLinePunct w:val="0"/>
                    <w:bidi w:val="0"/>
                    <w:spacing w:line="240" w:lineRule="auto"/>
                    <w:ind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废液</w:t>
                  </w:r>
                </w:p>
                <w:p w14:paraId="75C68FFA">
                  <w:pPr>
                    <w:keepNext w:val="0"/>
                    <w:keepLines w:val="0"/>
                    <w:pageBreakBefore w:val="0"/>
                    <w:kinsoku/>
                    <w:wordWrap/>
                    <w:overflowPunct/>
                    <w:topLinePunct w:val="0"/>
                    <w:bidi w:val="0"/>
                    <w:spacing w:line="240" w:lineRule="auto"/>
                    <w:ind w:right="0" w:rightChars="0"/>
                    <w:jc w:val="center"/>
                    <w:rPr>
                      <w:rFonts w:hint="eastAsia" w:cs="Times New Roman"/>
                      <w:lang w:eastAsia="zh-CN"/>
                    </w:rPr>
                  </w:pPr>
                  <w:r>
                    <w:rPr>
                      <w:rFonts w:hint="default" w:ascii="Times New Roman" w:hAnsi="Times New Roman" w:cs="Times New Roman"/>
                      <w:color w:val="000000"/>
                      <w:szCs w:val="21"/>
                    </w:rPr>
                    <w:t>压油</w:t>
                  </w:r>
                </w:p>
              </w:tc>
              <w:tc>
                <w:tcPr>
                  <w:tcW w:w="660" w:type="pct"/>
                  <w:tcBorders>
                    <w:top w:val="single" w:color="auto" w:sz="4" w:space="0"/>
                    <w:left w:val="nil"/>
                    <w:bottom w:val="single" w:color="auto" w:sz="4" w:space="0"/>
                    <w:right w:val="single" w:color="auto" w:sz="4" w:space="0"/>
                  </w:tcBorders>
                  <w:noWrap w:val="0"/>
                  <w:vAlign w:val="center"/>
                </w:tcPr>
                <w:p w14:paraId="1B90607B">
                  <w:pPr>
                    <w:pStyle w:val="52"/>
                    <w:keepNext w:val="0"/>
                    <w:keepLines w:val="0"/>
                    <w:pageBreakBefore w:val="0"/>
                    <w:kinsoku/>
                    <w:wordWrap/>
                    <w:overflowPunct/>
                    <w:topLinePunct w:val="0"/>
                    <w:bidi w:val="0"/>
                    <w:spacing w:before="0" w:after="0" w:line="240" w:lineRule="auto"/>
                    <w:ind w:right="0" w:rightChars="0"/>
                    <w:jc w:val="center"/>
                    <w:rPr>
                      <w:rFonts w:hint="eastAsia" w:cs="Times New Roman"/>
                      <w:color w:val="000000"/>
                      <w:szCs w:val="21"/>
                      <w:lang w:eastAsia="zh-CN"/>
                    </w:rPr>
                  </w:pPr>
                  <w:r>
                    <w:rPr>
                      <w:rFonts w:hint="default" w:ascii="Times New Roman" w:hAnsi="Times New Roman" w:cs="Times New Roman"/>
                      <w:color w:val="000000"/>
                      <w:szCs w:val="21"/>
                    </w:rPr>
                    <w:t>机加工工序</w:t>
                  </w:r>
                </w:p>
              </w:tc>
              <w:tc>
                <w:tcPr>
                  <w:tcW w:w="261" w:type="pct"/>
                  <w:tcBorders>
                    <w:top w:val="single" w:color="auto" w:sz="4" w:space="0"/>
                    <w:left w:val="nil"/>
                    <w:bottom w:val="single" w:color="auto" w:sz="4" w:space="0"/>
                    <w:right w:val="single" w:color="auto" w:sz="4" w:space="0"/>
                  </w:tcBorders>
                  <w:noWrap w:val="0"/>
                  <w:vAlign w:val="center"/>
                </w:tcPr>
                <w:p w14:paraId="781C60CA">
                  <w:pPr>
                    <w:pStyle w:val="52"/>
                    <w:keepNext w:val="0"/>
                    <w:keepLines w:val="0"/>
                    <w:pageBreakBefore w:val="0"/>
                    <w:kinsoku/>
                    <w:wordWrap/>
                    <w:overflowPunct/>
                    <w:topLinePunct w:val="0"/>
                    <w:bidi w:val="0"/>
                    <w:spacing w:before="0" w:after="0" w:line="240" w:lineRule="auto"/>
                    <w:ind w:right="0" w:rightChars="0"/>
                    <w:jc w:val="center"/>
                    <w:rPr>
                      <w:rFonts w:hint="eastAsia" w:cs="Times New Roman"/>
                      <w:lang w:eastAsia="zh-CN"/>
                    </w:rPr>
                  </w:pPr>
                  <w:r>
                    <w:rPr>
                      <w:rFonts w:hint="default" w:ascii="Times New Roman" w:hAnsi="Times New Roman" w:cs="Times New Roman"/>
                      <w:lang w:eastAsia="zh-CN"/>
                    </w:rPr>
                    <w:t>液</w:t>
                  </w:r>
                </w:p>
              </w:tc>
              <w:tc>
                <w:tcPr>
                  <w:tcW w:w="837" w:type="pct"/>
                  <w:tcBorders>
                    <w:top w:val="single" w:color="auto" w:sz="4" w:space="0"/>
                    <w:left w:val="nil"/>
                    <w:bottom w:val="single" w:color="auto" w:sz="4" w:space="0"/>
                    <w:right w:val="single" w:color="auto" w:sz="4" w:space="0"/>
                  </w:tcBorders>
                  <w:noWrap w:val="0"/>
                  <w:vAlign w:val="center"/>
                </w:tcPr>
                <w:p w14:paraId="13506CB4">
                  <w:pPr>
                    <w:keepNext w:val="0"/>
                    <w:keepLines w:val="0"/>
                    <w:pageBreakBefore w:val="0"/>
                    <w:kinsoku/>
                    <w:wordWrap/>
                    <w:overflowPunct/>
                    <w:topLinePunct w:val="0"/>
                    <w:bidi w:val="0"/>
                    <w:spacing w:line="240" w:lineRule="auto"/>
                    <w:ind w:right="0" w:rightChars="0"/>
                    <w:jc w:val="center"/>
                    <w:rPr>
                      <w:rFonts w:hint="eastAsia" w:cs="Times New Roman"/>
                      <w:color w:val="000000"/>
                      <w:szCs w:val="21"/>
                      <w:lang w:val="en-US" w:eastAsia="zh-CN"/>
                    </w:rPr>
                  </w:pPr>
                  <w:r>
                    <w:rPr>
                      <w:rFonts w:hint="default" w:ascii="Times New Roman" w:hAnsi="Times New Roman" w:cs="Times New Roman"/>
                      <w:color w:val="000000"/>
                      <w:szCs w:val="21"/>
                    </w:rPr>
                    <w:t>900-218-08</w:t>
                  </w:r>
                </w:p>
              </w:tc>
              <w:tc>
                <w:tcPr>
                  <w:tcW w:w="669" w:type="pct"/>
                  <w:tcBorders>
                    <w:top w:val="single" w:color="auto" w:sz="4" w:space="0"/>
                    <w:left w:val="nil"/>
                    <w:bottom w:val="single" w:color="auto" w:sz="4" w:space="0"/>
                    <w:right w:val="single" w:color="auto" w:sz="4" w:space="0"/>
                  </w:tcBorders>
                  <w:noWrap w:val="0"/>
                  <w:vAlign w:val="center"/>
                </w:tcPr>
                <w:p w14:paraId="220276BC">
                  <w:pPr>
                    <w:pStyle w:val="54"/>
                    <w:adjustRightInd w:val="0"/>
                    <w:snapToGrid w:val="0"/>
                    <w:spacing w:line="240" w:lineRule="auto"/>
                    <w:jc w:val="center"/>
                    <w:rPr>
                      <w:rFonts w:hint="default" w:cs="Times New Roman"/>
                      <w:lang w:val="en-US" w:eastAsia="zh-CN"/>
                    </w:rPr>
                  </w:pPr>
                  <w:r>
                    <w:rPr>
                      <w:rFonts w:hint="eastAsia" w:cs="Times New Roman"/>
                      <w:lang w:val="en-US" w:eastAsia="zh-CN"/>
                    </w:rPr>
                    <w:t>0.2</w:t>
                  </w:r>
                </w:p>
              </w:tc>
              <w:tc>
                <w:tcPr>
                  <w:tcW w:w="662" w:type="pct"/>
                  <w:tcBorders>
                    <w:top w:val="single" w:color="auto" w:sz="4" w:space="0"/>
                    <w:left w:val="nil"/>
                    <w:bottom w:val="single" w:color="auto" w:sz="4" w:space="0"/>
                    <w:right w:val="single" w:color="auto" w:sz="4" w:space="0"/>
                  </w:tcBorders>
                  <w:noWrap w:val="0"/>
                  <w:vAlign w:val="center"/>
                </w:tcPr>
                <w:p w14:paraId="607D0D79">
                  <w:pPr>
                    <w:adjustRightInd w:val="0"/>
                    <w:snapToGrid w:val="0"/>
                    <w:jc w:val="center"/>
                    <w:rPr>
                      <w:rFonts w:hint="eastAsia" w:cs="Times New Roman"/>
                      <w:lang w:val="en-US" w:eastAsia="zh-CN"/>
                    </w:rPr>
                  </w:pPr>
                  <w:r>
                    <w:rPr>
                      <w:rFonts w:hint="default" w:ascii="Times New Roman" w:hAnsi="Times New Roman" w:eastAsia="宋体" w:cs="Times New Roman"/>
                    </w:rPr>
                    <w:t>0</w:t>
                  </w:r>
                </w:p>
              </w:tc>
              <w:tc>
                <w:tcPr>
                  <w:tcW w:w="1055" w:type="pct"/>
                  <w:vMerge w:val="continue"/>
                  <w:tcBorders>
                    <w:left w:val="nil"/>
                    <w:right w:val="single" w:color="auto" w:sz="4" w:space="0"/>
                  </w:tcBorders>
                  <w:noWrap w:val="0"/>
                  <w:vAlign w:val="center"/>
                </w:tcPr>
                <w:p w14:paraId="3300706F">
                  <w:pPr>
                    <w:pStyle w:val="54"/>
                    <w:adjustRightInd w:val="0"/>
                    <w:snapToGrid w:val="0"/>
                    <w:spacing w:line="240" w:lineRule="auto"/>
                    <w:jc w:val="center"/>
                    <w:rPr>
                      <w:rFonts w:hint="eastAsia"/>
                      <w:color w:val="000000" w:themeColor="text1"/>
                      <w14:textFill>
                        <w14:solidFill>
                          <w14:schemeClr w14:val="tx1"/>
                        </w14:solidFill>
                      </w14:textFill>
                    </w:rPr>
                  </w:pPr>
                </w:p>
              </w:tc>
            </w:tr>
            <w:tr w14:paraId="2940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49FE6E84">
                  <w:pPr>
                    <w:pStyle w:val="54"/>
                    <w:adjustRightInd w:val="0"/>
                    <w:snapToGrid w:val="0"/>
                    <w:spacing w:line="240" w:lineRule="auto"/>
                    <w:jc w:val="center"/>
                    <w:rPr>
                      <w:rFonts w:hint="default" w:cs="Times New Roman"/>
                      <w:lang w:val="en-US" w:eastAsia="zh-CN"/>
                    </w:rPr>
                  </w:pPr>
                  <w:r>
                    <w:rPr>
                      <w:rFonts w:hint="eastAsia" w:cs="Times New Roman"/>
                      <w:lang w:val="en-US" w:eastAsia="zh-CN"/>
                    </w:rPr>
                    <w:t>8</w:t>
                  </w:r>
                </w:p>
              </w:tc>
              <w:tc>
                <w:tcPr>
                  <w:tcW w:w="591" w:type="pct"/>
                  <w:tcBorders>
                    <w:top w:val="single" w:color="auto" w:sz="4" w:space="0"/>
                    <w:left w:val="nil"/>
                    <w:bottom w:val="single" w:color="auto" w:sz="4" w:space="0"/>
                    <w:right w:val="single" w:color="auto" w:sz="4" w:space="0"/>
                  </w:tcBorders>
                  <w:noWrap w:val="0"/>
                  <w:vAlign w:val="center"/>
                </w:tcPr>
                <w:p w14:paraId="40912B9C">
                  <w:pPr>
                    <w:keepNext w:val="0"/>
                    <w:keepLines w:val="0"/>
                    <w:pageBreakBefore w:val="0"/>
                    <w:kinsoku/>
                    <w:wordWrap/>
                    <w:overflowPunct/>
                    <w:topLinePunct w:val="0"/>
                    <w:bidi w:val="0"/>
                    <w:spacing w:line="240" w:lineRule="auto"/>
                    <w:ind w:right="0" w:rightChars="0"/>
                    <w:jc w:val="center"/>
                    <w:rPr>
                      <w:rFonts w:hint="eastAsia" w:cs="Times New Roman"/>
                      <w:lang w:eastAsia="zh-CN"/>
                    </w:rPr>
                  </w:pPr>
                  <w:r>
                    <w:rPr>
                      <w:rFonts w:hint="default" w:ascii="Times New Roman" w:hAnsi="Times New Roman" w:cs="Times New Roman"/>
                      <w:color w:val="000000"/>
                      <w:szCs w:val="21"/>
                    </w:rPr>
                    <w:t>废油桶</w:t>
                  </w:r>
                </w:p>
              </w:tc>
              <w:tc>
                <w:tcPr>
                  <w:tcW w:w="660" w:type="pct"/>
                  <w:tcBorders>
                    <w:top w:val="single" w:color="auto" w:sz="4" w:space="0"/>
                    <w:left w:val="nil"/>
                    <w:bottom w:val="single" w:color="auto" w:sz="4" w:space="0"/>
                    <w:right w:val="single" w:color="auto" w:sz="4" w:space="0"/>
                  </w:tcBorders>
                  <w:noWrap w:val="0"/>
                  <w:vAlign w:val="center"/>
                </w:tcPr>
                <w:p w14:paraId="6080E6B8">
                  <w:pPr>
                    <w:pStyle w:val="52"/>
                    <w:keepNext w:val="0"/>
                    <w:keepLines w:val="0"/>
                    <w:pageBreakBefore w:val="0"/>
                    <w:kinsoku/>
                    <w:wordWrap/>
                    <w:overflowPunct/>
                    <w:topLinePunct w:val="0"/>
                    <w:bidi w:val="0"/>
                    <w:spacing w:before="0" w:after="0" w:line="240" w:lineRule="auto"/>
                    <w:ind w:right="0" w:rightChars="0"/>
                    <w:jc w:val="center"/>
                    <w:rPr>
                      <w:rFonts w:hint="eastAsia" w:cs="Times New Roman"/>
                      <w:color w:val="000000"/>
                      <w:szCs w:val="21"/>
                      <w:lang w:eastAsia="zh-CN"/>
                    </w:rPr>
                  </w:pPr>
                  <w:r>
                    <w:rPr>
                      <w:rFonts w:hint="default" w:ascii="Times New Roman" w:hAnsi="Times New Roman" w:cs="Times New Roman"/>
                      <w:color w:val="000000"/>
                      <w:szCs w:val="21"/>
                    </w:rPr>
                    <w:t>机加工工序</w:t>
                  </w:r>
                </w:p>
              </w:tc>
              <w:tc>
                <w:tcPr>
                  <w:tcW w:w="261" w:type="pct"/>
                  <w:tcBorders>
                    <w:top w:val="single" w:color="auto" w:sz="4" w:space="0"/>
                    <w:left w:val="nil"/>
                    <w:bottom w:val="single" w:color="auto" w:sz="4" w:space="0"/>
                    <w:right w:val="single" w:color="auto" w:sz="4" w:space="0"/>
                  </w:tcBorders>
                  <w:noWrap w:val="0"/>
                  <w:vAlign w:val="center"/>
                </w:tcPr>
                <w:p w14:paraId="208D56DE">
                  <w:pPr>
                    <w:pStyle w:val="52"/>
                    <w:keepNext w:val="0"/>
                    <w:keepLines w:val="0"/>
                    <w:pageBreakBefore w:val="0"/>
                    <w:kinsoku/>
                    <w:wordWrap/>
                    <w:overflowPunct/>
                    <w:topLinePunct w:val="0"/>
                    <w:bidi w:val="0"/>
                    <w:spacing w:before="0" w:after="0" w:line="240" w:lineRule="auto"/>
                    <w:ind w:right="0" w:rightChars="0"/>
                    <w:jc w:val="center"/>
                    <w:rPr>
                      <w:rFonts w:hint="eastAsia" w:cs="Times New Roman"/>
                      <w:lang w:eastAsia="zh-CN"/>
                    </w:rPr>
                  </w:pPr>
                  <w:r>
                    <w:rPr>
                      <w:rFonts w:hint="default" w:ascii="Times New Roman" w:hAnsi="Times New Roman" w:cs="Times New Roman"/>
                      <w:lang w:eastAsia="zh-CN"/>
                    </w:rPr>
                    <w:t>固</w:t>
                  </w:r>
                </w:p>
              </w:tc>
              <w:tc>
                <w:tcPr>
                  <w:tcW w:w="837" w:type="pct"/>
                  <w:tcBorders>
                    <w:top w:val="single" w:color="auto" w:sz="4" w:space="0"/>
                    <w:left w:val="nil"/>
                    <w:bottom w:val="single" w:color="auto" w:sz="4" w:space="0"/>
                    <w:right w:val="single" w:color="auto" w:sz="4" w:space="0"/>
                  </w:tcBorders>
                  <w:noWrap w:val="0"/>
                  <w:vAlign w:val="center"/>
                </w:tcPr>
                <w:p w14:paraId="4067A433">
                  <w:pPr>
                    <w:keepNext w:val="0"/>
                    <w:keepLines w:val="0"/>
                    <w:pageBreakBefore w:val="0"/>
                    <w:kinsoku/>
                    <w:wordWrap/>
                    <w:overflowPunct/>
                    <w:topLinePunct w:val="0"/>
                    <w:bidi w:val="0"/>
                    <w:spacing w:line="240" w:lineRule="auto"/>
                    <w:ind w:right="0" w:rightChars="0"/>
                    <w:jc w:val="center"/>
                    <w:rPr>
                      <w:rFonts w:hint="eastAsia" w:cs="Times New Roman"/>
                      <w:color w:val="000000"/>
                      <w:szCs w:val="21"/>
                      <w:lang w:val="en-US" w:eastAsia="zh-CN"/>
                    </w:rPr>
                  </w:pPr>
                  <w:r>
                    <w:rPr>
                      <w:rFonts w:hint="default" w:ascii="Times New Roman" w:hAnsi="Times New Roman" w:cs="Times New Roman"/>
                      <w:color w:val="000000"/>
                      <w:kern w:val="0"/>
                      <w:szCs w:val="21"/>
                    </w:rPr>
                    <w:t>900-249-08</w:t>
                  </w:r>
                </w:p>
              </w:tc>
              <w:tc>
                <w:tcPr>
                  <w:tcW w:w="669" w:type="pct"/>
                  <w:tcBorders>
                    <w:top w:val="single" w:color="auto" w:sz="4" w:space="0"/>
                    <w:left w:val="nil"/>
                    <w:bottom w:val="single" w:color="auto" w:sz="4" w:space="0"/>
                    <w:right w:val="single" w:color="auto" w:sz="4" w:space="0"/>
                  </w:tcBorders>
                  <w:noWrap w:val="0"/>
                  <w:vAlign w:val="center"/>
                </w:tcPr>
                <w:p w14:paraId="6532356B">
                  <w:pPr>
                    <w:pStyle w:val="54"/>
                    <w:adjustRightInd w:val="0"/>
                    <w:snapToGrid w:val="0"/>
                    <w:spacing w:line="240" w:lineRule="auto"/>
                    <w:jc w:val="center"/>
                    <w:rPr>
                      <w:rFonts w:hint="default" w:cs="Times New Roman"/>
                      <w:lang w:val="en-US" w:eastAsia="zh-CN"/>
                    </w:rPr>
                  </w:pPr>
                  <w:r>
                    <w:rPr>
                      <w:rFonts w:hint="eastAsia" w:cs="Times New Roman"/>
                      <w:lang w:val="en-US" w:eastAsia="zh-CN"/>
                    </w:rPr>
                    <w:t>0.05</w:t>
                  </w:r>
                </w:p>
              </w:tc>
              <w:tc>
                <w:tcPr>
                  <w:tcW w:w="662" w:type="pct"/>
                  <w:tcBorders>
                    <w:top w:val="single" w:color="auto" w:sz="4" w:space="0"/>
                    <w:left w:val="nil"/>
                    <w:bottom w:val="single" w:color="auto" w:sz="4" w:space="0"/>
                    <w:right w:val="single" w:color="auto" w:sz="4" w:space="0"/>
                  </w:tcBorders>
                  <w:noWrap w:val="0"/>
                  <w:vAlign w:val="center"/>
                </w:tcPr>
                <w:p w14:paraId="7F11CD71">
                  <w:pPr>
                    <w:adjustRightInd w:val="0"/>
                    <w:snapToGrid w:val="0"/>
                    <w:jc w:val="center"/>
                    <w:rPr>
                      <w:rFonts w:hint="eastAsia" w:cs="Times New Roman"/>
                      <w:lang w:val="en-US" w:eastAsia="zh-CN"/>
                    </w:rPr>
                  </w:pPr>
                  <w:r>
                    <w:rPr>
                      <w:rFonts w:hint="default" w:ascii="Times New Roman" w:hAnsi="Times New Roman" w:eastAsia="宋体" w:cs="Times New Roman"/>
                    </w:rPr>
                    <w:t>0</w:t>
                  </w:r>
                </w:p>
              </w:tc>
              <w:tc>
                <w:tcPr>
                  <w:tcW w:w="1055" w:type="pct"/>
                  <w:vMerge w:val="continue"/>
                  <w:tcBorders>
                    <w:left w:val="nil"/>
                    <w:right w:val="single" w:color="auto" w:sz="4" w:space="0"/>
                  </w:tcBorders>
                  <w:noWrap w:val="0"/>
                  <w:vAlign w:val="center"/>
                </w:tcPr>
                <w:p w14:paraId="7045867B">
                  <w:pPr>
                    <w:pStyle w:val="54"/>
                    <w:adjustRightInd w:val="0"/>
                    <w:snapToGrid w:val="0"/>
                    <w:spacing w:line="240" w:lineRule="auto"/>
                    <w:jc w:val="center"/>
                    <w:rPr>
                      <w:rFonts w:hint="eastAsia"/>
                      <w:color w:val="000000" w:themeColor="text1"/>
                      <w14:textFill>
                        <w14:solidFill>
                          <w14:schemeClr w14:val="tx1"/>
                        </w14:solidFill>
                      </w14:textFill>
                    </w:rPr>
                  </w:pPr>
                </w:p>
              </w:tc>
            </w:tr>
            <w:tr w14:paraId="43AE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0CF5E586">
                  <w:pPr>
                    <w:pStyle w:val="54"/>
                    <w:adjustRightInd w:val="0"/>
                    <w:snapToGrid w:val="0"/>
                    <w:spacing w:line="240" w:lineRule="auto"/>
                    <w:jc w:val="center"/>
                    <w:rPr>
                      <w:rFonts w:hint="default" w:cs="Times New Roman"/>
                      <w:lang w:val="en-US" w:eastAsia="zh-CN"/>
                    </w:rPr>
                  </w:pPr>
                  <w:r>
                    <w:rPr>
                      <w:rFonts w:hint="eastAsia" w:cs="Times New Roman"/>
                      <w:lang w:val="en-US" w:eastAsia="zh-CN"/>
                    </w:rPr>
                    <w:t>9</w:t>
                  </w:r>
                </w:p>
              </w:tc>
              <w:tc>
                <w:tcPr>
                  <w:tcW w:w="591" w:type="pct"/>
                  <w:tcBorders>
                    <w:top w:val="single" w:color="auto" w:sz="4" w:space="0"/>
                    <w:left w:val="nil"/>
                    <w:bottom w:val="single" w:color="auto" w:sz="4" w:space="0"/>
                    <w:right w:val="single" w:color="auto" w:sz="4" w:space="0"/>
                  </w:tcBorders>
                  <w:noWrap w:val="0"/>
                  <w:vAlign w:val="center"/>
                </w:tcPr>
                <w:p w14:paraId="680A57E0">
                  <w:pPr>
                    <w:keepNext w:val="0"/>
                    <w:keepLines w:val="0"/>
                    <w:pageBreakBefore w:val="0"/>
                    <w:kinsoku/>
                    <w:wordWrap/>
                    <w:overflowPunct/>
                    <w:topLinePunct w:val="0"/>
                    <w:bidi w:val="0"/>
                    <w:spacing w:line="240" w:lineRule="auto"/>
                    <w:ind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废乳</w:t>
                  </w:r>
                </w:p>
                <w:p w14:paraId="19D1B2A4">
                  <w:pPr>
                    <w:keepNext w:val="0"/>
                    <w:keepLines w:val="0"/>
                    <w:pageBreakBefore w:val="0"/>
                    <w:kinsoku/>
                    <w:wordWrap/>
                    <w:overflowPunct/>
                    <w:topLinePunct w:val="0"/>
                    <w:bidi w:val="0"/>
                    <w:spacing w:line="240" w:lineRule="auto"/>
                    <w:ind w:right="0" w:rightChars="0"/>
                    <w:jc w:val="center"/>
                    <w:rPr>
                      <w:rFonts w:hint="eastAsia" w:cs="Times New Roman"/>
                      <w:lang w:eastAsia="zh-CN"/>
                    </w:rPr>
                  </w:pPr>
                  <w:r>
                    <w:rPr>
                      <w:rFonts w:hint="default" w:ascii="Times New Roman" w:hAnsi="Times New Roman" w:cs="Times New Roman"/>
                      <w:color w:val="000000"/>
                      <w:szCs w:val="21"/>
                    </w:rPr>
                    <w:t>化液</w:t>
                  </w:r>
                </w:p>
              </w:tc>
              <w:tc>
                <w:tcPr>
                  <w:tcW w:w="660" w:type="pct"/>
                  <w:tcBorders>
                    <w:top w:val="single" w:color="auto" w:sz="4" w:space="0"/>
                    <w:left w:val="nil"/>
                    <w:bottom w:val="single" w:color="auto" w:sz="4" w:space="0"/>
                    <w:right w:val="single" w:color="auto" w:sz="4" w:space="0"/>
                  </w:tcBorders>
                  <w:noWrap w:val="0"/>
                  <w:vAlign w:val="center"/>
                </w:tcPr>
                <w:p w14:paraId="59A87E88">
                  <w:pPr>
                    <w:pStyle w:val="52"/>
                    <w:keepNext w:val="0"/>
                    <w:keepLines w:val="0"/>
                    <w:pageBreakBefore w:val="0"/>
                    <w:kinsoku/>
                    <w:wordWrap/>
                    <w:overflowPunct/>
                    <w:topLinePunct w:val="0"/>
                    <w:bidi w:val="0"/>
                    <w:spacing w:before="0" w:after="0" w:line="240" w:lineRule="auto"/>
                    <w:ind w:right="0" w:rightChars="0"/>
                    <w:jc w:val="center"/>
                    <w:rPr>
                      <w:rFonts w:hint="eastAsia" w:cs="Times New Roman"/>
                      <w:color w:val="000000"/>
                      <w:szCs w:val="21"/>
                      <w:lang w:eastAsia="zh-CN"/>
                    </w:rPr>
                  </w:pPr>
                  <w:r>
                    <w:rPr>
                      <w:rFonts w:hint="default" w:ascii="Times New Roman" w:hAnsi="Times New Roman" w:cs="Times New Roman"/>
                      <w:color w:val="000000"/>
                      <w:szCs w:val="21"/>
                    </w:rPr>
                    <w:t>机加工工序</w:t>
                  </w:r>
                </w:p>
              </w:tc>
              <w:tc>
                <w:tcPr>
                  <w:tcW w:w="261" w:type="pct"/>
                  <w:tcBorders>
                    <w:top w:val="single" w:color="auto" w:sz="4" w:space="0"/>
                    <w:left w:val="nil"/>
                    <w:bottom w:val="single" w:color="auto" w:sz="4" w:space="0"/>
                    <w:right w:val="single" w:color="auto" w:sz="4" w:space="0"/>
                  </w:tcBorders>
                  <w:noWrap w:val="0"/>
                  <w:vAlign w:val="center"/>
                </w:tcPr>
                <w:p w14:paraId="45DABC58">
                  <w:pPr>
                    <w:pStyle w:val="52"/>
                    <w:keepNext w:val="0"/>
                    <w:keepLines w:val="0"/>
                    <w:pageBreakBefore w:val="0"/>
                    <w:kinsoku/>
                    <w:wordWrap/>
                    <w:overflowPunct/>
                    <w:topLinePunct w:val="0"/>
                    <w:bidi w:val="0"/>
                    <w:spacing w:before="0" w:after="0" w:line="240" w:lineRule="auto"/>
                    <w:ind w:right="0" w:rightChars="0"/>
                    <w:jc w:val="center"/>
                    <w:rPr>
                      <w:rFonts w:hint="eastAsia" w:cs="Times New Roman"/>
                      <w:lang w:eastAsia="zh-CN"/>
                    </w:rPr>
                  </w:pPr>
                  <w:r>
                    <w:rPr>
                      <w:rFonts w:hint="default" w:ascii="Times New Roman" w:hAnsi="Times New Roman" w:cs="Times New Roman"/>
                      <w:lang w:eastAsia="zh-CN"/>
                    </w:rPr>
                    <w:t>液</w:t>
                  </w:r>
                </w:p>
              </w:tc>
              <w:tc>
                <w:tcPr>
                  <w:tcW w:w="837" w:type="pct"/>
                  <w:tcBorders>
                    <w:top w:val="single" w:color="auto" w:sz="4" w:space="0"/>
                    <w:left w:val="nil"/>
                    <w:bottom w:val="single" w:color="auto" w:sz="4" w:space="0"/>
                    <w:right w:val="single" w:color="auto" w:sz="4" w:space="0"/>
                  </w:tcBorders>
                  <w:noWrap w:val="0"/>
                  <w:vAlign w:val="center"/>
                </w:tcPr>
                <w:p w14:paraId="6A4D4109">
                  <w:pPr>
                    <w:keepNext w:val="0"/>
                    <w:keepLines w:val="0"/>
                    <w:pageBreakBefore w:val="0"/>
                    <w:kinsoku/>
                    <w:wordWrap/>
                    <w:overflowPunct/>
                    <w:topLinePunct w:val="0"/>
                    <w:bidi w:val="0"/>
                    <w:spacing w:line="240" w:lineRule="auto"/>
                    <w:ind w:right="0" w:rightChars="0"/>
                    <w:jc w:val="center"/>
                    <w:rPr>
                      <w:rFonts w:hint="eastAsia" w:cs="Times New Roman"/>
                      <w:color w:val="000000"/>
                      <w:szCs w:val="21"/>
                      <w:lang w:val="en-US" w:eastAsia="zh-CN"/>
                    </w:rPr>
                  </w:pPr>
                  <w:r>
                    <w:rPr>
                      <w:rFonts w:hint="default" w:ascii="Times New Roman" w:hAnsi="Times New Roman" w:cs="Times New Roman"/>
                      <w:color w:val="000000"/>
                      <w:kern w:val="0"/>
                      <w:szCs w:val="21"/>
                    </w:rPr>
                    <w:t>900-006-09</w:t>
                  </w:r>
                </w:p>
              </w:tc>
              <w:tc>
                <w:tcPr>
                  <w:tcW w:w="669" w:type="pct"/>
                  <w:tcBorders>
                    <w:top w:val="single" w:color="auto" w:sz="4" w:space="0"/>
                    <w:left w:val="nil"/>
                    <w:bottom w:val="single" w:color="auto" w:sz="4" w:space="0"/>
                    <w:right w:val="single" w:color="auto" w:sz="4" w:space="0"/>
                  </w:tcBorders>
                  <w:noWrap w:val="0"/>
                  <w:vAlign w:val="center"/>
                </w:tcPr>
                <w:p w14:paraId="072B04D5">
                  <w:pPr>
                    <w:pStyle w:val="54"/>
                    <w:adjustRightInd w:val="0"/>
                    <w:snapToGrid w:val="0"/>
                    <w:spacing w:line="240" w:lineRule="auto"/>
                    <w:jc w:val="center"/>
                    <w:rPr>
                      <w:rFonts w:hint="default" w:cs="Times New Roman"/>
                      <w:lang w:val="en-US" w:eastAsia="zh-CN"/>
                    </w:rPr>
                  </w:pPr>
                  <w:r>
                    <w:rPr>
                      <w:rFonts w:hint="eastAsia" w:cs="Times New Roman"/>
                      <w:lang w:val="en-US" w:eastAsia="zh-CN"/>
                    </w:rPr>
                    <w:t>0.05</w:t>
                  </w:r>
                </w:p>
              </w:tc>
              <w:tc>
                <w:tcPr>
                  <w:tcW w:w="662" w:type="pct"/>
                  <w:tcBorders>
                    <w:top w:val="single" w:color="auto" w:sz="4" w:space="0"/>
                    <w:left w:val="nil"/>
                    <w:bottom w:val="single" w:color="auto" w:sz="4" w:space="0"/>
                    <w:right w:val="single" w:color="auto" w:sz="4" w:space="0"/>
                  </w:tcBorders>
                  <w:noWrap w:val="0"/>
                  <w:vAlign w:val="center"/>
                </w:tcPr>
                <w:p w14:paraId="578CE0A1">
                  <w:pPr>
                    <w:pStyle w:val="54"/>
                    <w:adjustRightInd w:val="0"/>
                    <w:snapToGrid w:val="0"/>
                    <w:spacing w:line="240" w:lineRule="auto"/>
                    <w:jc w:val="center"/>
                    <w:rPr>
                      <w:rFonts w:hint="eastAsia" w:cs="Times New Roman"/>
                      <w:lang w:val="en-US" w:eastAsia="zh-CN"/>
                    </w:rPr>
                  </w:pPr>
                  <w:r>
                    <w:rPr>
                      <w:rFonts w:hint="default" w:ascii="Times New Roman" w:hAnsi="Times New Roman" w:eastAsia="宋体" w:cs="Times New Roman"/>
                    </w:rPr>
                    <w:t>0</w:t>
                  </w:r>
                </w:p>
              </w:tc>
              <w:tc>
                <w:tcPr>
                  <w:tcW w:w="1055" w:type="pct"/>
                  <w:vMerge w:val="continue"/>
                  <w:tcBorders>
                    <w:left w:val="nil"/>
                    <w:right w:val="single" w:color="auto" w:sz="4" w:space="0"/>
                  </w:tcBorders>
                  <w:noWrap w:val="0"/>
                  <w:vAlign w:val="center"/>
                </w:tcPr>
                <w:p w14:paraId="0B262651">
                  <w:pPr>
                    <w:pStyle w:val="54"/>
                    <w:adjustRightInd w:val="0"/>
                    <w:snapToGrid w:val="0"/>
                    <w:spacing w:line="240" w:lineRule="auto"/>
                    <w:jc w:val="center"/>
                    <w:rPr>
                      <w:rFonts w:hint="eastAsia"/>
                      <w:color w:val="000000" w:themeColor="text1"/>
                      <w14:textFill>
                        <w14:solidFill>
                          <w14:schemeClr w14:val="tx1"/>
                        </w14:solidFill>
                      </w14:textFill>
                    </w:rPr>
                  </w:pPr>
                </w:p>
              </w:tc>
            </w:tr>
            <w:tr w14:paraId="6DBD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028FA2D7">
                  <w:pPr>
                    <w:pStyle w:val="54"/>
                    <w:adjustRightInd w:val="0"/>
                    <w:snapToGrid w:val="0"/>
                    <w:spacing w:line="240" w:lineRule="auto"/>
                    <w:jc w:val="center"/>
                    <w:rPr>
                      <w:rFonts w:hint="default" w:cs="Times New Roman"/>
                      <w:lang w:val="en-US" w:eastAsia="zh-CN"/>
                    </w:rPr>
                  </w:pPr>
                  <w:r>
                    <w:rPr>
                      <w:rFonts w:hint="eastAsia" w:cs="Times New Roman"/>
                      <w:lang w:val="en-US" w:eastAsia="zh-CN"/>
                    </w:rPr>
                    <w:t>10</w:t>
                  </w:r>
                </w:p>
              </w:tc>
              <w:tc>
                <w:tcPr>
                  <w:tcW w:w="591" w:type="pct"/>
                  <w:tcBorders>
                    <w:top w:val="single" w:color="auto" w:sz="4" w:space="0"/>
                    <w:left w:val="nil"/>
                    <w:bottom w:val="single" w:color="auto" w:sz="4" w:space="0"/>
                    <w:right w:val="single" w:color="auto" w:sz="4" w:space="0"/>
                  </w:tcBorders>
                  <w:noWrap w:val="0"/>
                  <w:vAlign w:val="center"/>
                </w:tcPr>
                <w:p w14:paraId="621A29A1">
                  <w:pPr>
                    <w:keepNext w:val="0"/>
                    <w:keepLines w:val="0"/>
                    <w:pageBreakBefore w:val="0"/>
                    <w:kinsoku/>
                    <w:wordWrap/>
                    <w:overflowPunct/>
                    <w:topLinePunct w:val="0"/>
                    <w:bidi w:val="0"/>
                    <w:spacing w:line="240" w:lineRule="auto"/>
                    <w:ind w:right="0" w:rightChars="0"/>
                    <w:jc w:val="center"/>
                    <w:rPr>
                      <w:rFonts w:hint="eastAsia" w:cs="Times New Roman"/>
                      <w:lang w:eastAsia="zh-CN"/>
                    </w:rPr>
                  </w:pPr>
                  <w:r>
                    <w:rPr>
                      <w:rFonts w:hint="default" w:ascii="Times New Roman" w:hAnsi="Times New Roman" w:cs="Times New Roman"/>
                      <w:color w:val="000000"/>
                      <w:szCs w:val="21"/>
                      <w:lang w:eastAsia="zh-CN"/>
                    </w:rPr>
                    <w:t>含油抹布及废手套</w:t>
                  </w:r>
                </w:p>
              </w:tc>
              <w:tc>
                <w:tcPr>
                  <w:tcW w:w="660" w:type="pct"/>
                  <w:tcBorders>
                    <w:top w:val="single" w:color="auto" w:sz="4" w:space="0"/>
                    <w:left w:val="nil"/>
                    <w:bottom w:val="single" w:color="auto" w:sz="4" w:space="0"/>
                    <w:right w:val="single" w:color="auto" w:sz="4" w:space="0"/>
                  </w:tcBorders>
                  <w:noWrap w:val="0"/>
                  <w:vAlign w:val="center"/>
                </w:tcPr>
                <w:p w14:paraId="4F53A9B2">
                  <w:pPr>
                    <w:pStyle w:val="52"/>
                    <w:keepNext w:val="0"/>
                    <w:keepLines w:val="0"/>
                    <w:pageBreakBefore w:val="0"/>
                    <w:kinsoku/>
                    <w:wordWrap/>
                    <w:overflowPunct/>
                    <w:topLinePunct w:val="0"/>
                    <w:bidi w:val="0"/>
                    <w:spacing w:before="0" w:after="0" w:line="240" w:lineRule="auto"/>
                    <w:ind w:right="0" w:rightChars="0"/>
                    <w:jc w:val="center"/>
                    <w:rPr>
                      <w:rFonts w:hint="eastAsia" w:cs="Times New Roman"/>
                      <w:color w:val="000000"/>
                      <w:szCs w:val="21"/>
                      <w:lang w:eastAsia="zh-CN"/>
                    </w:rPr>
                  </w:pPr>
                  <w:r>
                    <w:rPr>
                      <w:rFonts w:hint="default" w:ascii="Times New Roman" w:hAnsi="Times New Roman" w:cs="Times New Roman"/>
                      <w:color w:val="auto"/>
                      <w:sz w:val="21"/>
                      <w:szCs w:val="21"/>
                      <w:highlight w:val="none"/>
                    </w:rPr>
                    <w:t>设备维修</w:t>
                  </w:r>
                </w:p>
              </w:tc>
              <w:tc>
                <w:tcPr>
                  <w:tcW w:w="261" w:type="pct"/>
                  <w:tcBorders>
                    <w:top w:val="single" w:color="auto" w:sz="4" w:space="0"/>
                    <w:left w:val="nil"/>
                    <w:bottom w:val="single" w:color="auto" w:sz="4" w:space="0"/>
                    <w:right w:val="single" w:color="auto" w:sz="4" w:space="0"/>
                  </w:tcBorders>
                  <w:noWrap w:val="0"/>
                  <w:vAlign w:val="center"/>
                </w:tcPr>
                <w:p w14:paraId="301698C2">
                  <w:pPr>
                    <w:pStyle w:val="52"/>
                    <w:keepNext w:val="0"/>
                    <w:keepLines w:val="0"/>
                    <w:pageBreakBefore w:val="0"/>
                    <w:kinsoku/>
                    <w:wordWrap/>
                    <w:overflowPunct/>
                    <w:topLinePunct w:val="0"/>
                    <w:bidi w:val="0"/>
                    <w:spacing w:before="0" w:after="0" w:line="240" w:lineRule="auto"/>
                    <w:ind w:right="0" w:rightChars="0"/>
                    <w:jc w:val="center"/>
                    <w:rPr>
                      <w:rFonts w:hint="eastAsia" w:cs="Times New Roman"/>
                      <w:lang w:eastAsia="zh-CN"/>
                    </w:rPr>
                  </w:pPr>
                  <w:r>
                    <w:rPr>
                      <w:rFonts w:hint="default" w:ascii="Times New Roman" w:hAnsi="Times New Roman" w:cs="Times New Roman"/>
                      <w:lang w:eastAsia="zh-CN"/>
                    </w:rPr>
                    <w:t>固</w:t>
                  </w:r>
                </w:p>
              </w:tc>
              <w:tc>
                <w:tcPr>
                  <w:tcW w:w="837" w:type="pct"/>
                  <w:tcBorders>
                    <w:top w:val="single" w:color="auto" w:sz="4" w:space="0"/>
                    <w:left w:val="nil"/>
                    <w:bottom w:val="single" w:color="auto" w:sz="4" w:space="0"/>
                    <w:right w:val="single" w:color="auto" w:sz="4" w:space="0"/>
                  </w:tcBorders>
                  <w:noWrap w:val="0"/>
                  <w:vAlign w:val="center"/>
                </w:tcPr>
                <w:p w14:paraId="166FCB26">
                  <w:pPr>
                    <w:keepNext w:val="0"/>
                    <w:keepLines w:val="0"/>
                    <w:pageBreakBefore w:val="0"/>
                    <w:widowControl w:val="0"/>
                    <w:kinsoku/>
                    <w:wordWrap/>
                    <w:overflowPunct/>
                    <w:topLinePunct w:val="0"/>
                    <w:bidi w:val="0"/>
                    <w:adjustRightInd/>
                    <w:snapToGrid/>
                    <w:spacing w:line="240" w:lineRule="auto"/>
                    <w:ind w:right="0" w:rightChars="0"/>
                    <w:jc w:val="center"/>
                    <w:rPr>
                      <w:rFonts w:hint="eastAsia" w:cs="Times New Roman"/>
                      <w:color w:val="000000"/>
                      <w:szCs w:val="21"/>
                      <w:lang w:val="en-US" w:eastAsia="zh-CN"/>
                    </w:rPr>
                  </w:pPr>
                  <w:r>
                    <w:rPr>
                      <w:rFonts w:hint="default" w:ascii="Times New Roman" w:hAnsi="Times New Roman" w:eastAsia="TimesNewRomanPSMT" w:cs="Times New Roman"/>
                      <w:color w:val="auto"/>
                      <w:sz w:val="21"/>
                      <w:szCs w:val="21"/>
                      <w:highlight w:val="none"/>
                    </w:rPr>
                    <w:t>900-249-08</w:t>
                  </w:r>
                </w:p>
              </w:tc>
              <w:tc>
                <w:tcPr>
                  <w:tcW w:w="669" w:type="pct"/>
                  <w:tcBorders>
                    <w:top w:val="single" w:color="auto" w:sz="4" w:space="0"/>
                    <w:left w:val="nil"/>
                    <w:bottom w:val="single" w:color="auto" w:sz="4" w:space="0"/>
                    <w:right w:val="single" w:color="auto" w:sz="4" w:space="0"/>
                  </w:tcBorders>
                  <w:noWrap w:val="0"/>
                  <w:vAlign w:val="center"/>
                </w:tcPr>
                <w:p w14:paraId="574D5254">
                  <w:pPr>
                    <w:pStyle w:val="54"/>
                    <w:adjustRightInd w:val="0"/>
                    <w:snapToGrid w:val="0"/>
                    <w:spacing w:line="240" w:lineRule="auto"/>
                    <w:jc w:val="center"/>
                    <w:rPr>
                      <w:rFonts w:hint="default" w:cs="Times New Roman"/>
                      <w:lang w:val="en-US" w:eastAsia="zh-CN"/>
                    </w:rPr>
                  </w:pPr>
                  <w:r>
                    <w:rPr>
                      <w:rFonts w:hint="eastAsia" w:cs="Times New Roman"/>
                      <w:lang w:val="en-US" w:eastAsia="zh-CN"/>
                    </w:rPr>
                    <w:t>0.01</w:t>
                  </w:r>
                </w:p>
              </w:tc>
              <w:tc>
                <w:tcPr>
                  <w:tcW w:w="662" w:type="pct"/>
                  <w:tcBorders>
                    <w:top w:val="single" w:color="auto" w:sz="4" w:space="0"/>
                    <w:left w:val="nil"/>
                    <w:bottom w:val="single" w:color="auto" w:sz="4" w:space="0"/>
                    <w:right w:val="single" w:color="auto" w:sz="4" w:space="0"/>
                  </w:tcBorders>
                  <w:noWrap w:val="0"/>
                  <w:vAlign w:val="center"/>
                </w:tcPr>
                <w:p w14:paraId="2CF43504">
                  <w:pPr>
                    <w:adjustRightInd w:val="0"/>
                    <w:snapToGrid w:val="0"/>
                    <w:jc w:val="center"/>
                    <w:rPr>
                      <w:rFonts w:hint="eastAsia" w:cs="Times New Roman"/>
                      <w:lang w:val="en-US" w:eastAsia="zh-CN"/>
                    </w:rPr>
                  </w:pPr>
                  <w:r>
                    <w:rPr>
                      <w:rFonts w:hint="default" w:ascii="Times New Roman" w:hAnsi="Times New Roman" w:eastAsia="宋体" w:cs="Times New Roman"/>
                    </w:rPr>
                    <w:t>0</w:t>
                  </w:r>
                </w:p>
              </w:tc>
              <w:tc>
                <w:tcPr>
                  <w:tcW w:w="1055" w:type="pct"/>
                  <w:vMerge w:val="continue"/>
                  <w:tcBorders>
                    <w:left w:val="nil"/>
                    <w:right w:val="single" w:color="auto" w:sz="4" w:space="0"/>
                  </w:tcBorders>
                  <w:noWrap w:val="0"/>
                  <w:vAlign w:val="center"/>
                </w:tcPr>
                <w:p w14:paraId="22509AF5">
                  <w:pPr>
                    <w:pStyle w:val="54"/>
                    <w:adjustRightInd w:val="0"/>
                    <w:snapToGrid w:val="0"/>
                    <w:spacing w:line="240" w:lineRule="auto"/>
                    <w:jc w:val="center"/>
                    <w:rPr>
                      <w:rFonts w:hint="eastAsia"/>
                      <w:color w:val="000000" w:themeColor="text1"/>
                      <w14:textFill>
                        <w14:solidFill>
                          <w14:schemeClr w14:val="tx1"/>
                        </w14:solidFill>
                      </w14:textFill>
                    </w:rPr>
                  </w:pPr>
                </w:p>
              </w:tc>
            </w:tr>
            <w:tr w14:paraId="74F6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75565D18">
                  <w:pPr>
                    <w:pStyle w:val="54"/>
                    <w:adjustRightInd w:val="0"/>
                    <w:snapToGrid w:val="0"/>
                    <w:spacing w:line="240" w:lineRule="auto"/>
                    <w:jc w:val="center"/>
                    <w:rPr>
                      <w:rFonts w:hint="default" w:cs="Times New Roman"/>
                      <w:lang w:val="en-US" w:eastAsia="zh-CN"/>
                    </w:rPr>
                  </w:pPr>
                  <w:r>
                    <w:rPr>
                      <w:rFonts w:hint="eastAsia" w:cs="Times New Roman"/>
                      <w:lang w:val="en-US" w:eastAsia="zh-CN"/>
                    </w:rPr>
                    <w:t>11</w:t>
                  </w:r>
                </w:p>
              </w:tc>
              <w:tc>
                <w:tcPr>
                  <w:tcW w:w="591" w:type="pct"/>
                  <w:tcBorders>
                    <w:top w:val="single" w:color="auto" w:sz="4" w:space="0"/>
                    <w:left w:val="nil"/>
                    <w:bottom w:val="single" w:color="auto" w:sz="4" w:space="0"/>
                    <w:right w:val="single" w:color="auto" w:sz="4" w:space="0"/>
                  </w:tcBorders>
                  <w:noWrap w:val="0"/>
                  <w:vAlign w:val="center"/>
                </w:tcPr>
                <w:p w14:paraId="539A6791">
                  <w:pPr>
                    <w:pStyle w:val="54"/>
                    <w:adjustRightInd w:val="0"/>
                    <w:snapToGrid w:val="0"/>
                    <w:spacing w:line="240" w:lineRule="auto"/>
                    <w:jc w:val="center"/>
                    <w:rPr>
                      <w:rFonts w:hint="eastAsia" w:cs="Times New Roman"/>
                      <w:lang w:eastAsia="zh-CN"/>
                    </w:rPr>
                  </w:pPr>
                  <w:r>
                    <w:rPr>
                      <w:rFonts w:hint="default" w:ascii="Times New Roman" w:hAnsi="Times New Roman" w:cs="Times New Roman"/>
                      <w:lang w:eastAsia="zh-CN"/>
                    </w:rPr>
                    <w:t>漆渣</w:t>
                  </w:r>
                </w:p>
              </w:tc>
              <w:tc>
                <w:tcPr>
                  <w:tcW w:w="660" w:type="pct"/>
                  <w:tcBorders>
                    <w:top w:val="single" w:color="auto" w:sz="4" w:space="0"/>
                    <w:left w:val="nil"/>
                    <w:bottom w:val="single" w:color="auto" w:sz="4" w:space="0"/>
                    <w:right w:val="single" w:color="auto" w:sz="4" w:space="0"/>
                  </w:tcBorders>
                  <w:noWrap w:val="0"/>
                  <w:vAlign w:val="center"/>
                </w:tcPr>
                <w:p w14:paraId="3AA5AA0B">
                  <w:pPr>
                    <w:pStyle w:val="54"/>
                    <w:adjustRightInd w:val="0"/>
                    <w:snapToGrid w:val="0"/>
                    <w:spacing w:line="240" w:lineRule="auto"/>
                    <w:jc w:val="center"/>
                    <w:rPr>
                      <w:rFonts w:hint="eastAsia" w:cs="Times New Roman"/>
                      <w:color w:val="000000"/>
                      <w:szCs w:val="21"/>
                      <w:lang w:eastAsia="zh-CN"/>
                    </w:rPr>
                  </w:pPr>
                  <w:r>
                    <w:rPr>
                      <w:rFonts w:hint="default" w:ascii="Times New Roman" w:hAnsi="Times New Roman" w:eastAsia="宋体" w:cs="Times New Roman"/>
                    </w:rPr>
                    <w:t>喷漆</w:t>
                  </w:r>
                </w:p>
              </w:tc>
              <w:tc>
                <w:tcPr>
                  <w:tcW w:w="261" w:type="pct"/>
                  <w:tcBorders>
                    <w:top w:val="single" w:color="auto" w:sz="4" w:space="0"/>
                    <w:left w:val="nil"/>
                    <w:bottom w:val="single" w:color="auto" w:sz="4" w:space="0"/>
                    <w:right w:val="single" w:color="auto" w:sz="4" w:space="0"/>
                  </w:tcBorders>
                  <w:noWrap w:val="0"/>
                  <w:vAlign w:val="center"/>
                </w:tcPr>
                <w:p w14:paraId="17E2364B">
                  <w:pPr>
                    <w:keepNext w:val="0"/>
                    <w:keepLines w:val="0"/>
                    <w:pageBreakBefore w:val="0"/>
                    <w:kinsoku/>
                    <w:wordWrap/>
                    <w:overflowPunct/>
                    <w:topLinePunct w:val="0"/>
                    <w:bidi w:val="0"/>
                    <w:spacing w:line="240" w:lineRule="auto"/>
                    <w:ind w:right="0" w:rightChars="0"/>
                    <w:jc w:val="center"/>
                    <w:rPr>
                      <w:rFonts w:hint="eastAsia" w:cs="Times New Roman"/>
                      <w:lang w:eastAsia="zh-CN"/>
                    </w:rPr>
                  </w:pPr>
                  <w:r>
                    <w:rPr>
                      <w:rFonts w:hint="default" w:ascii="Times New Roman" w:hAnsi="Times New Roman" w:cs="Times New Roman"/>
                      <w:lang w:eastAsia="zh-CN"/>
                    </w:rPr>
                    <w:t>固</w:t>
                  </w:r>
                </w:p>
              </w:tc>
              <w:tc>
                <w:tcPr>
                  <w:tcW w:w="837" w:type="pct"/>
                  <w:tcBorders>
                    <w:top w:val="single" w:color="auto" w:sz="4" w:space="0"/>
                    <w:left w:val="nil"/>
                    <w:bottom w:val="single" w:color="auto" w:sz="4" w:space="0"/>
                    <w:right w:val="single" w:color="auto" w:sz="4" w:space="0"/>
                  </w:tcBorders>
                  <w:noWrap w:val="0"/>
                  <w:vAlign w:val="center"/>
                </w:tcPr>
                <w:p w14:paraId="6CA7B20C">
                  <w:pPr>
                    <w:keepNext w:val="0"/>
                    <w:keepLines w:val="0"/>
                    <w:pageBreakBefore w:val="0"/>
                    <w:kinsoku/>
                    <w:wordWrap/>
                    <w:overflowPunct/>
                    <w:topLinePunct w:val="0"/>
                    <w:autoSpaceDE w:val="0"/>
                    <w:autoSpaceDN w:val="0"/>
                    <w:bidi w:val="0"/>
                    <w:spacing w:line="240" w:lineRule="auto"/>
                    <w:ind w:right="0" w:rightChars="0"/>
                    <w:jc w:val="center"/>
                    <w:textAlignment w:val="top"/>
                    <w:rPr>
                      <w:rFonts w:hint="eastAsia" w:cs="Times New Roman"/>
                      <w:color w:val="000000"/>
                      <w:szCs w:val="21"/>
                      <w:lang w:val="en-US" w:eastAsia="zh-CN"/>
                    </w:rPr>
                  </w:pPr>
                  <w:r>
                    <w:rPr>
                      <w:rFonts w:hint="default" w:ascii="Times New Roman" w:hAnsi="Times New Roman" w:cs="Times New Roman"/>
                      <w:color w:val="000000"/>
                      <w:szCs w:val="21"/>
                    </w:rPr>
                    <w:t>900-252-12</w:t>
                  </w:r>
                </w:p>
              </w:tc>
              <w:tc>
                <w:tcPr>
                  <w:tcW w:w="669" w:type="pct"/>
                  <w:tcBorders>
                    <w:top w:val="single" w:color="auto" w:sz="4" w:space="0"/>
                    <w:left w:val="nil"/>
                    <w:bottom w:val="single" w:color="auto" w:sz="4" w:space="0"/>
                    <w:right w:val="single" w:color="auto" w:sz="4" w:space="0"/>
                  </w:tcBorders>
                  <w:noWrap w:val="0"/>
                  <w:vAlign w:val="center"/>
                </w:tcPr>
                <w:p w14:paraId="090EFB5E">
                  <w:pPr>
                    <w:pStyle w:val="54"/>
                    <w:adjustRightInd w:val="0"/>
                    <w:snapToGrid w:val="0"/>
                    <w:spacing w:line="240" w:lineRule="auto"/>
                    <w:jc w:val="center"/>
                    <w:rPr>
                      <w:rFonts w:hint="eastAsia" w:cs="Times New Roman"/>
                      <w:lang w:val="en-US" w:eastAsia="zh-CN"/>
                    </w:rPr>
                  </w:pPr>
                  <w:r>
                    <w:rPr>
                      <w:rFonts w:hint="default" w:ascii="Times New Roman" w:hAnsi="Times New Roman" w:cs="Times New Roman"/>
                      <w:lang w:val="en-US" w:eastAsia="zh-CN"/>
                    </w:rPr>
                    <w:t>0.29</w:t>
                  </w:r>
                </w:p>
              </w:tc>
              <w:tc>
                <w:tcPr>
                  <w:tcW w:w="662" w:type="pct"/>
                  <w:tcBorders>
                    <w:top w:val="single" w:color="auto" w:sz="4" w:space="0"/>
                    <w:left w:val="nil"/>
                    <w:bottom w:val="single" w:color="auto" w:sz="4" w:space="0"/>
                    <w:right w:val="single" w:color="auto" w:sz="4" w:space="0"/>
                  </w:tcBorders>
                  <w:noWrap w:val="0"/>
                  <w:vAlign w:val="center"/>
                </w:tcPr>
                <w:p w14:paraId="6C680B4B">
                  <w:pPr>
                    <w:pStyle w:val="54"/>
                    <w:adjustRightInd w:val="0"/>
                    <w:snapToGrid w:val="0"/>
                    <w:spacing w:line="240" w:lineRule="auto"/>
                    <w:jc w:val="center"/>
                    <w:rPr>
                      <w:rFonts w:hint="eastAsia" w:cs="Times New Roman"/>
                      <w:lang w:val="en-US" w:eastAsia="zh-CN"/>
                    </w:rPr>
                  </w:pPr>
                  <w:r>
                    <w:rPr>
                      <w:rFonts w:hint="default" w:ascii="Times New Roman" w:hAnsi="Times New Roman" w:eastAsia="宋体" w:cs="Times New Roman"/>
                    </w:rPr>
                    <w:t>0</w:t>
                  </w:r>
                </w:p>
              </w:tc>
              <w:tc>
                <w:tcPr>
                  <w:tcW w:w="1055" w:type="pct"/>
                  <w:vMerge w:val="continue"/>
                  <w:tcBorders>
                    <w:left w:val="nil"/>
                    <w:right w:val="single" w:color="auto" w:sz="4" w:space="0"/>
                  </w:tcBorders>
                  <w:noWrap w:val="0"/>
                  <w:vAlign w:val="center"/>
                </w:tcPr>
                <w:p w14:paraId="18785F77">
                  <w:pPr>
                    <w:pStyle w:val="54"/>
                    <w:adjustRightInd w:val="0"/>
                    <w:snapToGrid w:val="0"/>
                    <w:spacing w:line="240" w:lineRule="auto"/>
                    <w:jc w:val="center"/>
                    <w:rPr>
                      <w:rFonts w:hint="eastAsia"/>
                      <w:color w:val="000000" w:themeColor="text1"/>
                      <w14:textFill>
                        <w14:solidFill>
                          <w14:schemeClr w14:val="tx1"/>
                        </w14:solidFill>
                      </w14:textFill>
                    </w:rPr>
                  </w:pPr>
                </w:p>
              </w:tc>
            </w:tr>
            <w:tr w14:paraId="1764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26CB4CBA">
                  <w:pPr>
                    <w:pStyle w:val="54"/>
                    <w:adjustRightInd w:val="0"/>
                    <w:snapToGrid w:val="0"/>
                    <w:spacing w:line="240" w:lineRule="auto"/>
                    <w:jc w:val="center"/>
                    <w:rPr>
                      <w:rFonts w:hint="default" w:cs="Times New Roman"/>
                      <w:lang w:val="en-US" w:eastAsia="zh-CN"/>
                    </w:rPr>
                  </w:pPr>
                  <w:r>
                    <w:rPr>
                      <w:rFonts w:hint="eastAsia" w:cs="Times New Roman"/>
                      <w:lang w:val="en-US" w:eastAsia="zh-CN"/>
                    </w:rPr>
                    <w:t>12</w:t>
                  </w:r>
                </w:p>
              </w:tc>
              <w:tc>
                <w:tcPr>
                  <w:tcW w:w="591" w:type="pct"/>
                  <w:tcBorders>
                    <w:top w:val="single" w:color="auto" w:sz="4" w:space="0"/>
                    <w:left w:val="nil"/>
                    <w:bottom w:val="single" w:color="auto" w:sz="4" w:space="0"/>
                    <w:right w:val="single" w:color="auto" w:sz="4" w:space="0"/>
                  </w:tcBorders>
                  <w:noWrap w:val="0"/>
                  <w:vAlign w:val="center"/>
                </w:tcPr>
                <w:p w14:paraId="394DD3FB">
                  <w:pPr>
                    <w:jc w:val="center"/>
                    <w:rPr>
                      <w:rFonts w:hint="eastAsia" w:cs="Times New Roman"/>
                      <w:lang w:eastAsia="zh-CN"/>
                    </w:rPr>
                  </w:pPr>
                  <w:r>
                    <w:rPr>
                      <w:rFonts w:hint="default" w:ascii="Times New Roman" w:hAnsi="Times New Roman" w:cs="Times New Roman"/>
                      <w:color w:val="000000"/>
                      <w:szCs w:val="21"/>
                    </w:rPr>
                    <w:t>废油漆桶</w:t>
                  </w:r>
                </w:p>
              </w:tc>
              <w:tc>
                <w:tcPr>
                  <w:tcW w:w="660" w:type="pct"/>
                  <w:tcBorders>
                    <w:top w:val="single" w:color="auto" w:sz="4" w:space="0"/>
                    <w:left w:val="nil"/>
                    <w:bottom w:val="single" w:color="auto" w:sz="4" w:space="0"/>
                    <w:right w:val="single" w:color="auto" w:sz="4" w:space="0"/>
                  </w:tcBorders>
                  <w:noWrap w:val="0"/>
                  <w:vAlign w:val="center"/>
                </w:tcPr>
                <w:p w14:paraId="0034D9E9">
                  <w:pPr>
                    <w:jc w:val="center"/>
                    <w:rPr>
                      <w:rFonts w:hint="eastAsia" w:cs="Times New Roman"/>
                      <w:color w:val="000000"/>
                      <w:szCs w:val="21"/>
                      <w:lang w:eastAsia="zh-CN"/>
                    </w:rPr>
                  </w:pPr>
                  <w:r>
                    <w:rPr>
                      <w:rFonts w:hint="default" w:ascii="Times New Roman" w:hAnsi="Times New Roman" w:cs="Times New Roman"/>
                      <w:color w:val="000000"/>
                      <w:szCs w:val="21"/>
                    </w:rPr>
                    <w:t>设备维修及机加工工序</w:t>
                  </w:r>
                </w:p>
              </w:tc>
              <w:tc>
                <w:tcPr>
                  <w:tcW w:w="261" w:type="pct"/>
                  <w:tcBorders>
                    <w:top w:val="single" w:color="auto" w:sz="4" w:space="0"/>
                    <w:left w:val="nil"/>
                    <w:bottom w:val="single" w:color="auto" w:sz="4" w:space="0"/>
                    <w:right w:val="single" w:color="auto" w:sz="4" w:space="0"/>
                  </w:tcBorders>
                  <w:noWrap w:val="0"/>
                  <w:vAlign w:val="center"/>
                </w:tcPr>
                <w:p w14:paraId="0EE3B935">
                  <w:pPr>
                    <w:keepNext w:val="0"/>
                    <w:keepLines w:val="0"/>
                    <w:pageBreakBefore w:val="0"/>
                    <w:kinsoku/>
                    <w:wordWrap/>
                    <w:overflowPunct/>
                    <w:topLinePunct w:val="0"/>
                    <w:bidi w:val="0"/>
                    <w:spacing w:line="240" w:lineRule="auto"/>
                    <w:ind w:right="0" w:rightChars="0"/>
                    <w:jc w:val="center"/>
                    <w:rPr>
                      <w:rFonts w:hint="eastAsia" w:cs="Times New Roman"/>
                      <w:lang w:eastAsia="zh-CN"/>
                    </w:rPr>
                  </w:pPr>
                  <w:r>
                    <w:rPr>
                      <w:rFonts w:hint="default" w:ascii="Times New Roman" w:hAnsi="Times New Roman" w:cs="Times New Roman"/>
                      <w:lang w:eastAsia="zh-CN"/>
                    </w:rPr>
                    <w:t>固</w:t>
                  </w:r>
                </w:p>
              </w:tc>
              <w:tc>
                <w:tcPr>
                  <w:tcW w:w="837" w:type="pct"/>
                  <w:tcBorders>
                    <w:top w:val="single" w:color="auto" w:sz="4" w:space="0"/>
                    <w:left w:val="nil"/>
                    <w:bottom w:val="single" w:color="auto" w:sz="4" w:space="0"/>
                    <w:right w:val="single" w:color="auto" w:sz="4" w:space="0"/>
                  </w:tcBorders>
                  <w:noWrap w:val="0"/>
                  <w:vAlign w:val="center"/>
                </w:tcPr>
                <w:p w14:paraId="2FD0537C">
                  <w:pPr>
                    <w:keepNext w:val="0"/>
                    <w:keepLines w:val="0"/>
                    <w:pageBreakBefore w:val="0"/>
                    <w:kinsoku/>
                    <w:wordWrap/>
                    <w:overflowPunct/>
                    <w:topLinePunct w:val="0"/>
                    <w:bidi w:val="0"/>
                    <w:spacing w:line="240" w:lineRule="auto"/>
                    <w:ind w:right="0" w:rightChars="0"/>
                    <w:jc w:val="center"/>
                    <w:rPr>
                      <w:rFonts w:hint="eastAsia" w:cs="Times New Roman"/>
                      <w:color w:val="000000"/>
                      <w:szCs w:val="21"/>
                      <w:lang w:val="en-US" w:eastAsia="zh-CN"/>
                    </w:rPr>
                  </w:pPr>
                  <w:r>
                    <w:rPr>
                      <w:rFonts w:hint="default" w:ascii="Times New Roman" w:hAnsi="Times New Roman" w:cs="Times New Roman"/>
                      <w:color w:val="000000"/>
                      <w:kern w:val="0"/>
                      <w:szCs w:val="21"/>
                    </w:rPr>
                    <w:t>900-041-49</w:t>
                  </w:r>
                </w:p>
              </w:tc>
              <w:tc>
                <w:tcPr>
                  <w:tcW w:w="669" w:type="pct"/>
                  <w:tcBorders>
                    <w:top w:val="single" w:color="auto" w:sz="4" w:space="0"/>
                    <w:left w:val="nil"/>
                    <w:bottom w:val="single" w:color="auto" w:sz="4" w:space="0"/>
                    <w:right w:val="single" w:color="auto" w:sz="4" w:space="0"/>
                  </w:tcBorders>
                  <w:noWrap w:val="0"/>
                  <w:vAlign w:val="center"/>
                </w:tcPr>
                <w:p w14:paraId="46EF52C4">
                  <w:pPr>
                    <w:pStyle w:val="54"/>
                    <w:adjustRightInd w:val="0"/>
                    <w:snapToGrid w:val="0"/>
                    <w:spacing w:line="240" w:lineRule="auto"/>
                    <w:jc w:val="center"/>
                    <w:rPr>
                      <w:rFonts w:hint="default" w:cs="Times New Roman"/>
                      <w:lang w:val="en-US" w:eastAsia="zh-CN"/>
                    </w:rPr>
                  </w:pPr>
                  <w:r>
                    <w:rPr>
                      <w:rFonts w:hint="default" w:ascii="Times New Roman" w:hAnsi="Times New Roman" w:cs="Times New Roman"/>
                      <w:lang w:val="en-US" w:eastAsia="zh-CN"/>
                    </w:rPr>
                    <w:t>0.</w:t>
                  </w:r>
                  <w:r>
                    <w:rPr>
                      <w:rFonts w:hint="eastAsia" w:cs="Times New Roman"/>
                      <w:lang w:val="en-US" w:eastAsia="zh-CN"/>
                    </w:rPr>
                    <w:t>115</w:t>
                  </w:r>
                </w:p>
              </w:tc>
              <w:tc>
                <w:tcPr>
                  <w:tcW w:w="662" w:type="pct"/>
                  <w:tcBorders>
                    <w:top w:val="single" w:color="auto" w:sz="4" w:space="0"/>
                    <w:left w:val="nil"/>
                    <w:bottom w:val="single" w:color="auto" w:sz="4" w:space="0"/>
                    <w:right w:val="single" w:color="auto" w:sz="4" w:space="0"/>
                  </w:tcBorders>
                  <w:noWrap w:val="0"/>
                  <w:vAlign w:val="center"/>
                </w:tcPr>
                <w:p w14:paraId="63244AEF">
                  <w:pPr>
                    <w:pStyle w:val="54"/>
                    <w:adjustRightInd w:val="0"/>
                    <w:snapToGrid w:val="0"/>
                    <w:spacing w:line="240" w:lineRule="auto"/>
                    <w:jc w:val="center"/>
                    <w:rPr>
                      <w:rFonts w:hint="eastAsia" w:cs="Times New Roman"/>
                      <w:lang w:val="en-US" w:eastAsia="zh-CN"/>
                    </w:rPr>
                  </w:pPr>
                  <w:r>
                    <w:rPr>
                      <w:rFonts w:hint="default" w:ascii="Times New Roman" w:hAnsi="Times New Roman" w:eastAsia="宋体" w:cs="Times New Roman"/>
                    </w:rPr>
                    <w:t>0</w:t>
                  </w:r>
                </w:p>
              </w:tc>
              <w:tc>
                <w:tcPr>
                  <w:tcW w:w="1055" w:type="pct"/>
                  <w:vMerge w:val="continue"/>
                  <w:tcBorders>
                    <w:left w:val="nil"/>
                    <w:right w:val="single" w:color="auto" w:sz="4" w:space="0"/>
                  </w:tcBorders>
                  <w:noWrap w:val="0"/>
                  <w:vAlign w:val="center"/>
                </w:tcPr>
                <w:p w14:paraId="1D831664">
                  <w:pPr>
                    <w:pStyle w:val="54"/>
                    <w:adjustRightInd w:val="0"/>
                    <w:snapToGrid w:val="0"/>
                    <w:spacing w:line="240" w:lineRule="auto"/>
                    <w:jc w:val="center"/>
                    <w:rPr>
                      <w:rFonts w:hint="eastAsia"/>
                      <w:color w:val="000000" w:themeColor="text1"/>
                      <w14:textFill>
                        <w14:solidFill>
                          <w14:schemeClr w14:val="tx1"/>
                        </w14:solidFill>
                      </w14:textFill>
                    </w:rPr>
                  </w:pPr>
                </w:p>
              </w:tc>
            </w:tr>
            <w:tr w14:paraId="686D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14:paraId="54814AF0">
                  <w:pPr>
                    <w:pStyle w:val="54"/>
                    <w:adjustRightInd w:val="0"/>
                    <w:snapToGrid w:val="0"/>
                    <w:spacing w:line="240" w:lineRule="auto"/>
                    <w:jc w:val="center"/>
                    <w:rPr>
                      <w:rFonts w:hint="default" w:cs="Times New Roman"/>
                      <w:lang w:val="en-US" w:eastAsia="zh-CN"/>
                    </w:rPr>
                  </w:pPr>
                  <w:r>
                    <w:rPr>
                      <w:rFonts w:hint="eastAsia" w:cs="Times New Roman"/>
                      <w:lang w:val="en-US" w:eastAsia="zh-CN"/>
                    </w:rPr>
                    <w:t>13</w:t>
                  </w:r>
                </w:p>
              </w:tc>
              <w:tc>
                <w:tcPr>
                  <w:tcW w:w="591" w:type="pct"/>
                  <w:tcBorders>
                    <w:top w:val="single" w:color="auto" w:sz="4" w:space="0"/>
                    <w:left w:val="nil"/>
                    <w:bottom w:val="single" w:color="auto" w:sz="4" w:space="0"/>
                    <w:right w:val="single" w:color="auto" w:sz="4" w:space="0"/>
                  </w:tcBorders>
                  <w:noWrap w:val="0"/>
                  <w:vAlign w:val="center"/>
                </w:tcPr>
                <w:p w14:paraId="26391B5E">
                  <w:pPr>
                    <w:pStyle w:val="54"/>
                    <w:adjustRightInd w:val="0"/>
                    <w:snapToGrid w:val="0"/>
                    <w:spacing w:line="240" w:lineRule="auto"/>
                    <w:jc w:val="center"/>
                    <w:rPr>
                      <w:rFonts w:hint="eastAsia" w:cs="Times New Roman"/>
                      <w:lang w:eastAsia="zh-CN"/>
                    </w:rPr>
                  </w:pPr>
                  <w:r>
                    <w:rPr>
                      <w:rFonts w:hint="eastAsia" w:cs="Times New Roman"/>
                      <w:lang w:eastAsia="zh-CN"/>
                    </w:rPr>
                    <w:t>生活垃圾</w:t>
                  </w:r>
                </w:p>
              </w:tc>
              <w:tc>
                <w:tcPr>
                  <w:tcW w:w="660" w:type="pct"/>
                  <w:tcBorders>
                    <w:top w:val="single" w:color="auto" w:sz="4" w:space="0"/>
                    <w:left w:val="nil"/>
                    <w:bottom w:val="single" w:color="auto" w:sz="4" w:space="0"/>
                    <w:right w:val="single" w:color="auto" w:sz="4" w:space="0"/>
                  </w:tcBorders>
                  <w:noWrap w:val="0"/>
                  <w:vAlign w:val="center"/>
                </w:tcPr>
                <w:p w14:paraId="585B604C">
                  <w:pPr>
                    <w:adjustRightInd w:val="0"/>
                    <w:snapToGrid w:val="0"/>
                    <w:jc w:val="center"/>
                    <w:rPr>
                      <w:rFonts w:hint="eastAsia" w:cs="Times New Roman"/>
                      <w:color w:val="000000"/>
                      <w:szCs w:val="21"/>
                      <w:lang w:eastAsia="zh-CN"/>
                    </w:rPr>
                  </w:pPr>
                  <w:r>
                    <w:rPr>
                      <w:rFonts w:hint="eastAsia" w:cs="Times New Roman"/>
                      <w:color w:val="000000"/>
                      <w:szCs w:val="21"/>
                      <w:lang w:eastAsia="zh-CN"/>
                    </w:rPr>
                    <w:t>生活办公</w:t>
                  </w:r>
                </w:p>
              </w:tc>
              <w:tc>
                <w:tcPr>
                  <w:tcW w:w="261" w:type="pct"/>
                  <w:tcBorders>
                    <w:top w:val="single" w:color="auto" w:sz="4" w:space="0"/>
                    <w:left w:val="nil"/>
                    <w:bottom w:val="single" w:color="auto" w:sz="4" w:space="0"/>
                    <w:right w:val="single" w:color="auto" w:sz="4" w:space="0"/>
                  </w:tcBorders>
                  <w:noWrap w:val="0"/>
                  <w:vAlign w:val="center"/>
                </w:tcPr>
                <w:p w14:paraId="0B8F0CAD">
                  <w:pPr>
                    <w:adjustRightInd w:val="0"/>
                    <w:snapToGrid w:val="0"/>
                    <w:jc w:val="center"/>
                    <w:rPr>
                      <w:rFonts w:hint="eastAsia" w:cs="Times New Roman"/>
                      <w:lang w:eastAsia="zh-CN"/>
                    </w:rPr>
                  </w:pPr>
                  <w:r>
                    <w:rPr>
                      <w:rFonts w:hint="default" w:ascii="Times New Roman" w:hAnsi="Times New Roman" w:cs="Times New Roman"/>
                      <w:lang w:eastAsia="zh-CN"/>
                    </w:rPr>
                    <w:t>固</w:t>
                  </w:r>
                </w:p>
              </w:tc>
              <w:tc>
                <w:tcPr>
                  <w:tcW w:w="837" w:type="pct"/>
                  <w:tcBorders>
                    <w:top w:val="single" w:color="auto" w:sz="4" w:space="0"/>
                    <w:left w:val="nil"/>
                    <w:bottom w:val="single" w:color="auto" w:sz="4" w:space="0"/>
                    <w:right w:val="single" w:color="auto" w:sz="4" w:space="0"/>
                  </w:tcBorders>
                  <w:noWrap w:val="0"/>
                  <w:vAlign w:val="center"/>
                </w:tcPr>
                <w:p w14:paraId="6B4975D1">
                  <w:pPr>
                    <w:pStyle w:val="52"/>
                    <w:keepNext w:val="0"/>
                    <w:keepLines w:val="0"/>
                    <w:pageBreakBefore w:val="0"/>
                    <w:kinsoku/>
                    <w:wordWrap/>
                    <w:overflowPunct/>
                    <w:topLinePunct w:val="0"/>
                    <w:bidi w:val="0"/>
                    <w:spacing w:before="0" w:after="0" w:line="240" w:lineRule="auto"/>
                    <w:ind w:right="0" w:rightChars="0"/>
                    <w:jc w:val="center"/>
                    <w:rPr>
                      <w:rFonts w:hint="eastAsia" w:cs="Times New Roman"/>
                      <w:color w:val="000000"/>
                      <w:szCs w:val="21"/>
                      <w:lang w:val="en-US" w:eastAsia="zh-CN"/>
                    </w:rPr>
                  </w:pPr>
                  <w:r>
                    <w:rPr>
                      <w:rFonts w:hint="eastAsia" w:cs="Times New Roman"/>
                      <w:b/>
                      <w:bCs/>
                      <w:lang w:val="en-US" w:eastAsia="zh-CN"/>
                    </w:rPr>
                    <w:t>/</w:t>
                  </w:r>
                </w:p>
              </w:tc>
              <w:tc>
                <w:tcPr>
                  <w:tcW w:w="669" w:type="pct"/>
                  <w:tcBorders>
                    <w:top w:val="single" w:color="auto" w:sz="4" w:space="0"/>
                    <w:left w:val="nil"/>
                    <w:bottom w:val="single" w:color="auto" w:sz="4" w:space="0"/>
                    <w:right w:val="single" w:color="auto" w:sz="4" w:space="0"/>
                  </w:tcBorders>
                  <w:noWrap w:val="0"/>
                  <w:vAlign w:val="center"/>
                </w:tcPr>
                <w:p w14:paraId="1A0AB6BB">
                  <w:pPr>
                    <w:pStyle w:val="54"/>
                    <w:adjustRightInd w:val="0"/>
                    <w:snapToGrid w:val="0"/>
                    <w:spacing w:line="240" w:lineRule="auto"/>
                    <w:jc w:val="center"/>
                    <w:rPr>
                      <w:rFonts w:hint="eastAsia" w:cs="Times New Roman"/>
                      <w:lang w:val="en-US" w:eastAsia="zh-CN"/>
                    </w:rPr>
                  </w:pPr>
                  <w:r>
                    <w:rPr>
                      <w:rFonts w:hint="eastAsia" w:cs="Times New Roman"/>
                      <w:lang w:val="en-US" w:eastAsia="zh-CN"/>
                    </w:rPr>
                    <w:t>1.5</w:t>
                  </w:r>
                </w:p>
              </w:tc>
              <w:tc>
                <w:tcPr>
                  <w:tcW w:w="662" w:type="pct"/>
                  <w:tcBorders>
                    <w:top w:val="single" w:color="auto" w:sz="4" w:space="0"/>
                    <w:left w:val="nil"/>
                    <w:bottom w:val="single" w:color="auto" w:sz="4" w:space="0"/>
                    <w:right w:val="single" w:color="auto" w:sz="4" w:space="0"/>
                  </w:tcBorders>
                  <w:noWrap w:val="0"/>
                  <w:vAlign w:val="center"/>
                </w:tcPr>
                <w:p w14:paraId="4936780A">
                  <w:pPr>
                    <w:adjustRightInd w:val="0"/>
                    <w:snapToGrid w:val="0"/>
                    <w:jc w:val="center"/>
                    <w:rPr>
                      <w:rFonts w:hint="eastAsia" w:cs="Times New Roman"/>
                      <w:lang w:val="en-US" w:eastAsia="zh-CN"/>
                    </w:rPr>
                  </w:pPr>
                  <w:r>
                    <w:rPr>
                      <w:rFonts w:hint="eastAsia" w:cs="Times New Roman"/>
                      <w:lang w:val="en-US" w:eastAsia="zh-CN"/>
                    </w:rPr>
                    <w:t>0</w:t>
                  </w:r>
                </w:p>
              </w:tc>
              <w:tc>
                <w:tcPr>
                  <w:tcW w:w="1055" w:type="pct"/>
                  <w:tcBorders>
                    <w:left w:val="nil"/>
                    <w:right w:val="single" w:color="auto" w:sz="4" w:space="0"/>
                  </w:tcBorders>
                  <w:noWrap w:val="0"/>
                  <w:vAlign w:val="center"/>
                </w:tcPr>
                <w:p w14:paraId="427DEAB5">
                  <w:pPr>
                    <w:pStyle w:val="54"/>
                    <w:adjustRightInd w:val="0"/>
                    <w:snapToGrid w:val="0"/>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集中收集后，由环卫部门定期清运处理</w:t>
                  </w:r>
                </w:p>
              </w:tc>
            </w:tr>
          </w:tbl>
          <w:p w14:paraId="34110A6E">
            <w:pPr>
              <w:adjustRightInd w:val="0"/>
              <w:snapToGrid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表4-1</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扩建</w:t>
            </w:r>
            <w:r>
              <w:rPr>
                <w:rFonts w:hint="default" w:ascii="Times New Roman" w:hAnsi="Times New Roman" w:eastAsia="宋体" w:cs="Times New Roman"/>
                <w:b/>
                <w:bCs/>
                <w:color w:val="auto"/>
                <w:sz w:val="24"/>
                <w:szCs w:val="24"/>
                <w:lang w:val="en-US" w:eastAsia="zh-CN"/>
              </w:rPr>
              <w:t>后全厂固废产生与处置情况</w:t>
            </w:r>
          </w:p>
          <w:tbl>
            <w:tblPr>
              <w:tblStyle w:val="28"/>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6"/>
              <w:gridCol w:w="742"/>
              <w:gridCol w:w="1416"/>
              <w:gridCol w:w="1050"/>
              <w:gridCol w:w="746"/>
              <w:gridCol w:w="1099"/>
              <w:gridCol w:w="2137"/>
            </w:tblGrid>
            <w:tr w14:paraId="23D8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5972EB42">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cs="Times New Roman"/>
                      <w:b/>
                      <w:bCs/>
                    </w:rPr>
                    <w:t>危险废物名称</w:t>
                  </w:r>
                </w:p>
              </w:tc>
              <w:tc>
                <w:tcPr>
                  <w:tcW w:w="441" w:type="pct"/>
                  <w:tcBorders>
                    <w:top w:val="single" w:color="auto" w:sz="4" w:space="0"/>
                    <w:left w:val="nil"/>
                    <w:bottom w:val="single" w:color="auto" w:sz="4" w:space="0"/>
                    <w:right w:val="single" w:color="auto" w:sz="4" w:space="0"/>
                  </w:tcBorders>
                  <w:noWrap w:val="0"/>
                  <w:vAlign w:val="center"/>
                </w:tcPr>
                <w:p w14:paraId="1234BC48">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cs="Times New Roman"/>
                      <w:b/>
                      <w:bCs/>
                    </w:rPr>
                    <w:t>危险废物类别</w:t>
                  </w:r>
                </w:p>
              </w:tc>
              <w:tc>
                <w:tcPr>
                  <w:tcW w:w="842" w:type="pct"/>
                  <w:tcBorders>
                    <w:top w:val="single" w:color="auto" w:sz="4" w:space="0"/>
                    <w:left w:val="nil"/>
                    <w:bottom w:val="single" w:color="auto" w:sz="4" w:space="0"/>
                    <w:right w:val="single" w:color="auto" w:sz="4" w:space="0"/>
                  </w:tcBorders>
                  <w:noWrap w:val="0"/>
                  <w:vAlign w:val="center"/>
                </w:tcPr>
                <w:p w14:paraId="3132747A">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cs="Times New Roman"/>
                      <w:b/>
                      <w:bCs/>
                    </w:rPr>
                    <w:t>危险废物代码</w:t>
                  </w:r>
                </w:p>
              </w:tc>
              <w:tc>
                <w:tcPr>
                  <w:tcW w:w="624" w:type="pct"/>
                  <w:tcBorders>
                    <w:top w:val="single" w:color="auto" w:sz="4" w:space="0"/>
                    <w:left w:val="nil"/>
                    <w:bottom w:val="single" w:color="auto" w:sz="4" w:space="0"/>
                    <w:right w:val="single" w:color="auto" w:sz="4" w:space="0"/>
                  </w:tcBorders>
                  <w:noWrap w:val="0"/>
                  <w:vAlign w:val="center"/>
                </w:tcPr>
                <w:p w14:paraId="7430BDC9">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cs="Times New Roman"/>
                      <w:b/>
                      <w:bCs/>
                    </w:rPr>
                    <w:t>产生量（t/a）</w:t>
                  </w:r>
                </w:p>
              </w:tc>
              <w:tc>
                <w:tcPr>
                  <w:tcW w:w="443" w:type="pct"/>
                  <w:tcBorders>
                    <w:top w:val="single" w:color="auto" w:sz="4" w:space="0"/>
                    <w:left w:val="nil"/>
                    <w:bottom w:val="single" w:color="auto" w:sz="4" w:space="0"/>
                    <w:right w:val="single" w:color="auto" w:sz="4" w:space="0"/>
                  </w:tcBorders>
                  <w:noWrap w:val="0"/>
                  <w:vAlign w:val="center"/>
                </w:tcPr>
                <w:p w14:paraId="0AEE4648">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cs="Times New Roman"/>
                      <w:b/>
                      <w:bCs/>
                    </w:rPr>
                    <w:t>产生工序及装置</w:t>
                  </w:r>
                </w:p>
              </w:tc>
              <w:tc>
                <w:tcPr>
                  <w:tcW w:w="653" w:type="pct"/>
                  <w:tcBorders>
                    <w:top w:val="single" w:color="auto" w:sz="4" w:space="0"/>
                    <w:left w:val="nil"/>
                    <w:bottom w:val="single" w:color="auto" w:sz="4" w:space="0"/>
                    <w:right w:val="single" w:color="auto" w:sz="4" w:space="0"/>
                  </w:tcBorders>
                  <w:noWrap w:val="0"/>
                  <w:vAlign w:val="center"/>
                </w:tcPr>
                <w:p w14:paraId="1F6284DE">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cs="Times New Roman"/>
                      <w:b/>
                      <w:bCs/>
                    </w:rPr>
                    <w:t>形态</w:t>
                  </w:r>
                </w:p>
              </w:tc>
              <w:tc>
                <w:tcPr>
                  <w:tcW w:w="1271" w:type="pct"/>
                  <w:tcBorders>
                    <w:top w:val="single" w:color="auto" w:sz="4" w:space="0"/>
                    <w:left w:val="nil"/>
                    <w:bottom w:val="single" w:color="auto" w:sz="4" w:space="0"/>
                    <w:right w:val="single" w:color="auto" w:sz="4" w:space="0"/>
                  </w:tcBorders>
                  <w:noWrap w:val="0"/>
                  <w:vAlign w:val="center"/>
                </w:tcPr>
                <w:p w14:paraId="79312F1E">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cs="Times New Roman"/>
                      <w:b/>
                      <w:bCs/>
                    </w:rPr>
                    <w:t>污染防治措施</w:t>
                  </w:r>
                </w:p>
              </w:tc>
            </w:tr>
            <w:tr w14:paraId="456B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17A56D30">
                  <w:pPr>
                    <w:pStyle w:val="54"/>
                    <w:adjustRightInd w:val="0"/>
                    <w:snapToGrid w:val="0"/>
                    <w:spacing w:line="240" w:lineRule="auto"/>
                    <w:jc w:val="center"/>
                    <w:rPr>
                      <w:rFonts w:hint="default" w:ascii="Times New Roman" w:hAnsi="Times New Roman" w:cs="Times New Roman"/>
                      <w:b/>
                      <w:bCs/>
                    </w:rPr>
                  </w:pPr>
                  <w:r>
                    <w:rPr>
                      <w:rFonts w:hint="default" w:ascii="Times New Roman" w:hAnsi="Times New Roman" w:eastAsia="宋体" w:cs="Times New Roman"/>
                    </w:rPr>
                    <w:t>废边角料</w:t>
                  </w:r>
                </w:p>
              </w:tc>
              <w:tc>
                <w:tcPr>
                  <w:tcW w:w="441" w:type="pct"/>
                  <w:tcBorders>
                    <w:top w:val="single" w:color="auto" w:sz="4" w:space="0"/>
                    <w:left w:val="nil"/>
                    <w:bottom w:val="single" w:color="auto" w:sz="4" w:space="0"/>
                    <w:right w:val="single" w:color="auto" w:sz="4" w:space="0"/>
                  </w:tcBorders>
                  <w:noWrap w:val="0"/>
                  <w:vAlign w:val="center"/>
                </w:tcPr>
                <w:p w14:paraId="7463CA43">
                  <w:pPr>
                    <w:pStyle w:val="52"/>
                    <w:keepNext w:val="0"/>
                    <w:keepLines w:val="0"/>
                    <w:pageBreakBefore w:val="0"/>
                    <w:kinsoku/>
                    <w:wordWrap/>
                    <w:overflowPunct/>
                    <w:topLinePunct w:val="0"/>
                    <w:bidi w:val="0"/>
                    <w:spacing w:before="0" w:after="0" w:line="240" w:lineRule="auto"/>
                    <w:ind w:right="0"/>
                    <w:jc w:val="center"/>
                    <w:rPr>
                      <w:rFonts w:hint="eastAsia" w:ascii="Times New Roman" w:hAnsi="Times New Roman" w:eastAsia="宋体" w:cs="Times New Roman"/>
                      <w:b/>
                      <w:bCs/>
                      <w:lang w:val="en-US" w:eastAsia="zh-CN"/>
                    </w:rPr>
                  </w:pPr>
                  <w:r>
                    <w:rPr>
                      <w:rFonts w:hint="eastAsia" w:cs="Times New Roman"/>
                      <w:b/>
                      <w:bCs/>
                      <w:lang w:val="en-US" w:eastAsia="zh-CN"/>
                    </w:rPr>
                    <w:t>/</w:t>
                  </w:r>
                </w:p>
              </w:tc>
              <w:tc>
                <w:tcPr>
                  <w:tcW w:w="842" w:type="pct"/>
                  <w:tcBorders>
                    <w:top w:val="single" w:color="auto" w:sz="4" w:space="0"/>
                    <w:left w:val="nil"/>
                    <w:bottom w:val="single" w:color="auto" w:sz="4" w:space="0"/>
                    <w:right w:val="single" w:color="auto" w:sz="4" w:space="0"/>
                  </w:tcBorders>
                  <w:noWrap w:val="0"/>
                  <w:vAlign w:val="center"/>
                </w:tcPr>
                <w:p w14:paraId="6773A256">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eastAsia" w:cs="Times New Roman"/>
                      <w:b/>
                      <w:bCs/>
                      <w:lang w:val="en-US" w:eastAsia="zh-CN"/>
                    </w:rPr>
                    <w:t>/</w:t>
                  </w:r>
                </w:p>
              </w:tc>
              <w:tc>
                <w:tcPr>
                  <w:tcW w:w="624" w:type="pct"/>
                  <w:tcBorders>
                    <w:top w:val="single" w:color="auto" w:sz="4" w:space="0"/>
                    <w:left w:val="nil"/>
                    <w:bottom w:val="single" w:color="auto" w:sz="4" w:space="0"/>
                    <w:right w:val="single" w:color="auto" w:sz="4" w:space="0"/>
                  </w:tcBorders>
                  <w:noWrap w:val="0"/>
                  <w:vAlign w:val="center"/>
                </w:tcPr>
                <w:p w14:paraId="2F87D3DD">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eastAsia="宋体" w:cs="Times New Roman"/>
                      <w:b w:val="0"/>
                      <w:bCs w:val="0"/>
                      <w:lang w:val="en-US" w:eastAsia="zh-CN"/>
                    </w:rPr>
                  </w:pPr>
                  <w:r>
                    <w:rPr>
                      <w:rFonts w:hint="eastAsia" w:cs="Times New Roman"/>
                      <w:b w:val="0"/>
                      <w:bCs w:val="0"/>
                      <w:lang w:val="en-US" w:eastAsia="zh-CN"/>
                    </w:rPr>
                    <w:t>3.88</w:t>
                  </w:r>
                </w:p>
              </w:tc>
              <w:tc>
                <w:tcPr>
                  <w:tcW w:w="443" w:type="pct"/>
                  <w:tcBorders>
                    <w:top w:val="single" w:color="auto" w:sz="4" w:space="0"/>
                    <w:left w:val="nil"/>
                    <w:bottom w:val="single" w:color="auto" w:sz="4" w:space="0"/>
                    <w:right w:val="single" w:color="auto" w:sz="4" w:space="0"/>
                  </w:tcBorders>
                  <w:noWrap w:val="0"/>
                  <w:vAlign w:val="center"/>
                </w:tcPr>
                <w:p w14:paraId="7F5C58D2">
                  <w:pPr>
                    <w:pStyle w:val="54"/>
                    <w:adjustRightInd w:val="0"/>
                    <w:snapToGrid w:val="0"/>
                    <w:spacing w:line="240" w:lineRule="auto"/>
                    <w:jc w:val="center"/>
                    <w:rPr>
                      <w:rFonts w:hint="default" w:ascii="Times New Roman" w:hAnsi="Times New Roman" w:cs="Times New Roman"/>
                      <w:b/>
                      <w:bCs/>
                    </w:rPr>
                  </w:pPr>
                  <w:r>
                    <w:rPr>
                      <w:rFonts w:hint="default" w:ascii="Times New Roman" w:hAnsi="Times New Roman" w:eastAsia="宋体" w:cs="Times New Roman"/>
                    </w:rPr>
                    <w:t>生产</w:t>
                  </w:r>
                </w:p>
              </w:tc>
              <w:tc>
                <w:tcPr>
                  <w:tcW w:w="653" w:type="pct"/>
                  <w:tcBorders>
                    <w:top w:val="single" w:color="auto" w:sz="4" w:space="0"/>
                    <w:left w:val="nil"/>
                    <w:bottom w:val="single" w:color="auto" w:sz="4" w:space="0"/>
                    <w:right w:val="single" w:color="auto" w:sz="4" w:space="0"/>
                  </w:tcBorders>
                  <w:noWrap w:val="0"/>
                  <w:vAlign w:val="center"/>
                </w:tcPr>
                <w:p w14:paraId="1764BE02">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cs="Times New Roman"/>
                      <w:lang w:eastAsia="zh-CN"/>
                    </w:rPr>
                    <w:t>固</w:t>
                  </w:r>
                </w:p>
              </w:tc>
              <w:tc>
                <w:tcPr>
                  <w:tcW w:w="2137" w:type="dxa"/>
                  <w:vMerge w:val="restart"/>
                  <w:tcBorders>
                    <w:top w:val="single" w:color="auto" w:sz="4" w:space="0"/>
                    <w:left w:val="nil"/>
                    <w:right w:val="single" w:color="auto" w:sz="4" w:space="0"/>
                  </w:tcBorders>
                  <w:noWrap w:val="0"/>
                  <w:vAlign w:val="center"/>
                </w:tcPr>
                <w:p w14:paraId="7743A88C">
                  <w:pPr>
                    <w:pStyle w:val="52"/>
                    <w:spacing w:line="240" w:lineRule="auto"/>
                    <w:ind w:right="0" w:rightChars="0"/>
                    <w:jc w:val="center"/>
                    <w:rPr>
                      <w:rFonts w:hint="default" w:ascii="Times New Roman" w:hAnsi="Times New Roman" w:cs="Times New Roman"/>
                      <w:b/>
                      <w:bCs/>
                    </w:rPr>
                  </w:pPr>
                  <w:r>
                    <w:rPr>
                      <w:rFonts w:hint="default" w:ascii="Times New Roman" w:hAnsi="Times New Roman" w:cs="Times New Roman"/>
                      <w:szCs w:val="21"/>
                    </w:rPr>
                    <w:t>外售综合利用</w:t>
                  </w:r>
                </w:p>
              </w:tc>
            </w:tr>
            <w:tr w14:paraId="4A62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0D037D15">
                  <w:pPr>
                    <w:pStyle w:val="54"/>
                    <w:adjustRightInd w:val="0"/>
                    <w:snapToGrid w:val="0"/>
                    <w:spacing w:line="240" w:lineRule="auto"/>
                    <w:jc w:val="center"/>
                    <w:rPr>
                      <w:rFonts w:hint="default" w:ascii="Times New Roman" w:hAnsi="Times New Roman" w:cs="Times New Roman"/>
                      <w:b/>
                      <w:bCs/>
                    </w:rPr>
                  </w:pPr>
                  <w:r>
                    <w:rPr>
                      <w:rFonts w:hint="default" w:ascii="Times New Roman" w:hAnsi="Times New Roman" w:eastAsia="宋体" w:cs="Times New Roman"/>
                      <w:lang w:eastAsia="zh-CN"/>
                    </w:rPr>
                    <w:t>废布袋</w:t>
                  </w:r>
                </w:p>
              </w:tc>
              <w:tc>
                <w:tcPr>
                  <w:tcW w:w="441" w:type="pct"/>
                  <w:tcBorders>
                    <w:top w:val="single" w:color="auto" w:sz="4" w:space="0"/>
                    <w:left w:val="nil"/>
                    <w:bottom w:val="single" w:color="auto" w:sz="4" w:space="0"/>
                    <w:right w:val="single" w:color="auto" w:sz="4" w:space="0"/>
                  </w:tcBorders>
                  <w:noWrap w:val="0"/>
                  <w:vAlign w:val="center"/>
                </w:tcPr>
                <w:p w14:paraId="0B61CB53">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eastAsia" w:cs="Times New Roman"/>
                      <w:b/>
                      <w:bCs/>
                      <w:lang w:val="en-US" w:eastAsia="zh-CN"/>
                    </w:rPr>
                    <w:t>/</w:t>
                  </w:r>
                </w:p>
              </w:tc>
              <w:tc>
                <w:tcPr>
                  <w:tcW w:w="842" w:type="pct"/>
                  <w:tcBorders>
                    <w:top w:val="single" w:color="auto" w:sz="4" w:space="0"/>
                    <w:left w:val="nil"/>
                    <w:bottom w:val="single" w:color="auto" w:sz="4" w:space="0"/>
                    <w:right w:val="single" w:color="auto" w:sz="4" w:space="0"/>
                  </w:tcBorders>
                  <w:noWrap w:val="0"/>
                  <w:vAlign w:val="center"/>
                </w:tcPr>
                <w:p w14:paraId="55F6BE2A">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eastAsia" w:cs="Times New Roman"/>
                      <w:b/>
                      <w:bCs/>
                      <w:lang w:val="en-US" w:eastAsia="zh-CN"/>
                    </w:rPr>
                    <w:t>/</w:t>
                  </w:r>
                </w:p>
              </w:tc>
              <w:tc>
                <w:tcPr>
                  <w:tcW w:w="624" w:type="pct"/>
                  <w:tcBorders>
                    <w:top w:val="single" w:color="auto" w:sz="4" w:space="0"/>
                    <w:left w:val="nil"/>
                    <w:bottom w:val="single" w:color="auto" w:sz="4" w:space="0"/>
                    <w:right w:val="single" w:color="auto" w:sz="4" w:space="0"/>
                  </w:tcBorders>
                  <w:noWrap w:val="0"/>
                  <w:vAlign w:val="center"/>
                </w:tcPr>
                <w:p w14:paraId="77EA3D67">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eastAsia="宋体" w:cs="Times New Roman"/>
                      <w:b w:val="0"/>
                      <w:bCs w:val="0"/>
                      <w:lang w:val="en-US" w:eastAsia="zh-CN"/>
                    </w:rPr>
                  </w:pPr>
                  <w:r>
                    <w:rPr>
                      <w:rFonts w:hint="eastAsia" w:cs="Times New Roman"/>
                      <w:b w:val="0"/>
                      <w:bCs w:val="0"/>
                      <w:lang w:val="en-US" w:eastAsia="zh-CN"/>
                    </w:rPr>
                    <w:t>0.5</w:t>
                  </w:r>
                </w:p>
              </w:tc>
              <w:tc>
                <w:tcPr>
                  <w:tcW w:w="443" w:type="pct"/>
                  <w:tcBorders>
                    <w:top w:val="single" w:color="auto" w:sz="4" w:space="0"/>
                    <w:left w:val="nil"/>
                    <w:bottom w:val="single" w:color="auto" w:sz="4" w:space="0"/>
                    <w:right w:val="single" w:color="auto" w:sz="4" w:space="0"/>
                  </w:tcBorders>
                  <w:noWrap w:val="0"/>
                  <w:vAlign w:val="center"/>
                </w:tcPr>
                <w:p w14:paraId="564B2AF4">
                  <w:pPr>
                    <w:pStyle w:val="54"/>
                    <w:adjustRightInd w:val="0"/>
                    <w:snapToGrid w:val="0"/>
                    <w:spacing w:line="240" w:lineRule="auto"/>
                    <w:jc w:val="center"/>
                    <w:rPr>
                      <w:rFonts w:hint="default" w:ascii="Times New Roman" w:hAnsi="Times New Roman" w:cs="Times New Roman"/>
                      <w:b/>
                      <w:bCs/>
                    </w:rPr>
                  </w:pPr>
                  <w:r>
                    <w:rPr>
                      <w:rFonts w:hint="default" w:ascii="Times New Roman" w:hAnsi="Times New Roman" w:eastAsia="宋体" w:cs="Times New Roman"/>
                      <w:lang w:eastAsia="zh-CN"/>
                    </w:rPr>
                    <w:t>生产</w:t>
                  </w:r>
                </w:p>
              </w:tc>
              <w:tc>
                <w:tcPr>
                  <w:tcW w:w="653" w:type="pct"/>
                  <w:tcBorders>
                    <w:top w:val="single" w:color="auto" w:sz="4" w:space="0"/>
                    <w:left w:val="nil"/>
                    <w:bottom w:val="single" w:color="auto" w:sz="4" w:space="0"/>
                    <w:right w:val="single" w:color="auto" w:sz="4" w:space="0"/>
                  </w:tcBorders>
                  <w:noWrap w:val="0"/>
                  <w:vAlign w:val="center"/>
                </w:tcPr>
                <w:p w14:paraId="2F4222CA">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cs="Times New Roman"/>
                      <w:lang w:eastAsia="zh-CN"/>
                    </w:rPr>
                    <w:t>固</w:t>
                  </w:r>
                </w:p>
              </w:tc>
              <w:tc>
                <w:tcPr>
                  <w:tcW w:w="1271" w:type="pct"/>
                  <w:vMerge w:val="continue"/>
                  <w:tcBorders>
                    <w:left w:val="nil"/>
                    <w:right w:val="single" w:color="auto" w:sz="4" w:space="0"/>
                  </w:tcBorders>
                  <w:noWrap w:val="0"/>
                  <w:vAlign w:val="center"/>
                </w:tcPr>
                <w:p w14:paraId="058F6ABF">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p>
              </w:tc>
            </w:tr>
            <w:tr w14:paraId="69C1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0D4BA11D">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eastAsia="宋体" w:cs="Times New Roman"/>
                    </w:rPr>
                    <w:t>废</w:t>
                  </w:r>
                  <w:r>
                    <w:rPr>
                      <w:rFonts w:hint="default" w:ascii="Times New Roman" w:hAnsi="Times New Roman" w:cs="Times New Roman"/>
                      <w:lang w:eastAsia="zh-CN"/>
                    </w:rPr>
                    <w:t>钢丸</w:t>
                  </w:r>
                </w:p>
              </w:tc>
              <w:tc>
                <w:tcPr>
                  <w:tcW w:w="441" w:type="pct"/>
                  <w:tcBorders>
                    <w:top w:val="single" w:color="auto" w:sz="4" w:space="0"/>
                    <w:left w:val="nil"/>
                    <w:bottom w:val="single" w:color="auto" w:sz="4" w:space="0"/>
                    <w:right w:val="single" w:color="auto" w:sz="4" w:space="0"/>
                  </w:tcBorders>
                  <w:noWrap w:val="0"/>
                  <w:vAlign w:val="center"/>
                </w:tcPr>
                <w:p w14:paraId="45628F06">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eastAsia" w:cs="Times New Roman"/>
                      <w:b/>
                      <w:bCs/>
                      <w:lang w:val="en-US" w:eastAsia="zh-CN"/>
                    </w:rPr>
                    <w:t>/</w:t>
                  </w:r>
                </w:p>
              </w:tc>
              <w:tc>
                <w:tcPr>
                  <w:tcW w:w="842" w:type="pct"/>
                  <w:tcBorders>
                    <w:top w:val="single" w:color="auto" w:sz="4" w:space="0"/>
                    <w:left w:val="nil"/>
                    <w:bottom w:val="single" w:color="auto" w:sz="4" w:space="0"/>
                    <w:right w:val="single" w:color="auto" w:sz="4" w:space="0"/>
                  </w:tcBorders>
                  <w:noWrap w:val="0"/>
                  <w:vAlign w:val="center"/>
                </w:tcPr>
                <w:p w14:paraId="145B898C">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eastAsia" w:cs="Times New Roman"/>
                      <w:b/>
                      <w:bCs/>
                      <w:lang w:val="en-US" w:eastAsia="zh-CN"/>
                    </w:rPr>
                    <w:t>/</w:t>
                  </w:r>
                </w:p>
              </w:tc>
              <w:tc>
                <w:tcPr>
                  <w:tcW w:w="624" w:type="pct"/>
                  <w:tcBorders>
                    <w:top w:val="single" w:color="auto" w:sz="4" w:space="0"/>
                    <w:left w:val="nil"/>
                    <w:bottom w:val="single" w:color="auto" w:sz="4" w:space="0"/>
                    <w:right w:val="single" w:color="auto" w:sz="4" w:space="0"/>
                  </w:tcBorders>
                  <w:noWrap w:val="0"/>
                  <w:vAlign w:val="center"/>
                </w:tcPr>
                <w:p w14:paraId="7F2069B7">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eastAsia="宋体" w:cs="Times New Roman"/>
                      <w:b w:val="0"/>
                      <w:bCs w:val="0"/>
                      <w:lang w:val="en-US" w:eastAsia="zh-CN"/>
                    </w:rPr>
                  </w:pPr>
                  <w:r>
                    <w:rPr>
                      <w:rFonts w:hint="eastAsia" w:cs="Times New Roman"/>
                      <w:b w:val="0"/>
                      <w:bCs w:val="0"/>
                      <w:lang w:val="en-US" w:eastAsia="zh-CN"/>
                    </w:rPr>
                    <w:t>0.1</w:t>
                  </w:r>
                </w:p>
              </w:tc>
              <w:tc>
                <w:tcPr>
                  <w:tcW w:w="443" w:type="pct"/>
                  <w:tcBorders>
                    <w:top w:val="single" w:color="auto" w:sz="4" w:space="0"/>
                    <w:left w:val="nil"/>
                    <w:bottom w:val="single" w:color="auto" w:sz="4" w:space="0"/>
                    <w:right w:val="single" w:color="auto" w:sz="4" w:space="0"/>
                  </w:tcBorders>
                  <w:noWrap w:val="0"/>
                  <w:vAlign w:val="center"/>
                </w:tcPr>
                <w:p w14:paraId="3D76AD63">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eastAsia="宋体" w:cs="Times New Roman"/>
                    </w:rPr>
                    <w:t>生产</w:t>
                  </w:r>
                </w:p>
              </w:tc>
              <w:tc>
                <w:tcPr>
                  <w:tcW w:w="653" w:type="pct"/>
                  <w:tcBorders>
                    <w:top w:val="single" w:color="auto" w:sz="4" w:space="0"/>
                    <w:left w:val="nil"/>
                    <w:bottom w:val="single" w:color="auto" w:sz="4" w:space="0"/>
                    <w:right w:val="single" w:color="auto" w:sz="4" w:space="0"/>
                  </w:tcBorders>
                  <w:noWrap w:val="0"/>
                  <w:vAlign w:val="center"/>
                </w:tcPr>
                <w:p w14:paraId="0EBA5DA0">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r>
                    <w:rPr>
                      <w:rFonts w:hint="default" w:ascii="Times New Roman" w:hAnsi="Times New Roman" w:cs="Times New Roman"/>
                      <w:lang w:eastAsia="zh-CN"/>
                    </w:rPr>
                    <w:t>固</w:t>
                  </w:r>
                </w:p>
              </w:tc>
              <w:tc>
                <w:tcPr>
                  <w:tcW w:w="1271" w:type="pct"/>
                  <w:vMerge w:val="continue"/>
                  <w:tcBorders>
                    <w:left w:val="nil"/>
                    <w:bottom w:val="single" w:color="auto" w:sz="4" w:space="0"/>
                    <w:right w:val="single" w:color="auto" w:sz="4" w:space="0"/>
                  </w:tcBorders>
                  <w:noWrap w:val="0"/>
                  <w:vAlign w:val="center"/>
                </w:tcPr>
                <w:p w14:paraId="7ED8A1BA">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b/>
                      <w:bCs/>
                    </w:rPr>
                  </w:pPr>
                </w:p>
              </w:tc>
            </w:tr>
            <w:tr w14:paraId="4583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0395ABD8">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rPr>
                  </w:pPr>
                  <w:r>
                    <w:rPr>
                      <w:rFonts w:hint="default" w:ascii="Times New Roman" w:hAnsi="Times New Roman" w:eastAsia="宋体" w:cs="Times New Roman"/>
                    </w:rPr>
                    <w:t>废活性炭</w:t>
                  </w:r>
                </w:p>
              </w:tc>
              <w:tc>
                <w:tcPr>
                  <w:tcW w:w="441" w:type="pct"/>
                  <w:tcBorders>
                    <w:top w:val="single" w:color="auto" w:sz="4" w:space="0"/>
                    <w:left w:val="nil"/>
                    <w:bottom w:val="single" w:color="auto" w:sz="4" w:space="0"/>
                    <w:right w:val="single" w:color="auto" w:sz="4" w:space="0"/>
                  </w:tcBorders>
                  <w:noWrap w:val="0"/>
                  <w:vAlign w:val="center"/>
                </w:tcPr>
                <w:p w14:paraId="25BEE875">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szCs w:val="21"/>
                    </w:rPr>
                    <w:t>HW49</w:t>
                  </w:r>
                </w:p>
              </w:tc>
              <w:tc>
                <w:tcPr>
                  <w:tcW w:w="842" w:type="pct"/>
                  <w:tcBorders>
                    <w:top w:val="single" w:color="auto" w:sz="4" w:space="0"/>
                    <w:left w:val="nil"/>
                    <w:bottom w:val="single" w:color="auto" w:sz="4" w:space="0"/>
                    <w:right w:val="single" w:color="auto" w:sz="4" w:space="0"/>
                  </w:tcBorders>
                  <w:noWrap w:val="0"/>
                  <w:vAlign w:val="center"/>
                </w:tcPr>
                <w:p w14:paraId="5DDF8946">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szCs w:val="21"/>
                    </w:rPr>
                    <w:t>900-039-49</w:t>
                  </w:r>
                </w:p>
              </w:tc>
              <w:tc>
                <w:tcPr>
                  <w:tcW w:w="624" w:type="pct"/>
                  <w:tcBorders>
                    <w:top w:val="single" w:color="auto" w:sz="4" w:space="0"/>
                    <w:left w:val="nil"/>
                    <w:bottom w:val="single" w:color="auto" w:sz="4" w:space="0"/>
                    <w:right w:val="single" w:color="auto" w:sz="4" w:space="0"/>
                  </w:tcBorders>
                  <w:noWrap w:val="0"/>
                  <w:vAlign w:val="center"/>
                </w:tcPr>
                <w:p w14:paraId="6CD596FF">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3.27</w:t>
                  </w:r>
                </w:p>
              </w:tc>
              <w:tc>
                <w:tcPr>
                  <w:tcW w:w="443" w:type="pct"/>
                  <w:tcBorders>
                    <w:top w:val="single" w:color="auto" w:sz="4" w:space="0"/>
                    <w:left w:val="nil"/>
                    <w:bottom w:val="single" w:color="auto" w:sz="4" w:space="0"/>
                    <w:right w:val="single" w:color="auto" w:sz="4" w:space="0"/>
                  </w:tcBorders>
                  <w:noWrap w:val="0"/>
                  <w:vAlign w:val="center"/>
                </w:tcPr>
                <w:p w14:paraId="77C66708">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r>
                    <w:rPr>
                      <w:rFonts w:hint="default" w:ascii="Times New Roman" w:hAnsi="Times New Roman" w:cs="Times New Roman"/>
                      <w:color w:val="000000"/>
                      <w:szCs w:val="21"/>
                    </w:rPr>
                    <w:t>废气处理</w:t>
                  </w:r>
                </w:p>
              </w:tc>
              <w:tc>
                <w:tcPr>
                  <w:tcW w:w="653" w:type="pct"/>
                  <w:tcBorders>
                    <w:top w:val="single" w:color="auto" w:sz="4" w:space="0"/>
                    <w:left w:val="nil"/>
                    <w:bottom w:val="single" w:color="auto" w:sz="4" w:space="0"/>
                    <w:right w:val="single" w:color="auto" w:sz="4" w:space="0"/>
                  </w:tcBorders>
                  <w:noWrap w:val="0"/>
                  <w:vAlign w:val="center"/>
                </w:tcPr>
                <w:p w14:paraId="494C3E50">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eastAsia="宋体" w:cs="Times New Roman"/>
                      <w:lang w:eastAsia="zh-CN"/>
                    </w:rPr>
                  </w:pPr>
                  <w:r>
                    <w:rPr>
                      <w:rFonts w:hint="default" w:ascii="Times New Roman" w:hAnsi="Times New Roman" w:cs="Times New Roman"/>
                      <w:lang w:eastAsia="zh-CN"/>
                    </w:rPr>
                    <w:t>固</w:t>
                  </w:r>
                </w:p>
              </w:tc>
              <w:tc>
                <w:tcPr>
                  <w:tcW w:w="1271" w:type="pct"/>
                  <w:vMerge w:val="restart"/>
                  <w:tcBorders>
                    <w:top w:val="single" w:color="auto" w:sz="4" w:space="0"/>
                    <w:left w:val="nil"/>
                    <w:right w:val="single" w:color="auto" w:sz="4" w:space="0"/>
                  </w:tcBorders>
                  <w:noWrap w:val="0"/>
                  <w:vAlign w:val="center"/>
                </w:tcPr>
                <w:p w14:paraId="185F78A1">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r>
                    <w:rPr>
                      <w:rFonts w:hint="default" w:ascii="Times New Roman" w:hAnsi="Times New Roman" w:cs="Times New Roman"/>
                      <w:szCs w:val="21"/>
                    </w:rPr>
                    <w:t>暂存危废间委托有资质单位处理</w:t>
                  </w:r>
                </w:p>
              </w:tc>
            </w:tr>
            <w:tr w14:paraId="2C65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2102A43E">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rPr>
                  </w:pPr>
                  <w:r>
                    <w:rPr>
                      <w:rFonts w:hint="default" w:ascii="Times New Roman" w:hAnsi="Times New Roman" w:eastAsia="宋体" w:cs="Times New Roman"/>
                    </w:rPr>
                    <w:t>废过滤棉</w:t>
                  </w:r>
                </w:p>
              </w:tc>
              <w:tc>
                <w:tcPr>
                  <w:tcW w:w="441" w:type="pct"/>
                  <w:tcBorders>
                    <w:top w:val="single" w:color="auto" w:sz="4" w:space="0"/>
                    <w:left w:val="nil"/>
                    <w:bottom w:val="single" w:color="auto" w:sz="4" w:space="0"/>
                    <w:right w:val="single" w:color="auto" w:sz="4" w:space="0"/>
                  </w:tcBorders>
                  <w:noWrap w:val="0"/>
                  <w:vAlign w:val="center"/>
                </w:tcPr>
                <w:p w14:paraId="4C086BA6">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szCs w:val="21"/>
                    </w:rPr>
                    <w:t>HW49</w:t>
                  </w:r>
                </w:p>
              </w:tc>
              <w:tc>
                <w:tcPr>
                  <w:tcW w:w="842" w:type="pct"/>
                  <w:tcBorders>
                    <w:top w:val="single" w:color="auto" w:sz="4" w:space="0"/>
                    <w:left w:val="nil"/>
                    <w:bottom w:val="single" w:color="auto" w:sz="4" w:space="0"/>
                    <w:right w:val="single" w:color="auto" w:sz="4" w:space="0"/>
                  </w:tcBorders>
                  <w:noWrap w:val="0"/>
                  <w:vAlign w:val="center"/>
                </w:tcPr>
                <w:p w14:paraId="3CE448C7">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szCs w:val="21"/>
                    </w:rPr>
                    <w:t>900-041-49</w:t>
                  </w:r>
                </w:p>
              </w:tc>
              <w:tc>
                <w:tcPr>
                  <w:tcW w:w="624" w:type="pct"/>
                  <w:tcBorders>
                    <w:top w:val="single" w:color="auto" w:sz="4" w:space="0"/>
                    <w:left w:val="nil"/>
                    <w:bottom w:val="single" w:color="auto" w:sz="4" w:space="0"/>
                    <w:right w:val="single" w:color="auto" w:sz="4" w:space="0"/>
                  </w:tcBorders>
                  <w:noWrap w:val="0"/>
                  <w:vAlign w:val="center"/>
                </w:tcPr>
                <w:p w14:paraId="1B47B39B">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w:t>
                  </w:r>
                </w:p>
              </w:tc>
              <w:tc>
                <w:tcPr>
                  <w:tcW w:w="443" w:type="pct"/>
                  <w:tcBorders>
                    <w:top w:val="single" w:color="auto" w:sz="4" w:space="0"/>
                    <w:left w:val="nil"/>
                    <w:bottom w:val="single" w:color="auto" w:sz="4" w:space="0"/>
                    <w:right w:val="single" w:color="auto" w:sz="4" w:space="0"/>
                  </w:tcBorders>
                  <w:noWrap w:val="0"/>
                  <w:vAlign w:val="center"/>
                </w:tcPr>
                <w:p w14:paraId="1A155345">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r>
                    <w:rPr>
                      <w:rFonts w:hint="default" w:ascii="Times New Roman" w:hAnsi="Times New Roman" w:cs="Times New Roman"/>
                      <w:color w:val="000000"/>
                      <w:szCs w:val="21"/>
                    </w:rPr>
                    <w:t>废气处理</w:t>
                  </w:r>
                </w:p>
              </w:tc>
              <w:tc>
                <w:tcPr>
                  <w:tcW w:w="653" w:type="pct"/>
                  <w:tcBorders>
                    <w:top w:val="single" w:color="auto" w:sz="4" w:space="0"/>
                    <w:left w:val="nil"/>
                    <w:bottom w:val="single" w:color="auto" w:sz="4" w:space="0"/>
                    <w:right w:val="single" w:color="auto" w:sz="4" w:space="0"/>
                  </w:tcBorders>
                  <w:noWrap w:val="0"/>
                  <w:vAlign w:val="center"/>
                </w:tcPr>
                <w:p w14:paraId="1C4E781E">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r>
                    <w:rPr>
                      <w:rFonts w:hint="default" w:ascii="Times New Roman" w:hAnsi="Times New Roman" w:cs="Times New Roman"/>
                      <w:lang w:eastAsia="zh-CN"/>
                    </w:rPr>
                    <w:t>固</w:t>
                  </w:r>
                </w:p>
              </w:tc>
              <w:tc>
                <w:tcPr>
                  <w:tcW w:w="1271" w:type="pct"/>
                  <w:vMerge w:val="continue"/>
                  <w:tcBorders>
                    <w:left w:val="nil"/>
                    <w:right w:val="single" w:color="auto" w:sz="4" w:space="0"/>
                  </w:tcBorders>
                  <w:noWrap w:val="0"/>
                  <w:vAlign w:val="center"/>
                </w:tcPr>
                <w:p w14:paraId="57C20CAF">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p>
              </w:tc>
            </w:tr>
            <w:tr w14:paraId="0849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584749D4">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rPr>
                  </w:pPr>
                  <w:r>
                    <w:rPr>
                      <w:rFonts w:hint="default" w:ascii="Times New Roman" w:hAnsi="Times New Roman" w:cs="Times New Roman"/>
                      <w:color w:val="000000"/>
                      <w:szCs w:val="21"/>
                    </w:rPr>
                    <w:t>废机油</w:t>
                  </w:r>
                </w:p>
              </w:tc>
              <w:tc>
                <w:tcPr>
                  <w:tcW w:w="441" w:type="pct"/>
                  <w:tcBorders>
                    <w:top w:val="single" w:color="auto" w:sz="4" w:space="0"/>
                    <w:left w:val="nil"/>
                    <w:bottom w:val="single" w:color="auto" w:sz="4" w:space="0"/>
                    <w:right w:val="single" w:color="auto" w:sz="4" w:space="0"/>
                  </w:tcBorders>
                  <w:noWrap w:val="0"/>
                  <w:vAlign w:val="center"/>
                </w:tcPr>
                <w:p w14:paraId="6F306E0F">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szCs w:val="21"/>
                    </w:rPr>
                    <w:t>HW08</w:t>
                  </w:r>
                </w:p>
              </w:tc>
              <w:tc>
                <w:tcPr>
                  <w:tcW w:w="842" w:type="pct"/>
                  <w:tcBorders>
                    <w:top w:val="single" w:color="auto" w:sz="4" w:space="0"/>
                    <w:left w:val="nil"/>
                    <w:bottom w:val="single" w:color="auto" w:sz="4" w:space="0"/>
                    <w:right w:val="single" w:color="auto" w:sz="4" w:space="0"/>
                  </w:tcBorders>
                  <w:noWrap w:val="0"/>
                  <w:vAlign w:val="center"/>
                </w:tcPr>
                <w:p w14:paraId="454B3701">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rPr>
                  </w:pPr>
                  <w:r>
                    <w:rPr>
                      <w:rFonts w:hint="default" w:ascii="Times New Roman" w:hAnsi="Times New Roman" w:cs="Times New Roman"/>
                      <w:color w:val="000000"/>
                      <w:szCs w:val="21"/>
                    </w:rPr>
                    <w:t>900-214-08</w:t>
                  </w:r>
                </w:p>
              </w:tc>
              <w:tc>
                <w:tcPr>
                  <w:tcW w:w="624" w:type="pct"/>
                  <w:tcBorders>
                    <w:top w:val="single" w:color="auto" w:sz="4" w:space="0"/>
                    <w:left w:val="nil"/>
                    <w:bottom w:val="single" w:color="auto" w:sz="4" w:space="0"/>
                    <w:right w:val="single" w:color="auto" w:sz="4" w:space="0"/>
                  </w:tcBorders>
                  <w:noWrap w:val="0"/>
                  <w:vAlign w:val="center"/>
                </w:tcPr>
                <w:p w14:paraId="38F97FA7">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0.5</w:t>
                  </w:r>
                </w:p>
              </w:tc>
              <w:tc>
                <w:tcPr>
                  <w:tcW w:w="443" w:type="pct"/>
                  <w:tcBorders>
                    <w:top w:val="single" w:color="auto" w:sz="4" w:space="0"/>
                    <w:left w:val="nil"/>
                    <w:bottom w:val="single" w:color="auto" w:sz="4" w:space="0"/>
                    <w:right w:val="single" w:color="auto" w:sz="4" w:space="0"/>
                  </w:tcBorders>
                  <w:noWrap w:val="0"/>
                  <w:vAlign w:val="center"/>
                </w:tcPr>
                <w:p w14:paraId="7EC32D65">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szCs w:val="21"/>
                    </w:rPr>
                  </w:pPr>
                  <w:r>
                    <w:rPr>
                      <w:rFonts w:hint="default" w:ascii="Times New Roman" w:hAnsi="Times New Roman" w:cs="Times New Roman"/>
                      <w:color w:val="000000"/>
                      <w:szCs w:val="21"/>
                    </w:rPr>
                    <w:t>设备维修</w:t>
                  </w:r>
                </w:p>
              </w:tc>
              <w:tc>
                <w:tcPr>
                  <w:tcW w:w="653" w:type="pct"/>
                  <w:tcBorders>
                    <w:top w:val="single" w:color="auto" w:sz="4" w:space="0"/>
                    <w:left w:val="nil"/>
                    <w:bottom w:val="single" w:color="auto" w:sz="4" w:space="0"/>
                    <w:right w:val="single" w:color="auto" w:sz="4" w:space="0"/>
                  </w:tcBorders>
                  <w:noWrap w:val="0"/>
                  <w:vAlign w:val="center"/>
                </w:tcPr>
                <w:p w14:paraId="0CEAEC03">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eastAsia="宋体" w:cs="Times New Roman"/>
                      <w:lang w:eastAsia="zh-CN"/>
                    </w:rPr>
                  </w:pPr>
                  <w:r>
                    <w:rPr>
                      <w:rFonts w:hint="default" w:ascii="Times New Roman" w:hAnsi="Times New Roman" w:cs="Times New Roman"/>
                      <w:lang w:eastAsia="zh-CN"/>
                    </w:rPr>
                    <w:t>液</w:t>
                  </w:r>
                </w:p>
              </w:tc>
              <w:tc>
                <w:tcPr>
                  <w:tcW w:w="1271" w:type="pct"/>
                  <w:vMerge w:val="continue"/>
                  <w:tcBorders>
                    <w:left w:val="nil"/>
                    <w:right w:val="single" w:color="auto" w:sz="4" w:space="0"/>
                  </w:tcBorders>
                  <w:noWrap w:val="0"/>
                  <w:vAlign w:val="center"/>
                </w:tcPr>
                <w:p w14:paraId="53265C21">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p>
              </w:tc>
            </w:tr>
            <w:tr w14:paraId="4AC0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447C060E">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rPr>
                  </w:pPr>
                  <w:r>
                    <w:rPr>
                      <w:rFonts w:hint="default" w:ascii="Times New Roman" w:hAnsi="Times New Roman" w:cs="Times New Roman"/>
                      <w:color w:val="000000"/>
                      <w:szCs w:val="21"/>
                    </w:rPr>
                    <w:t>废液压油</w:t>
                  </w:r>
                </w:p>
              </w:tc>
              <w:tc>
                <w:tcPr>
                  <w:tcW w:w="441" w:type="pct"/>
                  <w:tcBorders>
                    <w:top w:val="single" w:color="auto" w:sz="4" w:space="0"/>
                    <w:left w:val="nil"/>
                    <w:bottom w:val="single" w:color="auto" w:sz="4" w:space="0"/>
                    <w:right w:val="single" w:color="auto" w:sz="4" w:space="0"/>
                  </w:tcBorders>
                  <w:noWrap w:val="0"/>
                  <w:vAlign w:val="center"/>
                </w:tcPr>
                <w:p w14:paraId="3B7E08B3">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szCs w:val="21"/>
                    </w:rPr>
                    <w:t>HW08</w:t>
                  </w:r>
                </w:p>
              </w:tc>
              <w:tc>
                <w:tcPr>
                  <w:tcW w:w="842" w:type="pct"/>
                  <w:tcBorders>
                    <w:top w:val="single" w:color="auto" w:sz="4" w:space="0"/>
                    <w:left w:val="nil"/>
                    <w:bottom w:val="single" w:color="auto" w:sz="4" w:space="0"/>
                    <w:right w:val="single" w:color="auto" w:sz="4" w:space="0"/>
                  </w:tcBorders>
                  <w:noWrap w:val="0"/>
                  <w:vAlign w:val="center"/>
                </w:tcPr>
                <w:p w14:paraId="60E29F1D">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rPr>
                  </w:pPr>
                  <w:r>
                    <w:rPr>
                      <w:rFonts w:hint="default" w:ascii="Times New Roman" w:hAnsi="Times New Roman" w:cs="Times New Roman"/>
                      <w:color w:val="000000"/>
                      <w:szCs w:val="21"/>
                    </w:rPr>
                    <w:t>900-218-08</w:t>
                  </w:r>
                </w:p>
              </w:tc>
              <w:tc>
                <w:tcPr>
                  <w:tcW w:w="624" w:type="pct"/>
                  <w:tcBorders>
                    <w:top w:val="single" w:color="auto" w:sz="4" w:space="0"/>
                    <w:left w:val="nil"/>
                    <w:bottom w:val="single" w:color="auto" w:sz="4" w:space="0"/>
                    <w:right w:val="single" w:color="auto" w:sz="4" w:space="0"/>
                  </w:tcBorders>
                  <w:noWrap w:val="0"/>
                  <w:vAlign w:val="center"/>
                </w:tcPr>
                <w:p w14:paraId="2DF20176">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w:t>
                  </w:r>
                </w:p>
              </w:tc>
              <w:tc>
                <w:tcPr>
                  <w:tcW w:w="443" w:type="pct"/>
                  <w:tcBorders>
                    <w:top w:val="single" w:color="auto" w:sz="4" w:space="0"/>
                    <w:left w:val="nil"/>
                    <w:bottom w:val="single" w:color="auto" w:sz="4" w:space="0"/>
                    <w:right w:val="single" w:color="auto" w:sz="4" w:space="0"/>
                  </w:tcBorders>
                  <w:noWrap w:val="0"/>
                  <w:vAlign w:val="center"/>
                </w:tcPr>
                <w:p w14:paraId="3BA14AF9">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szCs w:val="21"/>
                    </w:rPr>
                  </w:pPr>
                  <w:bookmarkStart w:id="32" w:name="OLE_LINK20"/>
                  <w:r>
                    <w:rPr>
                      <w:rFonts w:hint="default" w:ascii="Times New Roman" w:hAnsi="Times New Roman" w:cs="Times New Roman"/>
                      <w:color w:val="000000"/>
                      <w:szCs w:val="21"/>
                    </w:rPr>
                    <w:t>机加工工序</w:t>
                  </w:r>
                  <w:bookmarkEnd w:id="32"/>
                </w:p>
              </w:tc>
              <w:tc>
                <w:tcPr>
                  <w:tcW w:w="653" w:type="pct"/>
                  <w:tcBorders>
                    <w:top w:val="single" w:color="auto" w:sz="4" w:space="0"/>
                    <w:left w:val="nil"/>
                    <w:bottom w:val="single" w:color="auto" w:sz="4" w:space="0"/>
                    <w:right w:val="single" w:color="auto" w:sz="4" w:space="0"/>
                  </w:tcBorders>
                  <w:noWrap w:val="0"/>
                  <w:vAlign w:val="center"/>
                </w:tcPr>
                <w:p w14:paraId="2AA4C826">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r>
                    <w:rPr>
                      <w:rFonts w:hint="default" w:ascii="Times New Roman" w:hAnsi="Times New Roman" w:cs="Times New Roman"/>
                      <w:lang w:eastAsia="zh-CN"/>
                    </w:rPr>
                    <w:t>液</w:t>
                  </w:r>
                </w:p>
              </w:tc>
              <w:tc>
                <w:tcPr>
                  <w:tcW w:w="1271" w:type="pct"/>
                  <w:vMerge w:val="continue"/>
                  <w:tcBorders>
                    <w:left w:val="nil"/>
                    <w:right w:val="single" w:color="auto" w:sz="4" w:space="0"/>
                  </w:tcBorders>
                  <w:noWrap w:val="0"/>
                  <w:vAlign w:val="center"/>
                </w:tcPr>
                <w:p w14:paraId="6A0CD079">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p>
              </w:tc>
            </w:tr>
            <w:tr w14:paraId="750B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422CF20E">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rPr>
                  </w:pPr>
                  <w:r>
                    <w:rPr>
                      <w:rFonts w:hint="default" w:ascii="Times New Roman" w:hAnsi="Times New Roman" w:cs="Times New Roman"/>
                      <w:color w:val="000000"/>
                      <w:szCs w:val="21"/>
                    </w:rPr>
                    <w:t>废油桶</w:t>
                  </w:r>
                </w:p>
              </w:tc>
              <w:tc>
                <w:tcPr>
                  <w:tcW w:w="441" w:type="pct"/>
                  <w:tcBorders>
                    <w:top w:val="single" w:color="auto" w:sz="4" w:space="0"/>
                    <w:left w:val="nil"/>
                    <w:bottom w:val="single" w:color="auto" w:sz="4" w:space="0"/>
                    <w:right w:val="single" w:color="auto" w:sz="4" w:space="0"/>
                  </w:tcBorders>
                  <w:noWrap w:val="0"/>
                  <w:vAlign w:val="center"/>
                </w:tcPr>
                <w:p w14:paraId="08A58A61">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szCs w:val="21"/>
                    </w:rPr>
                    <w:t>HW08</w:t>
                  </w:r>
                </w:p>
              </w:tc>
              <w:tc>
                <w:tcPr>
                  <w:tcW w:w="842" w:type="pct"/>
                  <w:tcBorders>
                    <w:top w:val="single" w:color="auto" w:sz="4" w:space="0"/>
                    <w:left w:val="nil"/>
                    <w:bottom w:val="single" w:color="auto" w:sz="4" w:space="0"/>
                    <w:right w:val="single" w:color="auto" w:sz="4" w:space="0"/>
                  </w:tcBorders>
                  <w:noWrap w:val="0"/>
                  <w:vAlign w:val="center"/>
                </w:tcPr>
                <w:p w14:paraId="2D528F01">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rPr>
                  </w:pPr>
                  <w:r>
                    <w:rPr>
                      <w:rFonts w:hint="default" w:ascii="Times New Roman" w:hAnsi="Times New Roman" w:cs="Times New Roman"/>
                      <w:color w:val="000000"/>
                      <w:kern w:val="0"/>
                      <w:szCs w:val="21"/>
                    </w:rPr>
                    <w:t>900-249-08</w:t>
                  </w:r>
                </w:p>
              </w:tc>
              <w:tc>
                <w:tcPr>
                  <w:tcW w:w="624" w:type="pct"/>
                  <w:tcBorders>
                    <w:top w:val="single" w:color="auto" w:sz="4" w:space="0"/>
                    <w:left w:val="nil"/>
                    <w:bottom w:val="single" w:color="auto" w:sz="4" w:space="0"/>
                    <w:right w:val="single" w:color="auto" w:sz="4" w:space="0"/>
                  </w:tcBorders>
                  <w:noWrap w:val="0"/>
                  <w:vAlign w:val="center"/>
                </w:tcPr>
                <w:p w14:paraId="78055B36">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0.18</w:t>
                  </w:r>
                </w:p>
              </w:tc>
              <w:tc>
                <w:tcPr>
                  <w:tcW w:w="443" w:type="pct"/>
                  <w:tcBorders>
                    <w:top w:val="single" w:color="auto" w:sz="4" w:space="0"/>
                    <w:left w:val="nil"/>
                    <w:bottom w:val="single" w:color="auto" w:sz="4" w:space="0"/>
                    <w:right w:val="single" w:color="auto" w:sz="4" w:space="0"/>
                  </w:tcBorders>
                  <w:noWrap w:val="0"/>
                  <w:vAlign w:val="center"/>
                </w:tcPr>
                <w:p w14:paraId="0BBF91C1">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szCs w:val="21"/>
                    </w:rPr>
                  </w:pPr>
                  <w:r>
                    <w:rPr>
                      <w:rFonts w:hint="default" w:ascii="Times New Roman" w:hAnsi="Times New Roman" w:cs="Times New Roman"/>
                      <w:color w:val="000000"/>
                      <w:szCs w:val="21"/>
                    </w:rPr>
                    <w:t>机加工工序</w:t>
                  </w:r>
                </w:p>
              </w:tc>
              <w:tc>
                <w:tcPr>
                  <w:tcW w:w="653" w:type="pct"/>
                  <w:tcBorders>
                    <w:top w:val="single" w:color="auto" w:sz="4" w:space="0"/>
                    <w:left w:val="nil"/>
                    <w:bottom w:val="single" w:color="auto" w:sz="4" w:space="0"/>
                    <w:right w:val="single" w:color="auto" w:sz="4" w:space="0"/>
                  </w:tcBorders>
                  <w:noWrap w:val="0"/>
                  <w:vAlign w:val="center"/>
                </w:tcPr>
                <w:p w14:paraId="31090113">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r>
                    <w:rPr>
                      <w:rFonts w:hint="default" w:ascii="Times New Roman" w:hAnsi="Times New Roman" w:cs="Times New Roman"/>
                      <w:lang w:eastAsia="zh-CN"/>
                    </w:rPr>
                    <w:t>固</w:t>
                  </w:r>
                </w:p>
              </w:tc>
              <w:tc>
                <w:tcPr>
                  <w:tcW w:w="1271" w:type="pct"/>
                  <w:vMerge w:val="continue"/>
                  <w:tcBorders>
                    <w:left w:val="nil"/>
                    <w:right w:val="single" w:color="auto" w:sz="4" w:space="0"/>
                  </w:tcBorders>
                  <w:noWrap w:val="0"/>
                  <w:vAlign w:val="center"/>
                </w:tcPr>
                <w:p w14:paraId="68FA2B66">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p>
              </w:tc>
            </w:tr>
            <w:tr w14:paraId="139D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1C41269D">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rPr>
                  </w:pPr>
                  <w:r>
                    <w:rPr>
                      <w:rFonts w:hint="default" w:ascii="Times New Roman" w:hAnsi="Times New Roman" w:cs="Times New Roman"/>
                      <w:color w:val="000000"/>
                      <w:szCs w:val="21"/>
                    </w:rPr>
                    <w:t>废乳化液</w:t>
                  </w:r>
                </w:p>
              </w:tc>
              <w:tc>
                <w:tcPr>
                  <w:tcW w:w="441" w:type="pct"/>
                  <w:tcBorders>
                    <w:top w:val="single" w:color="auto" w:sz="4" w:space="0"/>
                    <w:left w:val="nil"/>
                    <w:bottom w:val="single" w:color="auto" w:sz="4" w:space="0"/>
                    <w:right w:val="single" w:color="auto" w:sz="4" w:space="0"/>
                  </w:tcBorders>
                  <w:noWrap w:val="0"/>
                  <w:vAlign w:val="center"/>
                </w:tcPr>
                <w:p w14:paraId="0D4D742E">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kern w:val="0"/>
                      <w:szCs w:val="21"/>
                    </w:rPr>
                    <w:t>HW09</w:t>
                  </w:r>
                </w:p>
              </w:tc>
              <w:tc>
                <w:tcPr>
                  <w:tcW w:w="842" w:type="pct"/>
                  <w:tcBorders>
                    <w:top w:val="single" w:color="auto" w:sz="4" w:space="0"/>
                    <w:left w:val="nil"/>
                    <w:bottom w:val="single" w:color="auto" w:sz="4" w:space="0"/>
                    <w:right w:val="single" w:color="auto" w:sz="4" w:space="0"/>
                  </w:tcBorders>
                  <w:noWrap w:val="0"/>
                  <w:vAlign w:val="center"/>
                </w:tcPr>
                <w:p w14:paraId="66974A71">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rPr>
                  </w:pPr>
                  <w:r>
                    <w:rPr>
                      <w:rFonts w:hint="default" w:ascii="Times New Roman" w:hAnsi="Times New Roman" w:cs="Times New Roman"/>
                      <w:color w:val="000000"/>
                      <w:kern w:val="0"/>
                      <w:szCs w:val="21"/>
                    </w:rPr>
                    <w:t>900-006-09</w:t>
                  </w:r>
                </w:p>
              </w:tc>
              <w:tc>
                <w:tcPr>
                  <w:tcW w:w="624" w:type="pct"/>
                  <w:tcBorders>
                    <w:top w:val="single" w:color="auto" w:sz="4" w:space="0"/>
                    <w:left w:val="nil"/>
                    <w:bottom w:val="single" w:color="auto" w:sz="4" w:space="0"/>
                    <w:right w:val="single" w:color="auto" w:sz="4" w:space="0"/>
                  </w:tcBorders>
                  <w:noWrap w:val="0"/>
                  <w:vAlign w:val="center"/>
                </w:tcPr>
                <w:p w14:paraId="60E62E32">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0.2</w:t>
                  </w:r>
                </w:p>
              </w:tc>
              <w:tc>
                <w:tcPr>
                  <w:tcW w:w="443" w:type="pct"/>
                  <w:tcBorders>
                    <w:top w:val="single" w:color="auto" w:sz="4" w:space="0"/>
                    <w:left w:val="nil"/>
                    <w:bottom w:val="single" w:color="auto" w:sz="4" w:space="0"/>
                    <w:right w:val="single" w:color="auto" w:sz="4" w:space="0"/>
                  </w:tcBorders>
                  <w:noWrap w:val="0"/>
                  <w:vAlign w:val="center"/>
                </w:tcPr>
                <w:p w14:paraId="6B02334A">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szCs w:val="21"/>
                    </w:rPr>
                  </w:pPr>
                  <w:r>
                    <w:rPr>
                      <w:rFonts w:hint="default" w:ascii="Times New Roman" w:hAnsi="Times New Roman" w:cs="Times New Roman"/>
                      <w:color w:val="000000"/>
                      <w:szCs w:val="21"/>
                    </w:rPr>
                    <w:t>机加工工序</w:t>
                  </w:r>
                </w:p>
              </w:tc>
              <w:tc>
                <w:tcPr>
                  <w:tcW w:w="653" w:type="pct"/>
                  <w:tcBorders>
                    <w:top w:val="single" w:color="auto" w:sz="4" w:space="0"/>
                    <w:left w:val="nil"/>
                    <w:bottom w:val="single" w:color="auto" w:sz="4" w:space="0"/>
                    <w:right w:val="single" w:color="auto" w:sz="4" w:space="0"/>
                  </w:tcBorders>
                  <w:noWrap w:val="0"/>
                  <w:vAlign w:val="center"/>
                </w:tcPr>
                <w:p w14:paraId="35E646BE">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r>
                    <w:rPr>
                      <w:rFonts w:hint="default" w:ascii="Times New Roman" w:hAnsi="Times New Roman" w:cs="Times New Roman"/>
                      <w:lang w:eastAsia="zh-CN"/>
                    </w:rPr>
                    <w:t>液</w:t>
                  </w:r>
                </w:p>
              </w:tc>
              <w:tc>
                <w:tcPr>
                  <w:tcW w:w="1271" w:type="pct"/>
                  <w:vMerge w:val="continue"/>
                  <w:tcBorders>
                    <w:left w:val="nil"/>
                    <w:right w:val="single" w:color="auto" w:sz="4" w:space="0"/>
                  </w:tcBorders>
                  <w:noWrap w:val="0"/>
                  <w:vAlign w:val="center"/>
                </w:tcPr>
                <w:p w14:paraId="29E3B99F">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p>
              </w:tc>
            </w:tr>
            <w:tr w14:paraId="7F9F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6814E4FF">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rPr>
                  </w:pPr>
                  <w:r>
                    <w:rPr>
                      <w:rFonts w:hint="default" w:ascii="Times New Roman" w:hAnsi="Times New Roman" w:cs="Times New Roman"/>
                      <w:color w:val="000000"/>
                      <w:szCs w:val="21"/>
                      <w:lang w:eastAsia="zh-CN"/>
                    </w:rPr>
                    <w:t>含油抹布及废手套</w:t>
                  </w:r>
                </w:p>
              </w:tc>
              <w:tc>
                <w:tcPr>
                  <w:tcW w:w="441" w:type="pct"/>
                  <w:tcBorders>
                    <w:top w:val="single" w:color="auto" w:sz="4" w:space="0"/>
                    <w:left w:val="nil"/>
                    <w:bottom w:val="single" w:color="auto" w:sz="4" w:space="0"/>
                    <w:right w:val="single" w:color="auto" w:sz="4" w:space="0"/>
                  </w:tcBorders>
                  <w:noWrap w:val="0"/>
                  <w:vAlign w:val="center"/>
                </w:tcPr>
                <w:p w14:paraId="13E8FC89">
                  <w:pPr>
                    <w:keepNext w:val="0"/>
                    <w:keepLines w:val="0"/>
                    <w:pageBreakBefore w:val="0"/>
                    <w:widowControl w:val="0"/>
                    <w:kinsoku/>
                    <w:wordWrap/>
                    <w:overflowPunct/>
                    <w:topLinePunct w:val="0"/>
                    <w:autoSpaceDE w:val="0"/>
                    <w:autoSpaceDN w:val="0"/>
                    <w:bidi w:val="0"/>
                    <w:adjustRightInd/>
                    <w:snapToGrid/>
                    <w:spacing w:line="240" w:lineRule="auto"/>
                    <w:ind w:right="0"/>
                    <w:jc w:val="center"/>
                    <w:textAlignment w:val="top"/>
                    <w:rPr>
                      <w:rFonts w:hint="default" w:ascii="Times New Roman" w:hAnsi="Times New Roman" w:eastAsia="宋体" w:cs="Times New Roman"/>
                    </w:rPr>
                  </w:pPr>
                  <w:r>
                    <w:rPr>
                      <w:rFonts w:hint="default" w:ascii="Times New Roman" w:hAnsi="Times New Roman" w:eastAsia="TimesNewRomanPSMT" w:cs="Times New Roman"/>
                      <w:color w:val="auto"/>
                      <w:sz w:val="21"/>
                      <w:szCs w:val="21"/>
                      <w:highlight w:val="none"/>
                    </w:rPr>
                    <w:t>HW08</w:t>
                  </w:r>
                </w:p>
              </w:tc>
              <w:tc>
                <w:tcPr>
                  <w:tcW w:w="842" w:type="pct"/>
                  <w:tcBorders>
                    <w:top w:val="single" w:color="auto" w:sz="4" w:space="0"/>
                    <w:left w:val="nil"/>
                    <w:bottom w:val="single" w:color="auto" w:sz="4" w:space="0"/>
                    <w:right w:val="single" w:color="auto" w:sz="4" w:space="0"/>
                  </w:tcBorders>
                  <w:noWrap w:val="0"/>
                  <w:vAlign w:val="center"/>
                </w:tcPr>
                <w:p w14:paraId="0E24E8B7">
                  <w:pPr>
                    <w:keepNext w:val="0"/>
                    <w:keepLines w:val="0"/>
                    <w:pageBreakBefore w:val="0"/>
                    <w:widowControl w:val="0"/>
                    <w:kinsoku/>
                    <w:wordWrap/>
                    <w:overflowPunct/>
                    <w:topLinePunct w:val="0"/>
                    <w:bidi w:val="0"/>
                    <w:adjustRightInd/>
                    <w:snapToGrid/>
                    <w:spacing w:line="240" w:lineRule="auto"/>
                    <w:ind w:right="0"/>
                    <w:jc w:val="center"/>
                    <w:rPr>
                      <w:rFonts w:hint="default" w:ascii="Times New Roman" w:hAnsi="Times New Roman" w:eastAsia="宋体" w:cs="Times New Roman"/>
                    </w:rPr>
                  </w:pPr>
                  <w:r>
                    <w:rPr>
                      <w:rFonts w:hint="default" w:ascii="Times New Roman" w:hAnsi="Times New Roman" w:eastAsia="TimesNewRomanPSMT" w:cs="Times New Roman"/>
                      <w:color w:val="auto"/>
                      <w:sz w:val="21"/>
                      <w:szCs w:val="21"/>
                      <w:highlight w:val="none"/>
                    </w:rPr>
                    <w:t>900-249-08</w:t>
                  </w:r>
                </w:p>
              </w:tc>
              <w:tc>
                <w:tcPr>
                  <w:tcW w:w="624" w:type="pct"/>
                  <w:tcBorders>
                    <w:top w:val="single" w:color="auto" w:sz="4" w:space="0"/>
                    <w:left w:val="nil"/>
                    <w:bottom w:val="single" w:color="auto" w:sz="4" w:space="0"/>
                    <w:right w:val="single" w:color="auto" w:sz="4" w:space="0"/>
                  </w:tcBorders>
                  <w:noWrap w:val="0"/>
                  <w:vAlign w:val="center"/>
                </w:tcPr>
                <w:p w14:paraId="558B2FBC">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0.02</w:t>
                  </w:r>
                </w:p>
              </w:tc>
              <w:tc>
                <w:tcPr>
                  <w:tcW w:w="443" w:type="pct"/>
                  <w:tcBorders>
                    <w:top w:val="single" w:color="auto" w:sz="4" w:space="0"/>
                    <w:left w:val="nil"/>
                    <w:bottom w:val="single" w:color="auto" w:sz="4" w:space="0"/>
                    <w:right w:val="single" w:color="auto" w:sz="4" w:space="0"/>
                  </w:tcBorders>
                  <w:noWrap w:val="0"/>
                  <w:vAlign w:val="center"/>
                </w:tcPr>
                <w:p w14:paraId="3CAE447F">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szCs w:val="21"/>
                    </w:rPr>
                  </w:pPr>
                  <w:r>
                    <w:rPr>
                      <w:rFonts w:hint="default" w:ascii="Times New Roman" w:hAnsi="Times New Roman" w:cs="Times New Roman"/>
                      <w:color w:val="auto"/>
                      <w:sz w:val="21"/>
                      <w:szCs w:val="21"/>
                      <w:highlight w:val="none"/>
                    </w:rPr>
                    <w:t>设备维修</w:t>
                  </w:r>
                </w:p>
              </w:tc>
              <w:tc>
                <w:tcPr>
                  <w:tcW w:w="653" w:type="pct"/>
                  <w:tcBorders>
                    <w:top w:val="single" w:color="auto" w:sz="4" w:space="0"/>
                    <w:left w:val="nil"/>
                    <w:bottom w:val="single" w:color="auto" w:sz="4" w:space="0"/>
                    <w:right w:val="single" w:color="auto" w:sz="4" w:space="0"/>
                  </w:tcBorders>
                  <w:noWrap w:val="0"/>
                  <w:vAlign w:val="center"/>
                </w:tcPr>
                <w:p w14:paraId="69F6AE3A">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r>
                    <w:rPr>
                      <w:rFonts w:hint="default" w:ascii="Times New Roman" w:hAnsi="Times New Roman" w:cs="Times New Roman"/>
                      <w:lang w:eastAsia="zh-CN"/>
                    </w:rPr>
                    <w:t>固</w:t>
                  </w:r>
                </w:p>
              </w:tc>
              <w:tc>
                <w:tcPr>
                  <w:tcW w:w="1271" w:type="pct"/>
                  <w:vMerge w:val="continue"/>
                  <w:tcBorders>
                    <w:left w:val="nil"/>
                    <w:right w:val="single" w:color="auto" w:sz="4" w:space="0"/>
                  </w:tcBorders>
                  <w:noWrap w:val="0"/>
                  <w:vAlign w:val="center"/>
                </w:tcPr>
                <w:p w14:paraId="12437CE0">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p>
              </w:tc>
            </w:tr>
            <w:tr w14:paraId="08FF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7D336CA7">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cs="Times New Roman"/>
                      <w:color w:val="000000"/>
                      <w:szCs w:val="21"/>
                      <w:lang w:eastAsia="zh-CN"/>
                    </w:rPr>
                  </w:pPr>
                  <w:r>
                    <w:rPr>
                      <w:rFonts w:hint="default" w:ascii="Times New Roman" w:hAnsi="Times New Roman" w:cs="Times New Roman"/>
                      <w:lang w:eastAsia="zh-CN"/>
                    </w:rPr>
                    <w:t>漆渣</w:t>
                  </w:r>
                </w:p>
              </w:tc>
              <w:tc>
                <w:tcPr>
                  <w:tcW w:w="441" w:type="pct"/>
                  <w:tcBorders>
                    <w:top w:val="single" w:color="auto" w:sz="4" w:space="0"/>
                    <w:left w:val="nil"/>
                    <w:bottom w:val="single" w:color="auto" w:sz="4" w:space="0"/>
                    <w:right w:val="single" w:color="auto" w:sz="4" w:space="0"/>
                  </w:tcBorders>
                  <w:noWrap w:val="0"/>
                  <w:vAlign w:val="center"/>
                </w:tcPr>
                <w:p w14:paraId="11610F1D">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szCs w:val="21"/>
                    </w:rPr>
                    <w:t>HW12</w:t>
                  </w:r>
                </w:p>
              </w:tc>
              <w:tc>
                <w:tcPr>
                  <w:tcW w:w="842" w:type="pct"/>
                  <w:tcBorders>
                    <w:top w:val="single" w:color="auto" w:sz="4" w:space="0"/>
                    <w:left w:val="nil"/>
                    <w:bottom w:val="single" w:color="auto" w:sz="4" w:space="0"/>
                    <w:right w:val="single" w:color="auto" w:sz="4" w:space="0"/>
                  </w:tcBorders>
                  <w:noWrap w:val="0"/>
                  <w:vAlign w:val="center"/>
                </w:tcPr>
                <w:p w14:paraId="1D2B1176">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szCs w:val="21"/>
                    </w:rPr>
                    <w:t>900-252-12</w:t>
                  </w:r>
                </w:p>
              </w:tc>
              <w:tc>
                <w:tcPr>
                  <w:tcW w:w="624" w:type="pct"/>
                  <w:tcBorders>
                    <w:top w:val="single" w:color="auto" w:sz="4" w:space="0"/>
                    <w:left w:val="nil"/>
                    <w:bottom w:val="single" w:color="auto" w:sz="4" w:space="0"/>
                    <w:right w:val="single" w:color="auto" w:sz="4" w:space="0"/>
                  </w:tcBorders>
                  <w:noWrap w:val="0"/>
                  <w:vAlign w:val="center"/>
                </w:tcPr>
                <w:p w14:paraId="3E46E414">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0.29</w:t>
                  </w:r>
                </w:p>
              </w:tc>
              <w:tc>
                <w:tcPr>
                  <w:tcW w:w="443" w:type="pct"/>
                  <w:tcBorders>
                    <w:top w:val="single" w:color="auto" w:sz="4" w:space="0"/>
                    <w:left w:val="nil"/>
                    <w:bottom w:val="single" w:color="auto" w:sz="4" w:space="0"/>
                    <w:right w:val="single" w:color="auto" w:sz="4" w:space="0"/>
                  </w:tcBorders>
                  <w:noWrap w:val="0"/>
                  <w:vAlign w:val="center"/>
                </w:tcPr>
                <w:p w14:paraId="7CEEF6BD">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szCs w:val="21"/>
                    </w:rPr>
                  </w:pPr>
                  <w:r>
                    <w:rPr>
                      <w:rFonts w:hint="default" w:ascii="Times New Roman" w:hAnsi="Times New Roman" w:cs="Times New Roman"/>
                      <w:color w:val="000000"/>
                      <w:szCs w:val="21"/>
                    </w:rPr>
                    <w:t>原材料包装</w:t>
                  </w:r>
                </w:p>
              </w:tc>
              <w:tc>
                <w:tcPr>
                  <w:tcW w:w="653" w:type="pct"/>
                  <w:tcBorders>
                    <w:top w:val="single" w:color="auto" w:sz="4" w:space="0"/>
                    <w:left w:val="nil"/>
                    <w:bottom w:val="single" w:color="auto" w:sz="4" w:space="0"/>
                    <w:right w:val="single" w:color="auto" w:sz="4" w:space="0"/>
                  </w:tcBorders>
                  <w:noWrap w:val="0"/>
                  <w:vAlign w:val="center"/>
                </w:tcPr>
                <w:p w14:paraId="2FF62101">
                  <w:pPr>
                    <w:keepNext w:val="0"/>
                    <w:keepLines w:val="0"/>
                    <w:pageBreakBefore w:val="0"/>
                    <w:kinsoku/>
                    <w:wordWrap/>
                    <w:overflowPunct/>
                    <w:topLinePunct w:val="0"/>
                    <w:bidi w:val="0"/>
                    <w:spacing w:line="240" w:lineRule="auto"/>
                    <w:ind w:right="0"/>
                    <w:jc w:val="center"/>
                    <w:rPr>
                      <w:rFonts w:hint="default" w:ascii="Times New Roman" w:hAnsi="Times New Roman" w:cs="Times New Roman"/>
                    </w:rPr>
                  </w:pPr>
                  <w:r>
                    <w:rPr>
                      <w:rFonts w:hint="default" w:ascii="Times New Roman" w:hAnsi="Times New Roman" w:cs="Times New Roman"/>
                      <w:lang w:eastAsia="zh-CN"/>
                    </w:rPr>
                    <w:t>固</w:t>
                  </w:r>
                </w:p>
              </w:tc>
              <w:tc>
                <w:tcPr>
                  <w:tcW w:w="1271" w:type="pct"/>
                  <w:vMerge w:val="continue"/>
                  <w:tcBorders>
                    <w:left w:val="nil"/>
                    <w:right w:val="single" w:color="auto" w:sz="4" w:space="0"/>
                  </w:tcBorders>
                  <w:noWrap w:val="0"/>
                  <w:vAlign w:val="center"/>
                </w:tcPr>
                <w:p w14:paraId="56626E76">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p>
              </w:tc>
            </w:tr>
            <w:tr w14:paraId="63BA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69B94269">
                  <w:pPr>
                    <w:keepNext w:val="0"/>
                    <w:keepLines w:val="0"/>
                    <w:pageBreakBefore w:val="0"/>
                    <w:kinsoku/>
                    <w:wordWrap/>
                    <w:overflowPunct/>
                    <w:topLinePunct w:val="0"/>
                    <w:bidi w:val="0"/>
                    <w:spacing w:line="240" w:lineRule="auto"/>
                    <w:ind w:right="0"/>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rPr>
                    <w:t>废油漆桶</w:t>
                  </w:r>
                </w:p>
              </w:tc>
              <w:tc>
                <w:tcPr>
                  <w:tcW w:w="441" w:type="pct"/>
                  <w:tcBorders>
                    <w:top w:val="single" w:color="auto" w:sz="4" w:space="0"/>
                    <w:left w:val="nil"/>
                    <w:bottom w:val="single" w:color="auto" w:sz="4" w:space="0"/>
                    <w:right w:val="single" w:color="auto" w:sz="4" w:space="0"/>
                  </w:tcBorders>
                  <w:noWrap w:val="0"/>
                  <w:vAlign w:val="center"/>
                </w:tcPr>
                <w:p w14:paraId="12269C63">
                  <w:pPr>
                    <w:keepNext w:val="0"/>
                    <w:keepLines w:val="0"/>
                    <w:pageBreakBefore w:val="0"/>
                    <w:kinsoku/>
                    <w:wordWrap/>
                    <w:overflowPunct/>
                    <w:topLinePunct w:val="0"/>
                    <w:autoSpaceDE w:val="0"/>
                    <w:autoSpaceDN w:val="0"/>
                    <w:bidi w:val="0"/>
                    <w:spacing w:line="240" w:lineRule="auto"/>
                    <w:ind w:right="0"/>
                    <w:jc w:val="center"/>
                    <w:textAlignment w:val="top"/>
                    <w:rPr>
                      <w:rFonts w:hint="default" w:ascii="Times New Roman" w:hAnsi="Times New Roman" w:eastAsia="宋体" w:cs="Times New Roman"/>
                    </w:rPr>
                  </w:pPr>
                  <w:r>
                    <w:rPr>
                      <w:rFonts w:hint="default" w:ascii="Times New Roman" w:hAnsi="Times New Roman" w:cs="Times New Roman"/>
                      <w:color w:val="000000"/>
                      <w:szCs w:val="21"/>
                    </w:rPr>
                    <w:t>HW49</w:t>
                  </w:r>
                </w:p>
              </w:tc>
              <w:tc>
                <w:tcPr>
                  <w:tcW w:w="842" w:type="pct"/>
                  <w:tcBorders>
                    <w:top w:val="single" w:color="auto" w:sz="4" w:space="0"/>
                    <w:left w:val="nil"/>
                    <w:bottom w:val="single" w:color="auto" w:sz="4" w:space="0"/>
                    <w:right w:val="single" w:color="auto" w:sz="4" w:space="0"/>
                  </w:tcBorders>
                  <w:noWrap w:val="0"/>
                  <w:vAlign w:val="center"/>
                </w:tcPr>
                <w:p w14:paraId="6EB40079">
                  <w:pPr>
                    <w:keepNext w:val="0"/>
                    <w:keepLines w:val="0"/>
                    <w:pageBreakBefore w:val="0"/>
                    <w:kinsoku/>
                    <w:wordWrap/>
                    <w:overflowPunct/>
                    <w:topLinePunct w:val="0"/>
                    <w:bidi w:val="0"/>
                    <w:spacing w:line="240" w:lineRule="auto"/>
                    <w:ind w:right="0"/>
                    <w:jc w:val="center"/>
                    <w:rPr>
                      <w:rFonts w:hint="default" w:ascii="Times New Roman" w:hAnsi="Times New Roman" w:eastAsia="宋体" w:cs="Times New Roman"/>
                    </w:rPr>
                  </w:pPr>
                  <w:r>
                    <w:rPr>
                      <w:rFonts w:hint="default" w:ascii="Times New Roman" w:hAnsi="Times New Roman" w:cs="Times New Roman"/>
                      <w:color w:val="000000"/>
                      <w:kern w:val="0"/>
                      <w:szCs w:val="21"/>
                    </w:rPr>
                    <w:t>900-041-49</w:t>
                  </w:r>
                </w:p>
              </w:tc>
              <w:tc>
                <w:tcPr>
                  <w:tcW w:w="624" w:type="pct"/>
                  <w:tcBorders>
                    <w:top w:val="single" w:color="auto" w:sz="4" w:space="0"/>
                    <w:left w:val="nil"/>
                    <w:bottom w:val="single" w:color="auto" w:sz="4" w:space="0"/>
                    <w:right w:val="single" w:color="auto" w:sz="4" w:space="0"/>
                  </w:tcBorders>
                  <w:noWrap w:val="0"/>
                  <w:vAlign w:val="center"/>
                </w:tcPr>
                <w:p w14:paraId="1875924A">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w:t>
                  </w:r>
                  <w:r>
                    <w:rPr>
                      <w:rFonts w:hint="eastAsia" w:cs="Times New Roman"/>
                      <w:lang w:val="en-US" w:eastAsia="zh-CN"/>
                    </w:rPr>
                    <w:t>115</w:t>
                  </w:r>
                </w:p>
              </w:tc>
              <w:tc>
                <w:tcPr>
                  <w:tcW w:w="443" w:type="pct"/>
                  <w:tcBorders>
                    <w:top w:val="single" w:color="auto" w:sz="4" w:space="0"/>
                    <w:left w:val="nil"/>
                    <w:bottom w:val="single" w:color="auto" w:sz="4" w:space="0"/>
                    <w:right w:val="single" w:color="auto" w:sz="4" w:space="0"/>
                  </w:tcBorders>
                  <w:noWrap w:val="0"/>
                  <w:vAlign w:val="center"/>
                </w:tcPr>
                <w:p w14:paraId="0D086342">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szCs w:val="21"/>
                    </w:rPr>
                  </w:pPr>
                  <w:r>
                    <w:rPr>
                      <w:rFonts w:hint="default" w:ascii="Times New Roman" w:hAnsi="Times New Roman" w:cs="Times New Roman"/>
                      <w:color w:val="000000"/>
                      <w:szCs w:val="21"/>
                    </w:rPr>
                    <w:t>设备维修及机加工工序</w:t>
                  </w:r>
                </w:p>
              </w:tc>
              <w:tc>
                <w:tcPr>
                  <w:tcW w:w="653" w:type="pct"/>
                  <w:tcBorders>
                    <w:top w:val="single" w:color="auto" w:sz="4" w:space="0"/>
                    <w:left w:val="nil"/>
                    <w:bottom w:val="single" w:color="auto" w:sz="4" w:space="0"/>
                    <w:right w:val="single" w:color="auto" w:sz="4" w:space="0"/>
                  </w:tcBorders>
                  <w:noWrap w:val="0"/>
                  <w:vAlign w:val="center"/>
                </w:tcPr>
                <w:p w14:paraId="3C7973D0">
                  <w:pPr>
                    <w:keepNext w:val="0"/>
                    <w:keepLines w:val="0"/>
                    <w:pageBreakBefore w:val="0"/>
                    <w:kinsoku/>
                    <w:wordWrap/>
                    <w:overflowPunct/>
                    <w:topLinePunct w:val="0"/>
                    <w:bidi w:val="0"/>
                    <w:spacing w:line="240" w:lineRule="auto"/>
                    <w:ind w:right="0"/>
                    <w:jc w:val="center"/>
                    <w:rPr>
                      <w:rFonts w:hint="default" w:ascii="Times New Roman" w:hAnsi="Times New Roman" w:cs="Times New Roman"/>
                    </w:rPr>
                  </w:pPr>
                  <w:r>
                    <w:rPr>
                      <w:rFonts w:hint="default" w:ascii="Times New Roman" w:hAnsi="Times New Roman" w:cs="Times New Roman"/>
                      <w:lang w:eastAsia="zh-CN"/>
                    </w:rPr>
                    <w:t>固</w:t>
                  </w:r>
                </w:p>
              </w:tc>
              <w:tc>
                <w:tcPr>
                  <w:tcW w:w="1271" w:type="pct"/>
                  <w:vMerge w:val="continue"/>
                  <w:tcBorders>
                    <w:left w:val="nil"/>
                    <w:right w:val="single" w:color="auto" w:sz="4" w:space="0"/>
                  </w:tcBorders>
                  <w:noWrap w:val="0"/>
                  <w:vAlign w:val="center"/>
                </w:tcPr>
                <w:p w14:paraId="1A3DE2C7">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p>
              </w:tc>
            </w:tr>
            <w:tr w14:paraId="3F62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3" w:type="pct"/>
                  <w:tcBorders>
                    <w:top w:val="single" w:color="auto" w:sz="4" w:space="0"/>
                    <w:left w:val="single" w:color="auto" w:sz="4" w:space="0"/>
                    <w:bottom w:val="single" w:color="auto" w:sz="4" w:space="0"/>
                    <w:right w:val="single" w:color="auto" w:sz="4" w:space="0"/>
                  </w:tcBorders>
                  <w:noWrap w:val="0"/>
                  <w:vAlign w:val="center"/>
                </w:tcPr>
                <w:p w14:paraId="352EB1CA">
                  <w:pPr>
                    <w:keepNext w:val="0"/>
                    <w:keepLines w:val="0"/>
                    <w:pageBreakBefore w:val="0"/>
                    <w:kinsoku/>
                    <w:wordWrap/>
                    <w:overflowPunct/>
                    <w:topLinePunct w:val="0"/>
                    <w:bidi w:val="0"/>
                    <w:spacing w:line="240" w:lineRule="auto"/>
                    <w:ind w:right="0"/>
                    <w:jc w:val="center"/>
                    <w:rPr>
                      <w:rFonts w:hint="eastAsia" w:ascii="Times New Roman" w:hAnsi="Times New Roman" w:eastAsia="宋体" w:cs="Times New Roman"/>
                      <w:color w:val="000000"/>
                      <w:szCs w:val="21"/>
                      <w:lang w:eastAsia="zh-CN"/>
                    </w:rPr>
                  </w:pPr>
                  <w:r>
                    <w:rPr>
                      <w:rFonts w:hint="eastAsia" w:cs="Times New Roman"/>
                      <w:color w:val="000000"/>
                      <w:szCs w:val="21"/>
                      <w:lang w:eastAsia="zh-CN"/>
                    </w:rPr>
                    <w:t>生活垃圾</w:t>
                  </w:r>
                </w:p>
              </w:tc>
              <w:tc>
                <w:tcPr>
                  <w:tcW w:w="742" w:type="dxa"/>
                  <w:tcBorders>
                    <w:top w:val="single" w:color="auto" w:sz="4" w:space="0"/>
                    <w:left w:val="nil"/>
                    <w:bottom w:val="single" w:color="auto" w:sz="4" w:space="0"/>
                    <w:right w:val="single" w:color="auto" w:sz="4" w:space="0"/>
                  </w:tcBorders>
                  <w:noWrap w:val="0"/>
                  <w:vAlign w:val="center"/>
                </w:tcPr>
                <w:p w14:paraId="28986C05">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cs="Times New Roman"/>
                      <w:color w:val="000000"/>
                      <w:szCs w:val="21"/>
                    </w:rPr>
                  </w:pPr>
                  <w:r>
                    <w:rPr>
                      <w:rFonts w:hint="eastAsia" w:cs="Times New Roman"/>
                      <w:b/>
                      <w:bCs/>
                      <w:lang w:val="en-US" w:eastAsia="zh-CN"/>
                    </w:rPr>
                    <w:t>/</w:t>
                  </w:r>
                </w:p>
              </w:tc>
              <w:tc>
                <w:tcPr>
                  <w:tcW w:w="1416" w:type="dxa"/>
                  <w:tcBorders>
                    <w:top w:val="single" w:color="auto" w:sz="4" w:space="0"/>
                    <w:left w:val="nil"/>
                    <w:bottom w:val="single" w:color="auto" w:sz="4" w:space="0"/>
                    <w:right w:val="single" w:color="auto" w:sz="4" w:space="0"/>
                  </w:tcBorders>
                  <w:noWrap w:val="0"/>
                  <w:vAlign w:val="center"/>
                </w:tcPr>
                <w:p w14:paraId="2A4068F6">
                  <w:pPr>
                    <w:pStyle w:val="52"/>
                    <w:keepNext w:val="0"/>
                    <w:keepLines w:val="0"/>
                    <w:pageBreakBefore w:val="0"/>
                    <w:kinsoku/>
                    <w:wordWrap/>
                    <w:overflowPunct/>
                    <w:topLinePunct w:val="0"/>
                    <w:bidi w:val="0"/>
                    <w:spacing w:before="0" w:after="0" w:line="240" w:lineRule="auto"/>
                    <w:ind w:right="0" w:rightChars="0"/>
                    <w:jc w:val="center"/>
                    <w:rPr>
                      <w:rFonts w:hint="default" w:ascii="Times New Roman" w:hAnsi="Times New Roman" w:cs="Times New Roman"/>
                      <w:color w:val="000000"/>
                      <w:kern w:val="0"/>
                      <w:szCs w:val="21"/>
                    </w:rPr>
                  </w:pPr>
                  <w:r>
                    <w:rPr>
                      <w:rFonts w:hint="eastAsia" w:cs="Times New Roman"/>
                      <w:b/>
                      <w:bCs/>
                      <w:lang w:val="en-US" w:eastAsia="zh-CN"/>
                    </w:rPr>
                    <w:t>/</w:t>
                  </w:r>
                </w:p>
              </w:tc>
              <w:tc>
                <w:tcPr>
                  <w:tcW w:w="624" w:type="pct"/>
                  <w:tcBorders>
                    <w:top w:val="single" w:color="auto" w:sz="4" w:space="0"/>
                    <w:left w:val="nil"/>
                    <w:bottom w:val="single" w:color="auto" w:sz="4" w:space="0"/>
                    <w:right w:val="single" w:color="auto" w:sz="4" w:space="0"/>
                  </w:tcBorders>
                  <w:noWrap w:val="0"/>
                  <w:vAlign w:val="center"/>
                </w:tcPr>
                <w:p w14:paraId="0A2D92CB">
                  <w:pPr>
                    <w:pStyle w:val="54"/>
                    <w:keepNext w:val="0"/>
                    <w:keepLines w:val="0"/>
                    <w:pageBreakBefore w:val="0"/>
                    <w:kinsoku/>
                    <w:wordWrap/>
                    <w:overflowPunct/>
                    <w:topLinePunct w:val="0"/>
                    <w:bidi w:val="0"/>
                    <w:adjustRightInd w:val="0"/>
                    <w:snapToGrid w:val="0"/>
                    <w:spacing w:line="240" w:lineRule="auto"/>
                    <w:ind w:right="0"/>
                    <w:jc w:val="center"/>
                    <w:rPr>
                      <w:rFonts w:hint="default" w:ascii="Times New Roman" w:hAnsi="Times New Roman" w:eastAsia="宋体" w:cs="Times New Roman"/>
                      <w:lang w:val="en-US" w:eastAsia="zh-CN"/>
                    </w:rPr>
                  </w:pPr>
                  <w:r>
                    <w:rPr>
                      <w:rFonts w:hint="eastAsia" w:cs="Times New Roman"/>
                      <w:lang w:val="en-US" w:eastAsia="zh-CN"/>
                    </w:rPr>
                    <w:t>7.5</w:t>
                  </w:r>
                </w:p>
              </w:tc>
              <w:tc>
                <w:tcPr>
                  <w:tcW w:w="443" w:type="pct"/>
                  <w:tcBorders>
                    <w:top w:val="single" w:color="auto" w:sz="4" w:space="0"/>
                    <w:left w:val="nil"/>
                    <w:bottom w:val="single" w:color="auto" w:sz="4" w:space="0"/>
                    <w:right w:val="single" w:color="auto" w:sz="4" w:space="0"/>
                  </w:tcBorders>
                  <w:noWrap w:val="0"/>
                  <w:vAlign w:val="center"/>
                </w:tcPr>
                <w:p w14:paraId="2C2610BC">
                  <w:pPr>
                    <w:pStyle w:val="52"/>
                    <w:keepNext w:val="0"/>
                    <w:keepLines w:val="0"/>
                    <w:pageBreakBefore w:val="0"/>
                    <w:kinsoku/>
                    <w:wordWrap/>
                    <w:overflowPunct/>
                    <w:topLinePunct w:val="0"/>
                    <w:bidi w:val="0"/>
                    <w:spacing w:before="0" w:after="0" w:line="240" w:lineRule="auto"/>
                    <w:ind w:right="0"/>
                    <w:jc w:val="center"/>
                    <w:rPr>
                      <w:rFonts w:hint="eastAsia" w:ascii="Times New Roman" w:hAnsi="Times New Roman" w:eastAsia="宋体" w:cs="Times New Roman"/>
                      <w:color w:val="000000"/>
                      <w:szCs w:val="21"/>
                      <w:lang w:eastAsia="zh-CN"/>
                    </w:rPr>
                  </w:pPr>
                  <w:r>
                    <w:rPr>
                      <w:rFonts w:hint="eastAsia" w:cs="Times New Roman"/>
                      <w:color w:val="000000"/>
                      <w:szCs w:val="21"/>
                      <w:lang w:eastAsia="zh-CN"/>
                    </w:rPr>
                    <w:t>职工办公</w:t>
                  </w:r>
                </w:p>
              </w:tc>
              <w:tc>
                <w:tcPr>
                  <w:tcW w:w="653" w:type="pct"/>
                  <w:tcBorders>
                    <w:top w:val="single" w:color="auto" w:sz="4" w:space="0"/>
                    <w:left w:val="nil"/>
                    <w:bottom w:val="single" w:color="auto" w:sz="4" w:space="0"/>
                    <w:right w:val="single" w:color="auto" w:sz="4" w:space="0"/>
                  </w:tcBorders>
                  <w:noWrap w:val="0"/>
                  <w:vAlign w:val="center"/>
                </w:tcPr>
                <w:p w14:paraId="40215CEA">
                  <w:pPr>
                    <w:keepNext w:val="0"/>
                    <w:keepLines w:val="0"/>
                    <w:pageBreakBefore w:val="0"/>
                    <w:kinsoku/>
                    <w:wordWrap/>
                    <w:overflowPunct/>
                    <w:topLinePunct w:val="0"/>
                    <w:bidi w:val="0"/>
                    <w:spacing w:line="240" w:lineRule="auto"/>
                    <w:ind w:right="0"/>
                    <w:jc w:val="center"/>
                    <w:rPr>
                      <w:rFonts w:hint="default" w:ascii="Times New Roman" w:hAnsi="Times New Roman" w:cs="Times New Roman"/>
                      <w:lang w:eastAsia="zh-CN"/>
                    </w:rPr>
                  </w:pPr>
                  <w:r>
                    <w:rPr>
                      <w:rFonts w:hint="eastAsia" w:cs="Times New Roman"/>
                      <w:lang w:eastAsia="zh-CN"/>
                    </w:rPr>
                    <w:t>固</w:t>
                  </w:r>
                </w:p>
              </w:tc>
              <w:tc>
                <w:tcPr>
                  <w:tcW w:w="1271" w:type="pct"/>
                  <w:tcBorders>
                    <w:left w:val="nil"/>
                    <w:bottom w:val="single" w:color="auto" w:sz="4" w:space="0"/>
                    <w:right w:val="single" w:color="auto" w:sz="4" w:space="0"/>
                  </w:tcBorders>
                  <w:noWrap w:val="0"/>
                  <w:vAlign w:val="center"/>
                </w:tcPr>
                <w:p w14:paraId="1E9E62D6">
                  <w:pPr>
                    <w:pStyle w:val="52"/>
                    <w:keepNext w:val="0"/>
                    <w:keepLines w:val="0"/>
                    <w:pageBreakBefore w:val="0"/>
                    <w:kinsoku/>
                    <w:wordWrap/>
                    <w:overflowPunct/>
                    <w:topLinePunct w:val="0"/>
                    <w:bidi w:val="0"/>
                    <w:spacing w:before="0" w:after="0" w:line="240" w:lineRule="auto"/>
                    <w:ind w:right="0"/>
                    <w:jc w:val="center"/>
                    <w:rPr>
                      <w:rFonts w:hint="default" w:ascii="Times New Roman" w:hAnsi="Times New Roman" w:cs="Times New Roman"/>
                    </w:rPr>
                  </w:pPr>
                  <w:r>
                    <w:rPr>
                      <w:rFonts w:hint="eastAsia"/>
                      <w:color w:val="000000" w:themeColor="text1"/>
                      <w14:textFill>
                        <w14:solidFill>
                          <w14:schemeClr w14:val="tx1"/>
                        </w14:solidFill>
                      </w14:textFill>
                    </w:rPr>
                    <w:t>集中收集后，由环卫部门定期清运处理</w:t>
                  </w:r>
                </w:p>
              </w:tc>
            </w:tr>
          </w:tbl>
          <w:p w14:paraId="41D8929A">
            <w:pPr>
              <w:pStyle w:val="6"/>
              <w:jc w:val="center"/>
              <w:rPr>
                <w:rFonts w:hint="default" w:ascii="Times New Roman" w:hAnsi="Times New Roman" w:cs="Times New Roman"/>
                <w:color w:val="auto"/>
                <w:sz w:val="24"/>
                <w:szCs w:val="20"/>
              </w:rPr>
            </w:pPr>
            <w:r>
              <w:rPr>
                <w:rFonts w:ascii="Times New Roman" w:hAnsi="Times New Roman" w:cs="Times New Roman"/>
                <w:b/>
                <w:kern w:val="2"/>
                <w:sz w:val="24"/>
              </w:rPr>
              <w:t>表4-1</w:t>
            </w:r>
            <w:r>
              <w:rPr>
                <w:rFonts w:hint="eastAsia" w:cs="Times New Roman"/>
                <w:b/>
                <w:kern w:val="2"/>
                <w:sz w:val="24"/>
                <w:lang w:val="en-US" w:eastAsia="zh-CN"/>
              </w:rPr>
              <w:t>6</w:t>
            </w:r>
            <w:r>
              <w:rPr>
                <w:rFonts w:ascii="Times New Roman" w:hAnsi="Times New Roman" w:cs="Times New Roman"/>
                <w:b/>
                <w:kern w:val="2"/>
                <w:sz w:val="24"/>
              </w:rPr>
              <w:t>危险废物贮存场所（设施）基本情况表</w:t>
            </w:r>
          </w:p>
          <w:tbl>
            <w:tblPr>
              <w:tblStyle w:val="28"/>
              <w:tblW w:w="4996"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Layout w:type="fixed"/>
              <w:tblCellMar>
                <w:top w:w="0" w:type="dxa"/>
                <w:left w:w="0" w:type="dxa"/>
                <w:bottom w:w="0" w:type="dxa"/>
                <w:right w:w="0" w:type="dxa"/>
              </w:tblCellMar>
            </w:tblPr>
            <w:tblGrid>
              <w:gridCol w:w="363"/>
              <w:gridCol w:w="820"/>
              <w:gridCol w:w="1085"/>
              <w:gridCol w:w="1006"/>
              <w:gridCol w:w="1092"/>
              <w:gridCol w:w="812"/>
              <w:gridCol w:w="721"/>
              <w:gridCol w:w="1249"/>
              <w:gridCol w:w="641"/>
              <w:gridCol w:w="639"/>
            </w:tblGrid>
            <w:tr w14:paraId="5B43D2D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0" w:type="dxa"/>
                  <w:bottom w:w="0" w:type="dxa"/>
                  <w:right w:w="0" w:type="dxa"/>
                </w:tblCellMar>
              </w:tblPrEx>
              <w:trPr>
                <w:trHeight w:val="567" w:hRule="atLeast"/>
                <w:jc w:val="center"/>
              </w:trPr>
              <w:tc>
                <w:tcPr>
                  <w:tcW w:w="215" w:type="pct"/>
                  <w:tcBorders>
                    <w:top w:val="single" w:color="000000" w:sz="4" w:space="0"/>
                    <w:left w:val="single" w:color="000000" w:sz="4" w:space="0"/>
                    <w:bottom w:val="single" w:color="000000" w:sz="4" w:space="0"/>
                    <w:tl2br w:val="nil"/>
                  </w:tcBorders>
                  <w:shd w:val="clear" w:color="auto" w:fill="auto"/>
                  <w:tcMar>
                    <w:top w:w="15" w:type="dxa"/>
                    <w:left w:w="15" w:type="dxa"/>
                    <w:right w:w="15" w:type="dxa"/>
                  </w:tcMar>
                  <w:vAlign w:val="center"/>
                </w:tcPr>
                <w:p w14:paraId="0890CAD8">
                  <w:pPr>
                    <w:pStyle w:val="6"/>
                    <w:ind w:left="0" w:leftChars="0"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序号</w:t>
                  </w:r>
                </w:p>
              </w:tc>
              <w:tc>
                <w:tcPr>
                  <w:tcW w:w="486" w:type="pct"/>
                  <w:tcBorders>
                    <w:top w:val="single" w:color="000000" w:sz="4" w:space="0"/>
                    <w:bottom w:val="single" w:color="000000" w:sz="4" w:space="0"/>
                  </w:tcBorders>
                  <w:shd w:val="clear" w:color="auto" w:fill="auto"/>
                  <w:tcMar>
                    <w:top w:w="15" w:type="dxa"/>
                    <w:left w:w="15" w:type="dxa"/>
                    <w:right w:w="15" w:type="dxa"/>
                  </w:tcMar>
                  <w:vAlign w:val="center"/>
                </w:tcPr>
                <w:p w14:paraId="5F64304A">
                  <w:pPr>
                    <w:pStyle w:val="6"/>
                    <w:ind w:left="0" w:leftChars="0"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贮存场所（设施）名称</w:t>
                  </w:r>
                </w:p>
              </w:tc>
              <w:tc>
                <w:tcPr>
                  <w:tcW w:w="643" w:type="pct"/>
                  <w:tcBorders>
                    <w:top w:val="single" w:color="000000" w:sz="4" w:space="0"/>
                    <w:bottom w:val="single" w:color="000000" w:sz="4" w:space="0"/>
                  </w:tcBorders>
                  <w:shd w:val="clear" w:color="auto" w:fill="auto"/>
                  <w:tcMar>
                    <w:top w:w="15" w:type="dxa"/>
                    <w:left w:w="15" w:type="dxa"/>
                    <w:right w:w="15" w:type="dxa"/>
                  </w:tcMar>
                  <w:vAlign w:val="center"/>
                </w:tcPr>
                <w:p w14:paraId="554D04F9">
                  <w:pPr>
                    <w:pStyle w:val="6"/>
                    <w:ind w:left="0" w:leftChars="0"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危险废物名称</w:t>
                  </w:r>
                </w:p>
              </w:tc>
              <w:tc>
                <w:tcPr>
                  <w:tcW w:w="596" w:type="pct"/>
                  <w:tcBorders>
                    <w:top w:val="single" w:color="000000" w:sz="4" w:space="0"/>
                    <w:bottom w:val="single" w:color="000000" w:sz="4" w:space="0"/>
                  </w:tcBorders>
                  <w:shd w:val="clear" w:color="auto" w:fill="auto"/>
                  <w:tcMar>
                    <w:top w:w="15" w:type="dxa"/>
                    <w:left w:w="15" w:type="dxa"/>
                    <w:right w:w="15" w:type="dxa"/>
                  </w:tcMar>
                  <w:vAlign w:val="center"/>
                </w:tcPr>
                <w:p w14:paraId="53B4E14F">
                  <w:pPr>
                    <w:pStyle w:val="6"/>
                    <w:ind w:left="0" w:leftChars="0"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危险废物类别</w:t>
                  </w:r>
                </w:p>
              </w:tc>
              <w:tc>
                <w:tcPr>
                  <w:tcW w:w="647" w:type="pct"/>
                  <w:tcBorders>
                    <w:top w:val="single" w:color="000000" w:sz="4" w:space="0"/>
                    <w:bottom w:val="single" w:color="000000" w:sz="4" w:space="0"/>
                  </w:tcBorders>
                  <w:shd w:val="clear" w:color="auto" w:fill="auto"/>
                  <w:tcMar>
                    <w:top w:w="15" w:type="dxa"/>
                    <w:left w:w="15" w:type="dxa"/>
                    <w:right w:w="15" w:type="dxa"/>
                  </w:tcMar>
                  <w:vAlign w:val="center"/>
                </w:tcPr>
                <w:p w14:paraId="7DF01F38">
                  <w:pPr>
                    <w:pStyle w:val="6"/>
                    <w:ind w:left="0" w:leftChars="0"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危险废物代码</w:t>
                  </w:r>
                </w:p>
              </w:tc>
              <w:tc>
                <w:tcPr>
                  <w:tcW w:w="481" w:type="pct"/>
                  <w:tcBorders>
                    <w:top w:val="single" w:color="000000" w:sz="4" w:space="0"/>
                    <w:bottom w:val="single" w:color="000000" w:sz="4" w:space="0"/>
                  </w:tcBorders>
                  <w:shd w:val="clear" w:color="auto" w:fill="auto"/>
                  <w:tcMar>
                    <w:top w:w="15" w:type="dxa"/>
                    <w:left w:w="15" w:type="dxa"/>
                    <w:right w:w="15" w:type="dxa"/>
                  </w:tcMar>
                  <w:vAlign w:val="center"/>
                </w:tcPr>
                <w:p w14:paraId="6F244AFB">
                  <w:pPr>
                    <w:pStyle w:val="6"/>
                    <w:ind w:left="0" w:leftChars="0"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位置</w:t>
                  </w:r>
                </w:p>
              </w:tc>
              <w:tc>
                <w:tcPr>
                  <w:tcW w:w="427" w:type="pct"/>
                  <w:tcBorders>
                    <w:top w:val="single" w:color="000000" w:sz="4" w:space="0"/>
                    <w:bottom w:val="single" w:color="000000" w:sz="4" w:space="0"/>
                  </w:tcBorders>
                  <w:shd w:val="clear" w:color="auto" w:fill="auto"/>
                  <w:tcMar>
                    <w:top w:w="15" w:type="dxa"/>
                    <w:left w:w="15" w:type="dxa"/>
                    <w:right w:w="15" w:type="dxa"/>
                  </w:tcMar>
                  <w:vAlign w:val="center"/>
                </w:tcPr>
                <w:p w14:paraId="396E6FA1">
                  <w:pPr>
                    <w:pStyle w:val="6"/>
                    <w:ind w:left="0" w:leftChars="0"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占地面积</w:t>
                  </w:r>
                </w:p>
              </w:tc>
              <w:tc>
                <w:tcPr>
                  <w:tcW w:w="740" w:type="pct"/>
                  <w:tcBorders>
                    <w:top w:val="single" w:color="000000" w:sz="4" w:space="0"/>
                    <w:bottom w:val="single" w:color="000000" w:sz="4" w:space="0"/>
                  </w:tcBorders>
                  <w:shd w:val="clear" w:color="auto" w:fill="auto"/>
                  <w:tcMar>
                    <w:top w:w="15" w:type="dxa"/>
                    <w:left w:w="15" w:type="dxa"/>
                    <w:right w:w="15" w:type="dxa"/>
                  </w:tcMar>
                  <w:vAlign w:val="center"/>
                </w:tcPr>
                <w:p w14:paraId="6EDEF7CD">
                  <w:pPr>
                    <w:pStyle w:val="6"/>
                    <w:ind w:left="0" w:leftChars="0"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贮存方式</w:t>
                  </w:r>
                </w:p>
              </w:tc>
              <w:tc>
                <w:tcPr>
                  <w:tcW w:w="380" w:type="pct"/>
                  <w:tcBorders>
                    <w:top w:val="single" w:color="000000" w:sz="4" w:space="0"/>
                    <w:bottom w:val="single" w:color="000000" w:sz="4" w:space="0"/>
                  </w:tcBorders>
                  <w:shd w:val="clear" w:color="auto" w:fill="auto"/>
                  <w:tcMar>
                    <w:top w:w="15" w:type="dxa"/>
                    <w:left w:w="15" w:type="dxa"/>
                    <w:right w:w="15" w:type="dxa"/>
                  </w:tcMar>
                  <w:vAlign w:val="center"/>
                </w:tcPr>
                <w:p w14:paraId="0954C804">
                  <w:pPr>
                    <w:pStyle w:val="6"/>
                    <w:ind w:left="0" w:leftChars="0"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贮存能力/t</w:t>
                  </w:r>
                </w:p>
              </w:tc>
              <w:tc>
                <w:tcPr>
                  <w:tcW w:w="378"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40189">
                  <w:pPr>
                    <w:pStyle w:val="6"/>
                    <w:ind w:left="0" w:leftChars="0" w:firstLine="0" w:firstLineChars="0"/>
                    <w:jc w:val="center"/>
                    <w:rPr>
                      <w:rFonts w:ascii="Times New Roman" w:hAnsi="Times New Roman" w:cs="Times New Roman"/>
                      <w:bCs/>
                      <w:color w:val="000000"/>
                      <w:szCs w:val="21"/>
                    </w:rPr>
                  </w:pPr>
                  <w:r>
                    <w:rPr>
                      <w:rFonts w:ascii="Times New Roman" w:hAnsi="Times New Roman" w:cs="Times New Roman"/>
                      <w:bCs/>
                      <w:color w:val="000000"/>
                      <w:szCs w:val="21"/>
                    </w:rPr>
                    <w:t>贮存周期</w:t>
                  </w:r>
                </w:p>
              </w:tc>
            </w:tr>
            <w:tr w14:paraId="287D077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567" w:hRule="atLeast"/>
                <w:jc w:val="center"/>
              </w:trPr>
              <w:tc>
                <w:tcPr>
                  <w:tcW w:w="21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14:paraId="4ECC005E">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486" w:type="pct"/>
                  <w:vMerge w:val="restart"/>
                  <w:tcBorders>
                    <w:top w:val="single" w:color="000000" w:sz="4" w:space="0"/>
                  </w:tcBorders>
                  <w:shd w:val="clear" w:color="auto" w:fill="auto"/>
                  <w:tcMar>
                    <w:top w:w="15" w:type="dxa"/>
                    <w:left w:w="15" w:type="dxa"/>
                    <w:right w:w="15" w:type="dxa"/>
                  </w:tcMar>
                  <w:vAlign w:val="center"/>
                </w:tcPr>
                <w:p w14:paraId="66C3B544">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危废暂存间</w:t>
                  </w:r>
                </w:p>
              </w:tc>
              <w:tc>
                <w:tcPr>
                  <w:tcW w:w="1085" w:type="dxa"/>
                  <w:tcBorders>
                    <w:top w:val="single" w:color="000000" w:sz="4" w:space="0"/>
                    <w:bottom w:val="single" w:color="000000" w:sz="4" w:space="0"/>
                  </w:tcBorders>
                  <w:shd w:val="clear" w:color="auto" w:fill="auto"/>
                  <w:tcMar>
                    <w:top w:w="15" w:type="dxa"/>
                    <w:left w:w="15" w:type="dxa"/>
                    <w:right w:w="15" w:type="dxa"/>
                  </w:tcMar>
                  <w:vAlign w:val="center"/>
                </w:tcPr>
                <w:p w14:paraId="4F637B45">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olor w:val="000000"/>
                      <w:szCs w:val="21"/>
                    </w:rPr>
                  </w:pPr>
                  <w:r>
                    <w:rPr>
                      <w:rFonts w:hint="default" w:ascii="Times New Roman" w:hAnsi="Times New Roman" w:eastAsia="宋体" w:cs="Times New Roman"/>
                    </w:rPr>
                    <w:t>废活性炭</w:t>
                  </w:r>
                </w:p>
              </w:tc>
              <w:tc>
                <w:tcPr>
                  <w:tcW w:w="1006" w:type="dxa"/>
                  <w:tcBorders>
                    <w:top w:val="single" w:color="000000" w:sz="4" w:space="0"/>
                    <w:bottom w:val="single" w:color="000000" w:sz="4" w:space="0"/>
                  </w:tcBorders>
                  <w:shd w:val="clear" w:color="auto" w:fill="auto"/>
                  <w:tcMar>
                    <w:top w:w="15" w:type="dxa"/>
                    <w:left w:w="15" w:type="dxa"/>
                    <w:right w:w="15" w:type="dxa"/>
                  </w:tcMar>
                  <w:vAlign w:val="center"/>
                </w:tcPr>
                <w:p w14:paraId="1E1E2561">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szCs w:val="21"/>
                    </w:rPr>
                  </w:pPr>
                  <w:r>
                    <w:rPr>
                      <w:rFonts w:hint="default" w:ascii="Times New Roman" w:hAnsi="Times New Roman" w:cs="Times New Roman"/>
                      <w:color w:val="000000"/>
                      <w:szCs w:val="21"/>
                    </w:rPr>
                    <w:t>HW49</w:t>
                  </w:r>
                </w:p>
              </w:tc>
              <w:tc>
                <w:tcPr>
                  <w:tcW w:w="1092" w:type="dxa"/>
                  <w:tcBorders>
                    <w:top w:val="single" w:color="000000" w:sz="4" w:space="0"/>
                    <w:bottom w:val="single" w:color="000000" w:sz="4" w:space="0"/>
                  </w:tcBorders>
                  <w:shd w:val="clear" w:color="auto" w:fill="auto"/>
                  <w:tcMar>
                    <w:top w:w="15" w:type="dxa"/>
                    <w:left w:w="15" w:type="dxa"/>
                    <w:right w:w="15" w:type="dxa"/>
                  </w:tcMar>
                  <w:vAlign w:val="center"/>
                </w:tcPr>
                <w:p w14:paraId="47F41D4F">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szCs w:val="21"/>
                    </w:rPr>
                  </w:pPr>
                  <w:r>
                    <w:rPr>
                      <w:rFonts w:hint="default" w:ascii="Times New Roman" w:hAnsi="Times New Roman" w:cs="Times New Roman"/>
                      <w:color w:val="000000"/>
                      <w:szCs w:val="21"/>
                    </w:rPr>
                    <w:t>900-039-49</w:t>
                  </w:r>
                </w:p>
              </w:tc>
              <w:tc>
                <w:tcPr>
                  <w:tcW w:w="481" w:type="pct"/>
                  <w:vMerge w:val="restart"/>
                  <w:tcBorders>
                    <w:top w:val="single" w:color="000000" w:sz="4" w:space="0"/>
                  </w:tcBorders>
                  <w:shd w:val="clear" w:color="auto" w:fill="auto"/>
                  <w:tcMar>
                    <w:top w:w="15" w:type="dxa"/>
                    <w:left w:w="15" w:type="dxa"/>
                    <w:right w:w="15" w:type="dxa"/>
                  </w:tcMar>
                  <w:vAlign w:val="center"/>
                </w:tcPr>
                <w:p w14:paraId="129C0A92">
                  <w:pPr>
                    <w:pStyle w:val="6"/>
                    <w:ind w:left="0" w:leftChars="0" w:firstLine="0" w:firstLineChars="0"/>
                    <w:jc w:val="center"/>
                    <w:rPr>
                      <w:rFonts w:ascii="Times New Roman" w:hAnsi="Times New Roman" w:cs="Times New Roman"/>
                      <w:color w:val="000000"/>
                      <w:szCs w:val="21"/>
                      <w:highlight w:val="yellow"/>
                    </w:rPr>
                  </w:pPr>
                  <w:r>
                    <w:rPr>
                      <w:rFonts w:ascii="Times New Roman" w:hAnsi="Times New Roman" w:cs="Times New Roman"/>
                      <w:color w:val="000000"/>
                      <w:szCs w:val="21"/>
                      <w:highlight w:val="none"/>
                    </w:rPr>
                    <w:t>生产车间内</w:t>
                  </w:r>
                  <w:r>
                    <w:rPr>
                      <w:rFonts w:hint="eastAsia" w:cs="Times New Roman"/>
                      <w:color w:val="000000"/>
                      <w:szCs w:val="21"/>
                      <w:highlight w:val="none"/>
                      <w:lang w:eastAsia="zh-CN"/>
                    </w:rPr>
                    <w:t>西北</w:t>
                  </w:r>
                  <w:r>
                    <w:rPr>
                      <w:rFonts w:ascii="Times New Roman" w:hAnsi="Times New Roman" w:cs="Times New Roman"/>
                      <w:color w:val="000000"/>
                      <w:szCs w:val="21"/>
                      <w:highlight w:val="none"/>
                    </w:rPr>
                    <w:t>侧</w:t>
                  </w:r>
                </w:p>
              </w:tc>
              <w:tc>
                <w:tcPr>
                  <w:tcW w:w="427" w:type="pct"/>
                  <w:vMerge w:val="restart"/>
                  <w:tcBorders>
                    <w:top w:val="single" w:color="000000" w:sz="4" w:space="0"/>
                  </w:tcBorders>
                  <w:shd w:val="clear" w:color="auto" w:fill="auto"/>
                  <w:tcMar>
                    <w:top w:w="15" w:type="dxa"/>
                    <w:left w:w="15" w:type="dxa"/>
                    <w:right w:w="15" w:type="dxa"/>
                  </w:tcMar>
                  <w:vAlign w:val="center"/>
                </w:tcPr>
                <w:p w14:paraId="1603AACC">
                  <w:pPr>
                    <w:pStyle w:val="6"/>
                    <w:ind w:left="0" w:leftChars="0" w:firstLine="0" w:firstLineChars="0"/>
                    <w:jc w:val="center"/>
                    <w:rPr>
                      <w:rFonts w:ascii="Times New Roman" w:hAnsi="Times New Roman" w:cs="Times New Roman"/>
                      <w:color w:val="000000"/>
                      <w:szCs w:val="21"/>
                      <w:highlight w:val="yellow"/>
                    </w:rPr>
                  </w:pPr>
                  <w:r>
                    <w:rPr>
                      <w:rFonts w:hint="eastAsia" w:cs="Times New Roman"/>
                      <w:color w:val="000000"/>
                      <w:szCs w:val="21"/>
                      <w:highlight w:val="none"/>
                      <w:lang w:val="en-US" w:eastAsia="zh-CN"/>
                    </w:rPr>
                    <w:t>3</w:t>
                  </w:r>
                  <w:r>
                    <w:rPr>
                      <w:rFonts w:ascii="Times New Roman" w:hAnsi="Times New Roman" w:cs="Times New Roman"/>
                      <w:color w:val="000000"/>
                      <w:szCs w:val="21"/>
                      <w:highlight w:val="none"/>
                    </w:rPr>
                    <w:t>0m</w:t>
                  </w:r>
                  <w:r>
                    <w:rPr>
                      <w:rFonts w:ascii="Times New Roman" w:hAnsi="Times New Roman" w:cs="Times New Roman"/>
                      <w:color w:val="000000"/>
                      <w:szCs w:val="21"/>
                      <w:highlight w:val="none"/>
                      <w:vertAlign w:val="superscript"/>
                    </w:rPr>
                    <w:t>2</w:t>
                  </w:r>
                </w:p>
              </w:tc>
              <w:tc>
                <w:tcPr>
                  <w:tcW w:w="740" w:type="pct"/>
                  <w:tcBorders>
                    <w:top w:val="single" w:color="000000" w:sz="4" w:space="0"/>
                    <w:bottom w:val="single" w:color="000000" w:sz="4" w:space="0"/>
                  </w:tcBorders>
                  <w:shd w:val="clear" w:color="auto" w:fill="auto"/>
                  <w:tcMar>
                    <w:top w:w="15" w:type="dxa"/>
                    <w:left w:w="15" w:type="dxa"/>
                    <w:right w:w="15" w:type="dxa"/>
                  </w:tcMar>
                  <w:vAlign w:val="center"/>
                </w:tcPr>
                <w:p w14:paraId="570F7E08">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桶装于危废间</w:t>
                  </w:r>
                </w:p>
              </w:tc>
              <w:tc>
                <w:tcPr>
                  <w:tcW w:w="641" w:type="dxa"/>
                  <w:tcBorders>
                    <w:top w:val="single" w:color="000000" w:sz="4" w:space="0"/>
                    <w:bottom w:val="single" w:color="000000" w:sz="4" w:space="0"/>
                  </w:tcBorders>
                  <w:shd w:val="clear" w:color="auto" w:fill="auto"/>
                  <w:tcMar>
                    <w:top w:w="15" w:type="dxa"/>
                    <w:left w:w="15" w:type="dxa"/>
                    <w:right w:w="15" w:type="dxa"/>
                  </w:tcMar>
                  <w:vAlign w:val="center"/>
                </w:tcPr>
                <w:p w14:paraId="564E0422">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s="Times New Roman"/>
                      <w:color w:val="000000"/>
                      <w:szCs w:val="21"/>
                    </w:rPr>
                  </w:pPr>
                  <w:r>
                    <w:rPr>
                      <w:rFonts w:hint="default" w:ascii="Times New Roman" w:hAnsi="Times New Roman" w:eastAsia="宋体" w:cs="Times New Roman"/>
                      <w:lang w:val="en-US" w:eastAsia="zh-CN"/>
                    </w:rPr>
                    <w:t>3.27</w:t>
                  </w:r>
                </w:p>
              </w:tc>
              <w:tc>
                <w:tcPr>
                  <w:tcW w:w="378"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1545B">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三个月</w:t>
                  </w:r>
                </w:p>
              </w:tc>
            </w:tr>
            <w:tr w14:paraId="58F9A5D1">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567" w:hRule="atLeast"/>
                <w:jc w:val="center"/>
              </w:trPr>
              <w:tc>
                <w:tcPr>
                  <w:tcW w:w="363" w:type="dxa"/>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14:paraId="765141F2">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486" w:type="pct"/>
                  <w:vMerge w:val="continue"/>
                  <w:shd w:val="clear" w:color="auto" w:fill="auto"/>
                  <w:tcMar>
                    <w:top w:w="15" w:type="dxa"/>
                    <w:left w:w="15" w:type="dxa"/>
                    <w:right w:w="15" w:type="dxa"/>
                  </w:tcMar>
                  <w:vAlign w:val="center"/>
                </w:tcPr>
                <w:p w14:paraId="1BF76458">
                  <w:pPr>
                    <w:pStyle w:val="6"/>
                    <w:ind w:left="0" w:leftChars="0" w:firstLine="0" w:firstLineChars="0"/>
                    <w:jc w:val="center"/>
                    <w:rPr>
                      <w:rFonts w:ascii="Times New Roman" w:hAnsi="Times New Roman" w:cs="Times New Roman"/>
                      <w:color w:val="000000"/>
                      <w:szCs w:val="21"/>
                    </w:rPr>
                  </w:pPr>
                </w:p>
              </w:tc>
              <w:tc>
                <w:tcPr>
                  <w:tcW w:w="1085" w:type="dxa"/>
                  <w:tcBorders>
                    <w:top w:val="single" w:color="000000" w:sz="4" w:space="0"/>
                    <w:bottom w:val="single" w:color="000000" w:sz="4" w:space="0"/>
                  </w:tcBorders>
                  <w:shd w:val="clear" w:color="auto" w:fill="auto"/>
                  <w:tcMar>
                    <w:top w:w="15" w:type="dxa"/>
                    <w:left w:w="15" w:type="dxa"/>
                    <w:right w:w="15" w:type="dxa"/>
                  </w:tcMar>
                  <w:vAlign w:val="center"/>
                </w:tcPr>
                <w:p w14:paraId="69E687C0">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olor w:val="000000"/>
                      <w:szCs w:val="21"/>
                    </w:rPr>
                  </w:pPr>
                  <w:r>
                    <w:rPr>
                      <w:rFonts w:hint="default" w:ascii="Times New Roman" w:hAnsi="Times New Roman" w:eastAsia="宋体" w:cs="Times New Roman"/>
                    </w:rPr>
                    <w:t>废过滤棉</w:t>
                  </w:r>
                </w:p>
              </w:tc>
              <w:tc>
                <w:tcPr>
                  <w:tcW w:w="1006" w:type="dxa"/>
                  <w:tcBorders>
                    <w:top w:val="single" w:color="000000" w:sz="4" w:space="0"/>
                    <w:bottom w:val="single" w:color="000000" w:sz="4" w:space="0"/>
                  </w:tcBorders>
                  <w:shd w:val="clear" w:color="auto" w:fill="auto"/>
                  <w:tcMar>
                    <w:top w:w="15" w:type="dxa"/>
                    <w:left w:w="15" w:type="dxa"/>
                    <w:right w:w="15" w:type="dxa"/>
                  </w:tcMar>
                  <w:vAlign w:val="center"/>
                </w:tcPr>
                <w:p w14:paraId="51BF9C79">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szCs w:val="21"/>
                    </w:rPr>
                  </w:pPr>
                  <w:r>
                    <w:rPr>
                      <w:rFonts w:hint="default" w:ascii="Times New Roman" w:hAnsi="Times New Roman" w:cs="Times New Roman"/>
                      <w:color w:val="000000"/>
                      <w:szCs w:val="21"/>
                    </w:rPr>
                    <w:t>HW49</w:t>
                  </w:r>
                </w:p>
              </w:tc>
              <w:tc>
                <w:tcPr>
                  <w:tcW w:w="1092" w:type="dxa"/>
                  <w:tcBorders>
                    <w:top w:val="single" w:color="000000" w:sz="4" w:space="0"/>
                    <w:bottom w:val="single" w:color="000000" w:sz="4" w:space="0"/>
                  </w:tcBorders>
                  <w:shd w:val="clear" w:color="auto" w:fill="auto"/>
                  <w:tcMar>
                    <w:top w:w="15" w:type="dxa"/>
                    <w:left w:w="15" w:type="dxa"/>
                    <w:right w:w="15" w:type="dxa"/>
                  </w:tcMar>
                  <w:vAlign w:val="center"/>
                </w:tcPr>
                <w:p w14:paraId="4ACEBCCF">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szCs w:val="21"/>
                    </w:rPr>
                  </w:pPr>
                  <w:r>
                    <w:rPr>
                      <w:rFonts w:hint="default" w:ascii="Times New Roman" w:hAnsi="Times New Roman" w:cs="Times New Roman"/>
                      <w:color w:val="000000"/>
                      <w:szCs w:val="21"/>
                    </w:rPr>
                    <w:t>900-041-49</w:t>
                  </w:r>
                </w:p>
              </w:tc>
              <w:tc>
                <w:tcPr>
                  <w:tcW w:w="481" w:type="pct"/>
                  <w:vMerge w:val="continue"/>
                  <w:shd w:val="clear" w:color="auto" w:fill="auto"/>
                  <w:tcMar>
                    <w:top w:w="15" w:type="dxa"/>
                    <w:left w:w="15" w:type="dxa"/>
                    <w:right w:w="15" w:type="dxa"/>
                  </w:tcMar>
                  <w:vAlign w:val="center"/>
                </w:tcPr>
                <w:p w14:paraId="5E11B1B0">
                  <w:pPr>
                    <w:pStyle w:val="6"/>
                    <w:ind w:left="0" w:leftChars="0" w:firstLine="0" w:firstLineChars="0"/>
                    <w:jc w:val="center"/>
                    <w:rPr>
                      <w:rFonts w:ascii="Times New Roman" w:hAnsi="Times New Roman" w:cs="Times New Roman"/>
                      <w:color w:val="000000"/>
                      <w:szCs w:val="21"/>
                    </w:rPr>
                  </w:pPr>
                </w:p>
              </w:tc>
              <w:tc>
                <w:tcPr>
                  <w:tcW w:w="427" w:type="pct"/>
                  <w:vMerge w:val="continue"/>
                  <w:shd w:val="clear" w:color="auto" w:fill="auto"/>
                  <w:tcMar>
                    <w:top w:w="15" w:type="dxa"/>
                    <w:left w:w="15" w:type="dxa"/>
                    <w:right w:w="15" w:type="dxa"/>
                  </w:tcMar>
                  <w:vAlign w:val="center"/>
                </w:tcPr>
                <w:p w14:paraId="689D666E">
                  <w:pPr>
                    <w:pStyle w:val="6"/>
                    <w:ind w:left="0" w:leftChars="0" w:firstLine="0" w:firstLineChars="0"/>
                    <w:jc w:val="center"/>
                    <w:rPr>
                      <w:rFonts w:ascii="Times New Roman" w:hAnsi="Times New Roman" w:cs="Times New Roman"/>
                      <w:color w:val="000000"/>
                      <w:szCs w:val="21"/>
                    </w:rPr>
                  </w:pPr>
                </w:p>
              </w:tc>
              <w:tc>
                <w:tcPr>
                  <w:tcW w:w="740" w:type="pct"/>
                  <w:tcBorders>
                    <w:top w:val="single" w:color="000000" w:sz="4" w:space="0"/>
                    <w:bottom w:val="single" w:color="000000" w:sz="4" w:space="0"/>
                  </w:tcBorders>
                  <w:shd w:val="clear" w:color="auto" w:fill="auto"/>
                  <w:tcMar>
                    <w:top w:w="15" w:type="dxa"/>
                    <w:left w:w="15" w:type="dxa"/>
                    <w:right w:w="15" w:type="dxa"/>
                  </w:tcMar>
                  <w:vAlign w:val="center"/>
                </w:tcPr>
                <w:p w14:paraId="17C5035F">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置于危废间</w:t>
                  </w:r>
                </w:p>
              </w:tc>
              <w:tc>
                <w:tcPr>
                  <w:tcW w:w="641" w:type="dxa"/>
                  <w:tcBorders>
                    <w:top w:val="single" w:color="000000" w:sz="4" w:space="0"/>
                    <w:bottom w:val="single" w:color="000000" w:sz="4" w:space="0"/>
                  </w:tcBorders>
                  <w:shd w:val="clear" w:color="auto" w:fill="auto"/>
                  <w:tcMar>
                    <w:top w:w="15" w:type="dxa"/>
                    <w:left w:w="15" w:type="dxa"/>
                    <w:right w:w="15" w:type="dxa"/>
                  </w:tcMar>
                  <w:vAlign w:val="center"/>
                </w:tcPr>
                <w:p w14:paraId="27F1FF37">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s="Times New Roman"/>
                      <w:color w:val="000000"/>
                      <w:szCs w:val="21"/>
                    </w:rPr>
                  </w:pPr>
                  <w:r>
                    <w:rPr>
                      <w:rFonts w:hint="default" w:ascii="Times New Roman" w:hAnsi="Times New Roman" w:eastAsia="宋体" w:cs="Times New Roman"/>
                      <w:lang w:val="en-US" w:eastAsia="zh-CN"/>
                    </w:rPr>
                    <w:t>0.1</w:t>
                  </w:r>
                </w:p>
              </w:tc>
              <w:tc>
                <w:tcPr>
                  <w:tcW w:w="378"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402FE">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三个月</w:t>
                  </w:r>
                </w:p>
              </w:tc>
            </w:tr>
            <w:tr w14:paraId="719F665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567" w:hRule="atLeast"/>
                <w:jc w:val="center"/>
              </w:trPr>
              <w:tc>
                <w:tcPr>
                  <w:tcW w:w="363" w:type="dxa"/>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14:paraId="3C474239">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486" w:type="pct"/>
                  <w:vMerge w:val="continue"/>
                  <w:shd w:val="clear" w:color="auto" w:fill="auto"/>
                  <w:tcMar>
                    <w:top w:w="15" w:type="dxa"/>
                    <w:left w:w="15" w:type="dxa"/>
                    <w:right w:w="15" w:type="dxa"/>
                  </w:tcMar>
                  <w:vAlign w:val="center"/>
                </w:tcPr>
                <w:p w14:paraId="16B8E80D">
                  <w:pPr>
                    <w:pStyle w:val="6"/>
                    <w:ind w:left="0" w:leftChars="0" w:firstLine="0" w:firstLineChars="0"/>
                    <w:jc w:val="center"/>
                    <w:rPr>
                      <w:rFonts w:ascii="Times New Roman" w:hAnsi="Times New Roman" w:cs="Times New Roman"/>
                      <w:color w:val="000000"/>
                      <w:szCs w:val="21"/>
                    </w:rPr>
                  </w:pPr>
                </w:p>
              </w:tc>
              <w:tc>
                <w:tcPr>
                  <w:tcW w:w="1085" w:type="dxa"/>
                  <w:tcBorders>
                    <w:top w:val="single" w:color="000000" w:sz="4" w:space="0"/>
                    <w:bottom w:val="single" w:color="000000" w:sz="4" w:space="0"/>
                  </w:tcBorders>
                  <w:shd w:val="clear" w:color="auto" w:fill="auto"/>
                  <w:tcMar>
                    <w:top w:w="15" w:type="dxa"/>
                    <w:left w:w="15" w:type="dxa"/>
                    <w:right w:w="15" w:type="dxa"/>
                  </w:tcMar>
                  <w:vAlign w:val="center"/>
                </w:tcPr>
                <w:p w14:paraId="47778539">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rPr>
                  </w:pPr>
                  <w:r>
                    <w:rPr>
                      <w:rFonts w:hint="default" w:ascii="Times New Roman" w:hAnsi="Times New Roman" w:cs="Times New Roman"/>
                      <w:color w:val="000000"/>
                      <w:szCs w:val="21"/>
                    </w:rPr>
                    <w:t>废机油</w:t>
                  </w:r>
                </w:p>
              </w:tc>
              <w:tc>
                <w:tcPr>
                  <w:tcW w:w="1006" w:type="dxa"/>
                  <w:tcBorders>
                    <w:top w:val="single" w:color="000000" w:sz="4" w:space="0"/>
                    <w:bottom w:val="single" w:color="000000" w:sz="4" w:space="0"/>
                  </w:tcBorders>
                  <w:shd w:val="clear" w:color="auto" w:fill="auto"/>
                  <w:tcMar>
                    <w:top w:w="15" w:type="dxa"/>
                    <w:left w:w="15" w:type="dxa"/>
                    <w:right w:w="15" w:type="dxa"/>
                  </w:tcMar>
                  <w:vAlign w:val="center"/>
                </w:tcPr>
                <w:p w14:paraId="7BC5B4BE">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szCs w:val="21"/>
                    </w:rPr>
                  </w:pPr>
                  <w:r>
                    <w:rPr>
                      <w:rFonts w:hint="default" w:ascii="Times New Roman" w:hAnsi="Times New Roman" w:cs="Times New Roman"/>
                      <w:color w:val="000000"/>
                      <w:szCs w:val="21"/>
                    </w:rPr>
                    <w:t>HW08</w:t>
                  </w:r>
                </w:p>
              </w:tc>
              <w:tc>
                <w:tcPr>
                  <w:tcW w:w="1092" w:type="dxa"/>
                  <w:tcBorders>
                    <w:top w:val="single" w:color="000000" w:sz="4" w:space="0"/>
                    <w:bottom w:val="single" w:color="000000" w:sz="4" w:space="0"/>
                  </w:tcBorders>
                  <w:shd w:val="clear" w:color="auto" w:fill="auto"/>
                  <w:tcMar>
                    <w:top w:w="15" w:type="dxa"/>
                    <w:left w:w="15" w:type="dxa"/>
                    <w:right w:w="15" w:type="dxa"/>
                  </w:tcMar>
                  <w:vAlign w:val="center"/>
                </w:tcPr>
                <w:p w14:paraId="74A439BD">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rPr>
                  </w:pPr>
                  <w:r>
                    <w:rPr>
                      <w:rFonts w:hint="default" w:ascii="Times New Roman" w:hAnsi="Times New Roman" w:cs="Times New Roman"/>
                      <w:color w:val="000000"/>
                      <w:szCs w:val="21"/>
                    </w:rPr>
                    <w:t>900-214-08</w:t>
                  </w:r>
                </w:p>
              </w:tc>
              <w:tc>
                <w:tcPr>
                  <w:tcW w:w="481" w:type="pct"/>
                  <w:vMerge w:val="continue"/>
                  <w:shd w:val="clear" w:color="auto" w:fill="auto"/>
                  <w:tcMar>
                    <w:top w:w="15" w:type="dxa"/>
                    <w:left w:w="15" w:type="dxa"/>
                    <w:right w:w="15" w:type="dxa"/>
                  </w:tcMar>
                  <w:vAlign w:val="center"/>
                </w:tcPr>
                <w:p w14:paraId="5D0BC696">
                  <w:pPr>
                    <w:pStyle w:val="6"/>
                    <w:ind w:left="0" w:leftChars="0" w:firstLine="0" w:firstLineChars="0"/>
                    <w:jc w:val="center"/>
                    <w:rPr>
                      <w:rFonts w:ascii="Times New Roman" w:hAnsi="Times New Roman" w:cs="Times New Roman"/>
                      <w:color w:val="000000"/>
                      <w:szCs w:val="21"/>
                    </w:rPr>
                  </w:pPr>
                </w:p>
              </w:tc>
              <w:tc>
                <w:tcPr>
                  <w:tcW w:w="427" w:type="pct"/>
                  <w:vMerge w:val="continue"/>
                  <w:shd w:val="clear" w:color="auto" w:fill="auto"/>
                  <w:tcMar>
                    <w:top w:w="15" w:type="dxa"/>
                    <w:left w:w="15" w:type="dxa"/>
                    <w:right w:w="15" w:type="dxa"/>
                  </w:tcMar>
                  <w:vAlign w:val="center"/>
                </w:tcPr>
                <w:p w14:paraId="16DCCAA7">
                  <w:pPr>
                    <w:pStyle w:val="6"/>
                    <w:ind w:left="0" w:leftChars="0" w:firstLine="0" w:firstLineChars="0"/>
                    <w:jc w:val="center"/>
                    <w:rPr>
                      <w:rFonts w:ascii="Times New Roman" w:hAnsi="Times New Roman" w:cs="Times New Roman"/>
                      <w:color w:val="000000"/>
                      <w:szCs w:val="21"/>
                    </w:rPr>
                  </w:pPr>
                </w:p>
              </w:tc>
              <w:tc>
                <w:tcPr>
                  <w:tcW w:w="740" w:type="pct"/>
                  <w:tcBorders>
                    <w:top w:val="single" w:color="000000" w:sz="4" w:space="0"/>
                    <w:bottom w:val="single" w:color="000000" w:sz="4" w:space="0"/>
                  </w:tcBorders>
                  <w:shd w:val="clear" w:color="auto" w:fill="auto"/>
                  <w:tcMar>
                    <w:top w:w="15" w:type="dxa"/>
                    <w:left w:w="15" w:type="dxa"/>
                    <w:right w:w="15" w:type="dxa"/>
                  </w:tcMar>
                  <w:vAlign w:val="center"/>
                </w:tcPr>
                <w:p w14:paraId="3B183A16">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桶装于危废间</w:t>
                  </w:r>
                </w:p>
              </w:tc>
              <w:tc>
                <w:tcPr>
                  <w:tcW w:w="641" w:type="dxa"/>
                  <w:tcBorders>
                    <w:top w:val="single" w:color="000000" w:sz="4" w:space="0"/>
                    <w:bottom w:val="single" w:color="000000" w:sz="4" w:space="0"/>
                  </w:tcBorders>
                  <w:shd w:val="clear" w:color="auto" w:fill="auto"/>
                  <w:tcMar>
                    <w:top w:w="15" w:type="dxa"/>
                    <w:left w:w="15" w:type="dxa"/>
                    <w:right w:w="15" w:type="dxa"/>
                  </w:tcMar>
                  <w:vAlign w:val="center"/>
                </w:tcPr>
                <w:p w14:paraId="212A0A91">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s="Times New Roman"/>
                      <w:color w:val="000000"/>
                      <w:szCs w:val="21"/>
                    </w:rPr>
                  </w:pPr>
                  <w:r>
                    <w:rPr>
                      <w:rFonts w:hint="default" w:ascii="Times New Roman" w:hAnsi="Times New Roman" w:eastAsia="宋体" w:cs="Times New Roman"/>
                      <w:lang w:val="en-US" w:eastAsia="zh-CN"/>
                    </w:rPr>
                    <w:t>0.5</w:t>
                  </w:r>
                </w:p>
              </w:tc>
              <w:tc>
                <w:tcPr>
                  <w:tcW w:w="378"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0F4CF">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三个月</w:t>
                  </w:r>
                </w:p>
              </w:tc>
            </w:tr>
            <w:tr w14:paraId="47BF87C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567" w:hRule="atLeast"/>
                <w:jc w:val="center"/>
              </w:trPr>
              <w:tc>
                <w:tcPr>
                  <w:tcW w:w="363" w:type="dxa"/>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14:paraId="308EEC86">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486" w:type="pct"/>
                  <w:vMerge w:val="continue"/>
                  <w:shd w:val="clear" w:color="auto" w:fill="auto"/>
                  <w:tcMar>
                    <w:top w:w="15" w:type="dxa"/>
                    <w:left w:w="15" w:type="dxa"/>
                    <w:right w:w="15" w:type="dxa"/>
                  </w:tcMar>
                  <w:vAlign w:val="center"/>
                </w:tcPr>
                <w:p w14:paraId="068FD27A">
                  <w:pPr>
                    <w:pStyle w:val="6"/>
                    <w:ind w:left="0" w:leftChars="0" w:firstLine="0" w:firstLineChars="0"/>
                    <w:jc w:val="center"/>
                    <w:rPr>
                      <w:rFonts w:ascii="Times New Roman" w:hAnsi="Times New Roman" w:cs="Times New Roman"/>
                      <w:color w:val="000000"/>
                      <w:szCs w:val="21"/>
                    </w:rPr>
                  </w:pPr>
                </w:p>
              </w:tc>
              <w:tc>
                <w:tcPr>
                  <w:tcW w:w="1085" w:type="dxa"/>
                  <w:tcBorders>
                    <w:top w:val="single" w:color="000000" w:sz="4" w:space="0"/>
                    <w:bottom w:val="single" w:color="000000" w:sz="4" w:space="0"/>
                  </w:tcBorders>
                  <w:shd w:val="clear" w:color="auto" w:fill="auto"/>
                  <w:tcMar>
                    <w:top w:w="15" w:type="dxa"/>
                    <w:left w:w="15" w:type="dxa"/>
                    <w:right w:w="15" w:type="dxa"/>
                  </w:tcMar>
                  <w:vAlign w:val="center"/>
                </w:tcPr>
                <w:p w14:paraId="5785192B">
                  <w:pPr>
                    <w:keepNext w:val="0"/>
                    <w:keepLines w:val="0"/>
                    <w:pageBreakBefore w:val="0"/>
                    <w:kinsoku/>
                    <w:wordWrap/>
                    <w:overflowPunct/>
                    <w:topLinePunct w:val="0"/>
                    <w:bidi w:val="0"/>
                    <w:spacing w:line="240" w:lineRule="auto"/>
                    <w:ind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废液</w:t>
                  </w:r>
                </w:p>
                <w:p w14:paraId="54B37C04">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rPr>
                  </w:pPr>
                  <w:r>
                    <w:rPr>
                      <w:rFonts w:hint="default" w:ascii="Times New Roman" w:hAnsi="Times New Roman" w:cs="Times New Roman"/>
                      <w:color w:val="000000"/>
                      <w:szCs w:val="21"/>
                    </w:rPr>
                    <w:t>压油</w:t>
                  </w:r>
                </w:p>
              </w:tc>
              <w:tc>
                <w:tcPr>
                  <w:tcW w:w="1006" w:type="dxa"/>
                  <w:tcBorders>
                    <w:top w:val="single" w:color="000000" w:sz="4" w:space="0"/>
                    <w:bottom w:val="single" w:color="000000" w:sz="4" w:space="0"/>
                  </w:tcBorders>
                  <w:shd w:val="clear" w:color="auto" w:fill="auto"/>
                  <w:tcMar>
                    <w:top w:w="15" w:type="dxa"/>
                    <w:left w:w="15" w:type="dxa"/>
                    <w:right w:w="15" w:type="dxa"/>
                  </w:tcMar>
                  <w:vAlign w:val="center"/>
                </w:tcPr>
                <w:p w14:paraId="5D136A02">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szCs w:val="21"/>
                    </w:rPr>
                  </w:pPr>
                  <w:r>
                    <w:rPr>
                      <w:rFonts w:hint="default" w:ascii="Times New Roman" w:hAnsi="Times New Roman" w:cs="Times New Roman"/>
                      <w:color w:val="000000"/>
                      <w:szCs w:val="21"/>
                    </w:rPr>
                    <w:t>HW08</w:t>
                  </w:r>
                </w:p>
              </w:tc>
              <w:tc>
                <w:tcPr>
                  <w:tcW w:w="1092" w:type="dxa"/>
                  <w:tcBorders>
                    <w:top w:val="single" w:color="000000" w:sz="4" w:space="0"/>
                    <w:bottom w:val="single" w:color="000000" w:sz="4" w:space="0"/>
                  </w:tcBorders>
                  <w:shd w:val="clear" w:color="auto" w:fill="auto"/>
                  <w:tcMar>
                    <w:top w:w="15" w:type="dxa"/>
                    <w:left w:w="15" w:type="dxa"/>
                    <w:right w:w="15" w:type="dxa"/>
                  </w:tcMar>
                  <w:vAlign w:val="center"/>
                </w:tcPr>
                <w:p w14:paraId="030C71F7">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rPr>
                  </w:pPr>
                  <w:r>
                    <w:rPr>
                      <w:rFonts w:hint="default" w:ascii="Times New Roman" w:hAnsi="Times New Roman" w:cs="Times New Roman"/>
                      <w:color w:val="000000"/>
                      <w:szCs w:val="21"/>
                    </w:rPr>
                    <w:t>900-218-08</w:t>
                  </w:r>
                </w:p>
              </w:tc>
              <w:tc>
                <w:tcPr>
                  <w:tcW w:w="481" w:type="pct"/>
                  <w:vMerge w:val="continue"/>
                  <w:shd w:val="clear" w:color="auto" w:fill="auto"/>
                  <w:tcMar>
                    <w:top w:w="15" w:type="dxa"/>
                    <w:left w:w="15" w:type="dxa"/>
                    <w:right w:w="15" w:type="dxa"/>
                  </w:tcMar>
                  <w:vAlign w:val="center"/>
                </w:tcPr>
                <w:p w14:paraId="531F084A">
                  <w:pPr>
                    <w:pStyle w:val="6"/>
                    <w:ind w:left="0" w:leftChars="0" w:firstLine="0" w:firstLineChars="0"/>
                    <w:jc w:val="center"/>
                    <w:rPr>
                      <w:rFonts w:ascii="Times New Roman" w:hAnsi="Times New Roman" w:cs="Times New Roman"/>
                      <w:color w:val="000000"/>
                      <w:szCs w:val="21"/>
                    </w:rPr>
                  </w:pPr>
                </w:p>
              </w:tc>
              <w:tc>
                <w:tcPr>
                  <w:tcW w:w="427" w:type="pct"/>
                  <w:vMerge w:val="continue"/>
                  <w:shd w:val="clear" w:color="auto" w:fill="auto"/>
                  <w:tcMar>
                    <w:top w:w="15" w:type="dxa"/>
                    <w:left w:w="15" w:type="dxa"/>
                    <w:right w:w="15" w:type="dxa"/>
                  </w:tcMar>
                  <w:vAlign w:val="center"/>
                </w:tcPr>
                <w:p w14:paraId="5AF2AA56">
                  <w:pPr>
                    <w:pStyle w:val="6"/>
                    <w:ind w:left="0" w:leftChars="0" w:firstLine="0" w:firstLineChars="0"/>
                    <w:jc w:val="center"/>
                    <w:rPr>
                      <w:rFonts w:ascii="Times New Roman" w:hAnsi="Times New Roman" w:cs="Times New Roman"/>
                      <w:color w:val="000000"/>
                      <w:szCs w:val="21"/>
                    </w:rPr>
                  </w:pPr>
                </w:p>
              </w:tc>
              <w:tc>
                <w:tcPr>
                  <w:tcW w:w="740" w:type="pct"/>
                  <w:tcBorders>
                    <w:top w:val="single" w:color="000000" w:sz="4" w:space="0"/>
                    <w:bottom w:val="single" w:color="000000" w:sz="4" w:space="0"/>
                  </w:tcBorders>
                  <w:shd w:val="clear" w:color="auto" w:fill="auto"/>
                  <w:tcMar>
                    <w:top w:w="15" w:type="dxa"/>
                    <w:left w:w="15" w:type="dxa"/>
                    <w:right w:w="15" w:type="dxa"/>
                  </w:tcMar>
                  <w:vAlign w:val="center"/>
                </w:tcPr>
                <w:p w14:paraId="3E794532">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置于危废间</w:t>
                  </w:r>
                </w:p>
              </w:tc>
              <w:tc>
                <w:tcPr>
                  <w:tcW w:w="641" w:type="dxa"/>
                  <w:tcBorders>
                    <w:top w:val="single" w:color="000000" w:sz="4" w:space="0"/>
                    <w:bottom w:val="single" w:color="000000" w:sz="4" w:space="0"/>
                  </w:tcBorders>
                  <w:shd w:val="clear" w:color="auto" w:fill="auto"/>
                  <w:tcMar>
                    <w:top w:w="15" w:type="dxa"/>
                    <w:left w:w="15" w:type="dxa"/>
                    <w:right w:w="15" w:type="dxa"/>
                  </w:tcMar>
                  <w:vAlign w:val="center"/>
                </w:tcPr>
                <w:p w14:paraId="1508A93A">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s="Times New Roman"/>
                      <w:color w:val="000000"/>
                      <w:szCs w:val="21"/>
                    </w:rPr>
                  </w:pPr>
                  <w:r>
                    <w:rPr>
                      <w:rFonts w:hint="default" w:ascii="Times New Roman" w:hAnsi="Times New Roman" w:eastAsia="宋体" w:cs="Times New Roman"/>
                      <w:lang w:val="en-US" w:eastAsia="zh-CN"/>
                    </w:rPr>
                    <w:t>1.2</w:t>
                  </w:r>
                </w:p>
              </w:tc>
              <w:tc>
                <w:tcPr>
                  <w:tcW w:w="378"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70199">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三个月</w:t>
                  </w:r>
                </w:p>
              </w:tc>
            </w:tr>
            <w:tr w14:paraId="403478BB">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567" w:hRule="atLeast"/>
                <w:jc w:val="center"/>
              </w:trPr>
              <w:tc>
                <w:tcPr>
                  <w:tcW w:w="363" w:type="dxa"/>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14:paraId="7297F3C9">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486" w:type="pct"/>
                  <w:vMerge w:val="continue"/>
                  <w:shd w:val="clear" w:color="auto" w:fill="auto"/>
                  <w:tcMar>
                    <w:top w:w="15" w:type="dxa"/>
                    <w:left w:w="15" w:type="dxa"/>
                    <w:right w:w="15" w:type="dxa"/>
                  </w:tcMar>
                  <w:vAlign w:val="center"/>
                </w:tcPr>
                <w:p w14:paraId="27A91743">
                  <w:pPr>
                    <w:pStyle w:val="6"/>
                    <w:ind w:left="0" w:leftChars="0" w:firstLine="0" w:firstLineChars="0"/>
                    <w:jc w:val="center"/>
                    <w:rPr>
                      <w:rFonts w:ascii="Times New Roman" w:hAnsi="Times New Roman" w:cs="Times New Roman"/>
                      <w:color w:val="000000"/>
                      <w:szCs w:val="21"/>
                    </w:rPr>
                  </w:pPr>
                </w:p>
              </w:tc>
              <w:tc>
                <w:tcPr>
                  <w:tcW w:w="1085" w:type="dxa"/>
                  <w:tcBorders>
                    <w:top w:val="single" w:color="000000" w:sz="4" w:space="0"/>
                    <w:bottom w:val="single" w:color="000000" w:sz="4" w:space="0"/>
                  </w:tcBorders>
                  <w:shd w:val="clear" w:color="auto" w:fill="auto"/>
                  <w:tcMar>
                    <w:top w:w="15" w:type="dxa"/>
                    <w:left w:w="15" w:type="dxa"/>
                    <w:right w:w="15" w:type="dxa"/>
                  </w:tcMar>
                  <w:vAlign w:val="center"/>
                </w:tcPr>
                <w:p w14:paraId="0026E88B">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rPr>
                  </w:pPr>
                  <w:r>
                    <w:rPr>
                      <w:rFonts w:hint="default" w:ascii="Times New Roman" w:hAnsi="Times New Roman" w:cs="Times New Roman"/>
                      <w:color w:val="000000"/>
                      <w:szCs w:val="21"/>
                    </w:rPr>
                    <w:t>废油桶</w:t>
                  </w:r>
                </w:p>
              </w:tc>
              <w:tc>
                <w:tcPr>
                  <w:tcW w:w="1006" w:type="dxa"/>
                  <w:tcBorders>
                    <w:top w:val="single" w:color="000000" w:sz="4" w:space="0"/>
                    <w:bottom w:val="single" w:color="000000" w:sz="4" w:space="0"/>
                  </w:tcBorders>
                  <w:shd w:val="clear" w:color="auto" w:fill="auto"/>
                  <w:tcMar>
                    <w:top w:w="15" w:type="dxa"/>
                    <w:left w:w="15" w:type="dxa"/>
                    <w:right w:w="15" w:type="dxa"/>
                  </w:tcMar>
                  <w:vAlign w:val="center"/>
                </w:tcPr>
                <w:p w14:paraId="63643C38">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szCs w:val="21"/>
                    </w:rPr>
                  </w:pPr>
                  <w:r>
                    <w:rPr>
                      <w:rFonts w:hint="default" w:ascii="Times New Roman" w:hAnsi="Times New Roman" w:cs="Times New Roman"/>
                      <w:color w:val="000000"/>
                      <w:szCs w:val="21"/>
                    </w:rPr>
                    <w:t>HW08</w:t>
                  </w:r>
                </w:p>
              </w:tc>
              <w:tc>
                <w:tcPr>
                  <w:tcW w:w="1092" w:type="dxa"/>
                  <w:tcBorders>
                    <w:top w:val="single" w:color="000000" w:sz="4" w:space="0"/>
                    <w:bottom w:val="single" w:color="000000" w:sz="4" w:space="0"/>
                  </w:tcBorders>
                  <w:shd w:val="clear" w:color="auto" w:fill="auto"/>
                  <w:tcMar>
                    <w:top w:w="15" w:type="dxa"/>
                    <w:left w:w="15" w:type="dxa"/>
                    <w:right w:w="15" w:type="dxa"/>
                  </w:tcMar>
                  <w:vAlign w:val="center"/>
                </w:tcPr>
                <w:p w14:paraId="198A9C88">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rPr>
                  </w:pPr>
                  <w:r>
                    <w:rPr>
                      <w:rFonts w:hint="default" w:ascii="Times New Roman" w:hAnsi="Times New Roman" w:cs="Times New Roman"/>
                      <w:color w:val="000000"/>
                      <w:kern w:val="0"/>
                      <w:szCs w:val="21"/>
                    </w:rPr>
                    <w:t>900-249-08</w:t>
                  </w:r>
                </w:p>
              </w:tc>
              <w:tc>
                <w:tcPr>
                  <w:tcW w:w="481" w:type="pct"/>
                  <w:vMerge w:val="continue"/>
                  <w:shd w:val="clear" w:color="auto" w:fill="auto"/>
                  <w:tcMar>
                    <w:top w:w="15" w:type="dxa"/>
                    <w:left w:w="15" w:type="dxa"/>
                    <w:right w:w="15" w:type="dxa"/>
                  </w:tcMar>
                  <w:vAlign w:val="center"/>
                </w:tcPr>
                <w:p w14:paraId="2C863D5F">
                  <w:pPr>
                    <w:pStyle w:val="6"/>
                    <w:ind w:left="0" w:leftChars="0" w:firstLine="0" w:firstLineChars="0"/>
                    <w:jc w:val="center"/>
                    <w:rPr>
                      <w:rFonts w:ascii="Times New Roman" w:hAnsi="Times New Roman" w:cs="Times New Roman"/>
                      <w:color w:val="000000"/>
                      <w:szCs w:val="21"/>
                    </w:rPr>
                  </w:pPr>
                </w:p>
              </w:tc>
              <w:tc>
                <w:tcPr>
                  <w:tcW w:w="427" w:type="pct"/>
                  <w:vMerge w:val="continue"/>
                  <w:shd w:val="clear" w:color="auto" w:fill="auto"/>
                  <w:tcMar>
                    <w:top w:w="15" w:type="dxa"/>
                    <w:left w:w="15" w:type="dxa"/>
                    <w:right w:w="15" w:type="dxa"/>
                  </w:tcMar>
                  <w:vAlign w:val="center"/>
                </w:tcPr>
                <w:p w14:paraId="6BE98820">
                  <w:pPr>
                    <w:pStyle w:val="6"/>
                    <w:ind w:left="0" w:leftChars="0" w:firstLine="0" w:firstLineChars="0"/>
                    <w:jc w:val="center"/>
                    <w:rPr>
                      <w:rFonts w:ascii="Times New Roman" w:hAnsi="Times New Roman" w:cs="Times New Roman"/>
                      <w:color w:val="000000"/>
                      <w:szCs w:val="21"/>
                    </w:rPr>
                  </w:pPr>
                </w:p>
              </w:tc>
              <w:tc>
                <w:tcPr>
                  <w:tcW w:w="740" w:type="pct"/>
                  <w:tcBorders>
                    <w:top w:val="single" w:color="000000" w:sz="4" w:space="0"/>
                    <w:bottom w:val="single" w:color="000000" w:sz="4" w:space="0"/>
                  </w:tcBorders>
                  <w:shd w:val="clear" w:color="auto" w:fill="auto"/>
                  <w:tcMar>
                    <w:top w:w="15" w:type="dxa"/>
                    <w:left w:w="15" w:type="dxa"/>
                    <w:right w:w="15" w:type="dxa"/>
                  </w:tcMar>
                  <w:vAlign w:val="center"/>
                </w:tcPr>
                <w:p w14:paraId="50D4B15C">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桶装于危废间</w:t>
                  </w:r>
                </w:p>
              </w:tc>
              <w:tc>
                <w:tcPr>
                  <w:tcW w:w="641" w:type="dxa"/>
                  <w:tcBorders>
                    <w:top w:val="single" w:color="000000" w:sz="4" w:space="0"/>
                    <w:bottom w:val="single" w:color="000000" w:sz="4" w:space="0"/>
                  </w:tcBorders>
                  <w:shd w:val="clear" w:color="auto" w:fill="auto"/>
                  <w:tcMar>
                    <w:top w:w="15" w:type="dxa"/>
                    <w:left w:w="15" w:type="dxa"/>
                    <w:right w:w="15" w:type="dxa"/>
                  </w:tcMar>
                  <w:vAlign w:val="center"/>
                </w:tcPr>
                <w:p w14:paraId="3686CE54">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s="Times New Roman"/>
                      <w:color w:val="000000"/>
                      <w:szCs w:val="21"/>
                    </w:rPr>
                  </w:pPr>
                  <w:r>
                    <w:rPr>
                      <w:rFonts w:hint="default" w:ascii="Times New Roman" w:hAnsi="Times New Roman" w:eastAsia="宋体" w:cs="Times New Roman"/>
                      <w:lang w:val="en-US" w:eastAsia="zh-CN"/>
                    </w:rPr>
                    <w:t>0.18</w:t>
                  </w:r>
                </w:p>
              </w:tc>
              <w:tc>
                <w:tcPr>
                  <w:tcW w:w="378"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CC32B">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三个月</w:t>
                  </w:r>
                </w:p>
              </w:tc>
            </w:tr>
            <w:tr w14:paraId="3BD7ACB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567" w:hRule="atLeast"/>
                <w:jc w:val="center"/>
              </w:trPr>
              <w:tc>
                <w:tcPr>
                  <w:tcW w:w="363" w:type="dxa"/>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14:paraId="01D0AF7C">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486" w:type="pct"/>
                  <w:vMerge w:val="continue"/>
                  <w:shd w:val="clear" w:color="auto" w:fill="auto"/>
                  <w:tcMar>
                    <w:top w:w="15" w:type="dxa"/>
                    <w:left w:w="15" w:type="dxa"/>
                    <w:right w:w="15" w:type="dxa"/>
                  </w:tcMar>
                  <w:vAlign w:val="center"/>
                </w:tcPr>
                <w:p w14:paraId="302B9960">
                  <w:pPr>
                    <w:pStyle w:val="6"/>
                    <w:ind w:left="0" w:leftChars="0" w:firstLine="0" w:firstLineChars="0"/>
                    <w:jc w:val="center"/>
                    <w:rPr>
                      <w:rFonts w:ascii="Times New Roman" w:hAnsi="Times New Roman" w:cs="Times New Roman"/>
                      <w:color w:val="000000"/>
                      <w:szCs w:val="21"/>
                    </w:rPr>
                  </w:pPr>
                </w:p>
              </w:tc>
              <w:tc>
                <w:tcPr>
                  <w:tcW w:w="1085" w:type="dxa"/>
                  <w:tcBorders>
                    <w:top w:val="single" w:color="000000" w:sz="4" w:space="0"/>
                    <w:bottom w:val="single" w:color="000000" w:sz="4" w:space="0"/>
                  </w:tcBorders>
                  <w:shd w:val="clear" w:color="auto" w:fill="auto"/>
                  <w:tcMar>
                    <w:top w:w="15" w:type="dxa"/>
                    <w:left w:w="15" w:type="dxa"/>
                    <w:right w:w="15" w:type="dxa"/>
                  </w:tcMar>
                  <w:vAlign w:val="center"/>
                </w:tcPr>
                <w:p w14:paraId="072C0E2C">
                  <w:pPr>
                    <w:keepNext w:val="0"/>
                    <w:keepLines w:val="0"/>
                    <w:pageBreakBefore w:val="0"/>
                    <w:kinsoku/>
                    <w:wordWrap/>
                    <w:overflowPunct/>
                    <w:topLinePunct w:val="0"/>
                    <w:bidi w:val="0"/>
                    <w:spacing w:line="240" w:lineRule="auto"/>
                    <w:ind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废乳</w:t>
                  </w:r>
                </w:p>
                <w:p w14:paraId="12204634">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rPr>
                  </w:pPr>
                  <w:r>
                    <w:rPr>
                      <w:rFonts w:hint="default" w:ascii="Times New Roman" w:hAnsi="Times New Roman" w:cs="Times New Roman"/>
                      <w:color w:val="000000"/>
                      <w:szCs w:val="21"/>
                    </w:rPr>
                    <w:t>化液</w:t>
                  </w:r>
                </w:p>
              </w:tc>
              <w:tc>
                <w:tcPr>
                  <w:tcW w:w="1006" w:type="dxa"/>
                  <w:tcBorders>
                    <w:top w:val="single" w:color="000000" w:sz="4" w:space="0"/>
                    <w:bottom w:val="single" w:color="000000" w:sz="4" w:space="0"/>
                  </w:tcBorders>
                  <w:shd w:val="clear" w:color="auto" w:fill="auto"/>
                  <w:tcMar>
                    <w:top w:w="15" w:type="dxa"/>
                    <w:left w:w="15" w:type="dxa"/>
                    <w:right w:w="15" w:type="dxa"/>
                  </w:tcMar>
                  <w:vAlign w:val="center"/>
                </w:tcPr>
                <w:p w14:paraId="224215F5">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szCs w:val="21"/>
                    </w:rPr>
                  </w:pPr>
                  <w:r>
                    <w:rPr>
                      <w:rFonts w:hint="default" w:ascii="Times New Roman" w:hAnsi="Times New Roman" w:cs="Times New Roman"/>
                      <w:color w:val="000000"/>
                      <w:kern w:val="0"/>
                      <w:szCs w:val="21"/>
                    </w:rPr>
                    <w:t>HW09</w:t>
                  </w:r>
                </w:p>
              </w:tc>
              <w:tc>
                <w:tcPr>
                  <w:tcW w:w="1092" w:type="dxa"/>
                  <w:tcBorders>
                    <w:top w:val="single" w:color="000000" w:sz="4" w:space="0"/>
                    <w:bottom w:val="single" w:color="000000" w:sz="4" w:space="0"/>
                  </w:tcBorders>
                  <w:shd w:val="clear" w:color="auto" w:fill="auto"/>
                  <w:tcMar>
                    <w:top w:w="15" w:type="dxa"/>
                    <w:left w:w="15" w:type="dxa"/>
                    <w:right w:w="15" w:type="dxa"/>
                  </w:tcMar>
                  <w:vAlign w:val="center"/>
                </w:tcPr>
                <w:p w14:paraId="68426E06">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rPr>
                  </w:pPr>
                  <w:r>
                    <w:rPr>
                      <w:rFonts w:hint="default" w:ascii="Times New Roman" w:hAnsi="Times New Roman" w:cs="Times New Roman"/>
                      <w:color w:val="000000"/>
                      <w:kern w:val="0"/>
                      <w:szCs w:val="21"/>
                    </w:rPr>
                    <w:t>900-006-09</w:t>
                  </w:r>
                </w:p>
              </w:tc>
              <w:tc>
                <w:tcPr>
                  <w:tcW w:w="481" w:type="pct"/>
                  <w:vMerge w:val="continue"/>
                  <w:shd w:val="clear" w:color="auto" w:fill="auto"/>
                  <w:tcMar>
                    <w:top w:w="15" w:type="dxa"/>
                    <w:left w:w="15" w:type="dxa"/>
                    <w:right w:w="15" w:type="dxa"/>
                  </w:tcMar>
                  <w:vAlign w:val="center"/>
                </w:tcPr>
                <w:p w14:paraId="2D2CBBD1">
                  <w:pPr>
                    <w:pStyle w:val="6"/>
                    <w:ind w:left="0" w:leftChars="0" w:firstLine="0" w:firstLineChars="0"/>
                    <w:jc w:val="center"/>
                    <w:rPr>
                      <w:rFonts w:ascii="Times New Roman" w:hAnsi="Times New Roman" w:cs="Times New Roman"/>
                      <w:color w:val="000000"/>
                      <w:szCs w:val="21"/>
                    </w:rPr>
                  </w:pPr>
                </w:p>
              </w:tc>
              <w:tc>
                <w:tcPr>
                  <w:tcW w:w="427" w:type="pct"/>
                  <w:vMerge w:val="continue"/>
                  <w:shd w:val="clear" w:color="auto" w:fill="auto"/>
                  <w:tcMar>
                    <w:top w:w="15" w:type="dxa"/>
                    <w:left w:w="15" w:type="dxa"/>
                    <w:right w:w="15" w:type="dxa"/>
                  </w:tcMar>
                  <w:vAlign w:val="center"/>
                </w:tcPr>
                <w:p w14:paraId="256B27BA">
                  <w:pPr>
                    <w:pStyle w:val="6"/>
                    <w:ind w:left="0" w:leftChars="0" w:firstLine="0" w:firstLineChars="0"/>
                    <w:jc w:val="center"/>
                    <w:rPr>
                      <w:rFonts w:ascii="Times New Roman" w:hAnsi="Times New Roman" w:cs="Times New Roman"/>
                      <w:color w:val="000000"/>
                      <w:szCs w:val="21"/>
                    </w:rPr>
                  </w:pPr>
                </w:p>
              </w:tc>
              <w:tc>
                <w:tcPr>
                  <w:tcW w:w="740" w:type="pct"/>
                  <w:tcBorders>
                    <w:top w:val="single" w:color="000000" w:sz="4" w:space="0"/>
                    <w:bottom w:val="single" w:color="000000" w:sz="4" w:space="0"/>
                  </w:tcBorders>
                  <w:shd w:val="clear" w:color="auto" w:fill="auto"/>
                  <w:tcMar>
                    <w:top w:w="15" w:type="dxa"/>
                    <w:left w:w="15" w:type="dxa"/>
                    <w:right w:w="15" w:type="dxa"/>
                  </w:tcMar>
                  <w:vAlign w:val="center"/>
                </w:tcPr>
                <w:p w14:paraId="53F6C8C3">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桶装于危废间</w:t>
                  </w:r>
                </w:p>
              </w:tc>
              <w:tc>
                <w:tcPr>
                  <w:tcW w:w="641" w:type="dxa"/>
                  <w:tcBorders>
                    <w:top w:val="single" w:color="000000" w:sz="4" w:space="0"/>
                    <w:bottom w:val="single" w:color="000000" w:sz="4" w:space="0"/>
                  </w:tcBorders>
                  <w:shd w:val="clear" w:color="auto" w:fill="auto"/>
                  <w:tcMar>
                    <w:top w:w="15" w:type="dxa"/>
                    <w:left w:w="15" w:type="dxa"/>
                    <w:right w:w="15" w:type="dxa"/>
                  </w:tcMar>
                  <w:vAlign w:val="center"/>
                </w:tcPr>
                <w:p w14:paraId="4FF663E3">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s="Times New Roman"/>
                      <w:color w:val="000000"/>
                      <w:szCs w:val="21"/>
                    </w:rPr>
                  </w:pPr>
                  <w:r>
                    <w:rPr>
                      <w:rFonts w:hint="default" w:ascii="Times New Roman" w:hAnsi="Times New Roman" w:eastAsia="宋体" w:cs="Times New Roman"/>
                      <w:lang w:val="en-US" w:eastAsia="zh-CN"/>
                    </w:rPr>
                    <w:t>0.2</w:t>
                  </w:r>
                </w:p>
              </w:tc>
              <w:tc>
                <w:tcPr>
                  <w:tcW w:w="378"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48F3E">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三个月</w:t>
                  </w:r>
                </w:p>
              </w:tc>
            </w:tr>
            <w:tr w14:paraId="4F7BD3D5">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567" w:hRule="atLeast"/>
                <w:jc w:val="center"/>
              </w:trPr>
              <w:tc>
                <w:tcPr>
                  <w:tcW w:w="21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14:paraId="1D101B4A">
                  <w:pPr>
                    <w:pStyle w:val="6"/>
                    <w:ind w:left="0" w:leftChars="0" w:firstLine="0" w:firstLineChars="0"/>
                    <w:jc w:val="center"/>
                    <w:rPr>
                      <w:rFonts w:ascii="Times New Roman" w:hAnsi="Times New Roman" w:cs="Times New Roman"/>
                      <w:color w:val="000000"/>
                      <w:szCs w:val="21"/>
                    </w:rPr>
                  </w:pPr>
                  <w:r>
                    <w:rPr>
                      <w:rFonts w:hint="eastAsia" w:cs="Times New Roman"/>
                      <w:color w:val="000000"/>
                      <w:szCs w:val="21"/>
                      <w:lang w:val="en-US" w:eastAsia="zh-CN"/>
                    </w:rPr>
                    <w:t>7</w:t>
                  </w:r>
                </w:p>
              </w:tc>
              <w:tc>
                <w:tcPr>
                  <w:tcW w:w="486" w:type="pct"/>
                  <w:vMerge w:val="continue"/>
                  <w:shd w:val="clear" w:color="auto" w:fill="auto"/>
                  <w:tcMar>
                    <w:top w:w="15" w:type="dxa"/>
                    <w:left w:w="15" w:type="dxa"/>
                    <w:right w:w="15" w:type="dxa"/>
                  </w:tcMar>
                  <w:vAlign w:val="center"/>
                </w:tcPr>
                <w:p w14:paraId="64CFD505">
                  <w:pPr>
                    <w:pStyle w:val="6"/>
                    <w:ind w:left="0" w:leftChars="0" w:firstLine="0" w:firstLineChars="0"/>
                    <w:jc w:val="center"/>
                    <w:rPr>
                      <w:rFonts w:ascii="Times New Roman" w:hAnsi="Times New Roman" w:cs="Times New Roman"/>
                      <w:color w:val="000000"/>
                      <w:szCs w:val="21"/>
                    </w:rPr>
                  </w:pPr>
                </w:p>
              </w:tc>
              <w:tc>
                <w:tcPr>
                  <w:tcW w:w="1085" w:type="dxa"/>
                  <w:tcBorders>
                    <w:top w:val="single" w:color="000000" w:sz="4" w:space="0"/>
                    <w:bottom w:val="single" w:color="000000" w:sz="4" w:space="0"/>
                  </w:tcBorders>
                  <w:shd w:val="clear" w:color="auto" w:fill="auto"/>
                  <w:tcMar>
                    <w:top w:w="15" w:type="dxa"/>
                    <w:left w:w="15" w:type="dxa"/>
                    <w:right w:w="15" w:type="dxa"/>
                  </w:tcMar>
                  <w:vAlign w:val="center"/>
                </w:tcPr>
                <w:p w14:paraId="350F1449">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rPr>
                  </w:pPr>
                  <w:r>
                    <w:rPr>
                      <w:rFonts w:hint="default" w:ascii="Times New Roman" w:hAnsi="Times New Roman" w:cs="Times New Roman"/>
                      <w:color w:val="000000"/>
                      <w:szCs w:val="21"/>
                      <w:lang w:eastAsia="zh-CN"/>
                    </w:rPr>
                    <w:t>含油抹布及废手套</w:t>
                  </w:r>
                </w:p>
              </w:tc>
              <w:tc>
                <w:tcPr>
                  <w:tcW w:w="1006" w:type="dxa"/>
                  <w:tcBorders>
                    <w:top w:val="single" w:color="000000" w:sz="4" w:space="0"/>
                    <w:bottom w:val="single" w:color="000000" w:sz="4" w:space="0"/>
                  </w:tcBorders>
                  <w:shd w:val="clear" w:color="auto" w:fill="auto"/>
                  <w:tcMar>
                    <w:top w:w="15" w:type="dxa"/>
                    <w:left w:w="15" w:type="dxa"/>
                    <w:right w:w="15" w:type="dxa"/>
                  </w:tcMar>
                  <w:vAlign w:val="center"/>
                </w:tcPr>
                <w:p w14:paraId="0962A013">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top"/>
                    <w:rPr>
                      <w:rFonts w:ascii="Times New Roman" w:hAnsi="Times New Roman"/>
                      <w:color w:val="000000"/>
                      <w:szCs w:val="21"/>
                    </w:rPr>
                  </w:pPr>
                  <w:r>
                    <w:rPr>
                      <w:rFonts w:hint="default" w:ascii="Times New Roman" w:hAnsi="Times New Roman" w:eastAsia="TimesNewRomanPSMT" w:cs="Times New Roman"/>
                      <w:color w:val="auto"/>
                      <w:sz w:val="21"/>
                      <w:szCs w:val="21"/>
                      <w:highlight w:val="none"/>
                    </w:rPr>
                    <w:t>HW08</w:t>
                  </w:r>
                </w:p>
              </w:tc>
              <w:tc>
                <w:tcPr>
                  <w:tcW w:w="1092" w:type="dxa"/>
                  <w:tcBorders>
                    <w:top w:val="single" w:color="000000" w:sz="4" w:space="0"/>
                    <w:bottom w:val="single" w:color="000000" w:sz="4" w:space="0"/>
                  </w:tcBorders>
                  <w:shd w:val="clear" w:color="auto" w:fill="auto"/>
                  <w:tcMar>
                    <w:top w:w="15" w:type="dxa"/>
                    <w:left w:w="15" w:type="dxa"/>
                    <w:right w:w="15" w:type="dxa"/>
                  </w:tcMar>
                  <w:vAlign w:val="center"/>
                </w:tcPr>
                <w:p w14:paraId="07CB04F2">
                  <w:pPr>
                    <w:keepNext w:val="0"/>
                    <w:keepLines w:val="0"/>
                    <w:pageBreakBefore w:val="0"/>
                    <w:widowControl w:val="0"/>
                    <w:kinsoku/>
                    <w:wordWrap/>
                    <w:overflowPunct/>
                    <w:topLinePunct w:val="0"/>
                    <w:bidi w:val="0"/>
                    <w:adjustRightInd/>
                    <w:snapToGrid/>
                    <w:spacing w:line="240" w:lineRule="auto"/>
                    <w:ind w:right="0" w:rightChars="0"/>
                    <w:jc w:val="center"/>
                    <w:rPr>
                      <w:rFonts w:ascii="Times New Roman" w:hAnsi="Times New Roman"/>
                      <w:bCs/>
                      <w:color w:val="000000"/>
                      <w:szCs w:val="21"/>
                    </w:rPr>
                  </w:pPr>
                  <w:r>
                    <w:rPr>
                      <w:rFonts w:hint="default" w:ascii="Times New Roman" w:hAnsi="Times New Roman" w:eastAsia="TimesNewRomanPSMT" w:cs="Times New Roman"/>
                      <w:color w:val="auto"/>
                      <w:sz w:val="21"/>
                      <w:szCs w:val="21"/>
                      <w:highlight w:val="none"/>
                    </w:rPr>
                    <w:t>900-249-08</w:t>
                  </w:r>
                </w:p>
              </w:tc>
              <w:tc>
                <w:tcPr>
                  <w:tcW w:w="481" w:type="pct"/>
                  <w:vMerge w:val="continue"/>
                  <w:shd w:val="clear" w:color="auto" w:fill="auto"/>
                  <w:tcMar>
                    <w:top w:w="15" w:type="dxa"/>
                    <w:left w:w="15" w:type="dxa"/>
                    <w:right w:w="15" w:type="dxa"/>
                  </w:tcMar>
                  <w:vAlign w:val="center"/>
                </w:tcPr>
                <w:p w14:paraId="17CCCD40">
                  <w:pPr>
                    <w:pStyle w:val="6"/>
                    <w:ind w:left="0" w:leftChars="0" w:firstLine="0" w:firstLineChars="0"/>
                    <w:jc w:val="center"/>
                    <w:rPr>
                      <w:rFonts w:ascii="Times New Roman" w:hAnsi="Times New Roman" w:cs="Times New Roman"/>
                      <w:color w:val="000000"/>
                      <w:szCs w:val="21"/>
                    </w:rPr>
                  </w:pPr>
                </w:p>
              </w:tc>
              <w:tc>
                <w:tcPr>
                  <w:tcW w:w="427" w:type="pct"/>
                  <w:vMerge w:val="continue"/>
                  <w:shd w:val="clear" w:color="auto" w:fill="auto"/>
                  <w:tcMar>
                    <w:top w:w="15" w:type="dxa"/>
                    <w:left w:w="15" w:type="dxa"/>
                    <w:right w:w="15" w:type="dxa"/>
                  </w:tcMar>
                  <w:vAlign w:val="center"/>
                </w:tcPr>
                <w:p w14:paraId="00B94C9C">
                  <w:pPr>
                    <w:pStyle w:val="6"/>
                    <w:ind w:left="0" w:leftChars="0" w:firstLine="0" w:firstLineChars="0"/>
                    <w:jc w:val="center"/>
                    <w:rPr>
                      <w:rFonts w:ascii="Times New Roman" w:hAnsi="Times New Roman" w:cs="Times New Roman"/>
                      <w:color w:val="000000"/>
                      <w:szCs w:val="21"/>
                    </w:rPr>
                  </w:pPr>
                </w:p>
              </w:tc>
              <w:tc>
                <w:tcPr>
                  <w:tcW w:w="740" w:type="pct"/>
                  <w:tcBorders>
                    <w:top w:val="single" w:color="000000" w:sz="4" w:space="0"/>
                    <w:bottom w:val="single" w:color="000000" w:sz="4" w:space="0"/>
                  </w:tcBorders>
                  <w:shd w:val="clear" w:color="auto" w:fill="auto"/>
                  <w:tcMar>
                    <w:top w:w="15" w:type="dxa"/>
                    <w:left w:w="15" w:type="dxa"/>
                    <w:right w:w="15" w:type="dxa"/>
                  </w:tcMar>
                  <w:vAlign w:val="center"/>
                </w:tcPr>
                <w:p w14:paraId="0F63A267">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置于危废间</w:t>
                  </w:r>
                </w:p>
              </w:tc>
              <w:tc>
                <w:tcPr>
                  <w:tcW w:w="641" w:type="dxa"/>
                  <w:tcBorders>
                    <w:top w:val="single" w:color="000000" w:sz="4" w:space="0"/>
                    <w:bottom w:val="single" w:color="000000" w:sz="4" w:space="0"/>
                  </w:tcBorders>
                  <w:shd w:val="clear" w:color="auto" w:fill="auto"/>
                  <w:tcMar>
                    <w:top w:w="15" w:type="dxa"/>
                    <w:left w:w="15" w:type="dxa"/>
                    <w:right w:w="15" w:type="dxa"/>
                  </w:tcMar>
                  <w:vAlign w:val="center"/>
                </w:tcPr>
                <w:p w14:paraId="66D6A0C5">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s="Times New Roman"/>
                      <w:color w:val="000000"/>
                      <w:szCs w:val="21"/>
                    </w:rPr>
                  </w:pPr>
                  <w:r>
                    <w:rPr>
                      <w:rFonts w:hint="default" w:ascii="Times New Roman" w:hAnsi="Times New Roman" w:eastAsia="宋体" w:cs="Times New Roman"/>
                      <w:lang w:val="en-US" w:eastAsia="zh-CN"/>
                    </w:rPr>
                    <w:t>0.02</w:t>
                  </w:r>
                </w:p>
              </w:tc>
              <w:tc>
                <w:tcPr>
                  <w:tcW w:w="378"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C0FB7">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三个月</w:t>
                  </w:r>
                </w:p>
              </w:tc>
            </w:tr>
            <w:tr w14:paraId="1691A475">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567" w:hRule="atLeast"/>
                <w:jc w:val="center"/>
              </w:trPr>
              <w:tc>
                <w:tcPr>
                  <w:tcW w:w="21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14:paraId="1FEB057C">
                  <w:pPr>
                    <w:pStyle w:val="6"/>
                    <w:ind w:left="0" w:leftChars="0" w:firstLine="0" w:firstLineChars="0"/>
                    <w:jc w:val="center"/>
                    <w:rPr>
                      <w:rFonts w:hint="eastAsia" w:ascii="Times New Roman" w:hAnsi="Times New Roman" w:eastAsia="宋体" w:cs="Times New Roman"/>
                      <w:color w:val="000000"/>
                      <w:szCs w:val="21"/>
                      <w:lang w:eastAsia="zh-CN"/>
                    </w:rPr>
                  </w:pPr>
                  <w:r>
                    <w:rPr>
                      <w:rFonts w:hint="eastAsia" w:cs="Times New Roman"/>
                      <w:color w:val="000000"/>
                      <w:szCs w:val="21"/>
                      <w:lang w:val="en-US" w:eastAsia="zh-CN"/>
                    </w:rPr>
                    <w:t>8</w:t>
                  </w:r>
                </w:p>
              </w:tc>
              <w:tc>
                <w:tcPr>
                  <w:tcW w:w="486" w:type="pct"/>
                  <w:vMerge w:val="continue"/>
                  <w:shd w:val="clear" w:color="auto" w:fill="auto"/>
                  <w:tcMar>
                    <w:top w:w="15" w:type="dxa"/>
                    <w:left w:w="15" w:type="dxa"/>
                    <w:right w:w="15" w:type="dxa"/>
                  </w:tcMar>
                  <w:vAlign w:val="center"/>
                </w:tcPr>
                <w:p w14:paraId="5F6E705F">
                  <w:pPr>
                    <w:pStyle w:val="6"/>
                    <w:ind w:left="0" w:leftChars="0" w:firstLine="0" w:firstLineChars="0"/>
                    <w:jc w:val="center"/>
                    <w:rPr>
                      <w:rFonts w:ascii="Times New Roman" w:hAnsi="Times New Roman" w:cs="Times New Roman"/>
                      <w:color w:val="000000"/>
                      <w:szCs w:val="21"/>
                    </w:rPr>
                  </w:pPr>
                </w:p>
              </w:tc>
              <w:tc>
                <w:tcPr>
                  <w:tcW w:w="1085" w:type="dxa"/>
                  <w:tcBorders>
                    <w:top w:val="single" w:color="000000" w:sz="4" w:space="0"/>
                    <w:bottom w:val="single" w:color="000000" w:sz="4" w:space="0"/>
                  </w:tcBorders>
                  <w:shd w:val="clear" w:color="auto" w:fill="auto"/>
                  <w:tcMar>
                    <w:top w:w="15" w:type="dxa"/>
                    <w:left w:w="15" w:type="dxa"/>
                    <w:right w:w="15" w:type="dxa"/>
                  </w:tcMar>
                  <w:vAlign w:val="center"/>
                </w:tcPr>
                <w:p w14:paraId="4ED88E9C">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olor w:val="000000"/>
                      <w:szCs w:val="21"/>
                    </w:rPr>
                  </w:pPr>
                  <w:r>
                    <w:rPr>
                      <w:rFonts w:hint="default" w:ascii="Times New Roman" w:hAnsi="Times New Roman" w:cs="Times New Roman"/>
                      <w:lang w:eastAsia="zh-CN"/>
                    </w:rPr>
                    <w:t>漆渣</w:t>
                  </w:r>
                </w:p>
              </w:tc>
              <w:tc>
                <w:tcPr>
                  <w:tcW w:w="1006" w:type="dxa"/>
                  <w:tcBorders>
                    <w:top w:val="single" w:color="000000" w:sz="4" w:space="0"/>
                    <w:bottom w:val="single" w:color="000000" w:sz="4" w:space="0"/>
                  </w:tcBorders>
                  <w:shd w:val="clear" w:color="auto" w:fill="auto"/>
                  <w:tcMar>
                    <w:top w:w="15" w:type="dxa"/>
                    <w:left w:w="15" w:type="dxa"/>
                    <w:right w:w="15" w:type="dxa"/>
                  </w:tcMar>
                  <w:vAlign w:val="center"/>
                </w:tcPr>
                <w:p w14:paraId="7ACE8B35">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szCs w:val="21"/>
                    </w:rPr>
                  </w:pPr>
                  <w:r>
                    <w:rPr>
                      <w:rFonts w:hint="default" w:ascii="Times New Roman" w:hAnsi="Times New Roman" w:cs="Times New Roman"/>
                      <w:color w:val="000000"/>
                      <w:szCs w:val="21"/>
                    </w:rPr>
                    <w:t>HW12</w:t>
                  </w:r>
                </w:p>
              </w:tc>
              <w:tc>
                <w:tcPr>
                  <w:tcW w:w="1092" w:type="dxa"/>
                  <w:tcBorders>
                    <w:top w:val="single" w:color="000000" w:sz="4" w:space="0"/>
                    <w:bottom w:val="single" w:color="000000" w:sz="4" w:space="0"/>
                  </w:tcBorders>
                  <w:shd w:val="clear" w:color="auto" w:fill="auto"/>
                  <w:tcMar>
                    <w:top w:w="15" w:type="dxa"/>
                    <w:left w:w="15" w:type="dxa"/>
                    <w:right w:w="15" w:type="dxa"/>
                  </w:tcMar>
                  <w:vAlign w:val="center"/>
                </w:tcPr>
                <w:p w14:paraId="6DBB8D9D">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kern w:val="0"/>
                      <w:szCs w:val="21"/>
                    </w:rPr>
                  </w:pPr>
                  <w:r>
                    <w:rPr>
                      <w:rFonts w:hint="default" w:ascii="Times New Roman" w:hAnsi="Times New Roman" w:cs="Times New Roman"/>
                      <w:color w:val="000000"/>
                      <w:szCs w:val="21"/>
                    </w:rPr>
                    <w:t>900-252-12</w:t>
                  </w:r>
                </w:p>
              </w:tc>
              <w:tc>
                <w:tcPr>
                  <w:tcW w:w="481" w:type="pct"/>
                  <w:vMerge w:val="continue"/>
                  <w:shd w:val="clear" w:color="auto" w:fill="auto"/>
                  <w:tcMar>
                    <w:top w:w="15" w:type="dxa"/>
                    <w:left w:w="15" w:type="dxa"/>
                    <w:right w:w="15" w:type="dxa"/>
                  </w:tcMar>
                  <w:vAlign w:val="center"/>
                </w:tcPr>
                <w:p w14:paraId="1557C5EB">
                  <w:pPr>
                    <w:pStyle w:val="6"/>
                    <w:ind w:left="0" w:leftChars="0" w:firstLine="0" w:firstLineChars="0"/>
                    <w:jc w:val="center"/>
                    <w:rPr>
                      <w:rFonts w:ascii="Times New Roman" w:hAnsi="Times New Roman" w:cs="Times New Roman"/>
                      <w:color w:val="000000"/>
                      <w:szCs w:val="21"/>
                    </w:rPr>
                  </w:pPr>
                </w:p>
              </w:tc>
              <w:tc>
                <w:tcPr>
                  <w:tcW w:w="427" w:type="pct"/>
                  <w:vMerge w:val="continue"/>
                  <w:shd w:val="clear" w:color="auto" w:fill="auto"/>
                  <w:tcMar>
                    <w:top w:w="15" w:type="dxa"/>
                    <w:left w:w="15" w:type="dxa"/>
                    <w:right w:w="15" w:type="dxa"/>
                  </w:tcMar>
                  <w:vAlign w:val="center"/>
                </w:tcPr>
                <w:p w14:paraId="076FA621">
                  <w:pPr>
                    <w:pStyle w:val="6"/>
                    <w:ind w:left="0" w:leftChars="0" w:firstLine="0" w:firstLineChars="0"/>
                    <w:jc w:val="center"/>
                    <w:rPr>
                      <w:rFonts w:ascii="Times New Roman" w:hAnsi="Times New Roman" w:cs="Times New Roman"/>
                      <w:color w:val="000000"/>
                      <w:szCs w:val="21"/>
                    </w:rPr>
                  </w:pPr>
                </w:p>
              </w:tc>
              <w:tc>
                <w:tcPr>
                  <w:tcW w:w="740" w:type="pct"/>
                  <w:tcBorders>
                    <w:top w:val="single" w:color="000000" w:sz="4" w:space="0"/>
                    <w:bottom w:val="single" w:color="000000" w:sz="4" w:space="0"/>
                  </w:tcBorders>
                  <w:shd w:val="clear" w:color="auto" w:fill="auto"/>
                  <w:tcMar>
                    <w:top w:w="15" w:type="dxa"/>
                    <w:left w:w="15" w:type="dxa"/>
                    <w:right w:w="15" w:type="dxa"/>
                  </w:tcMar>
                  <w:vAlign w:val="center"/>
                </w:tcPr>
                <w:p w14:paraId="5B965C8C">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置于危废间</w:t>
                  </w:r>
                </w:p>
              </w:tc>
              <w:tc>
                <w:tcPr>
                  <w:tcW w:w="641" w:type="dxa"/>
                  <w:tcBorders>
                    <w:top w:val="single" w:color="000000" w:sz="4" w:space="0"/>
                    <w:bottom w:val="single" w:color="000000" w:sz="4" w:space="0"/>
                  </w:tcBorders>
                  <w:shd w:val="clear" w:color="auto" w:fill="auto"/>
                  <w:tcMar>
                    <w:top w:w="15" w:type="dxa"/>
                    <w:left w:w="15" w:type="dxa"/>
                    <w:right w:w="15" w:type="dxa"/>
                  </w:tcMar>
                  <w:vAlign w:val="center"/>
                </w:tcPr>
                <w:p w14:paraId="7BC932E7">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cs="Times New Roman"/>
                      <w:color w:val="000000"/>
                      <w:szCs w:val="21"/>
                    </w:rPr>
                  </w:pPr>
                  <w:r>
                    <w:rPr>
                      <w:rFonts w:hint="default" w:ascii="Times New Roman" w:hAnsi="Times New Roman" w:eastAsia="宋体" w:cs="Times New Roman"/>
                      <w:lang w:val="en-US" w:eastAsia="zh-CN"/>
                    </w:rPr>
                    <w:t>0.29</w:t>
                  </w:r>
                </w:p>
              </w:tc>
              <w:tc>
                <w:tcPr>
                  <w:tcW w:w="378"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DDB47">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三个月</w:t>
                  </w:r>
                </w:p>
              </w:tc>
            </w:tr>
            <w:tr w14:paraId="205B9D73">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567" w:hRule="atLeast"/>
                <w:jc w:val="center"/>
              </w:trPr>
              <w:tc>
                <w:tcPr>
                  <w:tcW w:w="21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14:paraId="3FEEAAA2">
                  <w:pPr>
                    <w:pStyle w:val="6"/>
                    <w:ind w:left="0" w:leftChars="0" w:firstLine="0" w:firstLineChars="0"/>
                    <w:jc w:val="center"/>
                    <w:rPr>
                      <w:rFonts w:hint="eastAsia" w:ascii="Times New Roman" w:hAnsi="Times New Roman" w:eastAsia="宋体" w:cs="Times New Roman"/>
                      <w:color w:val="000000"/>
                      <w:szCs w:val="21"/>
                      <w:lang w:eastAsia="zh-CN"/>
                    </w:rPr>
                  </w:pPr>
                  <w:bookmarkStart w:id="33" w:name="OLE_LINK22" w:colFirst="0" w:colLast="9"/>
                  <w:r>
                    <w:rPr>
                      <w:rFonts w:hint="eastAsia" w:cs="Times New Roman"/>
                      <w:color w:val="000000"/>
                      <w:szCs w:val="21"/>
                      <w:lang w:val="en-US" w:eastAsia="zh-CN"/>
                    </w:rPr>
                    <w:t>9</w:t>
                  </w:r>
                </w:p>
              </w:tc>
              <w:tc>
                <w:tcPr>
                  <w:tcW w:w="486" w:type="pct"/>
                  <w:vMerge w:val="continue"/>
                  <w:tcBorders>
                    <w:bottom w:val="single" w:color="000000" w:sz="4" w:space="0"/>
                  </w:tcBorders>
                  <w:shd w:val="clear" w:color="auto" w:fill="auto"/>
                  <w:tcMar>
                    <w:top w:w="15" w:type="dxa"/>
                    <w:left w:w="15" w:type="dxa"/>
                    <w:right w:w="15" w:type="dxa"/>
                  </w:tcMar>
                  <w:vAlign w:val="center"/>
                </w:tcPr>
                <w:p w14:paraId="7B540CFE">
                  <w:pPr>
                    <w:pStyle w:val="6"/>
                    <w:ind w:left="0" w:leftChars="0" w:firstLine="0" w:firstLineChars="0"/>
                    <w:jc w:val="center"/>
                    <w:rPr>
                      <w:rFonts w:ascii="Times New Roman" w:hAnsi="Times New Roman" w:cs="Times New Roman"/>
                      <w:color w:val="000000"/>
                      <w:szCs w:val="21"/>
                    </w:rPr>
                  </w:pPr>
                </w:p>
              </w:tc>
              <w:tc>
                <w:tcPr>
                  <w:tcW w:w="1085" w:type="dxa"/>
                  <w:tcBorders>
                    <w:top w:val="single" w:color="000000" w:sz="4" w:space="0"/>
                    <w:bottom w:val="single" w:color="000000" w:sz="4" w:space="0"/>
                  </w:tcBorders>
                  <w:shd w:val="clear" w:color="auto" w:fill="auto"/>
                  <w:tcMar>
                    <w:top w:w="15" w:type="dxa"/>
                    <w:left w:w="15" w:type="dxa"/>
                    <w:right w:w="15" w:type="dxa"/>
                  </w:tcMar>
                  <w:vAlign w:val="center"/>
                </w:tcPr>
                <w:p w14:paraId="57191DB8">
                  <w:pPr>
                    <w:keepNext w:val="0"/>
                    <w:keepLines w:val="0"/>
                    <w:pageBreakBefore w:val="0"/>
                    <w:kinsoku/>
                    <w:wordWrap/>
                    <w:overflowPunct/>
                    <w:topLinePunct w:val="0"/>
                    <w:bidi w:val="0"/>
                    <w:spacing w:line="240" w:lineRule="auto"/>
                    <w:ind w:right="0" w:rightChars="0"/>
                    <w:jc w:val="center"/>
                    <w:rPr>
                      <w:rFonts w:ascii="Times New Roman" w:hAnsi="Times New Roman"/>
                      <w:color w:val="000000"/>
                      <w:szCs w:val="21"/>
                    </w:rPr>
                  </w:pPr>
                  <w:r>
                    <w:rPr>
                      <w:rFonts w:hint="default" w:ascii="Times New Roman" w:hAnsi="Times New Roman" w:cs="Times New Roman"/>
                      <w:color w:val="000000"/>
                      <w:szCs w:val="21"/>
                    </w:rPr>
                    <w:t>废油漆桶</w:t>
                  </w:r>
                </w:p>
              </w:tc>
              <w:tc>
                <w:tcPr>
                  <w:tcW w:w="1006" w:type="dxa"/>
                  <w:tcBorders>
                    <w:top w:val="single" w:color="000000" w:sz="4" w:space="0"/>
                    <w:bottom w:val="single" w:color="000000" w:sz="4" w:space="0"/>
                  </w:tcBorders>
                  <w:shd w:val="clear" w:color="auto" w:fill="auto"/>
                  <w:tcMar>
                    <w:top w:w="15" w:type="dxa"/>
                    <w:left w:w="15" w:type="dxa"/>
                    <w:right w:w="15" w:type="dxa"/>
                  </w:tcMar>
                  <w:vAlign w:val="center"/>
                </w:tcPr>
                <w:p w14:paraId="41F8AF61">
                  <w:pPr>
                    <w:keepNext w:val="0"/>
                    <w:keepLines w:val="0"/>
                    <w:pageBreakBefore w:val="0"/>
                    <w:kinsoku/>
                    <w:wordWrap/>
                    <w:overflowPunct/>
                    <w:topLinePunct w:val="0"/>
                    <w:autoSpaceDE w:val="0"/>
                    <w:autoSpaceDN w:val="0"/>
                    <w:bidi w:val="0"/>
                    <w:spacing w:line="240" w:lineRule="auto"/>
                    <w:ind w:right="0" w:rightChars="0"/>
                    <w:jc w:val="center"/>
                    <w:textAlignment w:val="top"/>
                    <w:rPr>
                      <w:rFonts w:ascii="Times New Roman" w:hAnsi="Times New Roman"/>
                      <w:color w:val="000000"/>
                      <w:szCs w:val="21"/>
                    </w:rPr>
                  </w:pPr>
                  <w:r>
                    <w:rPr>
                      <w:rFonts w:hint="default" w:ascii="Times New Roman" w:hAnsi="Times New Roman" w:cs="Times New Roman"/>
                      <w:color w:val="000000"/>
                      <w:szCs w:val="21"/>
                    </w:rPr>
                    <w:t>HW49</w:t>
                  </w:r>
                </w:p>
              </w:tc>
              <w:tc>
                <w:tcPr>
                  <w:tcW w:w="1092" w:type="dxa"/>
                  <w:tcBorders>
                    <w:top w:val="single" w:color="000000" w:sz="4" w:space="0"/>
                    <w:bottom w:val="single" w:color="000000" w:sz="4" w:space="0"/>
                  </w:tcBorders>
                  <w:shd w:val="clear" w:color="auto" w:fill="auto"/>
                  <w:tcMar>
                    <w:top w:w="15" w:type="dxa"/>
                    <w:left w:w="15" w:type="dxa"/>
                    <w:right w:w="15" w:type="dxa"/>
                  </w:tcMar>
                  <w:vAlign w:val="center"/>
                </w:tcPr>
                <w:p w14:paraId="0993FDF9">
                  <w:pPr>
                    <w:keepNext w:val="0"/>
                    <w:keepLines w:val="0"/>
                    <w:pageBreakBefore w:val="0"/>
                    <w:kinsoku/>
                    <w:wordWrap/>
                    <w:overflowPunct/>
                    <w:topLinePunct w:val="0"/>
                    <w:bidi w:val="0"/>
                    <w:spacing w:line="240" w:lineRule="auto"/>
                    <w:ind w:right="0" w:rightChars="0"/>
                    <w:jc w:val="center"/>
                    <w:rPr>
                      <w:rFonts w:ascii="Times New Roman" w:hAnsi="Times New Roman"/>
                      <w:bCs/>
                      <w:color w:val="000000"/>
                      <w:szCs w:val="21"/>
                    </w:rPr>
                  </w:pPr>
                  <w:r>
                    <w:rPr>
                      <w:rFonts w:hint="default" w:ascii="Times New Roman" w:hAnsi="Times New Roman" w:cs="Times New Roman"/>
                      <w:color w:val="000000"/>
                      <w:kern w:val="0"/>
                      <w:szCs w:val="21"/>
                    </w:rPr>
                    <w:t>900-041-49</w:t>
                  </w:r>
                </w:p>
              </w:tc>
              <w:tc>
                <w:tcPr>
                  <w:tcW w:w="481" w:type="pct"/>
                  <w:vMerge w:val="continue"/>
                  <w:tcBorders>
                    <w:bottom w:val="single" w:color="000000" w:sz="4" w:space="0"/>
                  </w:tcBorders>
                  <w:shd w:val="clear" w:color="auto" w:fill="auto"/>
                  <w:tcMar>
                    <w:top w:w="15" w:type="dxa"/>
                    <w:left w:w="15" w:type="dxa"/>
                    <w:right w:w="15" w:type="dxa"/>
                  </w:tcMar>
                  <w:vAlign w:val="center"/>
                </w:tcPr>
                <w:p w14:paraId="7828B361">
                  <w:pPr>
                    <w:pStyle w:val="6"/>
                    <w:ind w:left="0" w:leftChars="0" w:firstLine="0" w:firstLineChars="0"/>
                    <w:jc w:val="center"/>
                    <w:rPr>
                      <w:rFonts w:ascii="Times New Roman" w:hAnsi="Times New Roman" w:cs="Times New Roman"/>
                      <w:color w:val="000000"/>
                      <w:szCs w:val="21"/>
                    </w:rPr>
                  </w:pPr>
                </w:p>
              </w:tc>
              <w:tc>
                <w:tcPr>
                  <w:tcW w:w="427" w:type="pct"/>
                  <w:vMerge w:val="continue"/>
                  <w:tcBorders>
                    <w:bottom w:val="single" w:color="000000" w:sz="4" w:space="0"/>
                  </w:tcBorders>
                  <w:shd w:val="clear" w:color="auto" w:fill="auto"/>
                  <w:tcMar>
                    <w:top w:w="15" w:type="dxa"/>
                    <w:left w:w="15" w:type="dxa"/>
                    <w:right w:w="15" w:type="dxa"/>
                  </w:tcMar>
                  <w:vAlign w:val="center"/>
                </w:tcPr>
                <w:p w14:paraId="1337D8BA">
                  <w:pPr>
                    <w:pStyle w:val="6"/>
                    <w:ind w:left="0" w:leftChars="0" w:firstLine="0" w:firstLineChars="0"/>
                    <w:jc w:val="center"/>
                    <w:rPr>
                      <w:rFonts w:ascii="Times New Roman" w:hAnsi="Times New Roman" w:cs="Times New Roman"/>
                      <w:color w:val="000000"/>
                      <w:szCs w:val="21"/>
                    </w:rPr>
                  </w:pPr>
                </w:p>
              </w:tc>
              <w:tc>
                <w:tcPr>
                  <w:tcW w:w="740" w:type="pct"/>
                  <w:tcBorders>
                    <w:top w:val="single" w:color="000000" w:sz="4" w:space="0"/>
                    <w:bottom w:val="single" w:color="000000" w:sz="4" w:space="0"/>
                  </w:tcBorders>
                  <w:shd w:val="clear" w:color="auto" w:fill="auto"/>
                  <w:tcMar>
                    <w:top w:w="15" w:type="dxa"/>
                    <w:left w:w="15" w:type="dxa"/>
                    <w:right w:w="15" w:type="dxa"/>
                  </w:tcMar>
                  <w:vAlign w:val="center"/>
                </w:tcPr>
                <w:p w14:paraId="4A3A440B">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桶装于危废间</w:t>
                  </w:r>
                </w:p>
              </w:tc>
              <w:tc>
                <w:tcPr>
                  <w:tcW w:w="641" w:type="dxa"/>
                  <w:tcBorders>
                    <w:top w:val="single" w:color="000000" w:sz="4" w:space="0"/>
                    <w:bottom w:val="single" w:color="000000" w:sz="4" w:space="0"/>
                  </w:tcBorders>
                  <w:shd w:val="clear" w:color="auto" w:fill="auto"/>
                  <w:tcMar>
                    <w:top w:w="15" w:type="dxa"/>
                    <w:left w:w="15" w:type="dxa"/>
                    <w:right w:w="15" w:type="dxa"/>
                  </w:tcMar>
                  <w:vAlign w:val="center"/>
                </w:tcPr>
                <w:p w14:paraId="73871EF7">
                  <w:pPr>
                    <w:pStyle w:val="54"/>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cs="Times New Roman"/>
                      <w:color w:val="000000"/>
                      <w:szCs w:val="21"/>
                      <w:lang w:val="en-US"/>
                    </w:rPr>
                  </w:pPr>
                  <w:r>
                    <w:rPr>
                      <w:rFonts w:hint="default" w:ascii="Times New Roman" w:hAnsi="Times New Roman" w:eastAsia="宋体" w:cs="Times New Roman"/>
                      <w:lang w:val="en-US" w:eastAsia="zh-CN"/>
                    </w:rPr>
                    <w:t>0.</w:t>
                  </w:r>
                  <w:r>
                    <w:rPr>
                      <w:rFonts w:hint="eastAsia" w:cs="Times New Roman"/>
                      <w:lang w:val="en-US" w:eastAsia="zh-CN"/>
                    </w:rPr>
                    <w:t>115</w:t>
                  </w:r>
                </w:p>
              </w:tc>
              <w:tc>
                <w:tcPr>
                  <w:tcW w:w="378"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0EA24">
                  <w:pPr>
                    <w:pStyle w:val="6"/>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三个月</w:t>
                  </w:r>
                </w:p>
              </w:tc>
            </w:tr>
            <w:bookmarkEnd w:id="33"/>
          </w:tbl>
          <w:p w14:paraId="54B132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0"/>
              </w:rPr>
            </w:pPr>
            <w:r>
              <w:rPr>
                <w:rFonts w:hint="default" w:ascii="Times New Roman" w:hAnsi="Times New Roman" w:cs="Times New Roman"/>
                <w:color w:val="auto"/>
                <w:sz w:val="24"/>
                <w:szCs w:val="20"/>
              </w:rPr>
              <w:t>危险废物依托现有的危险废物暂存间进行暂存，</w:t>
            </w:r>
            <w:r>
              <w:rPr>
                <w:rFonts w:hint="default" w:ascii="Times New Roman" w:hAnsi="Times New Roman" w:cs="Times New Roman"/>
                <w:color w:val="auto"/>
                <w:sz w:val="24"/>
                <w:szCs w:val="20"/>
                <w:highlight w:val="none"/>
              </w:rPr>
              <w:t>现有危废暂存间面积</w:t>
            </w:r>
            <w:r>
              <w:rPr>
                <w:rFonts w:hint="eastAsia" w:cs="Times New Roman"/>
                <w:color w:val="auto"/>
                <w:sz w:val="24"/>
                <w:szCs w:val="20"/>
                <w:highlight w:val="none"/>
                <w:lang w:val="en-US" w:eastAsia="zh-CN"/>
              </w:rPr>
              <w:t>30</w:t>
            </w:r>
            <w:r>
              <w:rPr>
                <w:rFonts w:hint="default" w:ascii="Times New Roman" w:hAnsi="Times New Roman" w:cs="Times New Roman"/>
                <w:color w:val="auto"/>
                <w:sz w:val="24"/>
                <w:szCs w:val="20"/>
                <w:highlight w:val="none"/>
              </w:rPr>
              <w:t>m</w:t>
            </w:r>
            <w:r>
              <w:rPr>
                <w:rFonts w:hint="default" w:ascii="Times New Roman" w:hAnsi="Times New Roman" w:cs="Times New Roman"/>
                <w:color w:val="auto"/>
                <w:sz w:val="24"/>
                <w:szCs w:val="20"/>
                <w:highlight w:val="none"/>
                <w:vertAlign w:val="superscript"/>
              </w:rPr>
              <w:t>2</w:t>
            </w:r>
            <w:r>
              <w:rPr>
                <w:rFonts w:hint="default" w:ascii="Times New Roman" w:hAnsi="Times New Roman" w:cs="Times New Roman"/>
                <w:color w:val="auto"/>
                <w:sz w:val="24"/>
                <w:szCs w:val="20"/>
                <w:highlight w:val="none"/>
              </w:rPr>
              <w:t>，尚有</w:t>
            </w:r>
            <w:r>
              <w:rPr>
                <w:rFonts w:hint="default" w:ascii="Times New Roman" w:hAnsi="Times New Roman" w:cs="Times New Roman"/>
                <w:color w:val="auto"/>
                <w:sz w:val="24"/>
                <w:szCs w:val="20"/>
                <w:highlight w:val="none"/>
                <w:lang w:val="en-US" w:eastAsia="zh-CN"/>
              </w:rPr>
              <w:t>6</w:t>
            </w:r>
            <w:r>
              <w:rPr>
                <w:rFonts w:hint="default" w:ascii="Times New Roman" w:hAnsi="Times New Roman" w:cs="Times New Roman"/>
                <w:color w:val="auto"/>
                <w:sz w:val="24"/>
                <w:szCs w:val="20"/>
                <w:highlight w:val="none"/>
              </w:rPr>
              <w:t>m</w:t>
            </w:r>
            <w:r>
              <w:rPr>
                <w:rFonts w:hint="default" w:ascii="Times New Roman" w:hAnsi="Times New Roman" w:cs="Times New Roman"/>
                <w:color w:val="auto"/>
                <w:sz w:val="24"/>
                <w:szCs w:val="20"/>
                <w:highlight w:val="none"/>
                <w:vertAlign w:val="superscript"/>
              </w:rPr>
              <w:t>2</w:t>
            </w:r>
            <w:r>
              <w:rPr>
                <w:rFonts w:hint="default" w:ascii="Times New Roman" w:hAnsi="Times New Roman" w:cs="Times New Roman"/>
                <w:color w:val="auto"/>
                <w:sz w:val="24"/>
                <w:szCs w:val="20"/>
                <w:highlight w:val="none"/>
              </w:rPr>
              <w:t>的富余空间</w:t>
            </w:r>
            <w:r>
              <w:rPr>
                <w:rFonts w:hint="default" w:ascii="Times New Roman" w:hAnsi="Times New Roman" w:cs="Times New Roman"/>
                <w:color w:val="auto"/>
                <w:sz w:val="24"/>
                <w:szCs w:val="20"/>
              </w:rPr>
              <w:t>，本次扩建项目新增</w:t>
            </w:r>
            <w:r>
              <w:rPr>
                <w:rFonts w:hint="default" w:ascii="Times New Roman" w:hAnsi="Times New Roman" w:cs="Times New Roman"/>
                <w:color w:val="auto"/>
                <w:sz w:val="24"/>
                <w:szCs w:val="20"/>
                <w:lang w:eastAsia="zh-CN"/>
              </w:rPr>
              <w:t>一般固废和</w:t>
            </w:r>
            <w:r>
              <w:rPr>
                <w:rFonts w:hint="default" w:ascii="Times New Roman" w:hAnsi="Times New Roman" w:cs="Times New Roman"/>
                <w:color w:val="auto"/>
                <w:sz w:val="24"/>
                <w:szCs w:val="20"/>
              </w:rPr>
              <w:t>危险废物</w:t>
            </w:r>
            <w:r>
              <w:rPr>
                <w:rFonts w:hint="default" w:ascii="Times New Roman" w:hAnsi="Times New Roman" w:cs="Times New Roman"/>
                <w:color w:val="auto"/>
                <w:sz w:val="24"/>
                <w:szCs w:val="20"/>
                <w:lang w:eastAsia="zh-CN"/>
              </w:rPr>
              <w:t>的产生量</w:t>
            </w:r>
            <w:r>
              <w:rPr>
                <w:rFonts w:hint="default" w:ascii="Times New Roman" w:hAnsi="Times New Roman" w:cs="Times New Roman"/>
                <w:color w:val="auto"/>
                <w:sz w:val="24"/>
                <w:szCs w:val="20"/>
              </w:rPr>
              <w:t>，现有危废间</w:t>
            </w:r>
            <w:r>
              <w:rPr>
                <w:rFonts w:hint="default" w:ascii="Times New Roman" w:hAnsi="Times New Roman" w:cs="Times New Roman"/>
                <w:color w:val="auto"/>
                <w:sz w:val="24"/>
                <w:szCs w:val="20"/>
                <w:lang w:eastAsia="zh-CN"/>
              </w:rPr>
              <w:t>剩余的空间足够容纳本次扩建产生的危废</w:t>
            </w:r>
            <w:r>
              <w:rPr>
                <w:rFonts w:hint="default" w:ascii="Times New Roman" w:hAnsi="Times New Roman" w:cs="Times New Roman"/>
                <w:color w:val="auto"/>
                <w:sz w:val="24"/>
                <w:szCs w:val="20"/>
              </w:rPr>
              <w:t>，本项目依托可行。</w:t>
            </w:r>
          </w:p>
          <w:p w14:paraId="6F76A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0"/>
              </w:rPr>
            </w:pPr>
            <w:r>
              <w:rPr>
                <w:rFonts w:hint="default" w:ascii="Times New Roman" w:hAnsi="Times New Roman" w:cs="Times New Roman"/>
                <w:color w:val="auto"/>
                <w:sz w:val="24"/>
                <w:szCs w:val="20"/>
              </w:rPr>
              <w:t>危险废物在收集时，应清楚废物的类别及主要成份，以方便委托处理单位处理，根据危险废物的性质和形态，可采用不同大小和不同材质的容器进行包装，所有包装容器应足够安全，并经过周密检查，严防在装载、搬移或运输途中出现渗漏、溢出、抛洒或挥发等情况。并按照国家有关危险废物申报登记、转移联单等管理制度的要求，向当地环境保护部门进行危险废物的申报、转移等。</w:t>
            </w:r>
          </w:p>
          <w:p w14:paraId="50C2ED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0"/>
              </w:rPr>
            </w:pPr>
            <w:r>
              <w:rPr>
                <w:rFonts w:hint="default" w:ascii="Times New Roman" w:hAnsi="Times New Roman" w:cs="Times New Roman"/>
                <w:color w:val="auto"/>
                <w:sz w:val="24"/>
                <w:szCs w:val="20"/>
              </w:rPr>
              <w:t>1、危险废物暂存管理要求</w:t>
            </w:r>
          </w:p>
          <w:p w14:paraId="5D13F3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0"/>
              </w:rPr>
            </w:pPr>
            <w:r>
              <w:rPr>
                <w:rFonts w:hint="default" w:ascii="Times New Roman" w:hAnsi="Times New Roman" w:cs="Times New Roman"/>
                <w:color w:val="auto"/>
                <w:sz w:val="24"/>
                <w:szCs w:val="20"/>
              </w:rPr>
              <w:t>（1）不相容的危险废物必须分开存放，并设有隔离间隔断。</w:t>
            </w:r>
          </w:p>
          <w:p w14:paraId="47F76D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0"/>
              </w:rPr>
            </w:pPr>
            <w:r>
              <w:rPr>
                <w:rFonts w:hint="default" w:ascii="Times New Roman" w:hAnsi="Times New Roman" w:cs="Times New Roman"/>
                <w:color w:val="auto"/>
                <w:sz w:val="24"/>
                <w:szCs w:val="20"/>
              </w:rPr>
              <w:t>（2）堆放危险废物的高度应根据地面承载能力确定。</w:t>
            </w:r>
          </w:p>
          <w:p w14:paraId="74AB91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0"/>
              </w:rPr>
            </w:pPr>
            <w:r>
              <w:rPr>
                <w:rFonts w:hint="default" w:ascii="Times New Roman" w:hAnsi="Times New Roman" w:cs="Times New Roman"/>
                <w:color w:val="auto"/>
                <w:sz w:val="24"/>
                <w:szCs w:val="20"/>
              </w:rPr>
              <w:t>（3）产生量大的危险废物可以散装方式堆放贮存在按要求设计的废物堆里。</w:t>
            </w:r>
          </w:p>
          <w:p w14:paraId="40C804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0"/>
              </w:rPr>
            </w:pPr>
            <w:r>
              <w:rPr>
                <w:rFonts w:hint="default" w:ascii="Times New Roman" w:hAnsi="Times New Roman" w:cs="Times New Roman"/>
                <w:color w:val="auto"/>
                <w:sz w:val="24"/>
                <w:szCs w:val="20"/>
              </w:rPr>
              <w:t>（</w:t>
            </w:r>
            <w:r>
              <w:rPr>
                <w:rFonts w:hint="default" w:ascii="Times New Roman" w:hAnsi="Times New Roman" w:cs="Times New Roman"/>
                <w:color w:val="auto"/>
                <w:sz w:val="24"/>
                <w:szCs w:val="20"/>
                <w:lang w:val="en-US" w:eastAsia="zh-CN"/>
              </w:rPr>
              <w:t>4</w:t>
            </w:r>
            <w:r>
              <w:rPr>
                <w:rFonts w:hint="default" w:ascii="Times New Roman" w:hAnsi="Times New Roman" w:cs="Times New Roman"/>
                <w:color w:val="auto"/>
                <w:sz w:val="24"/>
                <w:szCs w:val="20"/>
              </w:rPr>
              <w:t>）每个堆间应留有搬运通道。</w:t>
            </w:r>
          </w:p>
          <w:p w14:paraId="5A8D51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0"/>
              </w:rPr>
            </w:pPr>
            <w:r>
              <w:rPr>
                <w:rFonts w:hint="default" w:ascii="Times New Roman" w:hAnsi="Times New Roman" w:cs="Times New Roman"/>
                <w:color w:val="auto"/>
                <w:sz w:val="24"/>
                <w:szCs w:val="20"/>
              </w:rPr>
              <w:t>（</w:t>
            </w:r>
            <w:r>
              <w:rPr>
                <w:rFonts w:hint="default" w:ascii="Times New Roman" w:hAnsi="Times New Roman" w:cs="Times New Roman"/>
                <w:color w:val="auto"/>
                <w:sz w:val="24"/>
                <w:szCs w:val="20"/>
                <w:lang w:val="en-US" w:eastAsia="zh-CN"/>
              </w:rPr>
              <w:t>5</w:t>
            </w:r>
            <w:r>
              <w:rPr>
                <w:rFonts w:hint="default" w:ascii="Times New Roman" w:hAnsi="Times New Roman" w:cs="Times New Roman"/>
                <w:color w:val="auto"/>
                <w:sz w:val="24"/>
                <w:szCs w:val="20"/>
              </w:rPr>
              <w:t>）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w:t>
            </w:r>
          </w:p>
          <w:p w14:paraId="015BFBC4">
            <w:pPr>
              <w:spacing w:line="36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（6）必须定期对所贮存的危险废物包装容器及贮存设施进行检查，发现破损，应及时采取措施清理更换。</w:t>
            </w:r>
          </w:p>
          <w:p w14:paraId="28E24501">
            <w:pPr>
              <w:spacing w:line="36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2、危险废物运输要求</w:t>
            </w:r>
          </w:p>
          <w:p w14:paraId="040C1C29">
            <w:pPr>
              <w:spacing w:line="36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危险废物运输中应做到以下几点：</w:t>
            </w:r>
          </w:p>
          <w:p w14:paraId="598E87B4">
            <w:pPr>
              <w:spacing w:line="36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（1）危险废物的运输车辆须经主管单位检查，并持有有关单位签发的许可证，负责运输的司机应通过培训，持有证明文件。</w:t>
            </w:r>
          </w:p>
          <w:p w14:paraId="15FE313F">
            <w:pPr>
              <w:spacing w:line="36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（2）承载危险废物的车辆须有明显的标志或适当的危险符号，以引起注意。</w:t>
            </w:r>
          </w:p>
          <w:p w14:paraId="669A0C08">
            <w:pPr>
              <w:spacing w:line="36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（3）载有危险废物的车辆在公路上行驶时，需持有运输许可证，其上应注明废物来源、性质和运往地点。</w:t>
            </w:r>
          </w:p>
          <w:p w14:paraId="4972B4C4">
            <w:pPr>
              <w:spacing w:line="36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（4）组织危险废物的运输单位，在事先需作出周密的运输计划和行驶路线，其中包括有效的废物泄漏情况下的应急措施。</w:t>
            </w:r>
          </w:p>
          <w:p w14:paraId="23C535D8">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综上，</w:t>
            </w:r>
            <w:r>
              <w:rPr>
                <w:rFonts w:hint="default" w:ascii="Times New Roman" w:hAnsi="Times New Roman" w:cs="Times New Roman"/>
                <w:color w:val="auto"/>
                <w:kern w:val="0"/>
                <w:sz w:val="24"/>
              </w:rPr>
              <w:t>本项目产生的各种固体废物通过分类放置、分类处置，</w:t>
            </w:r>
            <w:r>
              <w:rPr>
                <w:rFonts w:hint="default" w:ascii="Times New Roman" w:hAnsi="Times New Roman" w:cs="Times New Roman"/>
                <w:color w:val="auto"/>
                <w:sz w:val="24"/>
              </w:rPr>
              <w:t>不会对周围环境造成不利影响。</w:t>
            </w:r>
          </w:p>
          <w:p w14:paraId="21D45774">
            <w:pPr>
              <w:pStyle w:val="4"/>
              <w:spacing w:before="0" w:after="0" w:line="360" w:lineRule="auto"/>
              <w:rPr>
                <w:rStyle w:val="60"/>
                <w:rFonts w:hint="default" w:ascii="Times New Roman" w:hAnsi="Times New Roman" w:cs="Times New Roman"/>
                <w:b/>
                <w:bCs w:val="0"/>
                <w:color w:val="auto"/>
                <w:szCs w:val="24"/>
              </w:rPr>
            </w:pPr>
            <w:r>
              <w:rPr>
                <w:rStyle w:val="60"/>
                <w:rFonts w:hint="default" w:ascii="Times New Roman" w:hAnsi="Times New Roman" w:cs="Times New Roman"/>
                <w:b/>
                <w:bCs w:val="0"/>
                <w:color w:val="auto"/>
                <w:szCs w:val="24"/>
              </w:rPr>
              <w:t>4.6地下水、土壤环境影响及保护措施</w:t>
            </w:r>
          </w:p>
          <w:p w14:paraId="1B1F525D">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土壤污染类型主要为</w:t>
            </w:r>
            <w:r>
              <w:rPr>
                <w:rFonts w:hint="default" w:ascii="Times New Roman" w:hAnsi="Times New Roman" w:cs="Times New Roman"/>
                <w:color w:val="auto"/>
                <w:kern w:val="0"/>
                <w:sz w:val="24"/>
                <w:lang w:eastAsia="zh-CN"/>
              </w:rPr>
              <w:t>危废暂存间</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eastAsia="zh-CN"/>
              </w:rPr>
              <w:t>喷漆房</w:t>
            </w:r>
            <w:r>
              <w:rPr>
                <w:rFonts w:hint="eastAsia" w:cs="Times New Roman"/>
                <w:color w:val="auto"/>
                <w:kern w:val="0"/>
                <w:sz w:val="24"/>
                <w:lang w:eastAsia="zh-CN"/>
              </w:rPr>
              <w:t>、油漆库</w:t>
            </w:r>
            <w:r>
              <w:rPr>
                <w:rFonts w:hint="default" w:ascii="Times New Roman" w:hAnsi="Times New Roman" w:cs="Times New Roman"/>
                <w:color w:val="auto"/>
                <w:kern w:val="0"/>
                <w:sz w:val="24"/>
              </w:rPr>
              <w:t>破损等事故发生后的渗入。</w:t>
            </w:r>
            <w:r>
              <w:rPr>
                <w:rFonts w:hint="default" w:ascii="Times New Roman" w:hAnsi="Times New Roman" w:cs="Times New Roman"/>
                <w:bCs/>
                <w:color w:val="auto"/>
                <w:sz w:val="24"/>
              </w:rPr>
              <w:t>要求采取分区防渗措施，可有效的防止废水渗透到地下污染土壤和地下水。</w:t>
            </w:r>
          </w:p>
          <w:p w14:paraId="08CF8BAD">
            <w:pPr>
              <w:spacing w:line="360" w:lineRule="auto"/>
              <w:ind w:firstLine="48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项目各功能单元是否可能对地下水造成污染及其风险程度，将项目所在区域划分为重点防渗区和一般防渗区。重点防渗区是可能会对地下水造成污染，风险程度较高或污染物浓度较高，需要重点防治或者需要重点保护的区域。一般防渗区是可能会对地下水造成污染，但危害性或风险程度相对较低的区域。</w:t>
            </w:r>
          </w:p>
          <w:p w14:paraId="0C844336">
            <w:pPr>
              <w:spacing w:line="360" w:lineRule="auto"/>
              <w:ind w:firstLine="480"/>
              <w:rPr>
                <w:rFonts w:hint="default" w:ascii="Times New Roman" w:hAnsi="Times New Roman" w:cs="Times New Roman"/>
                <w:color w:val="auto"/>
                <w:kern w:val="0"/>
                <w:sz w:val="24"/>
              </w:rPr>
            </w:pPr>
            <w:r>
              <w:rPr>
                <w:rFonts w:hint="default" w:ascii="Times New Roman" w:hAnsi="Times New Roman" w:cs="Times New Roman"/>
                <w:color w:val="auto"/>
                <w:kern w:val="0"/>
                <w:sz w:val="24"/>
              </w:rPr>
              <w:t>重点污染防治区包括危废暂存间</w:t>
            </w:r>
            <w:r>
              <w:rPr>
                <w:rFonts w:hint="default" w:ascii="Times New Roman" w:hAnsi="Times New Roman" w:cs="Times New Roman"/>
                <w:color w:val="auto"/>
                <w:kern w:val="0"/>
                <w:sz w:val="24"/>
                <w:lang w:eastAsia="zh-CN"/>
              </w:rPr>
              <w:t>、喷漆房</w:t>
            </w:r>
            <w:r>
              <w:rPr>
                <w:rFonts w:hint="eastAsia" w:cs="Times New Roman"/>
                <w:color w:val="auto"/>
                <w:kern w:val="0"/>
                <w:sz w:val="24"/>
                <w:lang w:eastAsia="zh-CN"/>
              </w:rPr>
              <w:t>、油漆库</w:t>
            </w:r>
            <w:r>
              <w:rPr>
                <w:rFonts w:hint="default" w:ascii="Times New Roman" w:hAnsi="Times New Roman" w:cs="Times New Roman"/>
                <w:color w:val="auto"/>
                <w:kern w:val="0"/>
                <w:sz w:val="24"/>
              </w:rPr>
              <w:t>。项目应对可能泄漏污染物的污染区和装置进行防渗处理，并及时地将泄漏、渗漏的污染物收集起来进行处理，可有效防止污染物渗入地下。根据国家相关标准和规范，结合目前施工过程中的可操作性和技术水平，针对不同的防渗区域采用不同的防治和防渗措施，在具体设计中可根据实际情况在满足防渗标准的前提下作必要调整。</w:t>
            </w:r>
          </w:p>
          <w:p w14:paraId="0B253272">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各分区防渗设计应符合下列要求：</w:t>
            </w:r>
          </w:p>
          <w:p w14:paraId="1DE6DC59">
            <w:pPr>
              <w:numPr>
                <w:ilvl w:val="0"/>
                <w:numId w:val="12"/>
              </w:num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sz w:val="24"/>
              </w:rPr>
              <w:t>重点防渗区和一般防渗区应设置防渗层，一般防渗区的</w:t>
            </w:r>
            <w:r>
              <w:rPr>
                <w:rFonts w:hint="default" w:ascii="Times New Roman" w:hAnsi="Times New Roman" w:cs="Times New Roman"/>
                <w:bCs/>
                <w:color w:val="auto"/>
                <w:sz w:val="24"/>
              </w:rPr>
              <w:t>防渗结构层渗透系数不大于1×10</w:t>
            </w:r>
            <w:r>
              <w:rPr>
                <w:rFonts w:hint="default" w:ascii="Times New Roman" w:hAnsi="Times New Roman" w:cs="Times New Roman"/>
                <w:bCs/>
                <w:color w:val="auto"/>
                <w:sz w:val="24"/>
                <w:vertAlign w:val="superscript"/>
              </w:rPr>
              <w:t>-7</w:t>
            </w:r>
            <w:r>
              <w:rPr>
                <w:rFonts w:hint="default" w:ascii="Times New Roman" w:hAnsi="Times New Roman" w:cs="Times New Roman"/>
                <w:bCs/>
                <w:color w:val="auto"/>
                <w:sz w:val="24"/>
              </w:rPr>
              <w:t>cm/s</w:t>
            </w:r>
            <w:r>
              <w:rPr>
                <w:rFonts w:hint="default" w:ascii="Times New Roman" w:hAnsi="Times New Roman" w:cs="Times New Roman"/>
                <w:color w:val="auto"/>
                <w:kern w:val="0"/>
                <w:sz w:val="24"/>
              </w:rPr>
              <w:t>；重点防渗区的</w:t>
            </w:r>
            <w:r>
              <w:rPr>
                <w:rFonts w:hint="default" w:ascii="Times New Roman" w:hAnsi="Times New Roman" w:cs="Times New Roman"/>
                <w:bCs/>
                <w:color w:val="auto"/>
                <w:sz w:val="24"/>
              </w:rPr>
              <w:t>防渗结构层渗透系数不大于1×10</w:t>
            </w:r>
            <w:r>
              <w:rPr>
                <w:rFonts w:hint="default" w:ascii="Times New Roman" w:hAnsi="Times New Roman" w:cs="Times New Roman"/>
                <w:bCs/>
                <w:color w:val="auto"/>
                <w:sz w:val="24"/>
                <w:vertAlign w:val="superscript"/>
              </w:rPr>
              <w:t>-10</w:t>
            </w:r>
            <w:r>
              <w:rPr>
                <w:rFonts w:hint="default" w:ascii="Times New Roman" w:hAnsi="Times New Roman" w:cs="Times New Roman"/>
                <w:bCs/>
                <w:color w:val="auto"/>
                <w:sz w:val="24"/>
              </w:rPr>
              <w:t>cm/s</w:t>
            </w:r>
            <w:r>
              <w:rPr>
                <w:rFonts w:hint="default" w:ascii="Times New Roman" w:hAnsi="Times New Roman" w:cs="Times New Roman"/>
                <w:color w:val="auto"/>
                <w:kern w:val="0"/>
                <w:sz w:val="24"/>
              </w:rPr>
              <w:t>。</w:t>
            </w:r>
          </w:p>
          <w:p w14:paraId="4CF2A621">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（2）防渗措施：一般防渗区采用双层复合防渗结构，基础防渗层为至少1.5米厚粘土层（渗透系数≤10</w:t>
            </w:r>
            <w:r>
              <w:rPr>
                <w:rFonts w:hint="default" w:ascii="Times New Roman" w:hAnsi="Times New Roman" w:cs="Times New Roman"/>
                <w:color w:val="auto"/>
                <w:kern w:val="0"/>
                <w:sz w:val="24"/>
                <w:vertAlign w:val="superscript"/>
              </w:rPr>
              <w:t>-7</w:t>
            </w:r>
            <w:r>
              <w:rPr>
                <w:rFonts w:hint="default" w:ascii="Times New Roman" w:hAnsi="Times New Roman" w:cs="Times New Roman"/>
                <w:color w:val="auto"/>
                <w:kern w:val="0"/>
                <w:sz w:val="24"/>
              </w:rPr>
              <w:t>cm/s），重点防渗区可采用至少2毫米厚的高密度聚乙烯等其它人工材料（渗透系数≤10</w:t>
            </w:r>
            <w:r>
              <w:rPr>
                <w:rFonts w:hint="default" w:ascii="Times New Roman" w:hAnsi="Times New Roman" w:cs="Times New Roman"/>
                <w:color w:val="auto"/>
                <w:kern w:val="0"/>
                <w:sz w:val="24"/>
                <w:vertAlign w:val="superscript"/>
              </w:rPr>
              <w:t>-10</w:t>
            </w:r>
            <w:r>
              <w:rPr>
                <w:rFonts w:hint="default" w:ascii="Times New Roman" w:hAnsi="Times New Roman" w:cs="Times New Roman"/>
                <w:color w:val="auto"/>
                <w:kern w:val="0"/>
                <w:sz w:val="24"/>
              </w:rPr>
              <w:t>cm/s）。简单防渗区可采用一般地面硬化进行防渗。</w:t>
            </w:r>
          </w:p>
          <w:p w14:paraId="1F88FB6F">
            <w:pPr>
              <w:adjustRightInd w:val="0"/>
              <w:snapToGrid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 xml:space="preserve">  污染防渗分区措施</w:t>
            </w:r>
          </w:p>
          <w:tbl>
            <w:tblPr>
              <w:tblStyle w:val="28"/>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504"/>
              <w:gridCol w:w="4288"/>
            </w:tblGrid>
            <w:tr w14:paraId="5576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7" w:type="dxa"/>
                  <w:vAlign w:val="center"/>
                </w:tcPr>
                <w:p w14:paraId="7F0D6BE3">
                  <w:pPr>
                    <w:jc w:val="center"/>
                    <w:rPr>
                      <w:rFonts w:hint="default" w:ascii="Times New Roman" w:hAnsi="Times New Roman" w:cs="Times New Roman"/>
                      <w:b/>
                      <w:bCs/>
                      <w:color w:val="auto"/>
                    </w:rPr>
                  </w:pPr>
                  <w:r>
                    <w:rPr>
                      <w:rFonts w:hint="default" w:ascii="Times New Roman" w:hAnsi="Times New Roman" w:cs="Times New Roman"/>
                      <w:b/>
                      <w:bCs/>
                      <w:color w:val="auto"/>
                    </w:rPr>
                    <w:t>防渗区域或部位</w:t>
                  </w:r>
                </w:p>
              </w:tc>
              <w:tc>
                <w:tcPr>
                  <w:tcW w:w="1504" w:type="dxa"/>
                  <w:vAlign w:val="center"/>
                </w:tcPr>
                <w:p w14:paraId="022B7228">
                  <w:pPr>
                    <w:jc w:val="center"/>
                    <w:rPr>
                      <w:rFonts w:hint="default" w:ascii="Times New Roman" w:hAnsi="Times New Roman" w:cs="Times New Roman"/>
                      <w:b/>
                      <w:bCs/>
                      <w:color w:val="auto"/>
                    </w:rPr>
                  </w:pPr>
                  <w:r>
                    <w:rPr>
                      <w:rFonts w:hint="default" w:ascii="Times New Roman" w:hAnsi="Times New Roman" w:cs="Times New Roman"/>
                      <w:b/>
                      <w:bCs/>
                      <w:color w:val="auto"/>
                    </w:rPr>
                    <w:t>防渗等级</w:t>
                  </w:r>
                </w:p>
              </w:tc>
              <w:tc>
                <w:tcPr>
                  <w:tcW w:w="4288" w:type="dxa"/>
                  <w:vAlign w:val="center"/>
                </w:tcPr>
                <w:p w14:paraId="57272CF9">
                  <w:pPr>
                    <w:jc w:val="center"/>
                    <w:rPr>
                      <w:rFonts w:hint="default" w:ascii="Times New Roman" w:hAnsi="Times New Roman" w:cs="Times New Roman"/>
                      <w:b/>
                      <w:bCs/>
                      <w:color w:val="auto"/>
                    </w:rPr>
                  </w:pPr>
                  <w:r>
                    <w:rPr>
                      <w:rFonts w:hint="default" w:ascii="Times New Roman" w:hAnsi="Times New Roman" w:cs="Times New Roman"/>
                      <w:b/>
                      <w:bCs/>
                      <w:color w:val="auto"/>
                    </w:rPr>
                    <w:t>防渗要求</w:t>
                  </w:r>
                </w:p>
              </w:tc>
            </w:tr>
            <w:tr w14:paraId="3306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7" w:type="dxa"/>
                  <w:vAlign w:val="center"/>
                </w:tcPr>
                <w:p w14:paraId="7727DA48">
                  <w:pPr>
                    <w:jc w:val="center"/>
                    <w:rPr>
                      <w:rFonts w:hint="eastAsia" w:ascii="Times New Roman" w:hAnsi="Times New Roman" w:eastAsia="宋体" w:cs="Times New Roman"/>
                      <w:bCs/>
                      <w:color w:val="auto"/>
                      <w:lang w:eastAsia="zh-CN"/>
                    </w:rPr>
                  </w:pPr>
                  <w:r>
                    <w:rPr>
                      <w:rFonts w:hint="default" w:ascii="Times New Roman" w:hAnsi="Times New Roman" w:cs="Times New Roman"/>
                      <w:bCs/>
                      <w:color w:val="auto"/>
                      <w:lang w:eastAsia="zh-CN"/>
                    </w:rPr>
                    <w:t>喷漆房、</w:t>
                  </w:r>
                  <w:r>
                    <w:rPr>
                      <w:rFonts w:hint="eastAsia" w:cs="Times New Roman"/>
                      <w:bCs/>
                      <w:color w:val="auto"/>
                      <w:lang w:eastAsia="zh-CN"/>
                    </w:rPr>
                    <w:t>油漆库、</w:t>
                  </w:r>
                  <w:r>
                    <w:rPr>
                      <w:rFonts w:hint="default" w:ascii="Times New Roman" w:hAnsi="Times New Roman" w:cs="Times New Roman"/>
                      <w:bCs/>
                      <w:color w:val="auto"/>
                    </w:rPr>
                    <w:t>危废暂存间</w:t>
                  </w:r>
                  <w:r>
                    <w:rPr>
                      <w:rFonts w:hint="eastAsia" w:cs="Times New Roman"/>
                      <w:bCs/>
                      <w:color w:val="auto"/>
                      <w:lang w:eastAsia="zh-CN"/>
                    </w:rPr>
                    <w:t>、事故池</w:t>
                  </w:r>
                </w:p>
              </w:tc>
              <w:tc>
                <w:tcPr>
                  <w:tcW w:w="1504" w:type="dxa"/>
                  <w:vAlign w:val="center"/>
                </w:tcPr>
                <w:p w14:paraId="5BDFA929">
                  <w:pPr>
                    <w:jc w:val="center"/>
                    <w:rPr>
                      <w:rFonts w:hint="default" w:ascii="Times New Roman" w:hAnsi="Times New Roman" w:cs="Times New Roman"/>
                      <w:bCs/>
                      <w:color w:val="auto"/>
                    </w:rPr>
                  </w:pPr>
                  <w:r>
                    <w:rPr>
                      <w:rFonts w:hint="default" w:ascii="Times New Roman" w:hAnsi="Times New Roman" w:cs="Times New Roman"/>
                      <w:bCs/>
                      <w:color w:val="auto"/>
                    </w:rPr>
                    <w:t>重点污染防治区</w:t>
                  </w:r>
                </w:p>
              </w:tc>
              <w:tc>
                <w:tcPr>
                  <w:tcW w:w="4288" w:type="dxa"/>
                  <w:vAlign w:val="center"/>
                </w:tcPr>
                <w:p w14:paraId="15EE8E48">
                  <w:pPr>
                    <w:jc w:val="left"/>
                    <w:rPr>
                      <w:rFonts w:hint="default" w:ascii="Times New Roman" w:hAnsi="Times New Roman" w:cs="Times New Roman"/>
                      <w:color w:val="auto"/>
                      <w:lang w:val="en-US"/>
                    </w:rPr>
                  </w:pPr>
                  <w:r>
                    <w:rPr>
                      <w:rFonts w:ascii="Times New Roman" w:hAnsi="Times New Roman" w:cs="Times New Roman"/>
                      <w:color w:val="000000"/>
                      <w:kern w:val="28"/>
                      <w:szCs w:val="21"/>
                    </w:rPr>
                    <w:t>等效黏土防渗层Mb≥6.0m，K≤1*10</w:t>
                  </w:r>
                  <w:r>
                    <w:rPr>
                      <w:rFonts w:ascii="Times New Roman" w:hAnsi="Times New Roman" w:cs="Times New Roman"/>
                      <w:color w:val="000000"/>
                      <w:kern w:val="28"/>
                      <w:szCs w:val="21"/>
                      <w:vertAlign w:val="superscript"/>
                    </w:rPr>
                    <w:t>-7</w:t>
                  </w:r>
                  <w:r>
                    <w:rPr>
                      <w:rFonts w:ascii="Times New Roman" w:hAnsi="Times New Roman" w:cs="Times New Roman"/>
                      <w:color w:val="000000"/>
                      <w:kern w:val="18"/>
                      <w:szCs w:val="21"/>
                    </w:rPr>
                    <w:t>cm/s</w:t>
                  </w:r>
                </w:p>
              </w:tc>
            </w:tr>
            <w:tr w14:paraId="03FA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7" w:type="dxa"/>
                  <w:vAlign w:val="center"/>
                </w:tcPr>
                <w:p w14:paraId="258C9BDE">
                  <w:pPr>
                    <w:jc w:val="center"/>
                    <w:rPr>
                      <w:rFonts w:hint="default" w:ascii="Times New Roman" w:hAnsi="Times New Roman" w:eastAsia="宋体" w:cs="Times New Roman"/>
                      <w:bCs/>
                      <w:color w:val="auto"/>
                      <w:lang w:val="en-US" w:eastAsia="zh-CN"/>
                    </w:rPr>
                  </w:pPr>
                  <w:r>
                    <w:rPr>
                      <w:rFonts w:hint="default" w:ascii="Times New Roman" w:hAnsi="Times New Roman" w:cs="Times New Roman"/>
                      <w:bCs/>
                      <w:color w:val="auto"/>
                      <w:lang w:val="en-US" w:eastAsia="zh-CN"/>
                    </w:rPr>
                    <w:t>其他区域</w:t>
                  </w:r>
                </w:p>
              </w:tc>
              <w:tc>
                <w:tcPr>
                  <w:tcW w:w="1504" w:type="dxa"/>
                  <w:vAlign w:val="center"/>
                </w:tcPr>
                <w:p w14:paraId="46F23650">
                  <w:pPr>
                    <w:jc w:val="center"/>
                    <w:rPr>
                      <w:rFonts w:hint="default" w:ascii="Times New Roman" w:hAnsi="Times New Roman" w:cs="Times New Roman"/>
                      <w:bCs/>
                      <w:color w:val="auto"/>
                    </w:rPr>
                  </w:pPr>
                  <w:r>
                    <w:rPr>
                      <w:rFonts w:hint="default" w:ascii="Times New Roman" w:hAnsi="Times New Roman" w:cs="Times New Roman"/>
                      <w:bCs/>
                      <w:color w:val="auto"/>
                    </w:rPr>
                    <w:t>一般防渗区</w:t>
                  </w:r>
                </w:p>
              </w:tc>
              <w:tc>
                <w:tcPr>
                  <w:tcW w:w="4288" w:type="dxa"/>
                  <w:vAlign w:val="center"/>
                </w:tcPr>
                <w:p w14:paraId="6C3C31C0">
                  <w:pPr>
                    <w:spacing w:line="240" w:lineRule="auto"/>
                    <w:jc w:val="left"/>
                    <w:rPr>
                      <w:rFonts w:hint="eastAsia" w:ascii="Times New Roman" w:hAnsi="Times New Roman" w:eastAsia="宋体" w:cs="Times New Roman"/>
                      <w:color w:val="000000"/>
                      <w:kern w:val="28"/>
                      <w:szCs w:val="21"/>
                      <w:lang w:val="en-US" w:eastAsia="zh-CN"/>
                    </w:rPr>
                  </w:pPr>
                  <w:r>
                    <w:rPr>
                      <w:rFonts w:hint="default"/>
                      <w:color w:val="000000"/>
                      <w:kern w:val="28"/>
                      <w:sz w:val="21"/>
                      <w:szCs w:val="21"/>
                    </w:rPr>
                    <w:t>防渗层的防渗性能不应低于1.5m厚渗透系数为1.0×10</w:t>
                  </w:r>
                  <w:r>
                    <w:rPr>
                      <w:rFonts w:hint="default"/>
                      <w:color w:val="000000"/>
                      <w:kern w:val="28"/>
                      <w:sz w:val="21"/>
                      <w:szCs w:val="21"/>
                      <w:vertAlign w:val="baseline"/>
                    </w:rPr>
                    <w:t>-7</w:t>
                  </w:r>
                  <w:r>
                    <w:rPr>
                      <w:rFonts w:hint="default"/>
                      <w:color w:val="000000"/>
                      <w:kern w:val="28"/>
                      <w:sz w:val="21"/>
                      <w:szCs w:val="21"/>
                    </w:rPr>
                    <w:t>cm/s的黏土层的防渗性能</w:t>
                  </w:r>
                  <w:r>
                    <w:rPr>
                      <w:rFonts w:hint="eastAsia"/>
                      <w:color w:val="000000"/>
                      <w:kern w:val="28"/>
                      <w:sz w:val="21"/>
                      <w:szCs w:val="21"/>
                      <w:lang w:eastAsia="zh-CN"/>
                    </w:rPr>
                    <w:t>，</w:t>
                  </w:r>
                  <w:r>
                    <w:rPr>
                      <w:rFonts w:ascii="Times New Roman" w:hAnsi="Times New Roman" w:cs="Times New Roman"/>
                      <w:color w:val="000000"/>
                      <w:kern w:val="28"/>
                      <w:szCs w:val="21"/>
                    </w:rPr>
                    <w:t>设置有效容积</w:t>
                  </w:r>
                  <w:r>
                    <w:rPr>
                      <w:rFonts w:hint="eastAsia" w:ascii="Times New Roman" w:hAnsi="Times New Roman" w:cs="Times New Roman"/>
                      <w:color w:val="000000"/>
                      <w:kern w:val="28"/>
                      <w:szCs w:val="21"/>
                    </w:rPr>
                    <w:t>70</w:t>
                  </w:r>
                  <w:r>
                    <w:rPr>
                      <w:rFonts w:ascii="Times New Roman" w:hAnsi="Times New Roman" w:cs="Times New Roman"/>
                      <w:color w:val="000000"/>
                      <w:kern w:val="28"/>
                      <w:szCs w:val="21"/>
                    </w:rPr>
                    <w:t>m</w:t>
                  </w:r>
                  <w:r>
                    <w:rPr>
                      <w:rFonts w:ascii="Times New Roman" w:hAnsi="Times New Roman" w:cs="Times New Roman"/>
                      <w:color w:val="000000"/>
                      <w:kern w:val="28"/>
                      <w:szCs w:val="21"/>
                      <w:vertAlign w:val="superscript"/>
                    </w:rPr>
                    <w:t>3</w:t>
                  </w:r>
                  <w:r>
                    <w:rPr>
                      <w:rFonts w:ascii="Times New Roman" w:hAnsi="Times New Roman" w:cs="Times New Roman"/>
                      <w:color w:val="000000"/>
                      <w:kern w:val="28"/>
                      <w:szCs w:val="21"/>
                    </w:rPr>
                    <w:t>事故池</w:t>
                  </w:r>
                </w:p>
              </w:tc>
            </w:tr>
          </w:tbl>
          <w:p w14:paraId="3FBC84BA">
            <w:pPr>
              <w:pStyle w:val="4"/>
              <w:keepNext/>
              <w:keepLines/>
              <w:pageBreakBefore w:val="0"/>
              <w:widowControl w:val="0"/>
              <w:kinsoku/>
              <w:wordWrap/>
              <w:overflowPunct/>
              <w:topLinePunct w:val="0"/>
              <w:autoSpaceDE/>
              <w:autoSpaceDN/>
              <w:bidi w:val="0"/>
              <w:adjustRightInd/>
              <w:snapToGrid/>
              <w:spacing w:before="313" w:beforeLines="100" w:after="0" w:line="360" w:lineRule="auto"/>
              <w:textAlignment w:val="auto"/>
              <w:rPr>
                <w:rStyle w:val="60"/>
                <w:rFonts w:hint="default" w:ascii="Times New Roman" w:hAnsi="Times New Roman" w:cs="Times New Roman"/>
                <w:b/>
                <w:bCs w:val="0"/>
                <w:color w:val="auto"/>
                <w:szCs w:val="24"/>
              </w:rPr>
            </w:pPr>
            <w:r>
              <w:rPr>
                <w:rStyle w:val="60"/>
                <w:rFonts w:hint="default" w:ascii="Times New Roman" w:hAnsi="Times New Roman" w:cs="Times New Roman"/>
                <w:b/>
                <w:bCs w:val="0"/>
                <w:color w:val="auto"/>
                <w:szCs w:val="24"/>
              </w:rPr>
              <w:t>4.7环境风险</w:t>
            </w:r>
          </w:p>
          <w:p w14:paraId="403F6049">
            <w:pPr>
              <w:pStyle w:val="4"/>
              <w:spacing w:before="0" w:after="0" w:line="360" w:lineRule="auto"/>
              <w:rPr>
                <w:rStyle w:val="60"/>
                <w:rFonts w:hint="default" w:ascii="Times New Roman" w:hAnsi="Times New Roman" w:cs="Times New Roman"/>
                <w:b w:val="0"/>
                <w:color w:val="auto"/>
                <w:szCs w:val="24"/>
              </w:rPr>
            </w:pPr>
            <w:r>
              <w:rPr>
                <w:rStyle w:val="60"/>
                <w:rFonts w:hint="default" w:ascii="Times New Roman" w:hAnsi="Times New Roman" w:cs="Times New Roman"/>
                <w:b w:val="0"/>
                <w:color w:val="auto"/>
                <w:szCs w:val="24"/>
              </w:rPr>
              <w:t>4.7.1风险物质识别</w:t>
            </w:r>
          </w:p>
          <w:p w14:paraId="77C19E66">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按照《建设项目环境风险评价技术导则》（HJ169-2018）中附录B对项目所用原辅材料进行识别，本项目涉及的危险物质主要为危险废物。</w:t>
            </w:r>
          </w:p>
          <w:p w14:paraId="4706B695">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根据辨识结果，计算项目涉及的危险物质在厂界内的最大存储量与其对应的临界量的比值Q。本项目按下列公示计算物质总量与其临界量比值：</w:t>
            </w:r>
          </w:p>
          <w:p w14:paraId="08A0209C">
            <w:pPr>
              <w:ind w:firstLine="31" w:firstLineChars="13"/>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color w:val="auto"/>
                <w:sz w:val="24"/>
                <w:szCs w:val="24"/>
              </w:rPr>
              <w:drawing>
                <wp:inline distT="0" distB="0" distL="114300" distR="114300">
                  <wp:extent cx="1438275" cy="514350"/>
                  <wp:effectExtent l="0" t="0" r="9525" b="3810"/>
                  <wp:docPr id="75" name="图片 22" descr="C:\Users\GAOSHA~1\AppData\Local\Temp\企业微信截图_156679238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descr="C:\Users\GAOSHA~1\AppData\Local\Temp\企业微信截图_156679238122.png"/>
                          <pic:cNvPicPr>
                            <a:picLocks noChangeAspect="1"/>
                          </pic:cNvPicPr>
                        </pic:nvPicPr>
                        <pic:blipFill>
                          <a:blip r:embed="rId27"/>
                          <a:stretch>
                            <a:fillRect/>
                          </a:stretch>
                        </pic:blipFill>
                        <pic:spPr>
                          <a:xfrm>
                            <a:off x="0" y="0"/>
                            <a:ext cx="1438275" cy="514350"/>
                          </a:xfrm>
                          <a:prstGeom prst="rect">
                            <a:avLst/>
                          </a:prstGeom>
                          <a:noFill/>
                          <a:ln>
                            <a:noFill/>
                          </a:ln>
                        </pic:spPr>
                      </pic:pic>
                    </a:graphicData>
                  </a:graphic>
                </wp:inline>
              </w:drawing>
            </w:r>
          </w:p>
          <w:p w14:paraId="1A632011">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式中：</w:t>
            </w:r>
          </w:p>
          <w:p w14:paraId="07D21800">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q</w:t>
            </w:r>
            <w:r>
              <w:rPr>
                <w:rFonts w:hint="default" w:ascii="Times New Roman" w:hAnsi="Times New Roman" w:cs="Times New Roman" w:eastAsiaTheme="minorEastAsia"/>
                <w:bCs/>
                <w:color w:val="auto"/>
                <w:sz w:val="24"/>
                <w:szCs w:val="24"/>
                <w:vertAlign w:val="subscript"/>
              </w:rPr>
              <w:t>1</w:t>
            </w:r>
            <w:r>
              <w:rPr>
                <w:rFonts w:hint="default" w:ascii="Times New Roman" w:hAnsi="Times New Roman" w:cs="Times New Roman" w:eastAsiaTheme="minorEastAsia"/>
                <w:bCs/>
                <w:color w:val="auto"/>
                <w:sz w:val="24"/>
                <w:szCs w:val="24"/>
              </w:rPr>
              <w:t>，q</w:t>
            </w:r>
            <w:r>
              <w:rPr>
                <w:rFonts w:hint="default" w:ascii="Times New Roman" w:hAnsi="Times New Roman" w:cs="Times New Roman" w:eastAsiaTheme="minorEastAsia"/>
                <w:bCs/>
                <w:color w:val="auto"/>
                <w:sz w:val="24"/>
                <w:szCs w:val="24"/>
                <w:vertAlign w:val="subscript"/>
              </w:rPr>
              <w:t>2</w:t>
            </w:r>
            <w:r>
              <w:rPr>
                <w:rFonts w:hint="default" w:ascii="Times New Roman" w:hAnsi="Times New Roman" w:cs="Times New Roman" w:eastAsiaTheme="minorEastAsia"/>
                <w:bCs/>
                <w:color w:val="auto"/>
                <w:sz w:val="24"/>
                <w:szCs w:val="24"/>
              </w:rPr>
              <w:t>……q</w:t>
            </w:r>
            <w:r>
              <w:rPr>
                <w:rFonts w:hint="default" w:ascii="Times New Roman" w:hAnsi="Times New Roman" w:cs="Times New Roman" w:eastAsiaTheme="minorEastAsia"/>
                <w:bCs/>
                <w:color w:val="auto"/>
                <w:sz w:val="24"/>
                <w:szCs w:val="24"/>
                <w:vertAlign w:val="subscript"/>
              </w:rPr>
              <w:t>n</w:t>
            </w:r>
            <w:r>
              <w:rPr>
                <w:rFonts w:hint="default" w:ascii="Times New Roman" w:hAnsi="Times New Roman" w:cs="Times New Roman" w:eastAsiaTheme="minorEastAsia"/>
                <w:bCs/>
                <w:color w:val="auto"/>
                <w:sz w:val="24"/>
                <w:szCs w:val="24"/>
              </w:rPr>
              <w:t>每种危险物质的最大存在总量t</w:t>
            </w:r>
          </w:p>
          <w:p w14:paraId="53025C03">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Q</w:t>
            </w:r>
            <w:r>
              <w:rPr>
                <w:rFonts w:hint="default" w:ascii="Times New Roman" w:hAnsi="Times New Roman" w:cs="Times New Roman" w:eastAsiaTheme="minorEastAsia"/>
                <w:bCs/>
                <w:color w:val="auto"/>
                <w:sz w:val="24"/>
                <w:szCs w:val="24"/>
                <w:vertAlign w:val="subscript"/>
              </w:rPr>
              <w:t>1</w:t>
            </w:r>
            <w:r>
              <w:rPr>
                <w:rFonts w:hint="default" w:ascii="Times New Roman" w:hAnsi="Times New Roman" w:cs="Times New Roman" w:eastAsiaTheme="minorEastAsia"/>
                <w:bCs/>
                <w:color w:val="auto"/>
                <w:sz w:val="24"/>
                <w:szCs w:val="24"/>
              </w:rPr>
              <w:t>，Q</w:t>
            </w:r>
            <w:r>
              <w:rPr>
                <w:rFonts w:hint="default" w:ascii="Times New Roman" w:hAnsi="Times New Roman" w:cs="Times New Roman" w:eastAsiaTheme="minorEastAsia"/>
                <w:bCs/>
                <w:color w:val="auto"/>
                <w:sz w:val="24"/>
                <w:szCs w:val="24"/>
                <w:vertAlign w:val="subscript"/>
              </w:rPr>
              <w:t>2</w:t>
            </w:r>
            <w:r>
              <w:rPr>
                <w:rFonts w:hint="default" w:ascii="Times New Roman" w:hAnsi="Times New Roman" w:cs="Times New Roman" w:eastAsiaTheme="minorEastAsia"/>
                <w:bCs/>
                <w:color w:val="auto"/>
                <w:sz w:val="24"/>
                <w:szCs w:val="24"/>
              </w:rPr>
              <w:t>……Q</w:t>
            </w:r>
            <w:r>
              <w:rPr>
                <w:rFonts w:hint="default" w:ascii="Times New Roman" w:hAnsi="Times New Roman" w:cs="Times New Roman" w:eastAsiaTheme="minorEastAsia"/>
                <w:bCs/>
                <w:color w:val="auto"/>
                <w:sz w:val="24"/>
                <w:szCs w:val="24"/>
                <w:vertAlign w:val="subscript"/>
              </w:rPr>
              <w:t>n</w:t>
            </w:r>
            <w:r>
              <w:rPr>
                <w:rFonts w:hint="default" w:ascii="Times New Roman" w:hAnsi="Times New Roman" w:cs="Times New Roman" w:eastAsiaTheme="minorEastAsia"/>
                <w:bCs/>
                <w:color w:val="auto"/>
                <w:sz w:val="24"/>
                <w:szCs w:val="24"/>
              </w:rPr>
              <w:t>每种危险物质的临界量t。</w:t>
            </w:r>
          </w:p>
          <w:p w14:paraId="4E78A720">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当Q＜1时，该项目环境风险潜势为I。</w:t>
            </w:r>
          </w:p>
          <w:p w14:paraId="0C90A566">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通过查询《建设项目环境风险评价技术导则》（HJ169-2018）中附录B的表B1和表B2计算危险物质的Q值。计算结果如下表所示：</w:t>
            </w:r>
          </w:p>
          <w:p w14:paraId="7624AD26">
            <w:pPr>
              <w:adjustRightInd w:val="0"/>
              <w:snapToGrid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表4-1</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项目Q值确定表</w:t>
            </w:r>
          </w:p>
          <w:tbl>
            <w:tblPr>
              <w:tblStyle w:val="28"/>
              <w:tblW w:w="8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811"/>
              <w:gridCol w:w="1543"/>
              <w:gridCol w:w="1212"/>
              <w:gridCol w:w="1155"/>
              <w:gridCol w:w="1166"/>
            </w:tblGrid>
            <w:tr w14:paraId="4572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10" w:type="dxa"/>
                  <w:noWrap w:val="0"/>
                  <w:vAlign w:val="center"/>
                </w:tcPr>
                <w:p w14:paraId="6D5C8CB3">
                  <w:pPr>
                    <w:adjustRightInd w:val="0"/>
                    <w:snapToGrid w:val="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序号</w:t>
                  </w:r>
                </w:p>
              </w:tc>
              <w:tc>
                <w:tcPr>
                  <w:tcW w:w="2811" w:type="dxa"/>
                  <w:noWrap w:val="0"/>
                  <w:vAlign w:val="center"/>
                </w:tcPr>
                <w:p w14:paraId="45A59E9F">
                  <w:pPr>
                    <w:adjustRightInd w:val="0"/>
                    <w:snapToGrid w:val="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危险物质名称</w:t>
                  </w:r>
                </w:p>
              </w:tc>
              <w:tc>
                <w:tcPr>
                  <w:tcW w:w="1543" w:type="dxa"/>
                  <w:noWrap w:val="0"/>
                  <w:vAlign w:val="center"/>
                </w:tcPr>
                <w:p w14:paraId="0965C6DE">
                  <w:pPr>
                    <w:adjustRightInd w:val="0"/>
                    <w:snapToGrid w:val="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CAS号</w:t>
                  </w:r>
                </w:p>
              </w:tc>
              <w:tc>
                <w:tcPr>
                  <w:tcW w:w="1212" w:type="dxa"/>
                  <w:noWrap w:val="0"/>
                  <w:vAlign w:val="center"/>
                </w:tcPr>
                <w:p w14:paraId="557422F9">
                  <w:pPr>
                    <w:adjustRightInd w:val="0"/>
                    <w:snapToGrid w:val="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最大存储量（t）</w:t>
                  </w:r>
                </w:p>
              </w:tc>
              <w:tc>
                <w:tcPr>
                  <w:tcW w:w="1155" w:type="dxa"/>
                  <w:noWrap w:val="0"/>
                  <w:vAlign w:val="center"/>
                </w:tcPr>
                <w:p w14:paraId="64E391C4">
                  <w:pPr>
                    <w:adjustRightInd w:val="0"/>
                    <w:snapToGrid w:val="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临界量Q</w:t>
                  </w:r>
                  <w:r>
                    <w:rPr>
                      <w:rFonts w:hint="default" w:ascii="Times New Roman" w:hAnsi="Times New Roman" w:cs="Times New Roman" w:eastAsiaTheme="minorEastAsia"/>
                      <w:b/>
                      <w:bCs/>
                      <w:color w:val="auto"/>
                      <w:kern w:val="0"/>
                      <w:sz w:val="21"/>
                      <w:szCs w:val="21"/>
                      <w:vertAlign w:val="subscript"/>
                    </w:rPr>
                    <w:t>n</w:t>
                  </w:r>
                  <w:r>
                    <w:rPr>
                      <w:rFonts w:hint="default" w:ascii="Times New Roman" w:hAnsi="Times New Roman" w:cs="Times New Roman" w:eastAsiaTheme="minorEastAsia"/>
                      <w:b/>
                      <w:bCs/>
                      <w:color w:val="auto"/>
                      <w:kern w:val="0"/>
                      <w:sz w:val="21"/>
                      <w:szCs w:val="21"/>
                    </w:rPr>
                    <w:t>（t）</w:t>
                  </w:r>
                </w:p>
              </w:tc>
              <w:tc>
                <w:tcPr>
                  <w:tcW w:w="1166" w:type="dxa"/>
                  <w:noWrap w:val="0"/>
                  <w:vAlign w:val="center"/>
                </w:tcPr>
                <w:p w14:paraId="1810BCC3">
                  <w:pPr>
                    <w:adjustRightInd w:val="0"/>
                    <w:snapToGrid w:val="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Q值</w:t>
                  </w:r>
                </w:p>
              </w:tc>
            </w:tr>
            <w:tr w14:paraId="0363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10" w:type="dxa"/>
                  <w:noWrap w:val="0"/>
                  <w:vAlign w:val="center"/>
                </w:tcPr>
                <w:p w14:paraId="2CA3D6AE">
                  <w:pPr>
                    <w:adjustRightInd w:val="0"/>
                    <w:snapToGrid w:val="0"/>
                    <w:jc w:val="center"/>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bCs/>
                      <w:color w:val="auto"/>
                      <w:kern w:val="0"/>
                      <w:sz w:val="21"/>
                      <w:szCs w:val="21"/>
                      <w:lang w:val="en-US" w:eastAsia="zh-CN"/>
                    </w:rPr>
                    <w:t>1</w:t>
                  </w:r>
                </w:p>
              </w:tc>
              <w:tc>
                <w:tcPr>
                  <w:tcW w:w="2811" w:type="dxa"/>
                  <w:noWrap w:val="0"/>
                  <w:vAlign w:val="center"/>
                </w:tcPr>
                <w:p w14:paraId="0843C0C7">
                  <w:pPr>
                    <w:adjustRightInd w:val="0"/>
                    <w:snapToGrid w:val="0"/>
                    <w:jc w:val="center"/>
                    <w:rPr>
                      <w:rFonts w:hint="default" w:ascii="Times New Roman" w:hAnsi="Times New Roman" w:cs="Times New Roman" w:eastAsiaTheme="minorEastAsia"/>
                      <w:bCs/>
                      <w:color w:val="auto"/>
                      <w:kern w:val="0"/>
                      <w:sz w:val="21"/>
                      <w:szCs w:val="21"/>
                      <w:lang w:eastAsia="zh-CN"/>
                    </w:rPr>
                  </w:pPr>
                  <w:r>
                    <w:rPr>
                      <w:rFonts w:ascii="Times New Roman" w:hAnsi="Times New Roman"/>
                      <w:color w:val="000000"/>
                      <w:sz w:val="21"/>
                      <w:szCs w:val="21"/>
                    </w:rPr>
                    <w:t>水性环氧树脂底漆</w:t>
                  </w:r>
                </w:p>
              </w:tc>
              <w:tc>
                <w:tcPr>
                  <w:tcW w:w="1543" w:type="dxa"/>
                  <w:noWrap w:val="0"/>
                  <w:vAlign w:val="center"/>
                </w:tcPr>
                <w:p w14:paraId="58A824C1">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w:t>
                  </w:r>
                </w:p>
              </w:tc>
              <w:tc>
                <w:tcPr>
                  <w:tcW w:w="1212" w:type="dxa"/>
                  <w:noWrap w:val="0"/>
                  <w:vAlign w:val="center"/>
                </w:tcPr>
                <w:p w14:paraId="30475B02">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0.5</w:t>
                  </w:r>
                </w:p>
              </w:tc>
              <w:tc>
                <w:tcPr>
                  <w:tcW w:w="1155" w:type="dxa"/>
                  <w:noWrap w:val="0"/>
                  <w:vAlign w:val="center"/>
                </w:tcPr>
                <w:p w14:paraId="6A504FAE">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1166" w:type="dxa"/>
                  <w:noWrap w:val="0"/>
                  <w:vAlign w:val="center"/>
                </w:tcPr>
                <w:p w14:paraId="2E0E18FD">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0.01</w:t>
                  </w:r>
                </w:p>
              </w:tc>
            </w:tr>
            <w:tr w14:paraId="15BB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10" w:type="dxa"/>
                  <w:noWrap w:val="0"/>
                  <w:vAlign w:val="center"/>
                </w:tcPr>
                <w:p w14:paraId="07E8D29D">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2</w:t>
                  </w:r>
                </w:p>
              </w:tc>
              <w:tc>
                <w:tcPr>
                  <w:tcW w:w="2811" w:type="dxa"/>
                  <w:noWrap w:val="0"/>
                  <w:vAlign w:val="center"/>
                </w:tcPr>
                <w:p w14:paraId="2FA051C7">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ascii="Times New Roman" w:hAnsi="Times New Roman"/>
                      <w:color w:val="000000"/>
                      <w:sz w:val="21"/>
                      <w:szCs w:val="21"/>
                    </w:rPr>
                    <w:t>水性丙烯酸聚氨酯面漆</w:t>
                  </w:r>
                </w:p>
              </w:tc>
              <w:tc>
                <w:tcPr>
                  <w:tcW w:w="1543" w:type="dxa"/>
                  <w:noWrap w:val="0"/>
                  <w:vAlign w:val="center"/>
                </w:tcPr>
                <w:p w14:paraId="3FCBF755">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w:t>
                  </w:r>
                </w:p>
              </w:tc>
              <w:tc>
                <w:tcPr>
                  <w:tcW w:w="1212" w:type="dxa"/>
                  <w:noWrap w:val="0"/>
                  <w:vAlign w:val="center"/>
                </w:tcPr>
                <w:p w14:paraId="35BF4B48">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w:t>
                  </w:r>
                </w:p>
              </w:tc>
              <w:tc>
                <w:tcPr>
                  <w:tcW w:w="1155" w:type="dxa"/>
                  <w:noWrap w:val="0"/>
                  <w:vAlign w:val="center"/>
                </w:tcPr>
                <w:p w14:paraId="63CAD107">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1166" w:type="dxa"/>
                  <w:noWrap w:val="0"/>
                  <w:vAlign w:val="center"/>
                </w:tcPr>
                <w:p w14:paraId="4BDE8657">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0.01</w:t>
                  </w:r>
                </w:p>
              </w:tc>
            </w:tr>
            <w:tr w14:paraId="2C31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10" w:type="dxa"/>
                  <w:noWrap w:val="0"/>
                  <w:vAlign w:val="center"/>
                </w:tcPr>
                <w:p w14:paraId="7905E147">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3</w:t>
                  </w:r>
                </w:p>
              </w:tc>
              <w:tc>
                <w:tcPr>
                  <w:tcW w:w="2811" w:type="dxa"/>
                  <w:noWrap w:val="0"/>
                  <w:vAlign w:val="center"/>
                </w:tcPr>
                <w:p w14:paraId="1DE2B14D">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废乳化液</w:t>
                  </w:r>
                </w:p>
              </w:tc>
              <w:tc>
                <w:tcPr>
                  <w:tcW w:w="1543" w:type="dxa"/>
                  <w:noWrap w:val="0"/>
                  <w:vAlign w:val="center"/>
                </w:tcPr>
                <w:p w14:paraId="3677ED9D">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w:t>
                  </w:r>
                </w:p>
              </w:tc>
              <w:tc>
                <w:tcPr>
                  <w:tcW w:w="1212" w:type="dxa"/>
                  <w:noWrap w:val="0"/>
                  <w:vAlign w:val="center"/>
                </w:tcPr>
                <w:p w14:paraId="4BD0386E">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w:t>
                  </w:r>
                  <w:r>
                    <w:rPr>
                      <w:rFonts w:hint="eastAsia" w:ascii="Times New Roman" w:hAnsi="Times New Roman" w:cs="Times New Roman" w:eastAsiaTheme="minorEastAsia"/>
                      <w:color w:val="auto"/>
                      <w:sz w:val="21"/>
                      <w:szCs w:val="21"/>
                      <w:lang w:val="en-US" w:eastAsia="zh-CN"/>
                    </w:rPr>
                    <w:t>5</w:t>
                  </w:r>
                </w:p>
              </w:tc>
              <w:tc>
                <w:tcPr>
                  <w:tcW w:w="1155" w:type="dxa"/>
                  <w:noWrap w:val="0"/>
                  <w:vAlign w:val="center"/>
                </w:tcPr>
                <w:p w14:paraId="3584FF47">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1166" w:type="dxa"/>
                  <w:shd w:val="clear" w:color="auto" w:fill="auto"/>
                  <w:noWrap w:val="0"/>
                  <w:vAlign w:val="center"/>
                </w:tcPr>
                <w:p w14:paraId="0305D95E">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0.01</w:t>
                  </w:r>
                </w:p>
              </w:tc>
            </w:tr>
            <w:tr w14:paraId="38C4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10" w:type="dxa"/>
                  <w:noWrap w:val="0"/>
                  <w:vAlign w:val="center"/>
                </w:tcPr>
                <w:p w14:paraId="78DD8580">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4</w:t>
                  </w:r>
                </w:p>
              </w:tc>
              <w:tc>
                <w:tcPr>
                  <w:tcW w:w="2811" w:type="dxa"/>
                  <w:noWrap w:val="0"/>
                  <w:vAlign w:val="center"/>
                </w:tcPr>
                <w:p w14:paraId="26C882D0">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废机油</w:t>
                  </w:r>
                </w:p>
              </w:tc>
              <w:tc>
                <w:tcPr>
                  <w:tcW w:w="1543" w:type="dxa"/>
                  <w:noWrap w:val="0"/>
                  <w:vAlign w:val="center"/>
                </w:tcPr>
                <w:p w14:paraId="778D9A96">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w:t>
                  </w:r>
                </w:p>
              </w:tc>
              <w:tc>
                <w:tcPr>
                  <w:tcW w:w="1212" w:type="dxa"/>
                  <w:noWrap w:val="0"/>
                  <w:vAlign w:val="center"/>
                </w:tcPr>
                <w:p w14:paraId="4A03B925">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w:t>
                  </w:r>
                  <w:r>
                    <w:rPr>
                      <w:rFonts w:hint="eastAsia" w:ascii="Times New Roman" w:hAnsi="Times New Roman" w:cs="Times New Roman" w:eastAsiaTheme="minorEastAsia"/>
                      <w:color w:val="auto"/>
                      <w:sz w:val="21"/>
                      <w:szCs w:val="21"/>
                      <w:lang w:val="en-US" w:eastAsia="zh-CN"/>
                    </w:rPr>
                    <w:t>5</w:t>
                  </w:r>
                </w:p>
              </w:tc>
              <w:tc>
                <w:tcPr>
                  <w:tcW w:w="1155" w:type="dxa"/>
                  <w:noWrap w:val="0"/>
                  <w:vAlign w:val="center"/>
                </w:tcPr>
                <w:p w14:paraId="79A1811E">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2500</w:t>
                  </w:r>
                </w:p>
              </w:tc>
              <w:tc>
                <w:tcPr>
                  <w:tcW w:w="1166" w:type="dxa"/>
                  <w:shd w:val="clear" w:color="auto" w:fill="auto"/>
                  <w:noWrap w:val="0"/>
                  <w:vAlign w:val="center"/>
                </w:tcPr>
                <w:p w14:paraId="3F6E17D0">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0.0002</w:t>
                  </w:r>
                </w:p>
              </w:tc>
            </w:tr>
            <w:tr w14:paraId="7485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10" w:type="dxa"/>
                  <w:noWrap w:val="0"/>
                  <w:vAlign w:val="center"/>
                </w:tcPr>
                <w:p w14:paraId="0160C976">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eastAsia" w:ascii="Times New Roman" w:hAnsi="Times New Roman" w:cs="Times New Roman" w:eastAsiaTheme="minorEastAsia"/>
                      <w:bCs/>
                      <w:color w:val="auto"/>
                      <w:kern w:val="0"/>
                      <w:sz w:val="21"/>
                      <w:szCs w:val="21"/>
                      <w:lang w:val="en-US" w:eastAsia="zh-CN"/>
                    </w:rPr>
                    <w:t>5</w:t>
                  </w:r>
                </w:p>
              </w:tc>
              <w:tc>
                <w:tcPr>
                  <w:tcW w:w="2811" w:type="dxa"/>
                  <w:noWrap w:val="0"/>
                  <w:vAlign w:val="center"/>
                </w:tcPr>
                <w:p w14:paraId="15DAEFA0">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eastAsia" w:ascii="Times New Roman" w:hAnsi="Times New Roman" w:cs="Times New Roman" w:eastAsiaTheme="minorEastAsia"/>
                      <w:bCs/>
                      <w:color w:val="auto"/>
                      <w:kern w:val="0"/>
                      <w:sz w:val="21"/>
                      <w:szCs w:val="21"/>
                      <w:lang w:val="en-US" w:eastAsia="zh-CN"/>
                    </w:rPr>
                    <w:t>废液压油</w:t>
                  </w:r>
                </w:p>
              </w:tc>
              <w:tc>
                <w:tcPr>
                  <w:tcW w:w="1543" w:type="dxa"/>
                  <w:noWrap w:val="0"/>
                  <w:vAlign w:val="center"/>
                </w:tcPr>
                <w:p w14:paraId="79352331">
                  <w:pPr>
                    <w:adjustRightInd w:val="0"/>
                    <w:snapToGrid w:val="0"/>
                    <w:jc w:val="center"/>
                    <w:rPr>
                      <w:rFonts w:hint="default" w:ascii="Times New Roman" w:hAnsi="Times New Roman" w:cs="Times New Roman" w:eastAsiaTheme="minorEastAsia"/>
                      <w:bCs/>
                      <w:color w:val="auto"/>
                      <w:kern w:val="0"/>
                      <w:sz w:val="21"/>
                      <w:szCs w:val="21"/>
                      <w:lang w:val="en-US" w:eastAsia="zh-CN"/>
                    </w:rPr>
                  </w:pPr>
                  <w:r>
                    <w:rPr>
                      <w:rFonts w:hint="default" w:ascii="Times New Roman" w:hAnsi="Times New Roman" w:cs="Times New Roman" w:eastAsiaTheme="minorEastAsia"/>
                      <w:bCs/>
                      <w:color w:val="auto"/>
                      <w:kern w:val="0"/>
                      <w:sz w:val="21"/>
                      <w:szCs w:val="21"/>
                      <w:lang w:val="en-US" w:eastAsia="zh-CN"/>
                    </w:rPr>
                    <w:t>/</w:t>
                  </w:r>
                </w:p>
              </w:tc>
              <w:tc>
                <w:tcPr>
                  <w:tcW w:w="1212" w:type="dxa"/>
                  <w:noWrap w:val="0"/>
                  <w:vAlign w:val="center"/>
                </w:tcPr>
                <w:p w14:paraId="2FE1535D">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1155" w:type="dxa"/>
                  <w:noWrap w:val="0"/>
                  <w:vAlign w:val="center"/>
                </w:tcPr>
                <w:p w14:paraId="166C7855">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2500</w:t>
                  </w:r>
                </w:p>
              </w:tc>
              <w:tc>
                <w:tcPr>
                  <w:tcW w:w="1166" w:type="dxa"/>
                  <w:shd w:val="clear" w:color="auto" w:fill="auto"/>
                  <w:noWrap w:val="0"/>
                  <w:vAlign w:val="center"/>
                </w:tcPr>
                <w:p w14:paraId="6CB6E679">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0.0004</w:t>
                  </w:r>
                </w:p>
              </w:tc>
            </w:tr>
            <w:tr w14:paraId="4440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431" w:type="dxa"/>
                  <w:gridSpan w:val="5"/>
                  <w:noWrap w:val="0"/>
                  <w:vAlign w:val="center"/>
                </w:tcPr>
                <w:p w14:paraId="6722CD34">
                  <w:pPr>
                    <w:adjustRightInd w:val="0"/>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项目Q值Σ</w:t>
                  </w:r>
                </w:p>
              </w:tc>
              <w:tc>
                <w:tcPr>
                  <w:tcW w:w="1166" w:type="dxa"/>
                  <w:noWrap w:val="0"/>
                  <w:vAlign w:val="center"/>
                </w:tcPr>
                <w:p w14:paraId="45D4870D">
                  <w:pPr>
                    <w:widowControl/>
                    <w:jc w:val="center"/>
                    <w:textAlignment w:val="center"/>
                    <w:rPr>
                      <w:rFonts w:hint="default" w:ascii="Times New Roman" w:hAnsi="Times New Roman" w:cs="Times New Roman" w:eastAsiaTheme="minorEastAsia"/>
                      <w:bCs/>
                      <w:color w:val="auto"/>
                      <w:kern w:val="0"/>
                      <w:sz w:val="21"/>
                      <w:szCs w:val="21"/>
                      <w:lang w:val="en-US" w:eastAsia="zh-CN"/>
                    </w:rPr>
                  </w:pPr>
                  <w:r>
                    <w:rPr>
                      <w:rFonts w:hint="eastAsia" w:ascii="Times New Roman" w:hAnsi="Times New Roman" w:cs="Times New Roman" w:eastAsiaTheme="minorEastAsia"/>
                      <w:bCs/>
                      <w:color w:val="auto"/>
                      <w:kern w:val="0"/>
                      <w:sz w:val="21"/>
                      <w:szCs w:val="21"/>
                      <w:lang w:val="en-US" w:eastAsia="zh-CN"/>
                    </w:rPr>
                    <w:t>0.0306</w:t>
                  </w:r>
                </w:p>
              </w:tc>
            </w:tr>
          </w:tbl>
          <w:p w14:paraId="6C6A58D9">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由上表计算结果，本项目厂内最大存在总量中各危险物质实际量与临界量比值之和为</w:t>
            </w:r>
            <w:r>
              <w:rPr>
                <w:rFonts w:hint="default" w:ascii="Times New Roman" w:hAnsi="Times New Roman" w:cs="Times New Roman" w:eastAsiaTheme="minorEastAsia"/>
                <w:color w:val="auto"/>
                <w:sz w:val="24"/>
                <w:szCs w:val="24"/>
              </w:rPr>
              <w:t>0.0</w:t>
            </w:r>
            <w:r>
              <w:rPr>
                <w:rFonts w:hint="eastAsia" w:ascii="Times New Roman" w:hAnsi="Times New Roman" w:cs="Times New Roman" w:eastAsiaTheme="minorEastAsia"/>
                <w:color w:val="auto"/>
                <w:sz w:val="24"/>
                <w:szCs w:val="24"/>
                <w:lang w:val="en-US" w:eastAsia="zh-CN"/>
              </w:rPr>
              <w:t>306</w:t>
            </w:r>
            <w:r>
              <w:rPr>
                <w:rFonts w:hint="default" w:ascii="Times New Roman" w:hAnsi="Times New Roman" w:cs="Times New Roman" w:eastAsiaTheme="minorEastAsia"/>
                <w:bCs/>
                <w:color w:val="auto"/>
                <w:sz w:val="24"/>
                <w:szCs w:val="24"/>
              </w:rPr>
              <w:t>&lt;1。</w:t>
            </w:r>
          </w:p>
          <w:p w14:paraId="4948E16E">
            <w:pPr>
              <w:pStyle w:val="39"/>
              <w:snapToGrid w:val="0"/>
              <w:spacing w:line="360" w:lineRule="auto"/>
              <w:ind w:left="0" w:leftChars="0" w:firstLine="0" w:firstLineChars="0"/>
              <w:rPr>
                <w:rStyle w:val="60"/>
                <w:rFonts w:hint="default" w:ascii="Times New Roman" w:hAnsi="Times New Roman" w:cs="Times New Roman"/>
                <w:b w:val="0"/>
                <w:color w:val="auto"/>
              </w:rPr>
            </w:pPr>
            <w:r>
              <w:rPr>
                <w:rStyle w:val="60"/>
                <w:rFonts w:hint="default" w:ascii="Times New Roman" w:hAnsi="Times New Roman" w:cs="Times New Roman"/>
                <w:b w:val="0"/>
                <w:color w:val="auto"/>
              </w:rPr>
              <w:t>4.7.2风险源分布及可能影响途径</w:t>
            </w:r>
          </w:p>
          <w:p w14:paraId="25E3BA5D">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val="en-US" w:eastAsia="zh-CN" w:bidi="ar"/>
              </w:rPr>
              <w:t>1</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val="en-US" w:eastAsia="zh-CN" w:bidi="ar"/>
              </w:rPr>
              <w:t>火灾</w:t>
            </w:r>
          </w:p>
          <w:p w14:paraId="62929CB2">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cs="Times New Roman"/>
                <w:color w:val="auto"/>
                <w:kern w:val="0"/>
                <w:sz w:val="24"/>
                <w:szCs w:val="24"/>
                <w:lang w:bidi="ar"/>
              </w:rPr>
              <w:t>企业员工在厂区吸烟或生产过程中不慎造成电气设备故障等，可能引起火灾</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bidi="ar"/>
              </w:rPr>
              <w:t>有时会发生火灾连片使大批设备烧毁。火灾是通过放出辐射热影响周围环境。如果辐射热的能量足够大，可引起其他可燃物燃烧。物质在燃烧过程中会产生大量浓烟和烟尘</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bidi="ar"/>
              </w:rPr>
              <w:t>其中含有大量的一氧化碳、二氧化碳及其他有毒气体，带来大气环境污染。</w:t>
            </w:r>
          </w:p>
          <w:p w14:paraId="765183CB">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环保设施故障引起的环境污染</w:t>
            </w:r>
          </w:p>
          <w:p w14:paraId="4813323F">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厂区环保设施主要为各喷漆房配套的环保设施及抛丸工序配备的布袋除尘器。生产运营过程中，</w:t>
            </w:r>
            <w:r>
              <w:rPr>
                <w:rFonts w:hint="default" w:ascii="Times New Roman" w:hAnsi="Times New Roman" w:cs="Times New Roman"/>
                <w:color w:val="auto"/>
                <w:kern w:val="0"/>
                <w:sz w:val="24"/>
                <w:szCs w:val="24"/>
                <w:lang w:val="en-US" w:eastAsia="zh-CN" w:bidi="ar"/>
              </w:rPr>
              <w:t>环保</w:t>
            </w:r>
            <w:r>
              <w:rPr>
                <w:rFonts w:hint="default" w:ascii="Times New Roman" w:hAnsi="Times New Roman" w:eastAsia="宋体" w:cs="Times New Roman"/>
                <w:color w:val="auto"/>
                <w:kern w:val="0"/>
                <w:sz w:val="24"/>
                <w:szCs w:val="24"/>
                <w:lang w:val="en-US" w:eastAsia="zh-CN" w:bidi="ar"/>
              </w:rPr>
              <w:t>设施发生故障导致废气污染物超标排放，少量未处理</w:t>
            </w:r>
            <w:r>
              <w:rPr>
                <w:rFonts w:hint="default" w:ascii="Times New Roman" w:hAnsi="Times New Roman" w:cs="Times New Roman"/>
                <w:color w:val="auto"/>
                <w:kern w:val="0"/>
                <w:sz w:val="24"/>
                <w:szCs w:val="24"/>
                <w:lang w:val="en-US" w:eastAsia="zh-CN" w:bidi="ar"/>
              </w:rPr>
              <w:t>废气</w:t>
            </w:r>
            <w:r>
              <w:rPr>
                <w:rFonts w:hint="default" w:ascii="Times New Roman" w:hAnsi="Times New Roman" w:eastAsia="宋体" w:cs="Times New Roman"/>
                <w:color w:val="auto"/>
                <w:kern w:val="0"/>
                <w:sz w:val="24"/>
                <w:szCs w:val="24"/>
                <w:lang w:val="en-US" w:eastAsia="zh-CN" w:bidi="ar"/>
              </w:rPr>
              <w:t>直接进入大气环境，对大气环境造成污染。</w:t>
            </w:r>
          </w:p>
          <w:p w14:paraId="607AEFC3">
            <w:pPr>
              <w:shd w:val="clear" w:color="auto"/>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危险废物</w:t>
            </w:r>
            <w:r>
              <w:rPr>
                <w:rFonts w:hint="default" w:ascii="Times New Roman" w:hAnsi="Times New Roman" w:cs="Times New Roman"/>
                <w:color w:val="auto"/>
                <w:sz w:val="24"/>
                <w:szCs w:val="24"/>
              </w:rPr>
              <w:t>事故风险防范措施</w:t>
            </w:r>
          </w:p>
          <w:p w14:paraId="5326CE29">
            <w:pPr>
              <w:shd w:val="clear" w:color="auto"/>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全厂各种固废分类收集，盛放，临时存放室内固定场所，不被雨淋、风吹、专车运送，所有固废都得到合适的处置或综合利用，危险废物委托有资质的单位处置，生活垃圾由环卫部门统一收集处理，固废实现“零排放”是有保证的，不会对环境产生二次污染。</w:t>
            </w:r>
          </w:p>
          <w:p w14:paraId="189221D2">
            <w:pPr>
              <w:adjustRightInd w:val="0"/>
              <w:snapToGrid w:val="0"/>
              <w:spacing w:before="120" w:beforeLines="50" w:line="360" w:lineRule="auto"/>
              <w:jc w:val="left"/>
              <w:rPr>
                <w:rStyle w:val="60"/>
                <w:rFonts w:hint="default" w:ascii="Times New Roman" w:hAnsi="Times New Roman" w:eastAsia="宋体" w:cs="Times New Roman"/>
                <w:b w:val="0"/>
                <w:color w:val="auto"/>
                <w:sz w:val="24"/>
                <w:szCs w:val="24"/>
              </w:rPr>
            </w:pPr>
            <w:r>
              <w:rPr>
                <w:rStyle w:val="60"/>
                <w:rFonts w:hint="default" w:ascii="Times New Roman" w:hAnsi="Times New Roman" w:eastAsia="宋体" w:cs="Times New Roman"/>
                <w:b w:val="0"/>
                <w:color w:val="auto"/>
                <w:sz w:val="24"/>
                <w:szCs w:val="24"/>
              </w:rPr>
              <w:t>4.7.3环境风险防范措施</w:t>
            </w:r>
          </w:p>
          <w:p w14:paraId="5D611E2F">
            <w:pPr>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（1）漆料存储及使用</w:t>
            </w:r>
          </w:p>
          <w:p w14:paraId="0D87EEF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①漆料按相关要求贮存，明确贮存注意事项。专人负责看管。</w:t>
            </w:r>
          </w:p>
          <w:p w14:paraId="738A751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②漆库应配备足够的消防器材，应设明显的防火等级标志，通道、出入口和通向消防设施的道路应保持通畅。并应装设消防通讯和报警设备。</w:t>
            </w:r>
          </w:p>
          <w:p w14:paraId="53077DA7">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③必须加强管理，建立健全岗位防火责任制度，火源电源管理制度、门卫制度、值班巡回制度和各项操作制度，做好防火，防窃等工作。</w:t>
            </w:r>
          </w:p>
          <w:p w14:paraId="003210BA">
            <w:pPr>
              <w:autoSpaceDE w:val="0"/>
              <w:autoSpaceDN w:val="0"/>
              <w:adjustRightInd w:val="0"/>
              <w:spacing w:line="360" w:lineRule="auto"/>
              <w:jc w:val="left"/>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w:t>
            </w:r>
            <w:r>
              <w:rPr>
                <w:rFonts w:hint="default" w:ascii="Times New Roman" w:hAnsi="Times New Roman" w:eastAsia="宋体" w:cs="Times New Roman"/>
                <w:b w:val="0"/>
                <w:bCs w:val="0"/>
                <w:color w:val="auto"/>
                <w:kern w:val="0"/>
                <w:sz w:val="24"/>
                <w:szCs w:val="24"/>
                <w:lang w:val="en-US" w:eastAsia="zh-CN"/>
              </w:rPr>
              <w:t>2</w:t>
            </w:r>
            <w:r>
              <w:rPr>
                <w:rFonts w:hint="default" w:ascii="Times New Roman" w:hAnsi="Times New Roman" w:eastAsia="宋体" w:cs="Times New Roman"/>
                <w:b w:val="0"/>
                <w:bCs w:val="0"/>
                <w:color w:val="auto"/>
                <w:kern w:val="0"/>
                <w:sz w:val="24"/>
                <w:szCs w:val="24"/>
              </w:rPr>
              <w:t>）运输过程中的事故防范措施</w:t>
            </w:r>
          </w:p>
          <w:p w14:paraId="764D8E83">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由于危险品的运输较其它货物的运输有更大的危险性，因此在运输过程中应小心谨慎，确保安全。为此注意以下几个问题：</w:t>
            </w:r>
          </w:p>
          <w:p w14:paraId="007313DB">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①用于危险废物废</w:t>
            </w:r>
            <w:r>
              <w:rPr>
                <w:rFonts w:hint="default" w:ascii="Times New Roman" w:hAnsi="Times New Roman" w:eastAsia="宋体" w:cs="Times New Roman"/>
                <w:color w:val="auto"/>
                <w:sz w:val="24"/>
                <w:szCs w:val="24"/>
                <w:lang w:val="en-US" w:eastAsia="zh-CN"/>
              </w:rPr>
              <w:t>过滤棉、废活性炭、废漆渣、废油漆桶和废机油桶、废乳化液</w:t>
            </w:r>
            <w:r>
              <w:rPr>
                <w:rFonts w:hint="default" w:ascii="Times New Roman" w:hAnsi="Times New Roman" w:eastAsia="宋体" w:cs="Times New Roman"/>
                <w:color w:val="auto"/>
                <w:sz w:val="24"/>
                <w:szCs w:val="24"/>
              </w:rPr>
              <w:t>运输工具，必须由配备运输该类物质资质的运输单位从事运输。</w:t>
            </w:r>
          </w:p>
          <w:p w14:paraId="41F80469">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②通过公路运输的危险废物，必须配备押运人员，并随时处于押运人员的监管之下，不得超装、超载，不得进入危险化学品运输车辆禁止通行的区域；运输车辆必须遵守报备时确定的行车时间和路线。</w:t>
            </w:r>
          </w:p>
          <w:p w14:paraId="79729D97">
            <w:pPr>
              <w:autoSpaceDE w:val="0"/>
              <w:autoSpaceDN w:val="0"/>
              <w:adjustRightInd w:val="0"/>
              <w:spacing w:line="52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③运输车辆必须配备必要的应急处理器材和防护用品。</w:t>
            </w:r>
          </w:p>
          <w:p w14:paraId="52F95350">
            <w:pPr>
              <w:autoSpaceDE w:val="0"/>
              <w:autoSpaceDN w:val="0"/>
              <w:adjustRightInd w:val="0"/>
              <w:spacing w:line="520" w:lineRule="exact"/>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④危险废物的装卸作业必须在装卸管理人员的现场指挥下进行。</w:t>
            </w:r>
          </w:p>
          <w:p w14:paraId="6EAF167C">
            <w:pPr>
              <w:autoSpaceDE w:val="0"/>
              <w:autoSpaceDN w:val="0"/>
              <w:adjustRightInd w:val="0"/>
              <w:spacing w:line="500" w:lineRule="exact"/>
              <w:jc w:val="left"/>
              <w:rPr>
                <w:rFonts w:hint="default" w:ascii="Times New Roman" w:hAnsi="Times New Roman" w:eastAsia="宋体" w:cs="Times New Roman"/>
                <w:b w:val="0"/>
                <w:bCs w:val="0"/>
                <w:color w:val="auto"/>
                <w:kern w:val="0"/>
                <w:sz w:val="24"/>
                <w:szCs w:val="24"/>
                <w:lang w:val="zh-CN"/>
              </w:rPr>
            </w:pPr>
            <w:r>
              <w:rPr>
                <w:rFonts w:hint="default" w:ascii="Times New Roman" w:hAnsi="Times New Roman" w:eastAsia="宋体" w:cs="Times New Roman"/>
                <w:b w:val="0"/>
                <w:bCs w:val="0"/>
                <w:color w:val="auto"/>
                <w:kern w:val="0"/>
                <w:sz w:val="24"/>
                <w:szCs w:val="24"/>
                <w:lang w:val="zh-CN"/>
              </w:rPr>
              <w:t>（</w:t>
            </w:r>
            <w:r>
              <w:rPr>
                <w:rFonts w:hint="default" w:ascii="Times New Roman" w:hAnsi="Times New Roman" w:eastAsia="宋体" w:cs="Times New Roman"/>
                <w:b w:val="0"/>
                <w:bCs w:val="0"/>
                <w:color w:val="auto"/>
                <w:kern w:val="0"/>
                <w:sz w:val="24"/>
                <w:szCs w:val="24"/>
                <w:lang w:val="en-US" w:eastAsia="zh-CN"/>
              </w:rPr>
              <w:t>3</w:t>
            </w:r>
            <w:r>
              <w:rPr>
                <w:rFonts w:hint="default" w:ascii="Times New Roman" w:hAnsi="Times New Roman" w:eastAsia="宋体" w:cs="Times New Roman"/>
                <w:b w:val="0"/>
                <w:bCs w:val="0"/>
                <w:color w:val="auto"/>
                <w:kern w:val="0"/>
                <w:sz w:val="24"/>
                <w:szCs w:val="24"/>
                <w:lang w:val="zh-CN"/>
              </w:rPr>
              <w:t>）火灾的防范与应急措施</w:t>
            </w:r>
          </w:p>
          <w:p w14:paraId="19FAF2A6">
            <w:pPr>
              <w:autoSpaceDE w:val="0"/>
              <w:autoSpaceDN w:val="0"/>
              <w:adjustRightInd w:val="0"/>
              <w:spacing w:line="520" w:lineRule="exact"/>
              <w:ind w:firstLine="480" w:firstLineChars="200"/>
              <w:jc w:val="left"/>
              <w:rPr>
                <w:rFonts w:hint="default" w:ascii="Times New Roman" w:hAnsi="Times New Roman" w:eastAsia="宋体" w:cs="Times New Roman"/>
                <w:color w:val="auto"/>
                <w:kern w:val="0"/>
                <w:sz w:val="24"/>
                <w:szCs w:val="24"/>
                <w:lang w:val="zh-CN" w:bidi="zh-CN"/>
              </w:rPr>
            </w:pPr>
            <w:r>
              <w:rPr>
                <w:rFonts w:hint="default" w:ascii="Times New Roman" w:hAnsi="Times New Roman" w:eastAsia="宋体" w:cs="Times New Roman"/>
                <w:color w:val="auto"/>
                <w:kern w:val="0"/>
                <w:sz w:val="24"/>
                <w:szCs w:val="24"/>
                <w:lang w:val="zh-CN" w:bidi="zh-CN"/>
              </w:rPr>
              <w:t>项目应加强管理和安全知识教育，加强对用电设备管理，电线线路及设备线路定期进行检查，增强防范意识，防止火灾发生。要有充分的应急措施，项目应按照相关规定设置逃生系统，并能够有足够并匹配的消防器材及备用应急电源。一旦发生意外，应立即启动应急预案。</w:t>
            </w:r>
          </w:p>
          <w:p w14:paraId="7B2A2C5D">
            <w:pPr>
              <w:autoSpaceDE w:val="0"/>
              <w:autoSpaceDN w:val="0"/>
              <w:adjustRightInd w:val="0"/>
              <w:spacing w:line="520" w:lineRule="exact"/>
              <w:ind w:firstLine="480" w:firstLineChars="200"/>
              <w:jc w:val="left"/>
              <w:rPr>
                <w:rFonts w:hint="default" w:ascii="Times New Roman" w:hAnsi="Times New Roman" w:eastAsia="宋体" w:cs="Times New Roman"/>
                <w:color w:val="auto"/>
                <w:kern w:val="0"/>
                <w:sz w:val="24"/>
                <w:szCs w:val="24"/>
                <w:lang w:val="zh-CN" w:bidi="zh-CN"/>
              </w:rPr>
            </w:pPr>
            <w:r>
              <w:rPr>
                <w:rFonts w:hint="default" w:ascii="Times New Roman" w:hAnsi="Times New Roman" w:eastAsia="宋体" w:cs="Times New Roman"/>
                <w:color w:val="auto"/>
                <w:kern w:val="0"/>
                <w:sz w:val="24"/>
                <w:szCs w:val="24"/>
                <w:lang w:val="zh-CN" w:bidi="zh-CN"/>
              </w:rPr>
              <w:t>在生产过程中如果发生火灾事故，除了对周围环境空气产生影响外，事故污水也会对周围的环境水体造成风险影响，可引发一系列的次生水环境风险事故。因此，本项目在实施中应针对事故情况下的火灾扑救中的消防废水等危险物质采取了控制、收集及储存措施，切断危险物质进入外部水体的途径，从根本上消除了事故情况下对周边水域造成污染的可能。</w:t>
            </w:r>
          </w:p>
          <w:p w14:paraId="31D00AEC">
            <w:pPr>
              <w:autoSpaceDE w:val="0"/>
              <w:autoSpaceDN w:val="0"/>
              <w:adjustRightInd w:val="0"/>
              <w:spacing w:line="500" w:lineRule="exact"/>
              <w:jc w:val="left"/>
              <w:rPr>
                <w:rFonts w:hint="default" w:ascii="Times New Roman" w:hAnsi="Times New Roman" w:eastAsia="宋体" w:cs="Times New Roman"/>
                <w:b w:val="0"/>
                <w:bCs w:val="0"/>
                <w:color w:val="auto"/>
                <w:kern w:val="0"/>
                <w:sz w:val="24"/>
                <w:szCs w:val="24"/>
                <w:lang w:val="zh-CN"/>
              </w:rPr>
            </w:pPr>
            <w:r>
              <w:rPr>
                <w:rFonts w:hint="default" w:ascii="Times New Roman" w:hAnsi="Times New Roman" w:eastAsia="宋体" w:cs="Times New Roman"/>
                <w:b w:val="0"/>
                <w:bCs w:val="0"/>
                <w:color w:val="auto"/>
                <w:kern w:val="0"/>
                <w:sz w:val="24"/>
                <w:szCs w:val="24"/>
                <w:lang w:val="zh-CN"/>
              </w:rPr>
              <w:t>（</w:t>
            </w:r>
            <w:r>
              <w:rPr>
                <w:rFonts w:hint="default" w:ascii="Times New Roman" w:hAnsi="Times New Roman" w:eastAsia="宋体" w:cs="Times New Roman"/>
                <w:b w:val="0"/>
                <w:bCs w:val="0"/>
                <w:color w:val="auto"/>
                <w:kern w:val="0"/>
                <w:sz w:val="24"/>
                <w:szCs w:val="24"/>
                <w:lang w:val="en-US" w:eastAsia="zh-CN"/>
              </w:rPr>
              <w:t>4</w:t>
            </w:r>
            <w:r>
              <w:rPr>
                <w:rFonts w:hint="default" w:ascii="Times New Roman" w:hAnsi="Times New Roman" w:eastAsia="宋体" w:cs="Times New Roman"/>
                <w:b w:val="0"/>
                <w:bCs w:val="0"/>
                <w:color w:val="auto"/>
                <w:kern w:val="0"/>
                <w:sz w:val="24"/>
                <w:szCs w:val="24"/>
                <w:lang w:val="zh-CN"/>
              </w:rPr>
              <w:t>）</w:t>
            </w:r>
            <w:r>
              <w:rPr>
                <w:rFonts w:hint="default" w:ascii="Times New Roman" w:hAnsi="Times New Roman" w:eastAsia="宋体" w:cs="Times New Roman"/>
                <w:b w:val="0"/>
                <w:bCs w:val="0"/>
                <w:color w:val="auto"/>
                <w:kern w:val="0"/>
                <w:sz w:val="24"/>
                <w:szCs w:val="24"/>
                <w:lang w:val="en-US" w:eastAsia="zh-CN"/>
              </w:rPr>
              <w:t>危废流失</w:t>
            </w:r>
            <w:r>
              <w:rPr>
                <w:rFonts w:hint="default" w:ascii="Times New Roman" w:hAnsi="Times New Roman" w:eastAsia="宋体" w:cs="Times New Roman"/>
                <w:b w:val="0"/>
                <w:bCs w:val="0"/>
                <w:color w:val="auto"/>
                <w:kern w:val="0"/>
                <w:sz w:val="24"/>
                <w:szCs w:val="24"/>
                <w:lang w:val="zh-CN"/>
              </w:rPr>
              <w:t>的防范与应急措施</w:t>
            </w:r>
          </w:p>
          <w:p w14:paraId="097EC8F8">
            <w:pPr>
              <w:spacing w:line="500" w:lineRule="exact"/>
              <w:ind w:firstLine="48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为确保在发生危险废物流失、泄漏、扩散等意</w:t>
            </w:r>
            <w:r>
              <w:rPr>
                <w:rFonts w:hint="default" w:ascii="Times New Roman" w:hAnsi="Times New Roman" w:eastAsia="宋体" w:cs="Times New Roman"/>
                <w:color w:val="auto"/>
                <w:sz w:val="24"/>
                <w:szCs w:val="24"/>
                <w:lang w:val="en-US" w:eastAsia="zh-CN"/>
              </w:rPr>
              <w:t>外，项目</w:t>
            </w:r>
            <w:r>
              <w:rPr>
                <w:rFonts w:hint="default" w:ascii="Times New Roman" w:hAnsi="Times New Roman" w:eastAsia="宋体" w:cs="Times New Roman"/>
                <w:color w:val="auto"/>
                <w:sz w:val="24"/>
                <w:szCs w:val="24"/>
              </w:rPr>
              <w:t>危废暂存在危废暂存间存放时，严禁盛满、堆叠。危废暂存间设置</w:t>
            </w:r>
            <w:r>
              <w:rPr>
                <w:rFonts w:hint="default" w:ascii="Times New Roman" w:hAnsi="Times New Roman" w:eastAsia="宋体" w:cs="Times New Roman"/>
                <w:color w:val="auto"/>
                <w:sz w:val="24"/>
                <w:szCs w:val="24"/>
                <w:lang w:val="en-US" w:eastAsia="zh-CN"/>
              </w:rPr>
              <w:t>单独</w:t>
            </w:r>
            <w:r>
              <w:rPr>
                <w:rFonts w:hint="default" w:ascii="Times New Roman" w:hAnsi="Times New Roman" w:eastAsia="宋体" w:cs="Times New Roman"/>
                <w:color w:val="auto"/>
                <w:sz w:val="24"/>
                <w:szCs w:val="24"/>
              </w:rPr>
              <w:t>仓库内，并有独立的空间，做好防腐防渗等工作</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日常工作中应</w:t>
            </w:r>
            <w:r>
              <w:rPr>
                <w:rFonts w:hint="default" w:ascii="Times New Roman" w:hAnsi="Times New Roman" w:eastAsia="宋体" w:cs="Times New Roman"/>
                <w:color w:val="auto"/>
                <w:sz w:val="24"/>
                <w:szCs w:val="24"/>
              </w:rPr>
              <w:t>加强操作人员环保意识，了解危废种类、收容要求及环境危害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应</w:t>
            </w:r>
            <w:r>
              <w:rPr>
                <w:rFonts w:hint="default" w:ascii="Times New Roman" w:hAnsi="Times New Roman" w:eastAsia="宋体" w:cs="Times New Roman"/>
                <w:color w:val="auto"/>
                <w:sz w:val="24"/>
                <w:szCs w:val="24"/>
              </w:rPr>
              <w:t>建立健全危废台账制度，严格管理，责任到人。</w:t>
            </w:r>
            <w:r>
              <w:rPr>
                <w:rFonts w:hint="default" w:ascii="Times New Roman" w:hAnsi="Times New Roman" w:eastAsia="宋体" w:cs="Times New Roman"/>
                <w:color w:val="auto"/>
                <w:sz w:val="24"/>
                <w:szCs w:val="24"/>
                <w:lang w:val="en-US" w:eastAsia="zh-CN"/>
              </w:rPr>
              <w:t>采取视频</w:t>
            </w:r>
            <w:r>
              <w:rPr>
                <w:rFonts w:hint="default" w:ascii="Times New Roman" w:hAnsi="Times New Roman" w:eastAsia="宋体" w:cs="Times New Roman"/>
                <w:b w:val="0"/>
                <w:bCs w:val="0"/>
                <w:color w:val="auto"/>
                <w:sz w:val="24"/>
                <w:szCs w:val="24"/>
              </w:rPr>
              <w:t>监控，发现异常立即采取措施处置</w:t>
            </w:r>
          </w:p>
          <w:p w14:paraId="05D3B4AE">
            <w:pPr>
              <w:numPr>
                <w:ilvl w:val="0"/>
                <w:numId w:val="0"/>
              </w:numPr>
              <w:autoSpaceDE w:val="0"/>
              <w:autoSpaceDN w:val="0"/>
              <w:adjustRightInd w:val="0"/>
              <w:spacing w:line="500" w:lineRule="exact"/>
              <w:jc w:val="left"/>
              <w:rPr>
                <w:rFonts w:hint="default" w:ascii="Times New Roman" w:hAnsi="Times New Roman" w:eastAsia="宋体" w:cs="Times New Roman"/>
                <w:b w:val="0"/>
                <w:bCs w:val="0"/>
                <w:color w:val="auto"/>
                <w:kern w:val="0"/>
                <w:sz w:val="24"/>
                <w:szCs w:val="24"/>
                <w:lang w:val="zh-CN"/>
              </w:rPr>
            </w:pPr>
            <w:r>
              <w:rPr>
                <w:rFonts w:hint="default" w:ascii="Times New Roman" w:hAnsi="Times New Roman" w:eastAsia="宋体" w:cs="Times New Roman"/>
                <w:b w:val="0"/>
                <w:bCs w:val="0"/>
                <w:color w:val="auto"/>
                <w:kern w:val="0"/>
                <w:sz w:val="24"/>
                <w:szCs w:val="24"/>
                <w:lang w:val="en-US" w:eastAsia="zh-CN"/>
              </w:rPr>
              <w:t>（5）废气处理设施故障</w:t>
            </w:r>
            <w:r>
              <w:rPr>
                <w:rFonts w:hint="default" w:ascii="Times New Roman" w:hAnsi="Times New Roman" w:eastAsia="宋体" w:cs="Times New Roman"/>
                <w:b w:val="0"/>
                <w:bCs w:val="0"/>
                <w:color w:val="auto"/>
                <w:kern w:val="0"/>
                <w:sz w:val="24"/>
                <w:szCs w:val="24"/>
                <w:lang w:val="zh-CN"/>
              </w:rPr>
              <w:t>的防范与应急措施</w:t>
            </w:r>
          </w:p>
          <w:p w14:paraId="561CA69E">
            <w:pPr>
              <w:spacing w:line="500" w:lineRule="exact"/>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项目应加强对废气处理设备的维护保养，定期对设备进行检查，加强管理和操作规程的培训。要有充分的应急措施，项目应配备</w:t>
            </w:r>
            <w:r>
              <w:rPr>
                <w:rFonts w:hint="default" w:ascii="Times New Roman" w:hAnsi="Times New Roman" w:eastAsia="宋体" w:cs="Times New Roman"/>
                <w:color w:val="auto"/>
                <w:sz w:val="24"/>
                <w:szCs w:val="24"/>
              </w:rPr>
              <w:t>设有</w:t>
            </w:r>
            <w:r>
              <w:rPr>
                <w:rFonts w:hint="default" w:ascii="Times New Roman" w:hAnsi="Times New Roman" w:eastAsia="宋体" w:cs="Times New Roman"/>
                <w:color w:val="auto"/>
                <w:sz w:val="24"/>
                <w:szCs w:val="24"/>
                <w:lang w:val="en-US" w:eastAsia="zh-CN"/>
              </w:rPr>
              <w:t>备用</w:t>
            </w:r>
            <w:r>
              <w:rPr>
                <w:rFonts w:hint="default" w:ascii="Times New Roman" w:hAnsi="Times New Roman" w:eastAsia="宋体" w:cs="Times New Roman"/>
                <w:color w:val="auto"/>
                <w:sz w:val="24"/>
                <w:szCs w:val="24"/>
              </w:rPr>
              <w:t>电源</w:t>
            </w:r>
            <w:r>
              <w:rPr>
                <w:rFonts w:hint="default"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rPr>
              <w:t>备用风机（N+1配置）。</w:t>
            </w:r>
          </w:p>
          <w:p w14:paraId="1143E8F7">
            <w:pPr>
              <w:spacing w:line="500" w:lineRule="exact"/>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当废气处理设备出现故障时，检修人员可立即到现场进行维修</w:t>
            </w:r>
            <w:r>
              <w:rPr>
                <w:rFonts w:hint="default" w:ascii="Times New Roman" w:hAnsi="Times New Roman" w:eastAsia="宋体" w:cs="Times New Roman"/>
                <w:color w:val="auto"/>
                <w:sz w:val="24"/>
                <w:szCs w:val="24"/>
                <w:lang w:eastAsia="zh-CN"/>
              </w:rPr>
              <w:t>。</w:t>
            </w:r>
          </w:p>
          <w:p w14:paraId="25036D91">
            <w:pPr>
              <w:spacing w:line="500" w:lineRule="exact"/>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停电、净化装置和风机出现故障，对生产异常情况，采取以下措施：</w:t>
            </w:r>
          </w:p>
          <w:p w14:paraId="4D77C6CE">
            <w:pPr>
              <w:spacing w:line="500" w:lineRule="exact"/>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①如果全厂停电，</w:t>
            </w:r>
            <w:r>
              <w:rPr>
                <w:rFonts w:hint="default" w:ascii="Times New Roman" w:hAnsi="Times New Roman" w:eastAsia="宋体" w:cs="Times New Roman"/>
                <w:color w:val="auto"/>
                <w:sz w:val="24"/>
                <w:szCs w:val="24"/>
                <w:lang w:val="en-US" w:eastAsia="zh-CN"/>
              </w:rPr>
              <w:t>应</w:t>
            </w:r>
            <w:r>
              <w:rPr>
                <w:rFonts w:hint="default" w:ascii="Times New Roman" w:hAnsi="Times New Roman" w:eastAsia="宋体" w:cs="Times New Roman"/>
                <w:color w:val="auto"/>
                <w:sz w:val="24"/>
                <w:szCs w:val="24"/>
              </w:rPr>
              <w:t>停止生产。为确保安全，风机仍继续运转。</w:t>
            </w:r>
          </w:p>
          <w:p w14:paraId="53A90373">
            <w:pPr>
              <w:spacing w:line="500" w:lineRule="exact"/>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②风机出现故障时，备用风机立即启动。</w:t>
            </w:r>
          </w:p>
          <w:p w14:paraId="399B0E6E">
            <w:pPr>
              <w:spacing w:line="500" w:lineRule="exact"/>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③当废气处理设施出现故障时，应立即维修，必要时停止生产原料的供给。</w:t>
            </w:r>
          </w:p>
          <w:p w14:paraId="368E5836">
            <w:pPr>
              <w:numPr>
                <w:ilvl w:val="0"/>
                <w:numId w:val="0"/>
              </w:numPr>
              <w:autoSpaceDE w:val="0"/>
              <w:autoSpaceDN w:val="0"/>
              <w:adjustRightInd w:val="0"/>
              <w:spacing w:line="500" w:lineRule="exact"/>
              <w:ind w:firstLine="0" w:firstLineChars="0"/>
              <w:jc w:val="left"/>
              <w:rPr>
                <w:rFonts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（6）</w:t>
            </w:r>
            <w:r>
              <w:rPr>
                <w:rFonts w:ascii="Times New Roman" w:hAnsi="Times New Roman" w:cs="Times New Roman"/>
                <w:color w:val="auto"/>
                <w:kern w:val="0"/>
                <w:sz w:val="24"/>
              </w:rPr>
              <w:t>事故池</w:t>
            </w:r>
          </w:p>
          <w:p w14:paraId="659ADAF9">
            <w:pPr>
              <w:spacing w:line="360" w:lineRule="auto"/>
              <w:ind w:firstLine="480" w:firstLineChars="200"/>
              <w:rPr>
                <w:rFonts w:ascii="Times New Roman" w:hAnsi="Times New Roman"/>
                <w:sz w:val="24"/>
              </w:rPr>
            </w:pPr>
            <w:r>
              <w:rPr>
                <w:rFonts w:ascii="Times New Roman" w:hAnsi="Times New Roman"/>
                <w:sz w:val="24"/>
              </w:rPr>
              <w:t>拟建项目在生产过程中有涉及水性环氧树脂底漆</w:t>
            </w:r>
            <w:r>
              <w:rPr>
                <w:rFonts w:hint="eastAsia"/>
                <w:sz w:val="24"/>
                <w:lang w:eastAsia="zh-CN"/>
              </w:rPr>
              <w:t>、</w:t>
            </w:r>
            <w:r>
              <w:rPr>
                <w:rFonts w:ascii="Times New Roman" w:hAnsi="Times New Roman"/>
                <w:sz w:val="24"/>
              </w:rPr>
              <w:t>水性丙烯酸聚氨酯面漆等风险物质，为防止此环节发生风险事故时对周围环境及受纳水体产生影响，其环境风险应设立三级应急防控体系。</w:t>
            </w:r>
          </w:p>
          <w:p w14:paraId="1B25117F">
            <w:pPr>
              <w:spacing w:line="360" w:lineRule="auto"/>
              <w:ind w:firstLine="480" w:firstLineChars="200"/>
              <w:rPr>
                <w:rFonts w:ascii="Times New Roman" w:hAnsi="Times New Roman"/>
                <w:sz w:val="24"/>
              </w:rPr>
            </w:pPr>
            <w:r>
              <w:rPr>
                <w:rFonts w:ascii="Times New Roman" w:hAnsi="Times New Roman"/>
                <w:sz w:val="24"/>
              </w:rPr>
              <w:t>一级防控措施：化学品暂存间桶装物料分区存放，设置导流，若桶装物料泄漏，可将泄漏液体有效收集在围堰内。二级防控措施：建设事故水池一座，一方面作为废水处理的事故水池，另一方面风险事故情况下，一级防控措施不能满足使用要求时，将物料及消防水等引入该事故水池，防止污染物进入地表水水体；三级防控措施：设计对厂区污水及雨水总排口均设置切断措施，防止事故情况下物料经雨水及</w:t>
            </w:r>
            <w:r>
              <w:rPr>
                <w:rFonts w:hint="eastAsia" w:ascii="Times New Roman" w:hAnsi="Times New Roman"/>
                <w:sz w:val="24"/>
              </w:rPr>
              <w:t>污水管网</w:t>
            </w:r>
            <w:r>
              <w:rPr>
                <w:rFonts w:ascii="Times New Roman" w:hAnsi="Times New Roman"/>
                <w:sz w:val="24"/>
              </w:rPr>
              <w:t>进入地表水水体。</w:t>
            </w:r>
          </w:p>
          <w:p w14:paraId="43945FB0">
            <w:pPr>
              <w:spacing w:line="360" w:lineRule="auto"/>
              <w:ind w:firstLine="480" w:firstLineChars="200"/>
              <w:rPr>
                <w:rFonts w:ascii="Times New Roman" w:hAnsi="Times New Roman"/>
                <w:sz w:val="24"/>
              </w:rPr>
            </w:pPr>
            <w:r>
              <w:rPr>
                <w:rFonts w:ascii="Times New Roman" w:hAnsi="Times New Roman"/>
                <w:sz w:val="24"/>
              </w:rPr>
              <w:t>①事故池计算</w:t>
            </w:r>
          </w:p>
          <w:p w14:paraId="3E0CC717">
            <w:pPr>
              <w:spacing w:line="360" w:lineRule="auto"/>
              <w:ind w:firstLine="480" w:firstLineChars="200"/>
              <w:rPr>
                <w:rFonts w:ascii="Times New Roman" w:hAnsi="Times New Roman"/>
                <w:sz w:val="24"/>
              </w:rPr>
            </w:pPr>
            <w:r>
              <w:rPr>
                <w:rFonts w:ascii="Times New Roman" w:hAnsi="Times New Roman"/>
                <w:sz w:val="24"/>
              </w:rPr>
              <w:t>根据《事故状态下水体污染的预防与控制技术要求》（Q/SY1190-2013）中对事故应急池大小的规定：</w:t>
            </w:r>
          </w:p>
          <w:p w14:paraId="1AC140BE">
            <w:pPr>
              <w:spacing w:line="360" w:lineRule="auto"/>
              <w:jc w:val="center"/>
              <w:rPr>
                <w:rFonts w:ascii="Times New Roman" w:hAnsi="Times New Roman"/>
                <w:sz w:val="24"/>
              </w:rPr>
            </w:pPr>
            <w:r>
              <w:rPr>
                <w:rFonts w:ascii="Times New Roman" w:hAnsi="Times New Roman"/>
                <w:sz w:val="24"/>
              </w:rPr>
              <w:t>V 总=（V</w:t>
            </w:r>
            <w:r>
              <w:rPr>
                <w:rFonts w:ascii="Times New Roman" w:hAnsi="Times New Roman"/>
                <w:sz w:val="24"/>
                <w:vertAlign w:val="subscript"/>
              </w:rPr>
              <w:t>1</w:t>
            </w:r>
            <w:r>
              <w:rPr>
                <w:rFonts w:ascii="Times New Roman" w:hAnsi="Times New Roman"/>
                <w:sz w:val="24"/>
              </w:rPr>
              <w:t>+V</w:t>
            </w:r>
            <w:r>
              <w:rPr>
                <w:rFonts w:ascii="Times New Roman" w:hAnsi="Times New Roman"/>
                <w:sz w:val="24"/>
                <w:vertAlign w:val="subscript"/>
              </w:rPr>
              <w:t>2</w:t>
            </w:r>
            <w:r>
              <w:rPr>
                <w:rFonts w:ascii="Times New Roman" w:hAnsi="Times New Roman"/>
                <w:sz w:val="24"/>
              </w:rPr>
              <w:t>-V</w:t>
            </w:r>
            <w:r>
              <w:rPr>
                <w:rFonts w:ascii="Times New Roman" w:hAnsi="Times New Roman"/>
                <w:sz w:val="24"/>
                <w:vertAlign w:val="subscript"/>
              </w:rPr>
              <w:t>3</w:t>
            </w:r>
            <w:r>
              <w:rPr>
                <w:rFonts w:ascii="Times New Roman" w:hAnsi="Times New Roman"/>
                <w:sz w:val="24"/>
              </w:rPr>
              <w:t>）max+V</w:t>
            </w:r>
            <w:r>
              <w:rPr>
                <w:rFonts w:ascii="Times New Roman" w:hAnsi="Times New Roman"/>
                <w:sz w:val="24"/>
                <w:vertAlign w:val="subscript"/>
              </w:rPr>
              <w:t>4</w:t>
            </w:r>
            <w:r>
              <w:rPr>
                <w:rFonts w:ascii="Times New Roman" w:hAnsi="Times New Roman"/>
                <w:sz w:val="24"/>
              </w:rPr>
              <w:t>+V</w:t>
            </w:r>
            <w:r>
              <w:rPr>
                <w:rFonts w:ascii="Times New Roman" w:hAnsi="Times New Roman"/>
                <w:sz w:val="24"/>
                <w:vertAlign w:val="subscript"/>
              </w:rPr>
              <w:t>5</w:t>
            </w:r>
          </w:p>
          <w:p w14:paraId="17B800EA">
            <w:pPr>
              <w:spacing w:line="360" w:lineRule="auto"/>
              <w:ind w:firstLine="480" w:firstLineChars="200"/>
              <w:rPr>
                <w:rFonts w:ascii="Times New Roman" w:hAnsi="Times New Roman"/>
                <w:sz w:val="24"/>
              </w:rPr>
            </w:pPr>
            <w:r>
              <w:rPr>
                <w:rFonts w:ascii="Times New Roman" w:hAnsi="Times New Roman"/>
                <w:sz w:val="24"/>
              </w:rPr>
              <w:t>注：（V</w:t>
            </w:r>
            <w:r>
              <w:rPr>
                <w:rFonts w:ascii="Times New Roman" w:hAnsi="Times New Roman"/>
                <w:sz w:val="24"/>
                <w:vertAlign w:val="subscript"/>
              </w:rPr>
              <w:t>1</w:t>
            </w:r>
            <w:r>
              <w:rPr>
                <w:rFonts w:ascii="Times New Roman" w:hAnsi="Times New Roman"/>
                <w:sz w:val="24"/>
              </w:rPr>
              <w:t>+V</w:t>
            </w:r>
            <w:r>
              <w:rPr>
                <w:rFonts w:ascii="Times New Roman" w:hAnsi="Times New Roman"/>
                <w:sz w:val="24"/>
                <w:vertAlign w:val="subscript"/>
              </w:rPr>
              <w:t>2</w:t>
            </w:r>
            <w:r>
              <w:rPr>
                <w:rFonts w:ascii="Times New Roman" w:hAnsi="Times New Roman"/>
                <w:sz w:val="24"/>
              </w:rPr>
              <w:t>-V</w:t>
            </w:r>
            <w:r>
              <w:rPr>
                <w:rFonts w:ascii="Times New Roman" w:hAnsi="Times New Roman"/>
                <w:sz w:val="24"/>
                <w:vertAlign w:val="subscript"/>
              </w:rPr>
              <w:t>3</w:t>
            </w:r>
            <w:r>
              <w:rPr>
                <w:rFonts w:ascii="Times New Roman" w:hAnsi="Times New Roman"/>
                <w:sz w:val="24"/>
              </w:rPr>
              <w:t>）max 是指对收集系统范围内不同罐组或装置分别计算 V</w:t>
            </w:r>
            <w:r>
              <w:rPr>
                <w:rFonts w:ascii="Times New Roman" w:hAnsi="Times New Roman"/>
                <w:sz w:val="24"/>
                <w:vertAlign w:val="subscript"/>
              </w:rPr>
              <w:t>1</w:t>
            </w:r>
            <w:r>
              <w:rPr>
                <w:rFonts w:ascii="Times New Roman" w:hAnsi="Times New Roman"/>
                <w:sz w:val="24"/>
              </w:rPr>
              <w:t>+V</w:t>
            </w:r>
            <w:r>
              <w:rPr>
                <w:rFonts w:ascii="Times New Roman" w:hAnsi="Times New Roman"/>
                <w:sz w:val="24"/>
                <w:vertAlign w:val="subscript"/>
              </w:rPr>
              <w:t>2</w:t>
            </w:r>
            <w:r>
              <w:rPr>
                <w:rFonts w:ascii="Times New Roman" w:hAnsi="Times New Roman"/>
                <w:sz w:val="24"/>
              </w:rPr>
              <w:t>-V</w:t>
            </w:r>
            <w:r>
              <w:rPr>
                <w:rFonts w:ascii="Times New Roman" w:hAnsi="Times New Roman"/>
                <w:sz w:val="24"/>
                <w:vertAlign w:val="subscript"/>
              </w:rPr>
              <w:t>3</w:t>
            </w:r>
            <w:r>
              <w:rPr>
                <w:rFonts w:ascii="Times New Roman" w:hAnsi="Times New Roman"/>
                <w:sz w:val="24"/>
              </w:rPr>
              <w:t>，取其中最大值。</w:t>
            </w:r>
          </w:p>
          <w:p w14:paraId="246E89D1">
            <w:pPr>
              <w:spacing w:line="360" w:lineRule="auto"/>
              <w:ind w:firstLine="480" w:firstLineChars="200"/>
              <w:rPr>
                <w:rFonts w:ascii="Times New Roman" w:hAnsi="Times New Roman"/>
                <w:sz w:val="24"/>
              </w:rPr>
            </w:pPr>
            <w:r>
              <w:rPr>
                <w:rFonts w:ascii="Times New Roman" w:hAnsi="Times New Roman"/>
                <w:sz w:val="24"/>
              </w:rPr>
              <w:t>V</w:t>
            </w:r>
            <w:r>
              <w:rPr>
                <w:rFonts w:ascii="Times New Roman" w:hAnsi="Times New Roman"/>
                <w:sz w:val="24"/>
                <w:vertAlign w:val="subscript"/>
              </w:rPr>
              <w:t>1</w:t>
            </w:r>
            <w:r>
              <w:rPr>
                <w:rFonts w:ascii="Times New Roman" w:hAnsi="Times New Roman"/>
                <w:sz w:val="24"/>
              </w:rPr>
              <w:t>——收集系统范围内发生事故的一个罐组或一套装置的物料量。项目存储量最大的是环氧树脂涂料为0.75t，（体积约0.54m</w:t>
            </w:r>
            <w:r>
              <w:rPr>
                <w:rFonts w:ascii="Times New Roman" w:hAnsi="Times New Roman"/>
                <w:sz w:val="24"/>
                <w:vertAlign w:val="superscript"/>
              </w:rPr>
              <w:t>3</w:t>
            </w:r>
            <w:r>
              <w:rPr>
                <w:rFonts w:ascii="Times New Roman" w:hAnsi="Times New Roman"/>
                <w:sz w:val="24"/>
              </w:rPr>
              <w:t>），因此发生事故时一个罐组物料泄漏最大量V</w:t>
            </w:r>
            <w:r>
              <w:rPr>
                <w:rFonts w:ascii="Times New Roman" w:hAnsi="Times New Roman"/>
                <w:sz w:val="24"/>
                <w:vertAlign w:val="subscript"/>
              </w:rPr>
              <w:t>1</w:t>
            </w:r>
            <w:r>
              <w:rPr>
                <w:rFonts w:ascii="Times New Roman" w:hAnsi="Times New Roman"/>
                <w:sz w:val="24"/>
              </w:rPr>
              <w:t>约0.54m</w:t>
            </w:r>
            <w:r>
              <w:rPr>
                <w:rFonts w:ascii="Times New Roman" w:hAnsi="Times New Roman"/>
                <w:sz w:val="24"/>
                <w:vertAlign w:val="superscript"/>
              </w:rPr>
              <w:t>3</w:t>
            </w:r>
            <w:r>
              <w:rPr>
                <w:rFonts w:ascii="Times New Roman" w:hAnsi="Times New Roman"/>
                <w:sz w:val="24"/>
              </w:rPr>
              <w:t>。</w:t>
            </w:r>
          </w:p>
          <w:p w14:paraId="7E0FC021">
            <w:pPr>
              <w:spacing w:line="360" w:lineRule="auto"/>
              <w:ind w:firstLine="480" w:firstLineChars="200"/>
              <w:rPr>
                <w:rFonts w:ascii="Times New Roman" w:hAnsi="Times New Roman"/>
                <w:sz w:val="24"/>
              </w:rPr>
            </w:pPr>
            <w:r>
              <w:rPr>
                <w:rFonts w:ascii="Times New Roman" w:hAnsi="Times New Roman"/>
                <w:sz w:val="24"/>
              </w:rPr>
              <w:t>V</w:t>
            </w:r>
            <w:r>
              <w:rPr>
                <w:rFonts w:ascii="Times New Roman" w:hAnsi="Times New Roman"/>
                <w:sz w:val="24"/>
                <w:vertAlign w:val="subscript"/>
              </w:rPr>
              <w:t>2</w:t>
            </w:r>
            <w:r>
              <w:rPr>
                <w:rFonts w:ascii="Times New Roman" w:hAnsi="Times New Roman"/>
                <w:sz w:val="24"/>
              </w:rPr>
              <w:t>——发生事故的储罐或装置的消防水量，m</w:t>
            </w:r>
            <w:r>
              <w:rPr>
                <w:rFonts w:ascii="Times New Roman" w:hAnsi="Times New Roman"/>
                <w:sz w:val="24"/>
                <w:vertAlign w:val="superscript"/>
              </w:rPr>
              <w:t>3</w:t>
            </w:r>
            <w:r>
              <w:rPr>
                <w:rFonts w:ascii="Times New Roman" w:hAnsi="Times New Roman"/>
                <w:sz w:val="24"/>
              </w:rPr>
              <w:t>。本项目消防用水量按20L/s，同一时间内的火灾次数为1次，一次火灾延续时间为</w:t>
            </w:r>
            <w:r>
              <w:rPr>
                <w:rFonts w:hint="eastAsia" w:ascii="Times New Roman" w:hAnsi="Times New Roman"/>
                <w:sz w:val="24"/>
              </w:rPr>
              <w:t>45min</w:t>
            </w:r>
            <w:r>
              <w:rPr>
                <w:rFonts w:ascii="Times New Roman" w:hAnsi="Times New Roman"/>
                <w:sz w:val="24"/>
              </w:rPr>
              <w:t>计算，消防水量 V</w:t>
            </w:r>
            <w:r>
              <w:rPr>
                <w:rFonts w:ascii="Times New Roman" w:hAnsi="Times New Roman"/>
                <w:sz w:val="24"/>
                <w:vertAlign w:val="subscript"/>
              </w:rPr>
              <w:t>2</w:t>
            </w:r>
            <w:r>
              <w:rPr>
                <w:rFonts w:ascii="Times New Roman" w:hAnsi="Times New Roman"/>
                <w:sz w:val="24"/>
              </w:rPr>
              <w:t>为</w:t>
            </w:r>
            <w:r>
              <w:rPr>
                <w:rFonts w:hint="eastAsia" w:ascii="Times New Roman" w:hAnsi="Times New Roman"/>
                <w:sz w:val="24"/>
              </w:rPr>
              <w:t>54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w:t>
            </w:r>
          </w:p>
          <w:p w14:paraId="36F0F3AE">
            <w:pPr>
              <w:spacing w:line="360" w:lineRule="auto"/>
              <w:ind w:firstLine="480" w:firstLineChars="200"/>
              <w:rPr>
                <w:rFonts w:ascii="Times New Roman" w:hAnsi="Times New Roman"/>
                <w:sz w:val="24"/>
              </w:rPr>
            </w:pPr>
            <w:r>
              <w:rPr>
                <w:rFonts w:ascii="Times New Roman" w:hAnsi="Times New Roman"/>
                <w:sz w:val="24"/>
              </w:rPr>
              <w:t>V</w:t>
            </w:r>
            <w:r>
              <w:rPr>
                <w:rFonts w:ascii="Times New Roman" w:hAnsi="Times New Roman"/>
                <w:sz w:val="24"/>
                <w:vertAlign w:val="subscript"/>
              </w:rPr>
              <w:t>3</w:t>
            </w:r>
            <w:r>
              <w:rPr>
                <w:rFonts w:ascii="Times New Roman" w:hAnsi="Times New Roman"/>
                <w:sz w:val="24"/>
              </w:rPr>
              <w:t>——发生事故时可以转输到其他储存或处理设施的物料量，m</w:t>
            </w:r>
            <w:r>
              <w:rPr>
                <w:rFonts w:ascii="Times New Roman" w:hAnsi="Times New Roman"/>
                <w:sz w:val="24"/>
                <w:vertAlign w:val="superscript"/>
              </w:rPr>
              <w:t>3</w:t>
            </w:r>
            <w:r>
              <w:rPr>
                <w:rFonts w:ascii="Times New Roman" w:hAnsi="Times New Roman"/>
                <w:sz w:val="24"/>
              </w:rPr>
              <w:t>。按最坏情况考虑，V</w:t>
            </w:r>
            <w:r>
              <w:rPr>
                <w:rFonts w:ascii="Times New Roman" w:hAnsi="Times New Roman"/>
                <w:sz w:val="24"/>
                <w:vertAlign w:val="subscript"/>
              </w:rPr>
              <w:t>3</w:t>
            </w:r>
            <w:r>
              <w:rPr>
                <w:rFonts w:ascii="Times New Roman" w:hAnsi="Times New Roman"/>
                <w:sz w:val="24"/>
              </w:rPr>
              <w:t>为0m</w:t>
            </w:r>
            <w:r>
              <w:rPr>
                <w:rFonts w:ascii="Times New Roman" w:hAnsi="Times New Roman"/>
                <w:sz w:val="24"/>
                <w:vertAlign w:val="superscript"/>
              </w:rPr>
              <w:t>3</w:t>
            </w:r>
            <w:r>
              <w:rPr>
                <w:rFonts w:ascii="Times New Roman" w:hAnsi="Times New Roman"/>
                <w:sz w:val="24"/>
              </w:rPr>
              <w:t>。</w:t>
            </w:r>
          </w:p>
          <w:p w14:paraId="38B5E7F1">
            <w:pPr>
              <w:spacing w:line="360" w:lineRule="auto"/>
              <w:ind w:firstLine="480" w:firstLineChars="200"/>
              <w:rPr>
                <w:rFonts w:ascii="Times New Roman" w:hAnsi="Times New Roman"/>
                <w:sz w:val="24"/>
              </w:rPr>
            </w:pPr>
            <w:r>
              <w:rPr>
                <w:rFonts w:ascii="Times New Roman" w:hAnsi="Times New Roman"/>
                <w:sz w:val="24"/>
              </w:rPr>
              <w:t>V</w:t>
            </w:r>
            <w:r>
              <w:rPr>
                <w:rFonts w:ascii="Times New Roman" w:hAnsi="Times New Roman"/>
                <w:sz w:val="24"/>
                <w:vertAlign w:val="subscript"/>
              </w:rPr>
              <w:t>4</w:t>
            </w:r>
            <w:r>
              <w:rPr>
                <w:rFonts w:ascii="Times New Roman" w:hAnsi="Times New Roman"/>
                <w:sz w:val="24"/>
              </w:rPr>
              <w:t>——发生事故时仍必须进入该收集系统的生产废水量，m</w:t>
            </w:r>
            <w:r>
              <w:rPr>
                <w:rFonts w:ascii="Times New Roman" w:hAnsi="Times New Roman"/>
                <w:sz w:val="24"/>
                <w:vertAlign w:val="superscript"/>
              </w:rPr>
              <w:t>3</w:t>
            </w:r>
            <w:r>
              <w:rPr>
                <w:rFonts w:ascii="Times New Roman" w:hAnsi="Times New Roman"/>
                <w:sz w:val="24"/>
              </w:rPr>
              <w:t>。根据项目情况，本项</w:t>
            </w:r>
            <w:r>
              <w:rPr>
                <w:rFonts w:hint="eastAsia" w:ascii="Times New Roman" w:hAnsi="Times New Roman"/>
                <w:sz w:val="24"/>
              </w:rPr>
              <w:t>目事</w:t>
            </w:r>
            <w:r>
              <w:rPr>
                <w:rFonts w:ascii="Times New Roman" w:hAnsi="Times New Roman"/>
                <w:sz w:val="24"/>
              </w:rPr>
              <w:t>故发生事故时进入该收集系统的生产废水量V4取0m</w:t>
            </w:r>
            <w:r>
              <w:rPr>
                <w:rFonts w:ascii="Times New Roman" w:hAnsi="Times New Roman"/>
                <w:sz w:val="24"/>
                <w:vertAlign w:val="superscript"/>
              </w:rPr>
              <w:t>3</w:t>
            </w:r>
            <w:r>
              <w:rPr>
                <w:rFonts w:ascii="Times New Roman" w:hAnsi="Times New Roman"/>
                <w:sz w:val="24"/>
              </w:rPr>
              <w:t>。</w:t>
            </w:r>
          </w:p>
          <w:p w14:paraId="42ED1900">
            <w:pPr>
              <w:spacing w:line="360" w:lineRule="auto"/>
              <w:ind w:firstLine="480" w:firstLineChars="200"/>
              <w:rPr>
                <w:rFonts w:ascii="Times New Roman" w:hAnsi="Times New Roman"/>
                <w:sz w:val="24"/>
              </w:rPr>
            </w:pPr>
            <w:r>
              <w:rPr>
                <w:rFonts w:ascii="Times New Roman" w:hAnsi="Times New Roman"/>
                <w:sz w:val="24"/>
              </w:rPr>
              <w:t>V</w:t>
            </w:r>
            <w:r>
              <w:rPr>
                <w:rFonts w:ascii="Times New Roman" w:hAnsi="Times New Roman"/>
                <w:sz w:val="24"/>
                <w:vertAlign w:val="subscript"/>
              </w:rPr>
              <w:t>5</w:t>
            </w:r>
            <w:r>
              <w:rPr>
                <w:rFonts w:ascii="Times New Roman" w:hAnsi="Times New Roman"/>
                <w:sz w:val="24"/>
              </w:rPr>
              <w:t>——发生事故时可能进入该收集系统的降雨量，根据下式计算；V</w:t>
            </w:r>
            <w:r>
              <w:rPr>
                <w:rFonts w:ascii="Times New Roman" w:hAnsi="Times New Roman"/>
                <w:sz w:val="24"/>
                <w:vertAlign w:val="subscript"/>
              </w:rPr>
              <w:t>5</w:t>
            </w:r>
            <w:r>
              <w:rPr>
                <w:rFonts w:ascii="Times New Roman" w:hAnsi="Times New Roman"/>
                <w:sz w:val="24"/>
              </w:rPr>
              <w:t>约11.69m</w:t>
            </w:r>
            <w:r>
              <w:rPr>
                <w:rFonts w:ascii="Times New Roman" w:hAnsi="Times New Roman"/>
                <w:sz w:val="24"/>
                <w:vertAlign w:val="superscript"/>
              </w:rPr>
              <w:t>3</w:t>
            </w:r>
            <w:r>
              <w:rPr>
                <w:rFonts w:ascii="Times New Roman" w:hAnsi="Times New Roman"/>
                <w:sz w:val="24"/>
              </w:rPr>
              <w:t>。</w:t>
            </w:r>
          </w:p>
          <w:p w14:paraId="2315E652">
            <w:pPr>
              <w:adjustRightInd w:val="0"/>
              <w:spacing w:line="360" w:lineRule="auto"/>
              <w:ind w:firstLine="480" w:firstLineChars="200"/>
              <w:rPr>
                <w:rFonts w:ascii="Times New Roman" w:hAnsi="Times New Roman"/>
                <w:sz w:val="24"/>
              </w:rPr>
            </w:pPr>
            <w:r>
              <w:rPr>
                <w:rFonts w:ascii="Times New Roman" w:hAnsi="Times New Roman"/>
                <w:sz w:val="24"/>
              </w:rPr>
              <w:t>根据我国城市暴雨强度查询表可知，淮北市参考暴雨强度公式如下：</w:t>
            </w:r>
          </w:p>
          <w:p w14:paraId="06CE260C">
            <w:pPr>
              <w:adjustRightInd w:val="0"/>
              <w:spacing w:line="360" w:lineRule="auto"/>
              <w:jc w:val="center"/>
              <w:rPr>
                <w:rFonts w:ascii="Times New Roman" w:hAnsi="Times New Roman"/>
                <w:sz w:val="24"/>
              </w:rPr>
            </w:pPr>
            <w:r>
              <w:rPr>
                <w:rFonts w:ascii="Times New Roman" w:hAnsi="Times New Roman"/>
              </w:rPr>
              <w:drawing>
                <wp:inline distT="0" distB="0" distL="0" distR="0">
                  <wp:extent cx="1842135" cy="563245"/>
                  <wp:effectExtent l="0" t="0" r="5715" b="825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8"/>
                          <a:stretch>
                            <a:fillRect/>
                          </a:stretch>
                        </pic:blipFill>
                        <pic:spPr>
                          <a:xfrm>
                            <a:off x="0" y="0"/>
                            <a:ext cx="1857758" cy="568255"/>
                          </a:xfrm>
                          <a:prstGeom prst="rect">
                            <a:avLst/>
                          </a:prstGeom>
                        </pic:spPr>
                      </pic:pic>
                    </a:graphicData>
                  </a:graphic>
                </wp:inline>
              </w:drawing>
            </w:r>
          </w:p>
          <w:p w14:paraId="7A236020">
            <w:pPr>
              <w:adjustRightInd w:val="0"/>
              <w:spacing w:line="360" w:lineRule="auto"/>
              <w:ind w:firstLine="480" w:firstLineChars="200"/>
              <w:rPr>
                <w:rFonts w:ascii="Times New Roman" w:hAnsi="Times New Roman"/>
                <w:sz w:val="24"/>
              </w:rPr>
            </w:pPr>
            <w:r>
              <w:rPr>
                <w:rFonts w:ascii="Times New Roman" w:hAnsi="Times New Roman"/>
                <w:sz w:val="24"/>
              </w:rPr>
              <w:t>式中：q—设计暴雨强度，L/s.hm</w:t>
            </w:r>
            <w:r>
              <w:rPr>
                <w:rFonts w:ascii="Times New Roman" w:hAnsi="Times New Roman"/>
                <w:sz w:val="24"/>
                <w:vertAlign w:val="superscript"/>
              </w:rPr>
              <w:t>2</w:t>
            </w:r>
            <w:r>
              <w:rPr>
                <w:rFonts w:ascii="Times New Roman" w:hAnsi="Times New Roman"/>
                <w:sz w:val="24"/>
              </w:rPr>
              <w:t>；</w:t>
            </w:r>
          </w:p>
          <w:p w14:paraId="39EDBC9B">
            <w:pPr>
              <w:adjustRightInd w:val="0"/>
              <w:spacing w:line="360" w:lineRule="auto"/>
              <w:ind w:firstLine="1200" w:firstLineChars="500"/>
              <w:rPr>
                <w:rFonts w:ascii="Times New Roman" w:hAnsi="Times New Roman"/>
                <w:sz w:val="24"/>
              </w:rPr>
            </w:pPr>
            <w:r>
              <w:rPr>
                <w:rFonts w:ascii="Times New Roman" w:hAnsi="Times New Roman"/>
                <w:sz w:val="24"/>
              </w:rPr>
              <w:t>P—设计重现期，a；</w:t>
            </w:r>
          </w:p>
          <w:p w14:paraId="08ABB0D5">
            <w:pPr>
              <w:adjustRightInd w:val="0"/>
              <w:spacing w:line="360" w:lineRule="auto"/>
              <w:ind w:firstLine="1200" w:firstLineChars="500"/>
              <w:rPr>
                <w:rFonts w:ascii="Times New Roman" w:hAnsi="Times New Roman"/>
                <w:sz w:val="24"/>
              </w:rPr>
            </w:pPr>
            <w:r>
              <w:rPr>
                <w:rFonts w:ascii="Times New Roman" w:hAnsi="Times New Roman"/>
                <w:sz w:val="24"/>
              </w:rPr>
              <w:t>t—降雨历时，min。</w:t>
            </w:r>
          </w:p>
          <w:p w14:paraId="78F6CBB0">
            <w:pPr>
              <w:adjustRightInd w:val="0"/>
              <w:spacing w:line="360" w:lineRule="auto"/>
              <w:ind w:firstLine="480" w:firstLineChars="200"/>
              <w:rPr>
                <w:rFonts w:ascii="Times New Roman" w:hAnsi="Times New Roman"/>
                <w:sz w:val="24"/>
              </w:rPr>
            </w:pPr>
            <w:r>
              <w:rPr>
                <w:rFonts w:ascii="Times New Roman" w:hAnsi="Times New Roman"/>
                <w:sz w:val="24"/>
              </w:rPr>
              <w:t>按P=3a，t=15min计算，得暴雨强度q=320.7L/s·hm</w:t>
            </w:r>
            <w:r>
              <w:rPr>
                <w:rFonts w:ascii="Times New Roman" w:hAnsi="Times New Roman"/>
                <w:sz w:val="24"/>
                <w:vertAlign w:val="superscript"/>
              </w:rPr>
              <w:t>2</w:t>
            </w:r>
            <w:r>
              <w:rPr>
                <w:rFonts w:ascii="Times New Roman" w:hAnsi="Times New Roman"/>
                <w:sz w:val="24"/>
              </w:rPr>
              <w:t>。</w:t>
            </w:r>
          </w:p>
          <w:p w14:paraId="105F61E6">
            <w:pPr>
              <w:adjustRightInd w:val="0"/>
              <w:spacing w:line="360" w:lineRule="auto"/>
              <w:ind w:firstLine="480" w:firstLineChars="200"/>
              <w:rPr>
                <w:rFonts w:ascii="Times New Roman" w:hAnsi="Times New Roman"/>
                <w:sz w:val="24"/>
              </w:rPr>
            </w:pPr>
            <w:r>
              <w:rPr>
                <w:rFonts w:ascii="Times New Roman" w:hAnsi="Times New Roman"/>
                <w:sz w:val="24"/>
              </w:rPr>
              <w:t>本项目厂区地面全部硬化，根据《建筑给水排水设计标准》（GB50015-2019）5.3.13节混凝土和沥青路面雨水径流系数取0.9；项目</w:t>
            </w:r>
            <w:r>
              <w:rPr>
                <w:rFonts w:hint="eastAsia" w:ascii="Times New Roman" w:hAnsi="Times New Roman"/>
                <w:sz w:val="24"/>
              </w:rPr>
              <w:t>汇水面积</w:t>
            </w:r>
            <w:r>
              <w:rPr>
                <w:rFonts w:ascii="Times New Roman" w:hAnsi="Times New Roman"/>
                <w:sz w:val="24"/>
              </w:rPr>
              <w:t>为500m</w:t>
            </w:r>
            <w:r>
              <w:rPr>
                <w:rFonts w:ascii="Times New Roman" w:hAnsi="Times New Roman"/>
                <w:sz w:val="24"/>
                <w:vertAlign w:val="superscript"/>
              </w:rPr>
              <w:t>2</w:t>
            </w:r>
            <w:r>
              <w:rPr>
                <w:rFonts w:ascii="Times New Roman" w:hAnsi="Times New Roman"/>
                <w:sz w:val="24"/>
              </w:rPr>
              <w:t>，径流系数取0.9，从而得出雨水设计流量为：12.99L/s。</w:t>
            </w:r>
          </w:p>
          <w:p w14:paraId="0608ED30">
            <w:pPr>
              <w:adjustRightInd w:val="0"/>
              <w:spacing w:line="360" w:lineRule="auto"/>
              <w:ind w:firstLine="480" w:firstLineChars="200"/>
              <w:rPr>
                <w:rFonts w:ascii="Times New Roman" w:hAnsi="Times New Roman"/>
                <w:sz w:val="24"/>
              </w:rPr>
            </w:pPr>
            <w:r>
              <w:rPr>
                <w:rFonts w:ascii="Times New Roman" w:hAnsi="Times New Roman"/>
                <w:sz w:val="24"/>
              </w:rPr>
              <w:t>根据以上公式及参数计算，项目15分钟初期雨水量计算取值为11.69m</w:t>
            </w:r>
            <w:r>
              <w:rPr>
                <w:rFonts w:ascii="Times New Roman" w:hAnsi="Times New Roman"/>
                <w:sz w:val="24"/>
                <w:vertAlign w:val="superscript"/>
              </w:rPr>
              <w:t>3</w:t>
            </w:r>
            <w:r>
              <w:rPr>
                <w:rFonts w:ascii="Times New Roman" w:hAnsi="Times New Roman"/>
                <w:sz w:val="24"/>
              </w:rPr>
              <w:t>。</w:t>
            </w:r>
          </w:p>
          <w:p w14:paraId="6438CB6C">
            <w:pPr>
              <w:pStyle w:val="12"/>
              <w:spacing w:before="0" w:after="0" w:line="360" w:lineRule="auto"/>
              <w:ind w:right="0" w:firstLine="480" w:firstLineChars="200"/>
              <w:rPr>
                <w:sz w:val="24"/>
                <w:szCs w:val="28"/>
              </w:rPr>
            </w:pPr>
            <w:r>
              <w:rPr>
                <w:sz w:val="24"/>
                <w:szCs w:val="28"/>
              </w:rPr>
              <w:t>雨水经集水沟收集前15分钟初期雨水至事故池暂存。根据计算结果，本项目区域暴雨强度为初期雨水量11.69m</w:t>
            </w:r>
            <w:r>
              <w:rPr>
                <w:sz w:val="24"/>
                <w:szCs w:val="28"/>
                <w:vertAlign w:val="superscript"/>
              </w:rPr>
              <w:t>3</w:t>
            </w:r>
            <w:r>
              <w:rPr>
                <w:sz w:val="24"/>
                <w:szCs w:val="28"/>
              </w:rPr>
              <w:t>/次。</w:t>
            </w:r>
          </w:p>
          <w:p w14:paraId="14BE45F1">
            <w:pPr>
              <w:spacing w:line="360" w:lineRule="auto"/>
              <w:ind w:firstLine="480" w:firstLineChars="200"/>
              <w:rPr>
                <w:rFonts w:ascii="Times New Roman" w:hAnsi="Times New Roman"/>
                <w:sz w:val="24"/>
              </w:rPr>
            </w:pPr>
            <w:r>
              <w:rPr>
                <w:rFonts w:ascii="Times New Roman" w:hAnsi="Times New Roman"/>
                <w:sz w:val="24"/>
              </w:rPr>
              <w:t>综上所述，发生事故时，项目事故池有效容积至少为0.54 m</w:t>
            </w:r>
            <w:r>
              <w:rPr>
                <w:rFonts w:ascii="Times New Roman" w:hAnsi="Times New Roman"/>
                <w:sz w:val="24"/>
                <w:vertAlign w:val="superscript"/>
              </w:rPr>
              <w:t>3</w:t>
            </w:r>
            <w:r>
              <w:rPr>
                <w:rFonts w:ascii="Times New Roman" w:hAnsi="Times New Roman"/>
                <w:sz w:val="24"/>
              </w:rPr>
              <w:t>+</w:t>
            </w:r>
            <w:r>
              <w:rPr>
                <w:rFonts w:hint="eastAsia" w:ascii="Times New Roman" w:hAnsi="Times New Roman"/>
                <w:sz w:val="24"/>
              </w:rPr>
              <w:t>54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+11.69 m</w:t>
            </w:r>
            <w:r>
              <w:rPr>
                <w:rFonts w:ascii="Times New Roman" w:hAnsi="Times New Roman"/>
                <w:sz w:val="24"/>
                <w:vertAlign w:val="superscript"/>
              </w:rPr>
              <w:t>3</w:t>
            </w:r>
            <w:r>
              <w:rPr>
                <w:rFonts w:ascii="Times New Roman" w:hAnsi="Times New Roman"/>
                <w:sz w:val="24"/>
              </w:rPr>
              <w:t>=</w:t>
            </w:r>
            <w:r>
              <w:rPr>
                <w:rFonts w:hint="eastAsia" w:ascii="Times New Roman" w:hAnsi="Times New Roman"/>
                <w:sz w:val="24"/>
              </w:rPr>
              <w:t>66</w:t>
            </w:r>
            <w:r>
              <w:rPr>
                <w:rFonts w:ascii="Times New Roman" w:hAnsi="Times New Roman"/>
                <w:sz w:val="24"/>
              </w:rPr>
              <w:t>.23m</w:t>
            </w:r>
            <w:r>
              <w:rPr>
                <w:rFonts w:ascii="Times New Roman" w:hAnsi="Times New Roman"/>
                <w:sz w:val="24"/>
                <w:vertAlign w:val="superscript"/>
              </w:rPr>
              <w:t>3</w:t>
            </w:r>
            <w:r>
              <w:rPr>
                <w:rFonts w:ascii="Times New Roman" w:hAnsi="Times New Roman"/>
                <w:sz w:val="24"/>
              </w:rPr>
              <w:t>。建设单位应设置事故池有效容积</w:t>
            </w:r>
            <w:r>
              <w:rPr>
                <w:rFonts w:hint="eastAsia" w:ascii="Times New Roman" w:hAnsi="Times New Roman"/>
                <w:sz w:val="24"/>
              </w:rPr>
              <w:t>7</w:t>
            </w:r>
            <w:r>
              <w:rPr>
                <w:rFonts w:ascii="Times New Roman" w:hAnsi="Times New Roman"/>
                <w:sz w:val="24"/>
              </w:rPr>
              <w:t>0m</w:t>
            </w:r>
            <w:r>
              <w:rPr>
                <w:rFonts w:ascii="Times New Roman" w:hAnsi="Times New Roman"/>
                <w:sz w:val="24"/>
                <w:vertAlign w:val="superscript"/>
              </w:rPr>
              <w:t>3</w:t>
            </w:r>
            <w:r>
              <w:rPr>
                <w:rFonts w:ascii="Times New Roman" w:hAnsi="Times New Roman"/>
                <w:sz w:val="24"/>
              </w:rPr>
              <w:t>以上，以满足事故时消防废水、泄漏的物料暂存，避免外流进入周围环境。</w:t>
            </w:r>
          </w:p>
          <w:p w14:paraId="3F07E2D4">
            <w:pPr>
              <w:spacing w:line="360" w:lineRule="auto"/>
              <w:ind w:firstLine="480" w:firstLineChars="200"/>
              <w:rPr>
                <w:rFonts w:hint="default" w:ascii="Times New Roman" w:hAnsi="Times New Roman" w:eastAsia="宋体" w:cs="Times New Roman"/>
                <w:color w:val="auto"/>
                <w:sz w:val="24"/>
                <w:szCs w:val="24"/>
                <w:lang w:val="en-US" w:eastAsia="zh-CN"/>
              </w:rPr>
            </w:pPr>
            <w:r>
              <w:rPr>
                <w:rFonts w:ascii="Times New Roman" w:hAnsi="Times New Roman"/>
                <w:sz w:val="24"/>
              </w:rPr>
              <w:t>当发生火灾时，在组织灭火的同时迅速切断雨水排放口与外界的联通，将消防废水滞留在厂区内，待火灾过后，再收集此废水进行处理。只要能够按应急预案要求处理得当，事故时的废水就不会直接进入地表水体，避免水污染事故发生。</w:t>
            </w:r>
          </w:p>
          <w:p w14:paraId="742894F6">
            <w:pPr>
              <w:spacing w:line="360" w:lineRule="auto"/>
              <w:ind w:left="0" w:leftChars="0" w:firstLine="482"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color w:val="auto"/>
                <w:sz w:val="24"/>
                <w:lang w:val="en-US" w:eastAsia="zh-CN"/>
              </w:rPr>
              <w:t>4.8、污染物排放情况</w:t>
            </w:r>
          </w:p>
          <w:p w14:paraId="566A0D48">
            <w:pPr>
              <w:spacing w:line="360" w:lineRule="auto"/>
              <w:ind w:left="94" w:leftChars="45"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扩建</w:t>
            </w:r>
            <w:r>
              <w:rPr>
                <w:rFonts w:hint="default" w:ascii="Times New Roman" w:hAnsi="Times New Roman" w:eastAsia="宋体" w:cs="Times New Roman"/>
                <w:color w:val="auto"/>
                <w:sz w:val="24"/>
                <w:lang w:val="en-US" w:eastAsia="zh-CN"/>
              </w:rPr>
              <w:t>后污染物排放“</w:t>
            </w:r>
            <w:r>
              <w:rPr>
                <w:rFonts w:hint="eastAsia" w:ascii="Times New Roman" w:hAnsi="Times New Roman" w:cs="Times New Roman"/>
                <w:color w:val="auto"/>
                <w:sz w:val="24"/>
                <w:lang w:val="en-US" w:eastAsia="zh-CN"/>
              </w:rPr>
              <w:t>三本账</w:t>
            </w:r>
            <w:r>
              <w:rPr>
                <w:rFonts w:hint="default" w:ascii="Times New Roman" w:hAnsi="Times New Roman" w:eastAsia="宋体" w:cs="Times New Roman"/>
                <w:color w:val="auto"/>
                <w:sz w:val="24"/>
                <w:lang w:val="en-US" w:eastAsia="zh-CN"/>
              </w:rPr>
              <w:t>”见下表。</w:t>
            </w:r>
          </w:p>
          <w:p w14:paraId="48D80F96">
            <w:pPr>
              <w:pStyle w:val="15"/>
              <w:ind w:left="0" w:leftChars="0" w:firstLine="0" w:firstLineChars="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lang w:val="en-US" w:eastAsia="zh-CN"/>
              </w:rPr>
              <w:t>表4-1</w:t>
            </w:r>
            <w:r>
              <w:rPr>
                <w:rFonts w:hint="eastAsia" w:ascii="Times New Roman" w:hAnsi="Times New Roman" w:cs="Times New Roman"/>
                <w:b/>
                <w:bCs/>
                <w:color w:val="auto"/>
                <w:sz w:val="24"/>
                <w:lang w:val="en-US" w:eastAsia="zh-CN"/>
              </w:rPr>
              <w:t xml:space="preserve">9  </w:t>
            </w:r>
            <w:r>
              <w:rPr>
                <w:rFonts w:hint="default" w:ascii="Times New Roman" w:hAnsi="Times New Roman" w:eastAsia="宋体" w:cs="Times New Roman"/>
                <w:b/>
                <w:bCs/>
                <w:color w:val="auto"/>
                <w:sz w:val="24"/>
                <w:lang w:val="en-US" w:eastAsia="zh-CN"/>
              </w:rPr>
              <w:t>污染物排放“</w:t>
            </w:r>
            <w:r>
              <w:rPr>
                <w:rFonts w:hint="eastAsia" w:ascii="Times New Roman" w:hAnsi="Times New Roman" w:cs="Times New Roman"/>
                <w:b/>
                <w:bCs/>
                <w:color w:val="auto"/>
                <w:sz w:val="24"/>
                <w:lang w:val="en-US" w:eastAsia="zh-CN"/>
              </w:rPr>
              <w:t>三本账</w:t>
            </w:r>
            <w:r>
              <w:rPr>
                <w:rFonts w:hint="default" w:ascii="Times New Roman" w:hAnsi="Times New Roman" w:eastAsia="宋体" w:cs="Times New Roman"/>
                <w:b/>
                <w:bCs/>
                <w:color w:val="auto"/>
                <w:sz w:val="24"/>
                <w:lang w:val="en-US" w:eastAsia="zh-CN"/>
              </w:rPr>
              <w:t>”</w:t>
            </w:r>
          </w:p>
          <w:tbl>
            <w:tblPr>
              <w:tblStyle w:val="28"/>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752"/>
              <w:gridCol w:w="1050"/>
              <w:gridCol w:w="1066"/>
              <w:gridCol w:w="1170"/>
              <w:gridCol w:w="1200"/>
              <w:gridCol w:w="1230"/>
              <w:gridCol w:w="1275"/>
            </w:tblGrid>
            <w:tr w14:paraId="7D30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75" w:type="dxa"/>
                  <w:gridSpan w:val="3"/>
                  <w:tcBorders>
                    <w:top w:val="single" w:color="auto" w:sz="4" w:space="0"/>
                    <w:left w:val="single" w:color="auto" w:sz="4" w:space="0"/>
                    <w:right w:val="single" w:color="auto" w:sz="4" w:space="0"/>
                  </w:tcBorders>
                  <w:noWrap w:val="0"/>
                  <w:vAlign w:val="center"/>
                </w:tcPr>
                <w:p w14:paraId="5FFBF0D8">
                  <w:pPr>
                    <w:pStyle w:val="58"/>
                    <w:spacing w:beforeLines="0" w:afterLines="0" w:line="280" w:lineRule="exact"/>
                    <w:ind w:firstLine="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主要污染物</w:t>
                  </w:r>
                </w:p>
              </w:tc>
              <w:tc>
                <w:tcPr>
                  <w:tcW w:w="1066" w:type="dxa"/>
                  <w:tcBorders>
                    <w:top w:val="single" w:color="auto" w:sz="4" w:space="0"/>
                    <w:left w:val="single" w:color="auto" w:sz="4" w:space="0"/>
                    <w:right w:val="single" w:color="auto" w:sz="4" w:space="0"/>
                  </w:tcBorders>
                  <w:noWrap w:val="0"/>
                  <w:vAlign w:val="center"/>
                </w:tcPr>
                <w:p w14:paraId="10F9A8B3">
                  <w:pPr>
                    <w:pStyle w:val="58"/>
                    <w:spacing w:beforeLines="0" w:afterLines="0" w:line="280" w:lineRule="exact"/>
                    <w:ind w:firstLine="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现有工程排放量（t/a）</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2A96387D">
                  <w:pPr>
                    <w:pStyle w:val="58"/>
                    <w:spacing w:beforeLines="0" w:afterLines="0" w:line="280" w:lineRule="exact"/>
                    <w:ind w:firstLine="0"/>
                    <w:rPr>
                      <w:rFonts w:hint="default" w:ascii="Times New Roman" w:hAnsi="Times New Roman" w:eastAsia="宋体" w:cs="Times New Roman"/>
                      <w:b/>
                      <w:bCs/>
                      <w:color w:val="auto"/>
                      <w:sz w:val="21"/>
                      <w:szCs w:val="21"/>
                      <w:lang w:val="en-US" w:eastAsia="zh-CN"/>
                    </w:rPr>
                  </w:pPr>
                  <w:r>
                    <w:rPr>
                      <w:rFonts w:hint="eastAsia" w:ascii="Times New Roman" w:cs="Times New Roman"/>
                      <w:b/>
                      <w:bCs/>
                      <w:color w:val="auto"/>
                      <w:sz w:val="21"/>
                      <w:szCs w:val="21"/>
                      <w:lang w:val="en-US" w:eastAsia="zh-CN"/>
                    </w:rPr>
                    <w:t>扩建</w:t>
                  </w:r>
                  <w:r>
                    <w:rPr>
                      <w:rFonts w:hint="default" w:ascii="Times New Roman" w:hAnsi="Times New Roman" w:eastAsia="宋体" w:cs="Times New Roman"/>
                      <w:b/>
                      <w:bCs/>
                      <w:color w:val="auto"/>
                      <w:sz w:val="21"/>
                      <w:szCs w:val="21"/>
                      <w:lang w:val="en-US" w:eastAsia="zh-CN"/>
                    </w:rPr>
                    <w:t>项目排放量（t/a）</w:t>
                  </w:r>
                </w:p>
              </w:tc>
              <w:tc>
                <w:tcPr>
                  <w:tcW w:w="1200" w:type="dxa"/>
                  <w:tcBorders>
                    <w:top w:val="single" w:color="auto" w:sz="4" w:space="0"/>
                    <w:left w:val="single" w:color="auto" w:sz="4" w:space="0"/>
                    <w:right w:val="single" w:color="auto" w:sz="4" w:space="0"/>
                  </w:tcBorders>
                  <w:noWrap w:val="0"/>
                  <w:vAlign w:val="center"/>
                </w:tcPr>
                <w:p w14:paraId="7B37A946">
                  <w:pPr>
                    <w:pStyle w:val="58"/>
                    <w:spacing w:beforeLines="0" w:afterLines="0" w:line="280" w:lineRule="exact"/>
                    <w:ind w:firstLine="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以新带老削减量（t/a）</w:t>
                  </w:r>
                </w:p>
              </w:tc>
              <w:tc>
                <w:tcPr>
                  <w:tcW w:w="1230" w:type="dxa"/>
                  <w:tcBorders>
                    <w:top w:val="single" w:color="auto" w:sz="4" w:space="0"/>
                    <w:left w:val="single" w:color="auto" w:sz="4" w:space="0"/>
                    <w:right w:val="single" w:color="auto" w:sz="4" w:space="0"/>
                  </w:tcBorders>
                  <w:noWrap w:val="0"/>
                  <w:vAlign w:val="center"/>
                </w:tcPr>
                <w:p w14:paraId="77EF31A5">
                  <w:pPr>
                    <w:pStyle w:val="58"/>
                    <w:spacing w:beforeLines="0" w:afterLines="0" w:line="280" w:lineRule="exact"/>
                    <w:ind w:firstLine="0"/>
                    <w:rPr>
                      <w:rFonts w:hint="default" w:ascii="Times New Roman" w:hAnsi="Times New Roman" w:eastAsia="宋体" w:cs="Times New Roman"/>
                      <w:b/>
                      <w:bCs/>
                      <w:color w:val="auto"/>
                      <w:sz w:val="21"/>
                      <w:szCs w:val="21"/>
                      <w:lang w:eastAsia="zh-CN"/>
                    </w:rPr>
                  </w:pPr>
                  <w:r>
                    <w:rPr>
                      <w:rFonts w:hint="eastAsia" w:ascii="Times New Roman" w:cs="Times New Roman"/>
                      <w:b/>
                      <w:bCs/>
                      <w:color w:val="auto"/>
                      <w:sz w:val="21"/>
                      <w:szCs w:val="21"/>
                      <w:lang w:eastAsia="zh-CN"/>
                    </w:rPr>
                    <w:t>扩建</w:t>
                  </w:r>
                  <w:r>
                    <w:rPr>
                      <w:rFonts w:hint="default" w:ascii="Times New Roman" w:hAnsi="Times New Roman" w:eastAsia="宋体" w:cs="Times New Roman"/>
                      <w:b/>
                      <w:bCs/>
                      <w:color w:val="auto"/>
                      <w:sz w:val="21"/>
                      <w:szCs w:val="21"/>
                    </w:rPr>
                    <w:t>后全厂排放量</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t/a</w:t>
                  </w:r>
                  <w:r>
                    <w:rPr>
                      <w:rFonts w:hint="default" w:ascii="Times New Roman" w:hAnsi="Times New Roman" w:eastAsia="宋体" w:cs="Times New Roman"/>
                      <w:b/>
                      <w:bCs/>
                      <w:color w:val="auto"/>
                      <w:sz w:val="21"/>
                      <w:szCs w:val="21"/>
                      <w:lang w:eastAsia="zh-CN"/>
                    </w:rPr>
                    <w:t>）</w:t>
                  </w:r>
                </w:p>
              </w:tc>
              <w:tc>
                <w:tcPr>
                  <w:tcW w:w="1275" w:type="dxa"/>
                  <w:tcBorders>
                    <w:top w:val="single" w:color="auto" w:sz="4" w:space="0"/>
                    <w:left w:val="single" w:color="auto" w:sz="4" w:space="0"/>
                    <w:right w:val="single" w:color="auto" w:sz="4" w:space="0"/>
                  </w:tcBorders>
                  <w:noWrap w:val="0"/>
                  <w:vAlign w:val="center"/>
                </w:tcPr>
                <w:p w14:paraId="265A0819">
                  <w:pPr>
                    <w:pStyle w:val="58"/>
                    <w:spacing w:beforeLines="0" w:afterLines="0" w:line="280" w:lineRule="exact"/>
                    <w:ind w:firstLine="0"/>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变化量</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t/a</w:t>
                  </w:r>
                  <w:r>
                    <w:rPr>
                      <w:rFonts w:hint="default" w:ascii="Times New Roman" w:hAnsi="Times New Roman" w:eastAsia="宋体" w:cs="Times New Roman"/>
                      <w:b/>
                      <w:bCs/>
                      <w:color w:val="auto"/>
                      <w:sz w:val="21"/>
                      <w:szCs w:val="21"/>
                      <w:lang w:eastAsia="zh-CN"/>
                    </w:rPr>
                    <w:t>）</w:t>
                  </w:r>
                </w:p>
              </w:tc>
            </w:tr>
            <w:tr w14:paraId="62B3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673" w:type="dxa"/>
                  <w:vMerge w:val="restart"/>
                  <w:tcBorders>
                    <w:left w:val="single" w:color="auto" w:sz="4" w:space="0"/>
                    <w:right w:val="single" w:color="auto" w:sz="4" w:space="0"/>
                  </w:tcBorders>
                  <w:noWrap w:val="0"/>
                  <w:vAlign w:val="center"/>
                </w:tcPr>
                <w:p w14:paraId="6F8F22DF">
                  <w:pPr>
                    <w:pStyle w:val="58"/>
                    <w:spacing w:beforeLines="0" w:afterLines="0" w:line="280" w:lineRule="exact"/>
                    <w:ind w:firstLine="0"/>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752" w:type="dxa"/>
                  <w:vMerge w:val="restart"/>
                  <w:tcBorders>
                    <w:left w:val="single" w:color="auto" w:sz="4" w:space="0"/>
                    <w:right w:val="single" w:color="auto" w:sz="4" w:space="0"/>
                  </w:tcBorders>
                  <w:noWrap w:val="0"/>
                  <w:vAlign w:val="center"/>
                </w:tcPr>
                <w:p w14:paraId="7D1895AB">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cs="Times New Roman" w:eastAsiaTheme="minorEastAsia"/>
                      <w:color w:val="000000" w:themeColor="text1"/>
                      <w:kern w:val="0"/>
                      <w:sz w:val="21"/>
                      <w:szCs w:val="21"/>
                      <w:lang w:val="en-US" w:eastAsia="zh-CN" w:bidi="ar-SA"/>
                      <w14:textFill>
                        <w14:solidFill>
                          <w14:schemeClr w14:val="tx1"/>
                        </w14:solidFill>
                      </w14:textFill>
                    </w:rPr>
                    <w:t>无组织</w:t>
                  </w:r>
                </w:p>
              </w:tc>
              <w:tc>
                <w:tcPr>
                  <w:tcW w:w="1050" w:type="dxa"/>
                  <w:tcBorders>
                    <w:top w:val="single" w:color="auto" w:sz="4" w:space="0"/>
                    <w:left w:val="single" w:color="auto" w:sz="4" w:space="0"/>
                    <w:right w:val="single" w:color="auto" w:sz="4" w:space="0"/>
                  </w:tcBorders>
                  <w:noWrap w:val="0"/>
                  <w:vAlign w:val="center"/>
                </w:tcPr>
                <w:p w14:paraId="5F56F9AB">
                  <w:pPr>
                    <w:pStyle w:val="58"/>
                    <w:spacing w:before="0" w:beforeLines="0" w:after="0" w:afterLines="0" w:line="280" w:lineRule="exact"/>
                    <w:ind w:left="0" w:leftChars="0" w:right="0" w:rightChars="0" w:firstLine="0" w:firstLineChars="0"/>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非甲烷总烃</w:t>
                  </w:r>
                </w:p>
              </w:tc>
              <w:tc>
                <w:tcPr>
                  <w:tcW w:w="1066" w:type="dxa"/>
                  <w:tcBorders>
                    <w:top w:val="single" w:color="auto" w:sz="4" w:space="0"/>
                    <w:left w:val="single" w:color="auto" w:sz="4" w:space="0"/>
                    <w:right w:val="single" w:color="auto" w:sz="4" w:space="0"/>
                  </w:tcBorders>
                  <w:noWrap w:val="0"/>
                  <w:vAlign w:val="center"/>
                </w:tcPr>
                <w:p w14:paraId="07FB86A6">
                  <w:pPr>
                    <w:pStyle w:val="58"/>
                    <w:spacing w:before="0" w:beforeLines="0" w:after="0" w:afterLines="0" w:line="280" w:lineRule="exact"/>
                    <w:ind w:left="0" w:leftChars="0" w:right="0" w:rightChars="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eastAsiaTheme="minorEastAsia"/>
                      <w:color w:val="000000" w:themeColor="text1"/>
                      <w:sz w:val="21"/>
                      <w:szCs w:val="21"/>
                      <w:lang w:val="en-US" w:eastAsia="zh-CN"/>
                      <w14:textFill>
                        <w14:solidFill>
                          <w14:schemeClr w14:val="tx1"/>
                        </w14:solidFill>
                      </w14:textFill>
                    </w:rPr>
                    <w:t>0</w:t>
                  </w:r>
                </w:p>
              </w:tc>
              <w:tc>
                <w:tcPr>
                  <w:tcW w:w="1170" w:type="dxa"/>
                  <w:tcBorders>
                    <w:top w:val="single" w:color="auto" w:sz="4" w:space="0"/>
                    <w:left w:val="single" w:color="auto" w:sz="4" w:space="0"/>
                    <w:right w:val="single" w:color="auto" w:sz="4" w:space="0"/>
                  </w:tcBorders>
                  <w:noWrap w:val="0"/>
                  <w:vAlign w:val="center"/>
                </w:tcPr>
                <w:p w14:paraId="532ED686">
                  <w:pPr>
                    <w:pStyle w:val="58"/>
                    <w:spacing w:before="0" w:beforeLines="0" w:after="0" w:afterLines="0" w:line="280" w:lineRule="exact"/>
                    <w:ind w:left="0" w:leftChars="0" w:right="0" w:rightChars="0" w:firstLine="0" w:firstLineChars="0"/>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w:t>
                  </w:r>
                  <w:r>
                    <w:rPr>
                      <w:rFonts w:hint="eastAsia" w:ascii="Times New Roman" w:cs="Times New Roman"/>
                      <w:i w:val="0"/>
                      <w:iCs w:val="0"/>
                      <w:color w:val="000000" w:themeColor="text1"/>
                      <w:kern w:val="0"/>
                      <w:sz w:val="21"/>
                      <w:szCs w:val="21"/>
                      <w:u w:val="none"/>
                      <w:lang w:val="en-US" w:eastAsia="zh-CN" w:bidi="ar"/>
                      <w14:textFill>
                        <w14:solidFill>
                          <w14:schemeClr w14:val="tx1"/>
                        </w14:solidFill>
                      </w14:textFill>
                    </w:rPr>
                    <w:t>0088</w:t>
                  </w:r>
                </w:p>
              </w:tc>
              <w:tc>
                <w:tcPr>
                  <w:tcW w:w="1200" w:type="dxa"/>
                  <w:tcBorders>
                    <w:left w:val="single" w:color="auto" w:sz="4" w:space="0"/>
                    <w:right w:val="single" w:color="auto" w:sz="4" w:space="0"/>
                  </w:tcBorders>
                  <w:noWrap w:val="0"/>
                  <w:vAlign w:val="center"/>
                </w:tcPr>
                <w:p w14:paraId="7C2EC298">
                  <w:pPr>
                    <w:spacing w:before="0" w:beforeLines="0" w:after="0" w:afterLines="0" w:line="280" w:lineRule="exact"/>
                    <w:ind w:left="0" w:leftChars="0" w:right="0" w:right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w:t>
                  </w:r>
                </w:p>
              </w:tc>
              <w:tc>
                <w:tcPr>
                  <w:tcW w:w="1230" w:type="dxa"/>
                  <w:tcBorders>
                    <w:left w:val="single" w:color="auto" w:sz="4" w:space="0"/>
                    <w:right w:val="single" w:color="auto" w:sz="4" w:space="0"/>
                  </w:tcBorders>
                  <w:noWrap w:val="0"/>
                  <w:vAlign w:val="center"/>
                </w:tcPr>
                <w:p w14:paraId="5CE12D1D">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w:t>
                  </w:r>
                  <w:r>
                    <w:rPr>
                      <w:rFonts w:hint="eastAsia" w:ascii="Times New Roman" w:cs="Times New Roman"/>
                      <w:i w:val="0"/>
                      <w:iCs w:val="0"/>
                      <w:color w:val="000000" w:themeColor="text1"/>
                      <w:kern w:val="0"/>
                      <w:sz w:val="21"/>
                      <w:szCs w:val="21"/>
                      <w:u w:val="none"/>
                      <w:lang w:val="en-US" w:eastAsia="zh-CN" w:bidi="ar"/>
                      <w14:textFill>
                        <w14:solidFill>
                          <w14:schemeClr w14:val="tx1"/>
                        </w14:solidFill>
                      </w14:textFill>
                    </w:rPr>
                    <w:t>0088</w:t>
                  </w:r>
                </w:p>
              </w:tc>
              <w:tc>
                <w:tcPr>
                  <w:tcW w:w="1275" w:type="dxa"/>
                  <w:tcBorders>
                    <w:left w:val="single" w:color="auto" w:sz="4" w:space="0"/>
                    <w:right w:val="single" w:color="auto" w:sz="4" w:space="0"/>
                  </w:tcBorders>
                  <w:noWrap w:val="0"/>
                  <w:vAlign w:val="center"/>
                </w:tcPr>
                <w:p w14:paraId="55CD5B44">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w:t>
                  </w:r>
                  <w:r>
                    <w:rPr>
                      <w:rFonts w:hint="eastAsia" w:ascii="Times New Roman" w:cs="Times New Roman"/>
                      <w:i w:val="0"/>
                      <w:iCs w:val="0"/>
                      <w:color w:val="000000" w:themeColor="text1"/>
                      <w:kern w:val="0"/>
                      <w:sz w:val="21"/>
                      <w:szCs w:val="21"/>
                      <w:u w:val="none"/>
                      <w:lang w:val="en-US" w:eastAsia="zh-CN" w:bidi="ar"/>
                      <w14:textFill>
                        <w14:solidFill>
                          <w14:schemeClr w14:val="tx1"/>
                        </w14:solidFill>
                      </w14:textFill>
                    </w:rPr>
                    <w:t>0088</w:t>
                  </w:r>
                </w:p>
              </w:tc>
            </w:tr>
            <w:tr w14:paraId="32B9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673" w:type="dxa"/>
                  <w:vMerge w:val="continue"/>
                  <w:tcBorders>
                    <w:left w:val="single" w:color="auto" w:sz="4" w:space="0"/>
                    <w:right w:val="single" w:color="auto" w:sz="4" w:space="0"/>
                  </w:tcBorders>
                  <w:noWrap w:val="0"/>
                  <w:vAlign w:val="center"/>
                </w:tcPr>
                <w:p w14:paraId="02999970">
                  <w:pPr>
                    <w:pStyle w:val="58"/>
                    <w:spacing w:beforeLines="0" w:afterLines="0" w:line="280" w:lineRule="exact"/>
                    <w:ind w:firstLine="0"/>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52" w:type="dxa"/>
                  <w:vMerge w:val="continue"/>
                  <w:tcBorders>
                    <w:left w:val="single" w:color="auto" w:sz="4" w:space="0"/>
                    <w:right w:val="single" w:color="auto" w:sz="4" w:space="0"/>
                  </w:tcBorders>
                  <w:noWrap w:val="0"/>
                  <w:vAlign w:val="center"/>
                </w:tcPr>
                <w:p w14:paraId="5D5C5DCD">
                  <w:pPr>
                    <w:pStyle w:val="58"/>
                    <w:spacing w:before="0" w:beforeLines="0" w:after="0" w:afterLines="0" w:line="280" w:lineRule="exact"/>
                    <w:ind w:left="0" w:leftChars="0" w:right="0" w:rightChars="0" w:firstLine="0"/>
                    <w:rPr>
                      <w:rFonts w:hint="eastAsia" w:ascii="Times New Roman" w:cs="Times New Roman" w:eastAsiaTheme="minorEastAsia"/>
                      <w:color w:val="000000" w:themeColor="text1"/>
                      <w:kern w:val="0"/>
                      <w:sz w:val="21"/>
                      <w:szCs w:val="21"/>
                      <w:lang w:val="en-US" w:eastAsia="zh-CN" w:bidi="ar-SA"/>
                      <w14:textFill>
                        <w14:solidFill>
                          <w14:schemeClr w14:val="tx1"/>
                        </w14:solidFill>
                      </w14:textFill>
                    </w:rPr>
                  </w:pPr>
                </w:p>
              </w:tc>
              <w:tc>
                <w:tcPr>
                  <w:tcW w:w="1050" w:type="dxa"/>
                  <w:tcBorders>
                    <w:top w:val="single" w:color="auto" w:sz="4" w:space="0"/>
                    <w:left w:val="single" w:color="auto" w:sz="4" w:space="0"/>
                    <w:right w:val="single" w:color="auto" w:sz="4" w:space="0"/>
                  </w:tcBorders>
                  <w:noWrap w:val="0"/>
                  <w:vAlign w:val="center"/>
                </w:tcPr>
                <w:p w14:paraId="7B7505EF">
                  <w:pPr>
                    <w:pStyle w:val="58"/>
                    <w:spacing w:before="0" w:beforeLines="0" w:after="0" w:afterLines="0" w:line="280" w:lineRule="exact"/>
                    <w:ind w:left="0" w:leftChars="0" w:right="0" w:rightChars="0" w:firstLine="0" w:firstLineChars="0"/>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颗粒物</w:t>
                  </w:r>
                </w:p>
              </w:tc>
              <w:tc>
                <w:tcPr>
                  <w:tcW w:w="1066" w:type="dxa"/>
                  <w:tcBorders>
                    <w:top w:val="single" w:color="auto" w:sz="4" w:space="0"/>
                    <w:left w:val="single" w:color="auto" w:sz="4" w:space="0"/>
                    <w:right w:val="single" w:color="auto" w:sz="4" w:space="0"/>
                  </w:tcBorders>
                  <w:shd w:val="clear" w:color="auto" w:fill="auto"/>
                  <w:noWrap w:val="0"/>
                  <w:vAlign w:val="center"/>
                </w:tcPr>
                <w:p w14:paraId="3D9EAA29">
                  <w:pPr>
                    <w:pStyle w:val="58"/>
                    <w:spacing w:before="0" w:beforeLines="0" w:after="0" w:afterLines="0" w:line="280" w:lineRule="exact"/>
                    <w:ind w:left="0" w:leftChars="0" w:right="0" w:rightChars="0" w:firstLine="0"/>
                    <w:jc w:val="center"/>
                    <w:rPr>
                      <w:rFonts w:hint="default" w:asci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eastAsiaTheme="minorEastAsia"/>
                      <w:color w:val="000000" w:themeColor="text1"/>
                      <w:sz w:val="21"/>
                      <w:szCs w:val="21"/>
                      <w:lang w:val="en-US" w:eastAsia="zh-CN"/>
                      <w14:textFill>
                        <w14:solidFill>
                          <w14:schemeClr w14:val="tx1"/>
                        </w14:solidFill>
                      </w14:textFill>
                    </w:rPr>
                    <w:t>7.6012</w:t>
                  </w:r>
                </w:p>
              </w:tc>
              <w:tc>
                <w:tcPr>
                  <w:tcW w:w="1170" w:type="dxa"/>
                  <w:tcBorders>
                    <w:top w:val="single" w:color="auto" w:sz="4" w:space="0"/>
                    <w:left w:val="single" w:color="auto" w:sz="4" w:space="0"/>
                    <w:right w:val="single" w:color="auto" w:sz="4" w:space="0"/>
                  </w:tcBorders>
                  <w:shd w:val="clear" w:color="auto" w:fill="auto"/>
                  <w:noWrap w:val="0"/>
                  <w:vAlign w:val="center"/>
                </w:tcPr>
                <w:p w14:paraId="3DDF0D34">
                  <w:pPr>
                    <w:pStyle w:val="58"/>
                    <w:spacing w:before="0" w:beforeLines="0" w:after="0" w:afterLines="0" w:line="280" w:lineRule="exact"/>
                    <w:ind w:left="0" w:leftChars="0" w:right="0" w:rightChars="0" w:firstLine="0"/>
                    <w:jc w:val="center"/>
                    <w:rPr>
                      <w:rFonts w:hint="default" w:asci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cs="Times New Roman" w:eastAsiaTheme="minorEastAsia"/>
                      <w:color w:val="000000" w:themeColor="text1"/>
                      <w:sz w:val="21"/>
                      <w:szCs w:val="21"/>
                      <w:lang w:val="en-US" w:eastAsia="zh-CN"/>
                      <w14:textFill>
                        <w14:solidFill>
                          <w14:schemeClr w14:val="tx1"/>
                        </w14:solidFill>
                      </w14:textFill>
                    </w:rPr>
                    <w:t>0.9148</w:t>
                  </w:r>
                </w:p>
              </w:tc>
              <w:tc>
                <w:tcPr>
                  <w:tcW w:w="1200" w:type="dxa"/>
                  <w:tcBorders>
                    <w:left w:val="single" w:color="auto" w:sz="4" w:space="0"/>
                    <w:right w:val="single" w:color="auto" w:sz="4" w:space="0"/>
                  </w:tcBorders>
                  <w:shd w:val="clear" w:color="auto" w:fill="auto"/>
                  <w:noWrap w:val="0"/>
                  <w:vAlign w:val="center"/>
                </w:tcPr>
                <w:p w14:paraId="1A8E7A08">
                  <w:pPr>
                    <w:pStyle w:val="58"/>
                    <w:spacing w:before="0" w:beforeLines="0" w:after="0" w:afterLines="0" w:line="280" w:lineRule="exact"/>
                    <w:ind w:left="0" w:leftChars="0" w:right="0" w:rightChars="0" w:firstLine="0"/>
                    <w:jc w:val="center"/>
                    <w:rPr>
                      <w:rFonts w:hint="default" w:asci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eastAsiaTheme="minorEastAsia"/>
                      <w:color w:val="000000" w:themeColor="text1"/>
                      <w:sz w:val="21"/>
                      <w:szCs w:val="21"/>
                      <w:lang w:val="en-US" w:eastAsia="zh-CN"/>
                      <w14:textFill>
                        <w14:solidFill>
                          <w14:schemeClr w14:val="tx1"/>
                        </w14:solidFill>
                      </w14:textFill>
                    </w:rPr>
                    <w:t>7.6012</w:t>
                  </w:r>
                </w:p>
              </w:tc>
              <w:tc>
                <w:tcPr>
                  <w:tcW w:w="1230" w:type="dxa"/>
                  <w:tcBorders>
                    <w:left w:val="single" w:color="auto" w:sz="4" w:space="0"/>
                    <w:right w:val="single" w:color="auto" w:sz="4" w:space="0"/>
                  </w:tcBorders>
                  <w:shd w:val="clear" w:color="auto" w:fill="auto"/>
                  <w:noWrap w:val="0"/>
                  <w:vAlign w:val="center"/>
                </w:tcPr>
                <w:p w14:paraId="5717D63A">
                  <w:pPr>
                    <w:pStyle w:val="58"/>
                    <w:spacing w:before="0" w:beforeLines="0" w:after="0" w:afterLines="0" w:line="280" w:lineRule="exact"/>
                    <w:ind w:left="0" w:leftChars="0" w:right="0" w:rightChars="0" w:firstLine="0"/>
                    <w:jc w:val="center"/>
                    <w:rPr>
                      <w:rFonts w:hint="default" w:asci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cs="Times New Roman" w:eastAsiaTheme="minorEastAsia"/>
                      <w:color w:val="000000" w:themeColor="text1"/>
                      <w:sz w:val="21"/>
                      <w:szCs w:val="21"/>
                      <w:lang w:val="en-US" w:eastAsia="zh-CN"/>
                      <w14:textFill>
                        <w14:solidFill>
                          <w14:schemeClr w14:val="tx1"/>
                        </w14:solidFill>
                      </w14:textFill>
                    </w:rPr>
                    <w:t>0.9148</w:t>
                  </w:r>
                </w:p>
              </w:tc>
              <w:tc>
                <w:tcPr>
                  <w:tcW w:w="1275" w:type="dxa"/>
                  <w:tcBorders>
                    <w:left w:val="single" w:color="auto" w:sz="4" w:space="0"/>
                    <w:right w:val="single" w:color="auto" w:sz="4" w:space="0"/>
                  </w:tcBorders>
                  <w:shd w:val="clear" w:color="auto" w:fill="auto"/>
                  <w:noWrap w:val="0"/>
                  <w:vAlign w:val="center"/>
                </w:tcPr>
                <w:p w14:paraId="0745667E">
                  <w:pPr>
                    <w:pStyle w:val="58"/>
                    <w:spacing w:before="0" w:beforeLines="0" w:after="0" w:afterLines="0" w:line="280" w:lineRule="exact"/>
                    <w:ind w:left="0" w:leftChars="0" w:right="0" w:rightChars="0" w:firstLine="0"/>
                    <w:jc w:val="center"/>
                    <w:rPr>
                      <w:rFonts w:hint="default" w:asci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eastAsiaTheme="minorEastAsia"/>
                      <w:color w:val="000000" w:themeColor="text1"/>
                      <w:sz w:val="21"/>
                      <w:szCs w:val="21"/>
                      <w:lang w:val="en-US" w:eastAsia="zh-CN"/>
                      <w14:textFill>
                        <w14:solidFill>
                          <w14:schemeClr w14:val="tx1"/>
                        </w14:solidFill>
                      </w14:textFill>
                    </w:rPr>
                    <w:t>-6.6864</w:t>
                  </w:r>
                </w:p>
              </w:tc>
            </w:tr>
            <w:tr w14:paraId="4E31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tcBorders>
                    <w:left w:val="single" w:color="auto" w:sz="4" w:space="0"/>
                    <w:right w:val="single" w:color="auto" w:sz="4" w:space="0"/>
                  </w:tcBorders>
                  <w:noWrap w:val="0"/>
                  <w:vAlign w:val="center"/>
                </w:tcPr>
                <w:p w14:paraId="4150A418">
                  <w:pPr>
                    <w:pStyle w:val="58"/>
                    <w:spacing w:beforeLines="0" w:afterLines="0" w:line="280" w:lineRule="exact"/>
                    <w:ind w:firstLine="0"/>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52" w:type="dxa"/>
                  <w:vMerge w:val="restart"/>
                  <w:tcBorders>
                    <w:left w:val="single" w:color="auto" w:sz="4" w:space="0"/>
                    <w:right w:val="single" w:color="auto" w:sz="4" w:space="0"/>
                  </w:tcBorders>
                  <w:shd w:val="clear" w:color="auto" w:fill="auto"/>
                  <w:noWrap w:val="0"/>
                  <w:vAlign w:val="center"/>
                </w:tcPr>
                <w:p w14:paraId="6E4F8400">
                  <w:pPr>
                    <w:pStyle w:val="58"/>
                    <w:spacing w:before="0" w:beforeLines="0" w:after="0" w:afterLines="0" w:line="280" w:lineRule="exact"/>
                    <w:ind w:left="0" w:leftChars="0" w:right="0" w:rightChars="0" w:firstLine="0" w:firstLineChars="0"/>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eastAsiaTheme="minorEastAsia"/>
                      <w:color w:val="000000" w:themeColor="text1"/>
                      <w:kern w:val="0"/>
                      <w:sz w:val="21"/>
                      <w:szCs w:val="21"/>
                      <w:highlight w:val="none"/>
                      <w:lang w:val="en-US" w:eastAsia="zh-CN" w:bidi="ar-SA"/>
                      <w14:textFill>
                        <w14:solidFill>
                          <w14:schemeClr w14:val="tx1"/>
                        </w14:solidFill>
                      </w14:textFill>
                    </w:rPr>
                    <w:t>有组织</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C59F228">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非甲烷总烃</w:t>
                  </w:r>
                </w:p>
              </w:tc>
              <w:tc>
                <w:tcPr>
                  <w:tcW w:w="1066" w:type="dxa"/>
                  <w:tcBorders>
                    <w:top w:val="single" w:color="auto" w:sz="4" w:space="0"/>
                    <w:left w:val="single" w:color="auto" w:sz="4" w:space="0"/>
                    <w:right w:val="single" w:color="auto" w:sz="4" w:space="0"/>
                  </w:tcBorders>
                  <w:noWrap w:val="0"/>
                  <w:vAlign w:val="center"/>
                </w:tcPr>
                <w:p w14:paraId="6AAEC886">
                  <w:pPr>
                    <w:spacing w:beforeLines="0" w:afterLines="0" w:line="320" w:lineRule="exact"/>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1170" w:type="dxa"/>
                  <w:tcBorders>
                    <w:top w:val="single" w:color="auto" w:sz="4" w:space="0"/>
                    <w:left w:val="single" w:color="auto" w:sz="4" w:space="0"/>
                    <w:right w:val="single" w:color="auto" w:sz="4" w:space="0"/>
                  </w:tcBorders>
                  <w:noWrap w:val="0"/>
                  <w:vAlign w:val="center"/>
                </w:tcPr>
                <w:p w14:paraId="13FB2988">
                  <w:pPr>
                    <w:widowControl/>
                    <w:spacing w:beforeLines="0" w:afterLine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0.075</w:t>
                  </w:r>
                </w:p>
              </w:tc>
              <w:tc>
                <w:tcPr>
                  <w:tcW w:w="1200" w:type="dxa"/>
                  <w:tcBorders>
                    <w:left w:val="single" w:color="auto" w:sz="4" w:space="0"/>
                    <w:right w:val="single" w:color="auto" w:sz="4" w:space="0"/>
                  </w:tcBorders>
                  <w:noWrap w:val="0"/>
                  <w:vAlign w:val="center"/>
                </w:tcPr>
                <w:p w14:paraId="71AD1926">
                  <w:pPr>
                    <w:spacing w:before="0" w:beforeLines="0" w:after="0" w:afterLines="0" w:line="280" w:lineRule="exact"/>
                    <w:ind w:left="0" w:leftChars="0" w:right="0" w:rightChar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0</w:t>
                  </w:r>
                </w:p>
              </w:tc>
              <w:tc>
                <w:tcPr>
                  <w:tcW w:w="1230" w:type="dxa"/>
                  <w:tcBorders>
                    <w:left w:val="single" w:color="auto" w:sz="4" w:space="0"/>
                    <w:right w:val="single" w:color="auto" w:sz="4" w:space="0"/>
                  </w:tcBorders>
                  <w:noWrap w:val="0"/>
                  <w:vAlign w:val="center"/>
                </w:tcPr>
                <w:p w14:paraId="337C9167">
                  <w:pPr>
                    <w:widowControl/>
                    <w:spacing w:beforeLines="0" w:afterLine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75</w:t>
                  </w:r>
                </w:p>
              </w:tc>
              <w:tc>
                <w:tcPr>
                  <w:tcW w:w="1275" w:type="dxa"/>
                  <w:tcBorders>
                    <w:left w:val="single" w:color="auto" w:sz="4" w:space="0"/>
                    <w:right w:val="single" w:color="auto" w:sz="4" w:space="0"/>
                  </w:tcBorders>
                  <w:noWrap w:val="0"/>
                  <w:vAlign w:val="center"/>
                </w:tcPr>
                <w:p w14:paraId="1022267A">
                  <w:pPr>
                    <w:widowControl/>
                    <w:spacing w:beforeLines="0" w:afterLine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75</w:t>
                  </w:r>
                </w:p>
              </w:tc>
            </w:tr>
            <w:tr w14:paraId="291E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3" w:type="dxa"/>
                  <w:vMerge w:val="continue"/>
                  <w:tcBorders>
                    <w:left w:val="single" w:color="auto" w:sz="4" w:space="0"/>
                    <w:right w:val="single" w:color="auto" w:sz="4" w:space="0"/>
                  </w:tcBorders>
                  <w:noWrap w:val="0"/>
                  <w:vAlign w:val="center"/>
                </w:tcPr>
                <w:p w14:paraId="5BA6398A">
                  <w:pPr>
                    <w:pStyle w:val="58"/>
                    <w:spacing w:before="0" w:beforeLines="0" w:after="0" w:afterLines="0" w:line="280" w:lineRule="exact"/>
                    <w:ind w:left="0" w:leftChars="0" w:right="0" w:rightChars="0" w:firstLine="0"/>
                    <w:rPr>
                      <w:color w:val="000000" w:themeColor="text1"/>
                      <w14:textFill>
                        <w14:solidFill>
                          <w14:schemeClr w14:val="tx1"/>
                        </w14:solidFill>
                      </w14:textFill>
                    </w:rPr>
                  </w:pPr>
                </w:p>
              </w:tc>
              <w:tc>
                <w:tcPr>
                  <w:tcW w:w="752" w:type="dxa"/>
                  <w:vMerge w:val="continue"/>
                  <w:tcBorders>
                    <w:left w:val="single" w:color="auto" w:sz="4" w:space="0"/>
                    <w:right w:val="single" w:color="auto" w:sz="4" w:space="0"/>
                  </w:tcBorders>
                  <w:shd w:val="clear" w:color="auto" w:fill="auto"/>
                  <w:noWrap w:val="0"/>
                  <w:vAlign w:val="center"/>
                </w:tcPr>
                <w:p w14:paraId="60DB0483">
                  <w:pPr>
                    <w:pStyle w:val="58"/>
                    <w:spacing w:before="0" w:beforeLines="0" w:after="0" w:afterLines="0" w:line="280" w:lineRule="exact"/>
                    <w:ind w:left="0" w:leftChars="0" w:right="0" w:rightChars="0" w:firstLine="0"/>
                    <w:rPr>
                      <w:color w:val="000000" w:themeColor="text1"/>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AE8DCD1">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颗粒物</w:t>
                  </w:r>
                </w:p>
              </w:tc>
              <w:tc>
                <w:tcPr>
                  <w:tcW w:w="1066" w:type="dxa"/>
                  <w:tcBorders>
                    <w:left w:val="single" w:color="auto" w:sz="4" w:space="0"/>
                    <w:bottom w:val="single" w:color="auto" w:sz="4" w:space="0"/>
                    <w:right w:val="single" w:color="auto" w:sz="4" w:space="0"/>
                  </w:tcBorders>
                  <w:noWrap w:val="0"/>
                  <w:vAlign w:val="center"/>
                </w:tcPr>
                <w:p w14:paraId="7055B62E">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170" w:type="dxa"/>
                  <w:tcBorders>
                    <w:left w:val="single" w:color="auto" w:sz="4" w:space="0"/>
                    <w:bottom w:val="single" w:color="auto" w:sz="4" w:space="0"/>
                    <w:right w:val="single" w:color="auto" w:sz="4" w:space="0"/>
                  </w:tcBorders>
                  <w:noWrap w:val="0"/>
                  <w:vAlign w:val="center"/>
                </w:tcPr>
                <w:p w14:paraId="46305CF3">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cs="Times New Roman" w:eastAsiaTheme="minorEastAsia"/>
                      <w:color w:val="000000" w:themeColor="text1"/>
                      <w:sz w:val="21"/>
                      <w:szCs w:val="21"/>
                      <w:highlight w:val="none"/>
                      <w:lang w:val="en-US" w:eastAsia="zh-CN"/>
                      <w14:textFill>
                        <w14:solidFill>
                          <w14:schemeClr w14:val="tx1"/>
                        </w14:solidFill>
                      </w14:textFill>
                    </w:rPr>
                    <w:t>0.86</w:t>
                  </w:r>
                </w:p>
              </w:tc>
              <w:tc>
                <w:tcPr>
                  <w:tcW w:w="1200" w:type="dxa"/>
                  <w:tcBorders>
                    <w:left w:val="single" w:color="auto" w:sz="4" w:space="0"/>
                    <w:right w:val="single" w:color="auto" w:sz="4" w:space="0"/>
                  </w:tcBorders>
                  <w:noWrap w:val="0"/>
                  <w:vAlign w:val="center"/>
                </w:tcPr>
                <w:p w14:paraId="039EA646">
                  <w:pPr>
                    <w:spacing w:before="0" w:beforeLines="0" w:after="0" w:afterLines="0" w:line="280" w:lineRule="exact"/>
                    <w:ind w:left="0" w:leftChars="0" w:right="0" w:right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0</w:t>
                  </w:r>
                </w:p>
              </w:tc>
              <w:tc>
                <w:tcPr>
                  <w:tcW w:w="1230" w:type="dxa"/>
                  <w:tcBorders>
                    <w:left w:val="single" w:color="auto" w:sz="4" w:space="0"/>
                    <w:right w:val="single" w:color="auto" w:sz="4" w:space="0"/>
                  </w:tcBorders>
                  <w:noWrap w:val="0"/>
                  <w:vAlign w:val="center"/>
                </w:tcPr>
                <w:p w14:paraId="2DDAABE3">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cs="Times New Roman" w:eastAsiaTheme="minorEastAsia"/>
                      <w:color w:val="000000" w:themeColor="text1"/>
                      <w:sz w:val="21"/>
                      <w:szCs w:val="21"/>
                      <w:highlight w:val="none"/>
                      <w:lang w:val="en-US" w:eastAsia="zh-CN"/>
                      <w14:textFill>
                        <w14:solidFill>
                          <w14:schemeClr w14:val="tx1"/>
                        </w14:solidFill>
                      </w14:textFill>
                    </w:rPr>
                    <w:t>0.86</w:t>
                  </w:r>
                </w:p>
              </w:tc>
              <w:tc>
                <w:tcPr>
                  <w:tcW w:w="1275" w:type="dxa"/>
                  <w:tcBorders>
                    <w:left w:val="single" w:color="auto" w:sz="4" w:space="0"/>
                    <w:right w:val="single" w:color="auto" w:sz="4" w:space="0"/>
                  </w:tcBorders>
                  <w:noWrap w:val="0"/>
                  <w:vAlign w:val="center"/>
                </w:tcPr>
                <w:p w14:paraId="7BEFE870">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cs="Times New Roman" w:eastAsiaTheme="minorEastAsia"/>
                      <w:color w:val="000000" w:themeColor="text1"/>
                      <w:sz w:val="21"/>
                      <w:szCs w:val="21"/>
                      <w:highlight w:val="none"/>
                      <w:lang w:val="en-US" w:eastAsia="zh-CN"/>
                      <w14:textFill>
                        <w14:solidFill>
                          <w14:schemeClr w14:val="tx1"/>
                        </w14:solidFill>
                      </w14:textFill>
                    </w:rPr>
                    <w:t>+0.86</w:t>
                  </w:r>
                </w:p>
              </w:tc>
            </w:tr>
            <w:tr w14:paraId="32E8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3" w:type="dxa"/>
                  <w:vMerge w:val="restart"/>
                  <w:tcBorders>
                    <w:left w:val="single" w:color="auto" w:sz="4" w:space="0"/>
                    <w:right w:val="single" w:color="auto" w:sz="4" w:space="0"/>
                  </w:tcBorders>
                  <w:noWrap w:val="0"/>
                  <w:vAlign w:val="center"/>
                </w:tcPr>
                <w:p w14:paraId="1E0426C8">
                  <w:pPr>
                    <w:pStyle w:val="58"/>
                    <w:spacing w:beforeLines="0" w:afterLines="0" w:line="280" w:lineRule="exact"/>
                    <w:ind w:firstLine="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废水</w:t>
                  </w:r>
                </w:p>
              </w:tc>
              <w:tc>
                <w:tcPr>
                  <w:tcW w:w="752" w:type="dxa"/>
                  <w:vMerge w:val="restart"/>
                  <w:tcBorders>
                    <w:left w:val="single" w:color="auto" w:sz="4" w:space="0"/>
                    <w:right w:val="single" w:color="auto" w:sz="4" w:space="0"/>
                  </w:tcBorders>
                  <w:noWrap w:val="0"/>
                  <w:vAlign w:val="center"/>
                </w:tcPr>
                <w:p w14:paraId="7D87E800">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生活</w:t>
                  </w:r>
                </w:p>
                <w:p w14:paraId="1B4B1BB4">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污水</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69B1AA5">
                  <w:pPr>
                    <w:spacing w:before="0" w:beforeLines="0" w:after="0" w:afterLines="0" w:line="280" w:lineRule="exact"/>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废水</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63E58832">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720</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2898BD76">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144</w:t>
                  </w:r>
                </w:p>
              </w:tc>
              <w:tc>
                <w:tcPr>
                  <w:tcW w:w="1200" w:type="dxa"/>
                  <w:tcBorders>
                    <w:left w:val="single" w:color="auto" w:sz="4" w:space="0"/>
                    <w:right w:val="single" w:color="auto" w:sz="4" w:space="0"/>
                  </w:tcBorders>
                  <w:noWrap w:val="0"/>
                  <w:vAlign w:val="center"/>
                </w:tcPr>
                <w:p w14:paraId="032E625E">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w:t>
                  </w:r>
                </w:p>
              </w:tc>
              <w:tc>
                <w:tcPr>
                  <w:tcW w:w="1230" w:type="dxa"/>
                  <w:tcBorders>
                    <w:left w:val="single" w:color="auto" w:sz="4" w:space="0"/>
                    <w:right w:val="single" w:color="auto" w:sz="4" w:space="0"/>
                  </w:tcBorders>
                  <w:noWrap w:val="0"/>
                  <w:vAlign w:val="center"/>
                </w:tcPr>
                <w:p w14:paraId="3B9D5023">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864</w:t>
                  </w:r>
                </w:p>
              </w:tc>
              <w:tc>
                <w:tcPr>
                  <w:tcW w:w="1275" w:type="dxa"/>
                  <w:tcBorders>
                    <w:left w:val="single" w:color="auto" w:sz="4" w:space="0"/>
                    <w:right w:val="single" w:color="auto" w:sz="4" w:space="0"/>
                  </w:tcBorders>
                  <w:noWrap w:val="0"/>
                  <w:vAlign w:val="center"/>
                </w:tcPr>
                <w:p w14:paraId="137ECD9B">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r>
                    <w:rPr>
                      <w:rFonts w:hint="eastAsia" w:cs="Times New Roman" w:eastAsiaTheme="minorEastAsia"/>
                      <w:color w:val="auto"/>
                      <w:kern w:val="2"/>
                      <w:sz w:val="21"/>
                      <w:szCs w:val="21"/>
                      <w:lang w:val="en-US" w:eastAsia="zh-CN" w:bidi="ar-SA"/>
                    </w:rPr>
                    <w:t>144</w:t>
                  </w:r>
                </w:p>
              </w:tc>
            </w:tr>
            <w:tr w14:paraId="5E65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3" w:type="dxa"/>
                  <w:vMerge w:val="continue"/>
                  <w:tcBorders>
                    <w:left w:val="single" w:color="auto" w:sz="4" w:space="0"/>
                    <w:right w:val="single" w:color="auto" w:sz="4" w:space="0"/>
                  </w:tcBorders>
                  <w:noWrap w:val="0"/>
                  <w:vAlign w:val="center"/>
                </w:tcPr>
                <w:p w14:paraId="69DB997A">
                  <w:pPr>
                    <w:pStyle w:val="58"/>
                    <w:spacing w:beforeLines="0" w:afterLines="0" w:line="280" w:lineRule="exact"/>
                    <w:ind w:firstLine="0"/>
                    <w:rPr>
                      <w:rFonts w:hint="default" w:ascii="Times New Roman" w:hAnsi="Times New Roman" w:cs="Times New Roman" w:eastAsiaTheme="minorEastAsia"/>
                      <w:color w:val="auto"/>
                      <w:kern w:val="2"/>
                      <w:sz w:val="21"/>
                      <w:szCs w:val="21"/>
                      <w:lang w:val="en-US" w:eastAsia="zh-CN" w:bidi="ar-SA"/>
                    </w:rPr>
                  </w:pPr>
                </w:p>
              </w:tc>
              <w:tc>
                <w:tcPr>
                  <w:tcW w:w="752" w:type="dxa"/>
                  <w:vMerge w:val="continue"/>
                  <w:tcBorders>
                    <w:left w:val="single" w:color="auto" w:sz="4" w:space="0"/>
                    <w:right w:val="single" w:color="auto" w:sz="4" w:space="0"/>
                  </w:tcBorders>
                  <w:noWrap w:val="0"/>
                  <w:vAlign w:val="center"/>
                </w:tcPr>
                <w:p w14:paraId="7839D84A">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auto"/>
                      <w:kern w:val="2"/>
                      <w:sz w:val="21"/>
                      <w:szCs w:val="21"/>
                      <w:lang w:val="en-US" w:eastAsia="zh-CN" w:bidi="ar-SA"/>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AE0F875">
                  <w:pPr>
                    <w:spacing w:before="0" w:beforeLines="0" w:after="0" w:afterLines="0" w:line="280" w:lineRule="exact"/>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COD</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730437B2">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0.216</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266B270D">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w:t>
                  </w:r>
                  <w:r>
                    <w:rPr>
                      <w:rFonts w:hint="eastAsia" w:cs="Times New Roman" w:eastAsiaTheme="minorEastAsia"/>
                      <w:color w:val="auto"/>
                      <w:kern w:val="2"/>
                      <w:sz w:val="21"/>
                      <w:szCs w:val="21"/>
                      <w:lang w:val="en-US" w:eastAsia="zh-CN" w:bidi="ar-SA"/>
                    </w:rPr>
                    <w:t>.0432</w:t>
                  </w:r>
                </w:p>
              </w:tc>
              <w:tc>
                <w:tcPr>
                  <w:tcW w:w="1200" w:type="dxa"/>
                  <w:tcBorders>
                    <w:left w:val="single" w:color="auto" w:sz="4" w:space="0"/>
                    <w:right w:val="single" w:color="auto" w:sz="4" w:space="0"/>
                  </w:tcBorders>
                  <w:noWrap w:val="0"/>
                  <w:vAlign w:val="center"/>
                </w:tcPr>
                <w:p w14:paraId="2C643CA9">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w:t>
                  </w:r>
                </w:p>
              </w:tc>
              <w:tc>
                <w:tcPr>
                  <w:tcW w:w="1230" w:type="dxa"/>
                  <w:tcBorders>
                    <w:left w:val="single" w:color="auto" w:sz="4" w:space="0"/>
                    <w:right w:val="single" w:color="auto" w:sz="4" w:space="0"/>
                  </w:tcBorders>
                  <w:noWrap w:val="0"/>
                  <w:vAlign w:val="center"/>
                </w:tcPr>
                <w:p w14:paraId="4F3C8579">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0.2592</w:t>
                  </w:r>
                </w:p>
              </w:tc>
              <w:tc>
                <w:tcPr>
                  <w:tcW w:w="1275" w:type="dxa"/>
                  <w:tcBorders>
                    <w:left w:val="single" w:color="auto" w:sz="4" w:space="0"/>
                    <w:right w:val="single" w:color="auto" w:sz="4" w:space="0"/>
                  </w:tcBorders>
                  <w:noWrap w:val="0"/>
                  <w:vAlign w:val="center"/>
                </w:tcPr>
                <w:p w14:paraId="5CC5FC99">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r>
                    <w:rPr>
                      <w:rFonts w:hint="default" w:ascii="Times New Roman" w:hAnsi="Times New Roman" w:cs="Times New Roman" w:eastAsiaTheme="minorEastAsia"/>
                      <w:color w:val="auto"/>
                      <w:kern w:val="2"/>
                      <w:sz w:val="21"/>
                      <w:szCs w:val="21"/>
                      <w:lang w:val="en-US" w:eastAsia="zh-CN" w:bidi="ar-SA"/>
                    </w:rPr>
                    <w:t>0</w:t>
                  </w:r>
                  <w:r>
                    <w:rPr>
                      <w:rFonts w:hint="eastAsia" w:cs="Times New Roman" w:eastAsiaTheme="minorEastAsia"/>
                      <w:color w:val="auto"/>
                      <w:kern w:val="2"/>
                      <w:sz w:val="21"/>
                      <w:szCs w:val="21"/>
                      <w:lang w:val="en-US" w:eastAsia="zh-CN" w:bidi="ar-SA"/>
                    </w:rPr>
                    <w:t>.0432</w:t>
                  </w:r>
                </w:p>
              </w:tc>
            </w:tr>
            <w:tr w14:paraId="4DBC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3" w:type="dxa"/>
                  <w:vMerge w:val="continue"/>
                  <w:tcBorders>
                    <w:left w:val="single" w:color="auto" w:sz="4" w:space="0"/>
                    <w:right w:val="single" w:color="auto" w:sz="4" w:space="0"/>
                  </w:tcBorders>
                  <w:noWrap w:val="0"/>
                  <w:vAlign w:val="center"/>
                </w:tcPr>
                <w:p w14:paraId="7962EC6D">
                  <w:pPr>
                    <w:pStyle w:val="58"/>
                    <w:spacing w:beforeLines="0" w:afterLines="0" w:line="280" w:lineRule="exact"/>
                    <w:ind w:firstLine="0"/>
                    <w:rPr>
                      <w:rFonts w:hint="default" w:ascii="Times New Roman" w:hAnsi="Times New Roman" w:cs="Times New Roman" w:eastAsiaTheme="minorEastAsia"/>
                      <w:color w:val="auto"/>
                      <w:kern w:val="2"/>
                      <w:sz w:val="21"/>
                      <w:szCs w:val="21"/>
                      <w:lang w:val="en-US" w:eastAsia="zh-CN" w:bidi="ar-SA"/>
                    </w:rPr>
                  </w:pPr>
                </w:p>
              </w:tc>
              <w:tc>
                <w:tcPr>
                  <w:tcW w:w="752" w:type="dxa"/>
                  <w:vMerge w:val="continue"/>
                  <w:tcBorders>
                    <w:left w:val="single" w:color="auto" w:sz="4" w:space="0"/>
                    <w:right w:val="single" w:color="auto" w:sz="4" w:space="0"/>
                  </w:tcBorders>
                  <w:noWrap w:val="0"/>
                  <w:vAlign w:val="center"/>
                </w:tcPr>
                <w:p w14:paraId="699A768F">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auto"/>
                      <w:kern w:val="2"/>
                      <w:sz w:val="21"/>
                      <w:szCs w:val="21"/>
                      <w:lang w:val="en-US" w:eastAsia="zh-CN" w:bidi="ar-SA"/>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E1550A0">
                  <w:pPr>
                    <w:spacing w:before="0" w:beforeLines="0" w:after="0" w:afterLines="0" w:line="280" w:lineRule="exact"/>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氨氮</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07048570">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0.0252</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6B74085D">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w:t>
                  </w:r>
                  <w:r>
                    <w:rPr>
                      <w:rFonts w:hint="eastAsia" w:cs="Times New Roman" w:eastAsiaTheme="minorEastAsia"/>
                      <w:color w:val="auto"/>
                      <w:kern w:val="2"/>
                      <w:sz w:val="21"/>
                      <w:szCs w:val="21"/>
                      <w:lang w:val="en-US" w:eastAsia="zh-CN" w:bidi="ar-SA"/>
                    </w:rPr>
                    <w:t>.00504</w:t>
                  </w:r>
                </w:p>
              </w:tc>
              <w:tc>
                <w:tcPr>
                  <w:tcW w:w="1200" w:type="dxa"/>
                  <w:tcBorders>
                    <w:left w:val="single" w:color="auto" w:sz="4" w:space="0"/>
                    <w:right w:val="single" w:color="auto" w:sz="4" w:space="0"/>
                  </w:tcBorders>
                  <w:noWrap w:val="0"/>
                  <w:vAlign w:val="center"/>
                </w:tcPr>
                <w:p w14:paraId="540A51BB">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w:t>
                  </w:r>
                </w:p>
              </w:tc>
              <w:tc>
                <w:tcPr>
                  <w:tcW w:w="1230" w:type="dxa"/>
                  <w:tcBorders>
                    <w:left w:val="single" w:color="auto" w:sz="4" w:space="0"/>
                    <w:right w:val="single" w:color="auto" w:sz="4" w:space="0"/>
                  </w:tcBorders>
                  <w:noWrap w:val="0"/>
                  <w:vAlign w:val="center"/>
                </w:tcPr>
                <w:p w14:paraId="50E5B7B5">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0.03024</w:t>
                  </w:r>
                </w:p>
              </w:tc>
              <w:tc>
                <w:tcPr>
                  <w:tcW w:w="1275" w:type="dxa"/>
                  <w:tcBorders>
                    <w:left w:val="single" w:color="auto" w:sz="4" w:space="0"/>
                    <w:right w:val="single" w:color="auto" w:sz="4" w:space="0"/>
                  </w:tcBorders>
                  <w:noWrap w:val="0"/>
                  <w:vAlign w:val="center"/>
                </w:tcPr>
                <w:p w14:paraId="694E461B">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r>
                    <w:rPr>
                      <w:rFonts w:hint="default" w:ascii="Times New Roman" w:hAnsi="Times New Roman" w:cs="Times New Roman" w:eastAsiaTheme="minorEastAsia"/>
                      <w:color w:val="auto"/>
                      <w:kern w:val="2"/>
                      <w:sz w:val="21"/>
                      <w:szCs w:val="21"/>
                      <w:lang w:val="en-US" w:eastAsia="zh-CN" w:bidi="ar-SA"/>
                    </w:rPr>
                    <w:t>0</w:t>
                  </w:r>
                  <w:r>
                    <w:rPr>
                      <w:rFonts w:hint="eastAsia" w:cs="Times New Roman" w:eastAsiaTheme="minorEastAsia"/>
                      <w:color w:val="auto"/>
                      <w:kern w:val="2"/>
                      <w:sz w:val="21"/>
                      <w:szCs w:val="21"/>
                      <w:lang w:val="en-US" w:eastAsia="zh-CN" w:bidi="ar-SA"/>
                    </w:rPr>
                    <w:t>.00504</w:t>
                  </w:r>
                </w:p>
              </w:tc>
            </w:tr>
            <w:tr w14:paraId="41A7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3" w:type="dxa"/>
                  <w:vMerge w:val="continue"/>
                  <w:tcBorders>
                    <w:left w:val="single" w:color="auto" w:sz="4" w:space="0"/>
                    <w:right w:val="single" w:color="auto" w:sz="4" w:space="0"/>
                  </w:tcBorders>
                  <w:noWrap w:val="0"/>
                  <w:vAlign w:val="center"/>
                </w:tcPr>
                <w:p w14:paraId="5350536B">
                  <w:pPr>
                    <w:pStyle w:val="58"/>
                    <w:spacing w:beforeLines="0" w:afterLines="0" w:line="280" w:lineRule="exact"/>
                    <w:ind w:firstLine="0"/>
                    <w:rPr>
                      <w:rFonts w:hint="default" w:ascii="Times New Roman" w:hAnsi="Times New Roman" w:cs="Times New Roman" w:eastAsiaTheme="minorEastAsia"/>
                      <w:color w:val="auto"/>
                      <w:kern w:val="2"/>
                      <w:sz w:val="21"/>
                      <w:szCs w:val="21"/>
                      <w:lang w:val="en-US" w:eastAsia="zh-CN" w:bidi="ar-SA"/>
                    </w:rPr>
                  </w:pPr>
                </w:p>
              </w:tc>
              <w:tc>
                <w:tcPr>
                  <w:tcW w:w="752" w:type="dxa"/>
                  <w:vMerge w:val="continue"/>
                  <w:tcBorders>
                    <w:left w:val="single" w:color="auto" w:sz="4" w:space="0"/>
                    <w:right w:val="single" w:color="auto" w:sz="4" w:space="0"/>
                  </w:tcBorders>
                  <w:noWrap w:val="0"/>
                  <w:vAlign w:val="center"/>
                </w:tcPr>
                <w:p w14:paraId="1DF11A37">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auto"/>
                      <w:kern w:val="2"/>
                      <w:sz w:val="21"/>
                      <w:szCs w:val="21"/>
                      <w:lang w:val="en-US" w:eastAsia="zh-CN" w:bidi="ar-SA"/>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5F6E0A7">
                  <w:pPr>
                    <w:spacing w:before="0" w:beforeLines="0" w:after="0" w:afterLines="0" w:line="280" w:lineRule="exact"/>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BOD</w:t>
                  </w:r>
                  <w:r>
                    <w:rPr>
                      <w:rFonts w:hint="default" w:ascii="Times New Roman" w:hAnsi="Times New Roman" w:cs="Times New Roman" w:eastAsiaTheme="minorEastAsia"/>
                      <w:color w:val="000000" w:themeColor="text1"/>
                      <w:kern w:val="2"/>
                      <w:sz w:val="21"/>
                      <w:szCs w:val="21"/>
                      <w:vertAlign w:val="subscript"/>
                      <w:lang w:val="en-US" w:eastAsia="zh-CN" w:bidi="ar-SA"/>
                      <w14:textFill>
                        <w14:solidFill>
                          <w14:schemeClr w14:val="tx1"/>
                        </w14:solidFill>
                      </w14:textFill>
                    </w:rPr>
                    <w:t>5</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22CAFE8B">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0.144</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04B4DC4B">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w:t>
                  </w:r>
                  <w:r>
                    <w:rPr>
                      <w:rFonts w:hint="eastAsia" w:cs="Times New Roman" w:eastAsiaTheme="minorEastAsia"/>
                      <w:color w:val="auto"/>
                      <w:kern w:val="2"/>
                      <w:sz w:val="21"/>
                      <w:szCs w:val="21"/>
                      <w:lang w:val="en-US" w:eastAsia="zh-CN" w:bidi="ar-SA"/>
                    </w:rPr>
                    <w:t>.0288</w:t>
                  </w:r>
                </w:p>
              </w:tc>
              <w:tc>
                <w:tcPr>
                  <w:tcW w:w="1200" w:type="dxa"/>
                  <w:tcBorders>
                    <w:left w:val="single" w:color="auto" w:sz="4" w:space="0"/>
                    <w:right w:val="single" w:color="auto" w:sz="4" w:space="0"/>
                  </w:tcBorders>
                  <w:noWrap w:val="0"/>
                  <w:vAlign w:val="center"/>
                </w:tcPr>
                <w:p w14:paraId="3BE1717E">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w:t>
                  </w:r>
                </w:p>
              </w:tc>
              <w:tc>
                <w:tcPr>
                  <w:tcW w:w="1230" w:type="dxa"/>
                  <w:tcBorders>
                    <w:left w:val="single" w:color="auto" w:sz="4" w:space="0"/>
                    <w:right w:val="single" w:color="auto" w:sz="4" w:space="0"/>
                  </w:tcBorders>
                  <w:noWrap w:val="0"/>
                  <w:vAlign w:val="center"/>
                </w:tcPr>
                <w:p w14:paraId="52F42787">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0.1728</w:t>
                  </w:r>
                </w:p>
              </w:tc>
              <w:tc>
                <w:tcPr>
                  <w:tcW w:w="1275" w:type="dxa"/>
                  <w:tcBorders>
                    <w:left w:val="single" w:color="auto" w:sz="4" w:space="0"/>
                    <w:right w:val="single" w:color="auto" w:sz="4" w:space="0"/>
                  </w:tcBorders>
                  <w:noWrap w:val="0"/>
                  <w:vAlign w:val="center"/>
                </w:tcPr>
                <w:p w14:paraId="72EFD4C3">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r>
                    <w:rPr>
                      <w:rFonts w:hint="default" w:ascii="Times New Roman" w:hAnsi="Times New Roman" w:cs="Times New Roman" w:eastAsiaTheme="minorEastAsia"/>
                      <w:color w:val="auto"/>
                      <w:kern w:val="2"/>
                      <w:sz w:val="21"/>
                      <w:szCs w:val="21"/>
                      <w:lang w:val="en-US" w:eastAsia="zh-CN" w:bidi="ar-SA"/>
                    </w:rPr>
                    <w:t>0</w:t>
                  </w:r>
                  <w:r>
                    <w:rPr>
                      <w:rFonts w:hint="eastAsia" w:cs="Times New Roman" w:eastAsiaTheme="minorEastAsia"/>
                      <w:color w:val="auto"/>
                      <w:kern w:val="2"/>
                      <w:sz w:val="21"/>
                      <w:szCs w:val="21"/>
                      <w:lang w:val="en-US" w:eastAsia="zh-CN" w:bidi="ar-SA"/>
                    </w:rPr>
                    <w:t>.0288</w:t>
                  </w:r>
                </w:p>
              </w:tc>
            </w:tr>
            <w:tr w14:paraId="6E91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3" w:type="dxa"/>
                  <w:vMerge w:val="continue"/>
                  <w:tcBorders>
                    <w:left w:val="single" w:color="auto" w:sz="4" w:space="0"/>
                    <w:right w:val="single" w:color="auto" w:sz="4" w:space="0"/>
                  </w:tcBorders>
                  <w:noWrap w:val="0"/>
                  <w:vAlign w:val="center"/>
                </w:tcPr>
                <w:p w14:paraId="19587571">
                  <w:pPr>
                    <w:pStyle w:val="58"/>
                    <w:spacing w:beforeLines="0" w:afterLines="0" w:line="280" w:lineRule="exact"/>
                    <w:ind w:firstLine="0"/>
                    <w:rPr>
                      <w:rFonts w:hint="default" w:ascii="Times New Roman" w:hAnsi="Times New Roman" w:cs="Times New Roman" w:eastAsiaTheme="minorEastAsia"/>
                      <w:color w:val="auto"/>
                      <w:kern w:val="2"/>
                      <w:sz w:val="21"/>
                      <w:szCs w:val="21"/>
                      <w:lang w:val="en-US" w:eastAsia="zh-CN" w:bidi="ar-SA"/>
                    </w:rPr>
                  </w:pPr>
                </w:p>
              </w:tc>
              <w:tc>
                <w:tcPr>
                  <w:tcW w:w="752" w:type="dxa"/>
                  <w:vMerge w:val="continue"/>
                  <w:tcBorders>
                    <w:left w:val="single" w:color="auto" w:sz="4" w:space="0"/>
                    <w:right w:val="single" w:color="auto" w:sz="4" w:space="0"/>
                  </w:tcBorders>
                  <w:noWrap w:val="0"/>
                  <w:vAlign w:val="center"/>
                </w:tcPr>
                <w:p w14:paraId="11C6125D">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auto"/>
                      <w:kern w:val="2"/>
                      <w:sz w:val="21"/>
                      <w:szCs w:val="21"/>
                      <w:lang w:val="en-US" w:eastAsia="zh-CN" w:bidi="ar-SA"/>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B74D22A">
                  <w:pPr>
                    <w:spacing w:before="0" w:beforeLines="0" w:after="0" w:afterLines="0" w:line="280" w:lineRule="exact"/>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SS</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2D06E861">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0.144</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522BADB9">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0.0288</w:t>
                  </w:r>
                </w:p>
              </w:tc>
              <w:tc>
                <w:tcPr>
                  <w:tcW w:w="1200" w:type="dxa"/>
                  <w:tcBorders>
                    <w:left w:val="single" w:color="auto" w:sz="4" w:space="0"/>
                    <w:right w:val="single" w:color="auto" w:sz="4" w:space="0"/>
                  </w:tcBorders>
                  <w:noWrap w:val="0"/>
                  <w:vAlign w:val="center"/>
                </w:tcPr>
                <w:p w14:paraId="1BA9A44D">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w:t>
                  </w:r>
                </w:p>
              </w:tc>
              <w:tc>
                <w:tcPr>
                  <w:tcW w:w="1230" w:type="dxa"/>
                  <w:tcBorders>
                    <w:left w:val="single" w:color="auto" w:sz="4" w:space="0"/>
                    <w:right w:val="single" w:color="auto" w:sz="4" w:space="0"/>
                  </w:tcBorders>
                  <w:noWrap w:val="0"/>
                  <w:vAlign w:val="center"/>
                </w:tcPr>
                <w:p w14:paraId="37B0AE26">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0.1728</w:t>
                  </w:r>
                </w:p>
              </w:tc>
              <w:tc>
                <w:tcPr>
                  <w:tcW w:w="1275" w:type="dxa"/>
                  <w:tcBorders>
                    <w:left w:val="single" w:color="auto" w:sz="4" w:space="0"/>
                    <w:right w:val="single" w:color="auto" w:sz="4" w:space="0"/>
                  </w:tcBorders>
                  <w:noWrap w:val="0"/>
                  <w:vAlign w:val="center"/>
                </w:tcPr>
                <w:p w14:paraId="6CEDD432">
                  <w:pPr>
                    <w:spacing w:before="0" w:beforeLines="0" w:after="0" w:afterLines="0" w:line="280" w:lineRule="exact"/>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r>
                    <w:rPr>
                      <w:rFonts w:hint="eastAsia" w:cs="Times New Roman" w:eastAsiaTheme="minorEastAsia"/>
                      <w:color w:val="auto"/>
                      <w:kern w:val="2"/>
                      <w:sz w:val="21"/>
                      <w:szCs w:val="21"/>
                      <w:lang w:val="en-US" w:eastAsia="zh-CN" w:bidi="ar-SA"/>
                    </w:rPr>
                    <w:t>0.0288</w:t>
                  </w:r>
                </w:p>
              </w:tc>
            </w:tr>
            <w:tr w14:paraId="0658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75" w:type="dxa"/>
                  <w:gridSpan w:val="3"/>
                  <w:tcBorders>
                    <w:left w:val="single" w:color="auto" w:sz="4" w:space="0"/>
                    <w:right w:val="single" w:color="auto" w:sz="4" w:space="0"/>
                  </w:tcBorders>
                  <w:noWrap w:val="0"/>
                  <w:vAlign w:val="center"/>
                </w:tcPr>
                <w:p w14:paraId="6FA846D9">
                  <w:pPr>
                    <w:pStyle w:val="58"/>
                    <w:spacing w:before="0" w:beforeLines="0" w:after="0" w:afterLines="0" w:line="280" w:lineRule="exact"/>
                    <w:ind w:left="0" w:leftChars="0" w:right="0" w:rightChars="0" w:firstLine="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固废</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3765452A">
                  <w:pPr>
                    <w:spacing w:beforeLines="0" w:afterLines="0" w:line="320" w:lineRule="exact"/>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highlight w:val="none"/>
                      <w:lang w:val="en-US" w:eastAsia="zh-CN" w:bidi="ar-SA"/>
                    </w:rPr>
                    <w:t>0</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15252979">
                  <w:pPr>
                    <w:spacing w:beforeLines="0" w:afterLines="0" w:line="28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w:t>
                  </w:r>
                </w:p>
              </w:tc>
              <w:tc>
                <w:tcPr>
                  <w:tcW w:w="1200" w:type="dxa"/>
                  <w:tcBorders>
                    <w:left w:val="single" w:color="auto" w:sz="4" w:space="0"/>
                    <w:right w:val="single" w:color="auto" w:sz="4" w:space="0"/>
                  </w:tcBorders>
                  <w:noWrap w:val="0"/>
                  <w:vAlign w:val="center"/>
                </w:tcPr>
                <w:p w14:paraId="2CA2F5B3">
                  <w:pPr>
                    <w:spacing w:beforeLines="0" w:afterLines="0" w:line="28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0</w:t>
                  </w:r>
                </w:p>
              </w:tc>
              <w:tc>
                <w:tcPr>
                  <w:tcW w:w="1230" w:type="dxa"/>
                  <w:tcBorders>
                    <w:left w:val="single" w:color="auto" w:sz="4" w:space="0"/>
                    <w:right w:val="single" w:color="auto" w:sz="4" w:space="0"/>
                  </w:tcBorders>
                  <w:noWrap w:val="0"/>
                  <w:vAlign w:val="center"/>
                </w:tcPr>
                <w:p w14:paraId="65AE674A">
                  <w:pPr>
                    <w:spacing w:beforeLines="0" w:afterLines="0" w:line="32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0</w:t>
                  </w:r>
                </w:p>
              </w:tc>
              <w:tc>
                <w:tcPr>
                  <w:tcW w:w="1275" w:type="dxa"/>
                  <w:tcBorders>
                    <w:left w:val="single" w:color="auto" w:sz="4" w:space="0"/>
                    <w:right w:val="single" w:color="auto" w:sz="4" w:space="0"/>
                  </w:tcBorders>
                  <w:noWrap w:val="0"/>
                  <w:vAlign w:val="center"/>
                </w:tcPr>
                <w:p w14:paraId="04EA373A">
                  <w:pPr>
                    <w:spacing w:beforeLines="0" w:afterLines="0" w:line="28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0</w:t>
                  </w:r>
                </w:p>
              </w:tc>
            </w:tr>
          </w:tbl>
          <w:p w14:paraId="276DE451">
            <w:pPr>
              <w:pStyle w:val="15"/>
              <w:ind w:left="0" w:leftChars="0" w:firstLine="0" w:firstLineChars="0"/>
              <w:jc w:val="both"/>
              <w:rPr>
                <w:rFonts w:hint="default" w:ascii="Times New Roman" w:hAnsi="Times New Roman" w:eastAsia="宋体" w:cs="Times New Roman"/>
                <w:bCs w:val="0"/>
                <w:color w:val="auto"/>
                <w:spacing w:val="-10"/>
                <w:szCs w:val="21"/>
                <w:lang w:val="en-US" w:eastAsia="zh-CN"/>
              </w:rPr>
            </w:pPr>
          </w:p>
        </w:tc>
      </w:tr>
    </w:tbl>
    <w:p w14:paraId="7E989B45">
      <w:pPr>
        <w:adjustRightInd w:val="0"/>
        <w:snapToGrid w:val="0"/>
        <w:spacing w:line="360" w:lineRule="auto"/>
        <w:rPr>
          <w:rFonts w:ascii="宋体" w:cs="宋体"/>
          <w:b/>
          <w:color w:val="auto"/>
          <w:kern w:val="0"/>
          <w:sz w:val="28"/>
          <w:szCs w:val="28"/>
        </w:rPr>
        <w:sectPr>
          <w:pgSz w:w="11907" w:h="16840"/>
          <w:pgMar w:top="1701" w:right="1531" w:bottom="1134" w:left="1531" w:header="851" w:footer="851" w:gutter="0"/>
          <w:pgBorders>
            <w:top w:val="none" w:sz="0" w:space="0"/>
            <w:left w:val="none" w:sz="0" w:space="0"/>
            <w:bottom w:val="none" w:sz="0" w:space="0"/>
            <w:right w:val="none" w:sz="0" w:space="0"/>
          </w:pgBorders>
          <w:cols w:space="720" w:num="1"/>
          <w:docGrid w:linePitch="312" w:charSpace="0"/>
        </w:sectPr>
      </w:pPr>
    </w:p>
    <w:p w14:paraId="31E545E4">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34" w:name="_Hlk54167917"/>
      <w:r>
        <w:rPr>
          <w:rFonts w:hint="eastAsia" w:ascii="黑体" w:hAnsi="黑体" w:eastAsia="黑体"/>
          <w:snapToGrid w:val="0"/>
          <w:color w:val="auto"/>
          <w:sz w:val="30"/>
          <w:szCs w:val="30"/>
        </w:rPr>
        <w:t>环境保护措施监督检查清单</w:t>
      </w:r>
      <w:bookmarkEnd w:id="34"/>
    </w:p>
    <w:tbl>
      <w:tblPr>
        <w:tblStyle w:val="28"/>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655"/>
        <w:gridCol w:w="1522"/>
        <w:gridCol w:w="1799"/>
        <w:gridCol w:w="3337"/>
      </w:tblGrid>
      <w:tr w14:paraId="0AB13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tcBorders>
              <w:tl2br w:val="single" w:color="auto" w:sz="4" w:space="0"/>
            </w:tcBorders>
          </w:tcPr>
          <w:p w14:paraId="62CA9658">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内容</w:t>
            </w:r>
          </w:p>
          <w:p w14:paraId="7D4B5BEB">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p>
          <w:p w14:paraId="49B02F30">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要素</w:t>
            </w:r>
          </w:p>
        </w:tc>
        <w:tc>
          <w:tcPr>
            <w:tcW w:w="914" w:type="pct"/>
            <w:vAlign w:val="center"/>
          </w:tcPr>
          <w:p w14:paraId="06355515">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排放口（编号、名称）/污染源</w:t>
            </w:r>
          </w:p>
        </w:tc>
        <w:tc>
          <w:tcPr>
            <w:tcW w:w="840" w:type="pct"/>
            <w:vAlign w:val="center"/>
          </w:tcPr>
          <w:p w14:paraId="7B6CD804">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污染物项目</w:t>
            </w:r>
          </w:p>
        </w:tc>
        <w:tc>
          <w:tcPr>
            <w:tcW w:w="993" w:type="pct"/>
            <w:vAlign w:val="center"/>
          </w:tcPr>
          <w:p w14:paraId="20050343">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环境保护措施</w:t>
            </w:r>
          </w:p>
        </w:tc>
        <w:tc>
          <w:tcPr>
            <w:tcW w:w="1840" w:type="pct"/>
            <w:vAlign w:val="center"/>
          </w:tcPr>
          <w:p w14:paraId="7ACE5273">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执行标准</w:t>
            </w:r>
          </w:p>
        </w:tc>
      </w:tr>
      <w:tr w14:paraId="2BF53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Merge w:val="restart"/>
            <w:vAlign w:val="center"/>
          </w:tcPr>
          <w:p w14:paraId="696A778C">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大气环境</w:t>
            </w:r>
          </w:p>
        </w:tc>
        <w:tc>
          <w:tcPr>
            <w:tcW w:w="914" w:type="pct"/>
            <w:vAlign w:val="center"/>
          </w:tcPr>
          <w:p w14:paraId="41A894FC">
            <w:pPr>
              <w:keepNext w:val="0"/>
              <w:keepLines w:val="0"/>
              <w:pageBreakBefore w:val="0"/>
              <w:kinsoku w:val="0"/>
              <w:wordWrap/>
              <w:overflowPunct w:val="0"/>
              <w:topLinePunct w:val="0"/>
              <w:autoSpaceDE/>
              <w:autoSpaceDN/>
              <w:bidi w:val="0"/>
              <w:spacing w:line="240" w:lineRule="auto"/>
              <w:ind w:right="0" w:firstLine="0" w:firstLineChars="0"/>
              <w:jc w:val="center"/>
              <w:rPr>
                <w:rFonts w:hint="eastAsia" w:ascii="Times New Roman" w:hAnsi="Times New Roman" w:eastAsia="宋体"/>
                <w:sz w:val="21"/>
                <w:szCs w:val="21"/>
                <w:highlight w:val="yellow"/>
                <w:lang w:val="en-US" w:eastAsia="zh-CN"/>
              </w:rPr>
            </w:pPr>
            <w:r>
              <w:rPr>
                <w:rFonts w:ascii="Times New Roman" w:hAnsi="Times New Roman"/>
                <w:sz w:val="21"/>
                <w:szCs w:val="21"/>
              </w:rPr>
              <w:t>切割粉尘</w:t>
            </w:r>
            <w:r>
              <w:rPr>
                <w:rFonts w:hint="eastAsia"/>
                <w:lang w:eastAsia="zh-CN"/>
              </w:rPr>
              <w:t>（</w:t>
            </w:r>
            <w:r>
              <w:rPr>
                <w:rFonts w:hint="eastAsia"/>
                <w:lang w:val="en-US" w:eastAsia="zh-CN"/>
              </w:rPr>
              <w:t>DA001</w:t>
            </w:r>
            <w:r>
              <w:rPr>
                <w:rFonts w:hint="eastAsia"/>
                <w:lang w:eastAsia="zh-CN"/>
              </w:rPr>
              <w:t>）</w:t>
            </w:r>
          </w:p>
        </w:tc>
        <w:tc>
          <w:tcPr>
            <w:tcW w:w="840" w:type="pct"/>
            <w:vAlign w:val="center"/>
          </w:tcPr>
          <w:p w14:paraId="7F296248">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颗粒物</w:t>
            </w:r>
          </w:p>
        </w:tc>
        <w:tc>
          <w:tcPr>
            <w:tcW w:w="993" w:type="pct"/>
            <w:vAlign w:val="center"/>
          </w:tcPr>
          <w:p w14:paraId="00100681">
            <w:pPr>
              <w:keepNext w:val="0"/>
              <w:keepLines w:val="0"/>
              <w:pageBreakBefore w:val="0"/>
              <w:wordWrap/>
              <w:topLinePunct w:val="0"/>
              <w:autoSpaceDE/>
              <w:autoSpaceDN/>
              <w:bidi w:val="0"/>
              <w:spacing w:line="240" w:lineRule="auto"/>
              <w:ind w:right="0" w:firstLine="0" w:firstLineChars="0"/>
              <w:jc w:val="center"/>
              <w:textAlignment w:val="center"/>
              <w:rPr>
                <w:rFonts w:ascii="Times New Roman" w:hAnsi="Times New Roman"/>
                <w:sz w:val="21"/>
                <w:szCs w:val="21"/>
                <w:highlight w:val="yellow"/>
              </w:rPr>
            </w:pPr>
            <w:r>
              <w:rPr>
                <w:rFonts w:eastAsia="宋体"/>
                <w:bCs/>
                <w:snapToGrid w:val="0"/>
                <w:color w:val="000000" w:themeColor="text1"/>
                <w:spacing w:val="-6"/>
                <w:kern w:val="2"/>
                <w:sz w:val="21"/>
                <w:szCs w:val="21"/>
                <w14:textFill>
                  <w14:solidFill>
                    <w14:schemeClr w14:val="tx1"/>
                  </w14:solidFill>
                </w14:textFill>
              </w:rPr>
              <w:t>采用设备自带收集系统收集后通过滤筒除尘器</w:t>
            </w:r>
            <w:r>
              <w:rPr>
                <w:rFonts w:hint="eastAsia" w:eastAsia="宋体"/>
                <w:bCs/>
                <w:snapToGrid w:val="0"/>
                <w:color w:val="000000" w:themeColor="text1"/>
                <w:spacing w:val="-6"/>
                <w:kern w:val="2"/>
                <w:sz w:val="21"/>
                <w:szCs w:val="21"/>
                <w:lang w:eastAsia="zh-CN"/>
                <w14:textFill>
                  <w14:solidFill>
                    <w14:schemeClr w14:val="tx1"/>
                  </w14:solidFill>
                </w14:textFill>
              </w:rPr>
              <w:t>（</w:t>
            </w:r>
            <w:r>
              <w:rPr>
                <w:rFonts w:hint="eastAsia" w:eastAsia="宋体"/>
                <w:bCs/>
                <w:snapToGrid w:val="0"/>
                <w:color w:val="000000" w:themeColor="text1"/>
                <w:spacing w:val="-6"/>
                <w:kern w:val="2"/>
                <w:sz w:val="21"/>
                <w:szCs w:val="21"/>
                <w:lang w:val="en-US" w:eastAsia="zh-CN"/>
                <w14:textFill>
                  <w14:solidFill>
                    <w14:schemeClr w14:val="tx1"/>
                  </w14:solidFill>
                </w14:textFill>
              </w:rPr>
              <w:t>TA001</w:t>
            </w:r>
            <w:r>
              <w:rPr>
                <w:rFonts w:hint="eastAsia" w:eastAsia="宋体"/>
                <w:bCs/>
                <w:snapToGrid w:val="0"/>
                <w:color w:val="000000" w:themeColor="text1"/>
                <w:spacing w:val="-6"/>
                <w:kern w:val="2"/>
                <w:sz w:val="21"/>
                <w:szCs w:val="21"/>
                <w:lang w:eastAsia="zh-CN"/>
                <w14:textFill>
                  <w14:solidFill>
                    <w14:schemeClr w14:val="tx1"/>
                  </w14:solidFill>
                </w14:textFill>
              </w:rPr>
              <w:t>）</w:t>
            </w:r>
            <w:r>
              <w:rPr>
                <w:rFonts w:eastAsia="宋体"/>
                <w:bCs/>
                <w:snapToGrid w:val="0"/>
                <w:color w:val="000000" w:themeColor="text1"/>
                <w:spacing w:val="-6"/>
                <w:kern w:val="2"/>
                <w:sz w:val="21"/>
                <w:szCs w:val="21"/>
                <w14:textFill>
                  <w14:solidFill>
                    <w14:schemeClr w14:val="tx1"/>
                  </w14:solidFill>
                </w14:textFill>
              </w:rPr>
              <w:t>处理</w:t>
            </w:r>
            <w:r>
              <w:rPr>
                <w:rFonts w:hint="eastAsia"/>
                <w:bCs/>
                <w:snapToGrid w:val="0"/>
                <w:color w:val="000000" w:themeColor="text1"/>
                <w:spacing w:val="-6"/>
                <w:kern w:val="2"/>
                <w:sz w:val="21"/>
                <w:szCs w:val="21"/>
                <w:lang w:eastAsia="zh-CN"/>
                <w14:textFill>
                  <w14:solidFill>
                    <w14:schemeClr w14:val="tx1"/>
                  </w14:solidFill>
                </w14:textFill>
              </w:rPr>
              <w:t>后</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20</w:t>
            </w:r>
            <w:r>
              <w:rPr>
                <w:rFonts w:ascii="Times New Roman" w:hAnsi="Times New Roman"/>
                <w:color w:val="000000" w:themeColor="text1"/>
                <w:szCs w:val="21"/>
                <w14:textFill>
                  <w14:solidFill>
                    <w14:schemeClr w14:val="tx1"/>
                  </w14:solidFill>
                </w14:textFill>
              </w:rPr>
              <w:t>米高排气筒DA00</w:t>
            </w:r>
            <w:r>
              <w:rPr>
                <w:rFonts w:hint="eastAsia"/>
                <w:color w:val="000000" w:themeColor="text1"/>
                <w:szCs w:val="21"/>
                <w:lang w:val="en-US" w:eastAsia="zh-CN"/>
                <w14:textFill>
                  <w14:solidFill>
                    <w14:schemeClr w14:val="tx1"/>
                  </w14:solidFill>
                </w14:textFill>
              </w:rPr>
              <w:t>1</w:t>
            </w:r>
          </w:p>
        </w:tc>
        <w:tc>
          <w:tcPr>
            <w:tcW w:w="1840" w:type="pct"/>
            <w:vAlign w:val="center"/>
          </w:tcPr>
          <w:p w14:paraId="229B1EC5">
            <w:pPr>
              <w:keepNext w:val="0"/>
              <w:keepLines w:val="0"/>
              <w:pageBreakBefore w:val="0"/>
              <w:wordWrap/>
              <w:topLinePunct w:val="0"/>
              <w:autoSpaceDE/>
              <w:autoSpaceDN/>
              <w:bidi w:val="0"/>
              <w:spacing w:line="240" w:lineRule="auto"/>
              <w:ind w:right="0" w:firstLine="0" w:firstLineChars="0"/>
              <w:jc w:val="center"/>
              <w:rPr>
                <w:rFonts w:ascii="Times New Roman" w:hAnsi="Times New Roman"/>
                <w:sz w:val="21"/>
                <w:szCs w:val="21"/>
              </w:rPr>
            </w:pPr>
            <w:r>
              <w:rPr>
                <w:rFonts w:ascii="Times New Roman" w:hAnsi="Times New Roman"/>
                <w:sz w:val="21"/>
                <w:szCs w:val="21"/>
              </w:rPr>
              <w:t>《大气污染物综合排放标准》（GB16297-1996）表2二级标准限值</w:t>
            </w:r>
          </w:p>
        </w:tc>
      </w:tr>
      <w:tr w14:paraId="09F7A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Merge w:val="continue"/>
            <w:vAlign w:val="center"/>
          </w:tcPr>
          <w:p w14:paraId="5E7DEE5D">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p>
        </w:tc>
        <w:tc>
          <w:tcPr>
            <w:tcW w:w="914" w:type="pct"/>
            <w:vAlign w:val="center"/>
          </w:tcPr>
          <w:p w14:paraId="392C4934">
            <w:pPr>
              <w:keepNext w:val="0"/>
              <w:keepLines w:val="0"/>
              <w:pageBreakBefore w:val="0"/>
              <w:kinsoku w:val="0"/>
              <w:wordWrap/>
              <w:overflowPunct w:val="0"/>
              <w:topLinePunct w:val="0"/>
              <w:autoSpaceDE/>
              <w:autoSpaceDN/>
              <w:bidi w:val="0"/>
              <w:spacing w:line="240" w:lineRule="auto"/>
              <w:ind w:right="0" w:firstLine="0" w:firstLineChars="0"/>
              <w:jc w:val="center"/>
              <w:rPr>
                <w:rFonts w:hint="eastAsia" w:ascii="Times New Roman" w:hAnsi="Times New Roman" w:eastAsia="宋体"/>
                <w:sz w:val="21"/>
                <w:szCs w:val="21"/>
                <w:lang w:eastAsia="zh-CN"/>
              </w:rPr>
            </w:pPr>
            <w:r>
              <w:rPr>
                <w:rFonts w:hint="eastAsia"/>
                <w:sz w:val="21"/>
                <w:szCs w:val="21"/>
                <w:lang w:eastAsia="zh-CN"/>
              </w:rPr>
              <w:t>焊接烟尘</w:t>
            </w:r>
          </w:p>
        </w:tc>
        <w:tc>
          <w:tcPr>
            <w:tcW w:w="840" w:type="pct"/>
            <w:vAlign w:val="center"/>
          </w:tcPr>
          <w:p w14:paraId="703DC531">
            <w:pPr>
              <w:keepNext w:val="0"/>
              <w:keepLines w:val="0"/>
              <w:pageBreakBefore w:val="0"/>
              <w:wordWrap/>
              <w:topLinePunct w:val="0"/>
              <w:autoSpaceDE/>
              <w:autoSpaceDN/>
              <w:bidi w:val="0"/>
              <w:adjustRightInd w:val="0"/>
              <w:snapToGrid w:val="0"/>
              <w:spacing w:line="240" w:lineRule="auto"/>
              <w:ind w:right="0" w:firstLine="0" w:firstLineChars="0"/>
              <w:jc w:val="center"/>
              <w:rPr>
                <w:rFonts w:hint="eastAsia" w:ascii="Times New Roman" w:hAnsi="Times New Roman" w:eastAsia="宋体"/>
                <w:sz w:val="21"/>
                <w:szCs w:val="21"/>
                <w:lang w:eastAsia="zh-CN"/>
              </w:rPr>
            </w:pPr>
            <w:r>
              <w:rPr>
                <w:rFonts w:hint="eastAsia"/>
                <w:sz w:val="21"/>
                <w:szCs w:val="21"/>
                <w:lang w:eastAsia="zh-CN"/>
              </w:rPr>
              <w:t>颗粒物</w:t>
            </w:r>
          </w:p>
        </w:tc>
        <w:tc>
          <w:tcPr>
            <w:tcW w:w="993" w:type="pct"/>
            <w:vAlign w:val="center"/>
          </w:tcPr>
          <w:p w14:paraId="70A997AA">
            <w:pPr>
              <w:keepNext w:val="0"/>
              <w:keepLines w:val="0"/>
              <w:pageBreakBefore w:val="0"/>
              <w:wordWrap/>
              <w:topLinePunct w:val="0"/>
              <w:autoSpaceDE/>
              <w:autoSpaceDN/>
              <w:bidi w:val="0"/>
              <w:spacing w:line="240" w:lineRule="auto"/>
              <w:ind w:right="0" w:firstLine="0" w:firstLineChars="0"/>
              <w:jc w:val="center"/>
              <w:textAlignment w:val="center"/>
              <w:rPr>
                <w:rFonts w:ascii="Times New Roman" w:hAnsi="Times New Roman"/>
                <w:sz w:val="21"/>
                <w:szCs w:val="21"/>
              </w:rPr>
            </w:pPr>
            <w:r>
              <w:rPr>
                <w:rFonts w:ascii="Times New Roman" w:hAnsi="Times New Roman"/>
                <w:sz w:val="21"/>
                <w:szCs w:val="21"/>
              </w:rPr>
              <w:t>移动式焊接净化器处理后排放</w:t>
            </w:r>
          </w:p>
        </w:tc>
        <w:tc>
          <w:tcPr>
            <w:tcW w:w="1840" w:type="pct"/>
            <w:vAlign w:val="center"/>
          </w:tcPr>
          <w:p w14:paraId="26DAE3E4">
            <w:pPr>
              <w:keepNext w:val="0"/>
              <w:keepLines w:val="0"/>
              <w:pageBreakBefore w:val="0"/>
              <w:wordWrap/>
              <w:topLinePunct w:val="0"/>
              <w:autoSpaceDE/>
              <w:autoSpaceDN/>
              <w:bidi w:val="0"/>
              <w:spacing w:line="240" w:lineRule="auto"/>
              <w:ind w:right="0" w:firstLine="0" w:firstLineChars="0"/>
              <w:jc w:val="center"/>
              <w:rPr>
                <w:rFonts w:ascii="Times New Roman" w:hAnsi="Times New Roman"/>
                <w:sz w:val="21"/>
                <w:szCs w:val="21"/>
              </w:rPr>
            </w:pPr>
            <w:r>
              <w:rPr>
                <w:rFonts w:ascii="Times New Roman" w:hAnsi="Times New Roman"/>
                <w:sz w:val="21"/>
                <w:szCs w:val="21"/>
              </w:rPr>
              <w:t>《大气污染物综合排放标准》（GB16297-1996）表2无组织排放限值标准</w:t>
            </w:r>
          </w:p>
        </w:tc>
      </w:tr>
      <w:tr w14:paraId="15B7C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Merge w:val="continue"/>
            <w:vAlign w:val="center"/>
          </w:tcPr>
          <w:p w14:paraId="65E7FC07">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color w:val="FF0000"/>
                <w:sz w:val="21"/>
                <w:szCs w:val="21"/>
              </w:rPr>
            </w:pPr>
          </w:p>
        </w:tc>
        <w:tc>
          <w:tcPr>
            <w:tcW w:w="914" w:type="pct"/>
            <w:vAlign w:val="center"/>
          </w:tcPr>
          <w:p w14:paraId="62C70121">
            <w:pPr>
              <w:keepNext w:val="0"/>
              <w:keepLines w:val="0"/>
              <w:pageBreakBefore w:val="0"/>
              <w:kinsoku w:val="0"/>
              <w:wordWrap/>
              <w:overflowPunct w:val="0"/>
              <w:topLinePunct w:val="0"/>
              <w:autoSpaceDE/>
              <w:autoSpaceDN/>
              <w:bidi w:val="0"/>
              <w:spacing w:line="240" w:lineRule="auto"/>
              <w:ind w:right="0" w:firstLine="0" w:firstLineChars="0"/>
              <w:jc w:val="center"/>
              <w:rPr>
                <w:rFonts w:ascii="Times New Roman" w:hAnsi="Times New Roman"/>
                <w:sz w:val="21"/>
                <w:szCs w:val="21"/>
                <w:highlight w:val="yellow"/>
              </w:rPr>
            </w:pPr>
            <w:r>
              <w:rPr>
                <w:rFonts w:ascii="Times New Roman" w:hAnsi="Times New Roman"/>
                <w:sz w:val="21"/>
                <w:szCs w:val="21"/>
              </w:rPr>
              <w:t>抛丸粉尘(DA00</w:t>
            </w:r>
            <w:r>
              <w:rPr>
                <w:rFonts w:hint="eastAsia"/>
                <w:sz w:val="21"/>
                <w:szCs w:val="21"/>
                <w:lang w:val="en-US" w:eastAsia="zh-CN"/>
              </w:rPr>
              <w:t>2</w:t>
            </w:r>
            <w:r>
              <w:rPr>
                <w:rFonts w:ascii="Times New Roman" w:hAnsi="Times New Roman"/>
                <w:sz w:val="21"/>
                <w:szCs w:val="21"/>
              </w:rPr>
              <w:t>)</w:t>
            </w:r>
          </w:p>
        </w:tc>
        <w:tc>
          <w:tcPr>
            <w:tcW w:w="840" w:type="pct"/>
            <w:vAlign w:val="center"/>
          </w:tcPr>
          <w:p w14:paraId="059EBED2">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颗粒物</w:t>
            </w:r>
          </w:p>
        </w:tc>
        <w:tc>
          <w:tcPr>
            <w:tcW w:w="993" w:type="pct"/>
            <w:vAlign w:val="center"/>
          </w:tcPr>
          <w:p w14:paraId="3097B800">
            <w:pPr>
              <w:keepNext w:val="0"/>
              <w:keepLines w:val="0"/>
              <w:pageBreakBefore w:val="0"/>
              <w:wordWrap/>
              <w:topLinePunct w:val="0"/>
              <w:autoSpaceDE/>
              <w:autoSpaceDN/>
              <w:bidi w:val="0"/>
              <w:spacing w:line="240" w:lineRule="auto"/>
              <w:ind w:right="0" w:firstLine="0" w:firstLineChars="0"/>
              <w:jc w:val="center"/>
              <w:textAlignment w:val="center"/>
              <w:rPr>
                <w:rFonts w:hint="eastAsia" w:ascii="Times New Roman" w:hAnsi="Times New Roman" w:eastAsia="宋体"/>
                <w:sz w:val="21"/>
                <w:szCs w:val="21"/>
                <w:highlight w:val="yellow"/>
                <w:lang w:val="en-US" w:eastAsia="zh-CN"/>
              </w:rPr>
            </w:pPr>
            <w:r>
              <w:rPr>
                <w:rFonts w:ascii="Times New Roman" w:hAnsi="Times New Roman"/>
                <w:sz w:val="21"/>
                <w:szCs w:val="21"/>
              </w:rPr>
              <w:t>设备自带粉尘收集系统+布袋除尘器（TA00</w:t>
            </w:r>
            <w:r>
              <w:rPr>
                <w:rFonts w:hint="eastAsia"/>
                <w:sz w:val="21"/>
                <w:szCs w:val="21"/>
                <w:lang w:val="en-US" w:eastAsia="zh-CN"/>
              </w:rPr>
              <w:t>2</w:t>
            </w:r>
            <w:r>
              <w:rPr>
                <w:rFonts w:ascii="Times New Roman" w:hAnsi="Times New Roman"/>
                <w:sz w:val="21"/>
                <w:szCs w:val="21"/>
              </w:rPr>
              <w:t>）+2</w:t>
            </w:r>
            <w:r>
              <w:rPr>
                <w:rFonts w:hint="eastAsia" w:ascii="Times New Roman" w:hAnsi="Times New Roman"/>
                <w:sz w:val="21"/>
                <w:szCs w:val="21"/>
              </w:rPr>
              <w:t>0</w:t>
            </w:r>
            <w:r>
              <w:rPr>
                <w:rFonts w:ascii="Times New Roman" w:hAnsi="Times New Roman"/>
                <w:sz w:val="21"/>
                <w:szCs w:val="21"/>
              </w:rPr>
              <w:t>米高排气筒DA00</w:t>
            </w:r>
            <w:r>
              <w:rPr>
                <w:rFonts w:hint="eastAsia"/>
                <w:sz w:val="21"/>
                <w:szCs w:val="21"/>
                <w:lang w:val="en-US" w:eastAsia="zh-CN"/>
              </w:rPr>
              <w:t>2</w:t>
            </w:r>
          </w:p>
        </w:tc>
        <w:tc>
          <w:tcPr>
            <w:tcW w:w="1840" w:type="pct"/>
            <w:vAlign w:val="center"/>
          </w:tcPr>
          <w:p w14:paraId="79A4246D">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r>
              <w:rPr>
                <w:rFonts w:ascii="Times New Roman" w:hAnsi="Times New Roman"/>
                <w:sz w:val="21"/>
                <w:szCs w:val="21"/>
              </w:rPr>
              <w:t>《大气污染物综合排放标准》（GB16297-1996）表2二级标准限值</w:t>
            </w:r>
          </w:p>
        </w:tc>
      </w:tr>
      <w:tr w14:paraId="2BEF6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Merge w:val="continue"/>
            <w:vAlign w:val="center"/>
          </w:tcPr>
          <w:p w14:paraId="42C6EC0E">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color w:val="FF0000"/>
                <w:sz w:val="21"/>
                <w:szCs w:val="21"/>
              </w:rPr>
            </w:pPr>
          </w:p>
        </w:tc>
        <w:tc>
          <w:tcPr>
            <w:tcW w:w="914" w:type="pct"/>
            <w:vMerge w:val="restart"/>
            <w:vAlign w:val="center"/>
          </w:tcPr>
          <w:p w14:paraId="645AA508">
            <w:pPr>
              <w:keepNext w:val="0"/>
              <w:keepLines w:val="0"/>
              <w:pageBreakBefore w:val="0"/>
              <w:kinsoku w:val="0"/>
              <w:wordWrap/>
              <w:overflowPunct w:val="0"/>
              <w:topLinePunct w:val="0"/>
              <w:autoSpaceDE/>
              <w:autoSpaceDN/>
              <w:bidi w:val="0"/>
              <w:spacing w:line="240" w:lineRule="auto"/>
              <w:ind w:right="0" w:firstLine="0" w:firstLineChars="0"/>
              <w:jc w:val="center"/>
              <w:rPr>
                <w:rFonts w:ascii="Times New Roman" w:hAnsi="Times New Roman"/>
                <w:sz w:val="21"/>
                <w:szCs w:val="21"/>
                <w:highlight w:val="yellow"/>
              </w:rPr>
            </w:pPr>
            <w:r>
              <w:rPr>
                <w:rFonts w:ascii="Times New Roman" w:hAnsi="Times New Roman"/>
                <w:sz w:val="21"/>
                <w:szCs w:val="21"/>
              </w:rPr>
              <w:t>喷漆、晾干（DA00</w:t>
            </w:r>
            <w:r>
              <w:rPr>
                <w:rFonts w:hint="eastAsia"/>
                <w:sz w:val="21"/>
                <w:szCs w:val="21"/>
                <w:lang w:val="en-US" w:eastAsia="zh-CN"/>
              </w:rPr>
              <w:t>3</w:t>
            </w:r>
            <w:r>
              <w:rPr>
                <w:rFonts w:ascii="Times New Roman" w:hAnsi="Times New Roman"/>
                <w:sz w:val="21"/>
                <w:szCs w:val="21"/>
              </w:rPr>
              <w:t>）</w:t>
            </w:r>
          </w:p>
        </w:tc>
        <w:tc>
          <w:tcPr>
            <w:tcW w:w="840" w:type="pct"/>
            <w:vAlign w:val="center"/>
          </w:tcPr>
          <w:p w14:paraId="047A1CD8">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非甲烷总烃</w:t>
            </w:r>
          </w:p>
        </w:tc>
        <w:tc>
          <w:tcPr>
            <w:tcW w:w="993" w:type="pct"/>
            <w:vMerge w:val="restart"/>
            <w:vAlign w:val="center"/>
          </w:tcPr>
          <w:p w14:paraId="5BB14463">
            <w:pPr>
              <w:keepNext w:val="0"/>
              <w:keepLines w:val="0"/>
              <w:pageBreakBefore w:val="0"/>
              <w:wordWrap/>
              <w:topLinePunct w:val="0"/>
              <w:autoSpaceDE/>
              <w:autoSpaceDN/>
              <w:bidi w:val="0"/>
              <w:spacing w:line="240" w:lineRule="auto"/>
              <w:ind w:right="0" w:firstLine="0" w:firstLineChars="0"/>
              <w:jc w:val="center"/>
              <w:textAlignment w:val="center"/>
              <w:rPr>
                <w:rFonts w:hint="eastAsia" w:ascii="Times New Roman" w:hAnsi="Times New Roman" w:eastAsia="宋体"/>
                <w:sz w:val="21"/>
                <w:szCs w:val="21"/>
                <w:highlight w:val="yellow"/>
                <w:lang w:val="en-US" w:eastAsia="zh-CN"/>
              </w:rPr>
            </w:pPr>
            <w:r>
              <w:rPr>
                <w:rFonts w:ascii="Times New Roman" w:hAnsi="Times New Roman"/>
                <w:sz w:val="21"/>
                <w:szCs w:val="21"/>
              </w:rPr>
              <w:t>采用密闭负压收集+</w:t>
            </w:r>
            <w:r>
              <w:rPr>
                <w:rFonts w:hint="eastAsia" w:ascii="Times New Roman" w:hAnsi="Times New Roman"/>
                <w:sz w:val="21"/>
                <w:szCs w:val="21"/>
              </w:rPr>
              <w:t>过滤棉+</w:t>
            </w:r>
            <w:r>
              <w:rPr>
                <w:rFonts w:ascii="Times New Roman" w:hAnsi="Times New Roman"/>
                <w:sz w:val="21"/>
                <w:szCs w:val="21"/>
              </w:rPr>
              <w:t>二级活性炭吸附（TA00</w:t>
            </w:r>
            <w:r>
              <w:rPr>
                <w:rFonts w:hint="eastAsia"/>
                <w:sz w:val="21"/>
                <w:szCs w:val="21"/>
                <w:lang w:val="en-US" w:eastAsia="zh-CN"/>
              </w:rPr>
              <w:t>3</w:t>
            </w:r>
            <w:r>
              <w:rPr>
                <w:rFonts w:ascii="Times New Roman" w:hAnsi="Times New Roman"/>
                <w:sz w:val="21"/>
                <w:szCs w:val="21"/>
              </w:rPr>
              <w:t>）+2</w:t>
            </w:r>
            <w:r>
              <w:rPr>
                <w:rFonts w:hint="eastAsia" w:ascii="Times New Roman" w:hAnsi="Times New Roman"/>
                <w:sz w:val="21"/>
                <w:szCs w:val="21"/>
              </w:rPr>
              <w:t>0</w:t>
            </w:r>
            <w:r>
              <w:rPr>
                <w:rFonts w:ascii="Times New Roman" w:hAnsi="Times New Roman"/>
                <w:sz w:val="21"/>
                <w:szCs w:val="21"/>
              </w:rPr>
              <w:t>米高排气筒DA00</w:t>
            </w:r>
            <w:r>
              <w:rPr>
                <w:rFonts w:hint="eastAsia"/>
                <w:sz w:val="21"/>
                <w:szCs w:val="21"/>
                <w:lang w:val="en-US" w:eastAsia="zh-CN"/>
              </w:rPr>
              <w:t>3</w:t>
            </w:r>
          </w:p>
        </w:tc>
        <w:tc>
          <w:tcPr>
            <w:tcW w:w="1840" w:type="pct"/>
            <w:vAlign w:val="center"/>
          </w:tcPr>
          <w:p w14:paraId="3A997377">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r>
              <w:rPr>
                <w:rFonts w:ascii="Times New Roman" w:hAnsi="Times New Roman"/>
                <w:sz w:val="21"/>
                <w:szCs w:val="21"/>
              </w:rPr>
              <w:t>《固定源挥发性有机物综合排放标准第6部分其他行业》（DB34/4812.6—2024）中表1限值标准</w:t>
            </w:r>
          </w:p>
        </w:tc>
      </w:tr>
      <w:tr w14:paraId="09058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Merge w:val="continue"/>
            <w:vAlign w:val="center"/>
          </w:tcPr>
          <w:p w14:paraId="3FC96C7C">
            <w:pPr>
              <w:keepNext w:val="0"/>
              <w:keepLines w:val="0"/>
              <w:pageBreakBefore w:val="0"/>
              <w:wordWrap/>
              <w:topLinePunct w:val="0"/>
              <w:autoSpaceDE/>
              <w:autoSpaceDN/>
              <w:bidi w:val="0"/>
              <w:adjustRightInd w:val="0"/>
              <w:snapToGrid w:val="0"/>
              <w:spacing w:line="240" w:lineRule="auto"/>
              <w:ind w:right="0" w:firstLine="0" w:firstLineChars="0"/>
              <w:jc w:val="center"/>
              <w:rPr>
                <w:sz w:val="21"/>
                <w:szCs w:val="21"/>
              </w:rPr>
            </w:pPr>
          </w:p>
        </w:tc>
        <w:tc>
          <w:tcPr>
            <w:tcW w:w="914" w:type="pct"/>
            <w:vMerge w:val="continue"/>
            <w:vAlign w:val="center"/>
          </w:tcPr>
          <w:p w14:paraId="7D891622">
            <w:pPr>
              <w:keepNext w:val="0"/>
              <w:keepLines w:val="0"/>
              <w:pageBreakBefore w:val="0"/>
              <w:wordWrap/>
              <w:topLinePunct w:val="0"/>
              <w:autoSpaceDE/>
              <w:autoSpaceDN/>
              <w:bidi w:val="0"/>
              <w:adjustRightInd w:val="0"/>
              <w:snapToGrid w:val="0"/>
              <w:spacing w:line="240" w:lineRule="auto"/>
              <w:ind w:right="0" w:firstLine="0" w:firstLineChars="0"/>
              <w:jc w:val="center"/>
              <w:rPr>
                <w:sz w:val="21"/>
                <w:szCs w:val="21"/>
              </w:rPr>
            </w:pPr>
          </w:p>
        </w:tc>
        <w:tc>
          <w:tcPr>
            <w:tcW w:w="840" w:type="pct"/>
            <w:vAlign w:val="center"/>
          </w:tcPr>
          <w:p w14:paraId="4A401A8E">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颗粒物</w:t>
            </w:r>
          </w:p>
        </w:tc>
        <w:tc>
          <w:tcPr>
            <w:tcW w:w="993" w:type="pct"/>
            <w:vMerge w:val="continue"/>
            <w:vAlign w:val="center"/>
          </w:tcPr>
          <w:p w14:paraId="6D7D4C72">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p>
        </w:tc>
        <w:tc>
          <w:tcPr>
            <w:tcW w:w="1840" w:type="pct"/>
            <w:vAlign w:val="center"/>
          </w:tcPr>
          <w:p w14:paraId="15A760D4">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《大气污染物综合排放标准》（GB16297-1996）表2二级标准限值</w:t>
            </w:r>
          </w:p>
        </w:tc>
      </w:tr>
      <w:tr w14:paraId="01659A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Merge w:val="restart"/>
            <w:vAlign w:val="center"/>
          </w:tcPr>
          <w:p w14:paraId="021FE1C2">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地表水环境</w:t>
            </w:r>
          </w:p>
        </w:tc>
        <w:tc>
          <w:tcPr>
            <w:tcW w:w="914" w:type="pct"/>
            <w:vMerge w:val="restart"/>
            <w:vAlign w:val="center"/>
          </w:tcPr>
          <w:p w14:paraId="487C899C">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r>
              <w:rPr>
                <w:rFonts w:ascii="Times New Roman" w:hAnsi="Times New Roman"/>
                <w:sz w:val="21"/>
                <w:szCs w:val="21"/>
              </w:rPr>
              <w:t>生活污水</w:t>
            </w:r>
          </w:p>
        </w:tc>
        <w:tc>
          <w:tcPr>
            <w:tcW w:w="840" w:type="pct"/>
            <w:vAlign w:val="center"/>
          </w:tcPr>
          <w:p w14:paraId="4B4E757C">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pH</w:t>
            </w:r>
          </w:p>
        </w:tc>
        <w:tc>
          <w:tcPr>
            <w:tcW w:w="993" w:type="pct"/>
            <w:vMerge w:val="restart"/>
            <w:vAlign w:val="center"/>
          </w:tcPr>
          <w:p w14:paraId="25A3B740">
            <w:pPr>
              <w:keepNext w:val="0"/>
              <w:keepLines w:val="0"/>
              <w:pageBreakBefore w:val="0"/>
              <w:wordWrap/>
              <w:topLinePunct w:val="0"/>
              <w:autoSpaceDE/>
              <w:autoSpaceDN/>
              <w:bidi w:val="0"/>
              <w:spacing w:line="240" w:lineRule="auto"/>
              <w:ind w:right="0" w:firstLine="0" w:firstLineChars="0"/>
              <w:jc w:val="center"/>
              <w:rPr>
                <w:rFonts w:ascii="Times New Roman" w:hAnsi="Times New Roman"/>
                <w:sz w:val="21"/>
                <w:szCs w:val="21"/>
              </w:rPr>
            </w:pPr>
            <w:r>
              <w:rPr>
                <w:color w:val="000000" w:themeColor="text1"/>
                <w:kern w:val="0"/>
                <w:sz w:val="21"/>
                <w:szCs w:val="21"/>
                <w14:textFill>
                  <w14:solidFill>
                    <w14:schemeClr w14:val="tx1"/>
                  </w14:solidFill>
                </w14:textFill>
              </w:rPr>
              <w:t>生活污水经化粪池预处理后，接管网进入龙湖污水处理厂进一步深度处理，达标后排入龙河</w:t>
            </w:r>
          </w:p>
        </w:tc>
        <w:tc>
          <w:tcPr>
            <w:tcW w:w="1840" w:type="pct"/>
            <w:vMerge w:val="restart"/>
            <w:vAlign w:val="center"/>
          </w:tcPr>
          <w:p w14:paraId="23F1CDC2">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color w:val="FF0000"/>
                <w:sz w:val="21"/>
                <w:szCs w:val="21"/>
              </w:rPr>
            </w:pPr>
            <w:r>
              <w:rPr>
                <w:rFonts w:ascii="宋体" w:hAnsi="宋体" w:eastAsia="宋体" w:cs="宋体"/>
                <w:b w:val="0"/>
                <w:bCs w:val="0"/>
                <w:color w:val="000000"/>
                <w:sz w:val="21"/>
                <w:szCs w:val="21"/>
              </w:rPr>
              <w:t>《污水综合排放标准》（</w:t>
            </w:r>
            <w:r>
              <w:rPr>
                <w:rFonts w:ascii="TimesNewRomanPSMT" w:hAnsi="TimesNewRomanPSMT" w:eastAsia="TimesNewRomanPSMT" w:cs="TimesNewRomanPSMT"/>
                <w:b w:val="0"/>
                <w:bCs w:val="0"/>
                <w:color w:val="000000"/>
                <w:sz w:val="21"/>
                <w:szCs w:val="21"/>
              </w:rPr>
              <w:t>GB8978-1996</w:t>
            </w:r>
            <w:r>
              <w:rPr>
                <w:rFonts w:ascii="宋体" w:hAnsi="宋体" w:eastAsia="宋体" w:cs="宋体"/>
                <w:b w:val="0"/>
                <w:bCs w:val="0"/>
                <w:color w:val="000000"/>
                <w:sz w:val="21"/>
                <w:szCs w:val="21"/>
              </w:rPr>
              <w:t>）表</w:t>
            </w:r>
            <w:r>
              <w:rPr>
                <w:rFonts w:hint="default" w:ascii="TimesNewRomanPSMT" w:hAnsi="TimesNewRomanPSMT" w:eastAsia="TimesNewRomanPSMT" w:cs="TimesNewRomanPSMT"/>
                <w:b w:val="0"/>
                <w:bCs w:val="0"/>
                <w:color w:val="000000"/>
                <w:sz w:val="21"/>
                <w:szCs w:val="21"/>
              </w:rPr>
              <w:t>4</w:t>
            </w:r>
            <w:r>
              <w:rPr>
                <w:rFonts w:ascii="宋体" w:hAnsi="宋体" w:eastAsia="宋体" w:cs="宋体"/>
                <w:b w:val="0"/>
                <w:bCs w:val="0"/>
                <w:color w:val="000000"/>
                <w:sz w:val="21"/>
                <w:szCs w:val="21"/>
              </w:rPr>
              <w:t>的三级标准浓度限值和龙湖污水处理厂接管限值从严值</w:t>
            </w:r>
          </w:p>
        </w:tc>
      </w:tr>
      <w:tr w14:paraId="1B77C1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Merge w:val="continue"/>
            <w:vAlign w:val="center"/>
          </w:tcPr>
          <w:p w14:paraId="0A3AEACF">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p>
        </w:tc>
        <w:tc>
          <w:tcPr>
            <w:tcW w:w="914" w:type="pct"/>
            <w:vMerge w:val="continue"/>
            <w:vAlign w:val="center"/>
          </w:tcPr>
          <w:p w14:paraId="57D1A6B7">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c>
          <w:tcPr>
            <w:tcW w:w="840" w:type="pct"/>
            <w:vAlign w:val="center"/>
          </w:tcPr>
          <w:p w14:paraId="4DF07034">
            <w:pPr>
              <w:keepNext w:val="0"/>
              <w:keepLines w:val="0"/>
              <w:pageBreakBefore w:val="0"/>
              <w:wordWrap/>
              <w:topLinePunct w:val="0"/>
              <w:autoSpaceDE/>
              <w:autoSpaceDN/>
              <w:bidi w:val="0"/>
              <w:spacing w:line="240" w:lineRule="auto"/>
              <w:ind w:right="0" w:firstLine="0" w:firstLineChars="0"/>
              <w:jc w:val="center"/>
              <w:rPr>
                <w:rFonts w:ascii="Times New Roman" w:hAnsi="Times New Roman"/>
                <w:sz w:val="21"/>
                <w:szCs w:val="21"/>
              </w:rPr>
            </w:pPr>
            <w:r>
              <w:rPr>
                <w:rFonts w:ascii="Times New Roman" w:hAnsi="Times New Roman"/>
                <w:sz w:val="21"/>
                <w:szCs w:val="21"/>
              </w:rPr>
              <w:t>COD</w:t>
            </w:r>
          </w:p>
        </w:tc>
        <w:tc>
          <w:tcPr>
            <w:tcW w:w="993" w:type="pct"/>
            <w:vMerge w:val="continue"/>
            <w:vAlign w:val="center"/>
          </w:tcPr>
          <w:p w14:paraId="6D87708C">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c>
          <w:tcPr>
            <w:tcW w:w="1840" w:type="pct"/>
            <w:vMerge w:val="continue"/>
            <w:vAlign w:val="center"/>
          </w:tcPr>
          <w:p w14:paraId="74D4DA11">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kern w:val="28"/>
                <w:sz w:val="21"/>
                <w:szCs w:val="21"/>
                <w:highlight w:val="yellow"/>
              </w:rPr>
            </w:pPr>
          </w:p>
        </w:tc>
      </w:tr>
      <w:tr w14:paraId="6AD25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Merge w:val="continue"/>
            <w:vAlign w:val="center"/>
          </w:tcPr>
          <w:p w14:paraId="6B869072">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p>
        </w:tc>
        <w:tc>
          <w:tcPr>
            <w:tcW w:w="914" w:type="pct"/>
            <w:vMerge w:val="continue"/>
            <w:vAlign w:val="center"/>
          </w:tcPr>
          <w:p w14:paraId="2E2B52FD">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c>
          <w:tcPr>
            <w:tcW w:w="840" w:type="pct"/>
            <w:vAlign w:val="center"/>
          </w:tcPr>
          <w:p w14:paraId="01137F2E">
            <w:pPr>
              <w:keepNext w:val="0"/>
              <w:keepLines w:val="0"/>
              <w:pageBreakBefore w:val="0"/>
              <w:wordWrap/>
              <w:topLinePunct w:val="0"/>
              <w:autoSpaceDE/>
              <w:autoSpaceDN/>
              <w:bidi w:val="0"/>
              <w:spacing w:line="240" w:lineRule="auto"/>
              <w:ind w:right="0" w:firstLine="0" w:firstLineChars="0"/>
              <w:jc w:val="center"/>
              <w:rPr>
                <w:rFonts w:ascii="Times New Roman" w:hAnsi="Times New Roman"/>
                <w:sz w:val="21"/>
                <w:szCs w:val="21"/>
              </w:rPr>
            </w:pPr>
            <w:r>
              <w:rPr>
                <w:rFonts w:ascii="Times New Roman" w:hAnsi="Times New Roman"/>
                <w:sz w:val="21"/>
                <w:szCs w:val="21"/>
              </w:rPr>
              <w:t>BOD</w:t>
            </w:r>
            <w:r>
              <w:rPr>
                <w:rFonts w:ascii="Times New Roman" w:hAnsi="Times New Roman"/>
                <w:sz w:val="21"/>
                <w:szCs w:val="21"/>
                <w:vertAlign w:val="subscript"/>
              </w:rPr>
              <w:t>5</w:t>
            </w:r>
          </w:p>
        </w:tc>
        <w:tc>
          <w:tcPr>
            <w:tcW w:w="993" w:type="pct"/>
            <w:vMerge w:val="continue"/>
            <w:vAlign w:val="center"/>
          </w:tcPr>
          <w:p w14:paraId="4ADBF9A8">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c>
          <w:tcPr>
            <w:tcW w:w="1840" w:type="pct"/>
            <w:vMerge w:val="continue"/>
            <w:vAlign w:val="center"/>
          </w:tcPr>
          <w:p w14:paraId="420658C2">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r>
      <w:tr w14:paraId="36507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Merge w:val="continue"/>
            <w:vAlign w:val="center"/>
          </w:tcPr>
          <w:p w14:paraId="350DFE68">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p>
        </w:tc>
        <w:tc>
          <w:tcPr>
            <w:tcW w:w="914" w:type="pct"/>
            <w:vMerge w:val="continue"/>
            <w:vAlign w:val="center"/>
          </w:tcPr>
          <w:p w14:paraId="39073CC1">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c>
          <w:tcPr>
            <w:tcW w:w="840" w:type="pct"/>
            <w:vAlign w:val="center"/>
          </w:tcPr>
          <w:p w14:paraId="764BB6AA">
            <w:pPr>
              <w:keepNext w:val="0"/>
              <w:keepLines w:val="0"/>
              <w:pageBreakBefore w:val="0"/>
              <w:wordWrap/>
              <w:topLinePunct w:val="0"/>
              <w:autoSpaceDE/>
              <w:autoSpaceDN/>
              <w:bidi w:val="0"/>
              <w:spacing w:line="240" w:lineRule="auto"/>
              <w:ind w:right="0" w:firstLine="0" w:firstLineChars="0"/>
              <w:jc w:val="center"/>
              <w:rPr>
                <w:rFonts w:ascii="Times New Roman" w:hAnsi="Times New Roman"/>
                <w:sz w:val="21"/>
                <w:szCs w:val="21"/>
              </w:rPr>
            </w:pPr>
            <w:r>
              <w:rPr>
                <w:rFonts w:ascii="Times New Roman" w:hAnsi="Times New Roman"/>
                <w:sz w:val="21"/>
                <w:szCs w:val="21"/>
              </w:rPr>
              <w:t>SS</w:t>
            </w:r>
          </w:p>
        </w:tc>
        <w:tc>
          <w:tcPr>
            <w:tcW w:w="993" w:type="pct"/>
            <w:vMerge w:val="continue"/>
            <w:vAlign w:val="center"/>
          </w:tcPr>
          <w:p w14:paraId="2482C56B">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c>
          <w:tcPr>
            <w:tcW w:w="1840" w:type="pct"/>
            <w:vMerge w:val="continue"/>
            <w:vAlign w:val="center"/>
          </w:tcPr>
          <w:p w14:paraId="0080D700">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r>
      <w:tr w14:paraId="4AEC1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Merge w:val="continue"/>
            <w:vAlign w:val="center"/>
          </w:tcPr>
          <w:p w14:paraId="4D0762BF">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p>
        </w:tc>
        <w:tc>
          <w:tcPr>
            <w:tcW w:w="914" w:type="pct"/>
            <w:vMerge w:val="continue"/>
            <w:vAlign w:val="center"/>
          </w:tcPr>
          <w:p w14:paraId="162E864F">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c>
          <w:tcPr>
            <w:tcW w:w="840" w:type="pct"/>
            <w:vAlign w:val="center"/>
          </w:tcPr>
          <w:p w14:paraId="26BD4B75">
            <w:pPr>
              <w:keepNext w:val="0"/>
              <w:keepLines w:val="0"/>
              <w:pageBreakBefore w:val="0"/>
              <w:wordWrap/>
              <w:topLinePunct w:val="0"/>
              <w:autoSpaceDE/>
              <w:autoSpaceDN/>
              <w:bidi w:val="0"/>
              <w:spacing w:line="240" w:lineRule="auto"/>
              <w:ind w:right="0" w:firstLine="0" w:firstLineChars="0"/>
              <w:jc w:val="center"/>
              <w:rPr>
                <w:rFonts w:ascii="Times New Roman" w:hAnsi="Times New Roman"/>
                <w:sz w:val="21"/>
                <w:szCs w:val="21"/>
              </w:rPr>
            </w:pPr>
            <w:r>
              <w:rPr>
                <w:rFonts w:ascii="Times New Roman" w:hAnsi="Times New Roman"/>
                <w:sz w:val="21"/>
                <w:szCs w:val="21"/>
              </w:rPr>
              <w:t>氨氮</w:t>
            </w:r>
          </w:p>
        </w:tc>
        <w:tc>
          <w:tcPr>
            <w:tcW w:w="993" w:type="pct"/>
            <w:vMerge w:val="continue"/>
            <w:vAlign w:val="center"/>
          </w:tcPr>
          <w:p w14:paraId="798FE8B7">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c>
          <w:tcPr>
            <w:tcW w:w="1840" w:type="pct"/>
            <w:vMerge w:val="continue"/>
            <w:vAlign w:val="center"/>
          </w:tcPr>
          <w:p w14:paraId="2EA95BF0">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r>
      <w:tr w14:paraId="7ABF6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Align w:val="center"/>
          </w:tcPr>
          <w:p w14:paraId="4D9CA5A7">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声环境</w:t>
            </w:r>
          </w:p>
        </w:tc>
        <w:tc>
          <w:tcPr>
            <w:tcW w:w="914" w:type="pct"/>
            <w:vAlign w:val="center"/>
          </w:tcPr>
          <w:p w14:paraId="11338D53">
            <w:pPr>
              <w:keepNext w:val="0"/>
              <w:keepLines w:val="0"/>
              <w:pageBreakBefore w:val="0"/>
              <w:wordWrap/>
              <w:topLinePunct w:val="0"/>
              <w:autoSpaceDE/>
              <w:autoSpaceDN/>
              <w:bidi w:val="0"/>
              <w:spacing w:line="240" w:lineRule="auto"/>
              <w:ind w:right="0" w:firstLine="0" w:firstLineChars="0"/>
              <w:jc w:val="center"/>
              <w:rPr>
                <w:rFonts w:ascii="Times New Roman" w:hAnsi="Times New Roman"/>
                <w:sz w:val="21"/>
                <w:szCs w:val="21"/>
              </w:rPr>
            </w:pPr>
            <w:r>
              <w:rPr>
                <w:rFonts w:ascii="Times New Roman" w:hAnsi="Times New Roman"/>
                <w:sz w:val="21"/>
                <w:szCs w:val="21"/>
              </w:rPr>
              <w:t>环保设备</w:t>
            </w:r>
          </w:p>
        </w:tc>
        <w:tc>
          <w:tcPr>
            <w:tcW w:w="840" w:type="pct"/>
            <w:vAlign w:val="center"/>
          </w:tcPr>
          <w:p w14:paraId="4C08AE08">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等效连续A声级</w:t>
            </w:r>
          </w:p>
        </w:tc>
        <w:tc>
          <w:tcPr>
            <w:tcW w:w="993" w:type="pct"/>
            <w:vAlign w:val="center"/>
          </w:tcPr>
          <w:p w14:paraId="76E432B3">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基础减振、厂房隔音、距离衰减</w:t>
            </w:r>
          </w:p>
        </w:tc>
        <w:tc>
          <w:tcPr>
            <w:tcW w:w="1840" w:type="pct"/>
            <w:vAlign w:val="center"/>
          </w:tcPr>
          <w:p w14:paraId="2D68D024">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r>
              <w:rPr>
                <w:rFonts w:ascii="Times New Roman" w:hAnsi="Times New Roman"/>
                <w:sz w:val="21"/>
                <w:szCs w:val="21"/>
                <w:lang w:val="en-GB"/>
              </w:rPr>
              <w:t>《工业企业厂界环境噪声排放标准》（GB12348-2008）中3类标准的要求</w:t>
            </w:r>
          </w:p>
        </w:tc>
      </w:tr>
      <w:tr w14:paraId="51BF3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Align w:val="center"/>
          </w:tcPr>
          <w:p w14:paraId="6E954E72">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固体废物</w:t>
            </w:r>
          </w:p>
        </w:tc>
        <w:tc>
          <w:tcPr>
            <w:tcW w:w="4589" w:type="pct"/>
            <w:gridSpan w:val="4"/>
            <w:vAlign w:val="center"/>
          </w:tcPr>
          <w:p w14:paraId="34832A58">
            <w:pPr>
              <w:keepNext w:val="0"/>
              <w:keepLines w:val="0"/>
              <w:pageBreakBefore w:val="0"/>
              <w:wordWrap/>
              <w:topLinePunct w:val="0"/>
              <w:autoSpaceDE/>
              <w:autoSpaceDN/>
              <w:bidi w:val="0"/>
              <w:spacing w:line="240" w:lineRule="auto"/>
              <w:ind w:right="0" w:firstLine="0" w:firstLineChars="0"/>
              <w:jc w:val="center"/>
              <w:rPr>
                <w:rFonts w:ascii="Times New Roman" w:hAnsi="Times New Roman"/>
                <w:sz w:val="21"/>
                <w:szCs w:val="21"/>
              </w:rPr>
            </w:pPr>
            <w:r>
              <w:rPr>
                <w:rFonts w:ascii="Times New Roman" w:hAnsi="Times New Roman"/>
                <w:szCs w:val="21"/>
              </w:rPr>
              <w:t>项目固体废物主要包括</w:t>
            </w:r>
            <w:r>
              <w:rPr>
                <w:rFonts w:hint="eastAsia" w:ascii="Times New Roman" w:hAnsi="Times New Roman"/>
                <w:szCs w:val="21"/>
                <w:lang w:eastAsia="zh-CN"/>
              </w:rPr>
              <w:t>废边角料、废布袋、废钢丸、废活性炭、废过滤棉、废机油、废液压油、废油桶、废乳化液、含油抹布及废手套、漆渣、废油漆桶、生活垃圾</w:t>
            </w:r>
            <w:r>
              <w:rPr>
                <w:rFonts w:ascii="Times New Roman" w:hAnsi="Times New Roman"/>
                <w:szCs w:val="21"/>
              </w:rPr>
              <w:t>。其中</w:t>
            </w:r>
            <w:r>
              <w:rPr>
                <w:rFonts w:hint="eastAsia" w:ascii="Times New Roman" w:hAnsi="Times New Roman"/>
                <w:szCs w:val="21"/>
                <w:lang w:eastAsia="zh-CN"/>
              </w:rPr>
              <w:t>废边角料、废布袋、废钢丸</w:t>
            </w:r>
            <w:r>
              <w:rPr>
                <w:rFonts w:hint="eastAsia"/>
                <w:color w:val="000000" w:themeColor="text1"/>
                <w:szCs w:val="21"/>
                <w14:textFill>
                  <w14:solidFill>
                    <w14:schemeClr w14:val="tx1"/>
                  </w14:solidFill>
                </w14:textFill>
              </w:rPr>
              <w:t>集中收集后，暂存于一般固废暂存间，综合利用</w:t>
            </w:r>
            <w:r>
              <w:rPr>
                <w:rFonts w:ascii="Times New Roman" w:hAnsi="Times New Roman"/>
                <w:szCs w:val="21"/>
              </w:rPr>
              <w:t>；</w:t>
            </w:r>
            <w:r>
              <w:rPr>
                <w:rFonts w:hint="eastAsia" w:ascii="Times New Roman" w:hAnsi="Times New Roman"/>
                <w:szCs w:val="21"/>
                <w:lang w:eastAsia="zh-CN"/>
              </w:rPr>
              <w:t>废活性炭、废过滤棉、废机油、废液压油、废油桶、废乳化液、含油抹布及废手套、漆渣、废油漆桶</w:t>
            </w:r>
            <w:r>
              <w:rPr>
                <w:rFonts w:ascii="Times New Roman" w:hAnsi="Times New Roman"/>
                <w:szCs w:val="21"/>
              </w:rPr>
              <w:t>集中收集至暂存危废间后交由有资质单位处置；生活垃圾</w:t>
            </w:r>
            <w:r>
              <w:rPr>
                <w:rFonts w:hint="eastAsia"/>
                <w:color w:val="000000" w:themeColor="text1"/>
                <w:szCs w:val="21"/>
                <w14:textFill>
                  <w14:solidFill>
                    <w14:schemeClr w14:val="tx1"/>
                  </w14:solidFill>
                </w14:textFill>
              </w:rPr>
              <w:t>集中收集后，由环卫部门定期清运处理</w:t>
            </w:r>
            <w:r>
              <w:rPr>
                <w:rFonts w:ascii="Times New Roman" w:hAnsi="Times New Roman"/>
                <w:szCs w:val="21"/>
              </w:rPr>
              <w:t>。</w:t>
            </w:r>
          </w:p>
        </w:tc>
      </w:tr>
      <w:tr w14:paraId="1826B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Align w:val="center"/>
          </w:tcPr>
          <w:p w14:paraId="1B8D2B40">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r>
              <w:rPr>
                <w:rFonts w:ascii="Times New Roman" w:hAnsi="Times New Roman"/>
                <w:sz w:val="21"/>
                <w:szCs w:val="21"/>
              </w:rPr>
              <w:t>土壤及地下水污染防治措施</w:t>
            </w:r>
          </w:p>
        </w:tc>
        <w:tc>
          <w:tcPr>
            <w:tcW w:w="4589" w:type="pct"/>
            <w:gridSpan w:val="4"/>
            <w:vAlign w:val="center"/>
          </w:tcPr>
          <w:p w14:paraId="39755C4B">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hint="default" w:ascii="Times New Roman" w:hAnsi="Times New Roman" w:cs="Times New Roman"/>
                <w:bCs/>
                <w:color w:val="auto"/>
                <w:lang w:eastAsia="zh-CN"/>
              </w:rPr>
              <w:t>喷漆房、</w:t>
            </w:r>
            <w:r>
              <w:rPr>
                <w:rFonts w:hint="eastAsia" w:cs="Times New Roman"/>
                <w:bCs/>
                <w:color w:val="auto"/>
                <w:lang w:eastAsia="zh-CN"/>
              </w:rPr>
              <w:t>油漆库、</w:t>
            </w:r>
            <w:r>
              <w:rPr>
                <w:rFonts w:hint="default" w:ascii="Times New Roman" w:hAnsi="Times New Roman" w:cs="Times New Roman"/>
                <w:bCs/>
                <w:color w:val="auto"/>
              </w:rPr>
              <w:t>危废暂存间</w:t>
            </w:r>
            <w:r>
              <w:rPr>
                <w:rFonts w:hint="eastAsia" w:cs="Times New Roman"/>
                <w:bCs/>
                <w:color w:val="auto"/>
                <w:lang w:eastAsia="zh-CN"/>
              </w:rPr>
              <w:t>、事故池</w:t>
            </w:r>
            <w:r>
              <w:rPr>
                <w:rFonts w:ascii="Times New Roman" w:hAnsi="Times New Roman"/>
                <w:sz w:val="21"/>
                <w:szCs w:val="21"/>
              </w:rPr>
              <w:t>等做重点防渗处理，</w:t>
            </w:r>
            <w:r>
              <w:rPr>
                <w:rFonts w:ascii="Times New Roman" w:hAnsi="Times New Roman"/>
                <w:szCs w:val="21"/>
              </w:rPr>
              <w:t>等效黏土防渗层Mb≥6.0m，K≤1.0×10</w:t>
            </w:r>
            <w:r>
              <w:rPr>
                <w:rFonts w:ascii="Times New Roman" w:hAnsi="Times New Roman"/>
                <w:szCs w:val="21"/>
                <w:vertAlign w:val="superscript"/>
              </w:rPr>
              <w:t>-7</w:t>
            </w:r>
            <w:r>
              <w:rPr>
                <w:rFonts w:ascii="Times New Roman" w:hAnsi="Times New Roman"/>
                <w:szCs w:val="21"/>
              </w:rPr>
              <w:t>cm/s。</w:t>
            </w:r>
          </w:p>
          <w:p w14:paraId="5F1DEF1F">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一般生产区域等其他区域</w:t>
            </w:r>
            <w:r>
              <w:rPr>
                <w:rFonts w:hint="default"/>
                <w:color w:val="000000"/>
                <w:kern w:val="28"/>
                <w:sz w:val="21"/>
                <w:szCs w:val="21"/>
              </w:rPr>
              <w:t>防渗层的防渗性能不应低于1.5m厚渗透系数为1.0×10</w:t>
            </w:r>
            <w:r>
              <w:rPr>
                <w:rFonts w:hint="default"/>
                <w:color w:val="000000"/>
                <w:kern w:val="28"/>
                <w:sz w:val="21"/>
                <w:szCs w:val="21"/>
                <w:vertAlign w:val="baseline"/>
              </w:rPr>
              <w:t>-7</w:t>
            </w:r>
            <w:r>
              <w:rPr>
                <w:rFonts w:hint="default"/>
                <w:color w:val="000000"/>
                <w:kern w:val="28"/>
                <w:sz w:val="21"/>
                <w:szCs w:val="21"/>
              </w:rPr>
              <w:t>cm/s的黏土层的防渗性能</w:t>
            </w:r>
            <w:r>
              <w:rPr>
                <w:rFonts w:ascii="Times New Roman" w:hAnsi="Times New Roman"/>
                <w:sz w:val="21"/>
                <w:szCs w:val="21"/>
              </w:rPr>
              <w:t>。</w:t>
            </w:r>
          </w:p>
        </w:tc>
      </w:tr>
      <w:tr w14:paraId="56CE3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Align w:val="center"/>
          </w:tcPr>
          <w:p w14:paraId="75804D32">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生态保护措施</w:t>
            </w:r>
          </w:p>
        </w:tc>
        <w:tc>
          <w:tcPr>
            <w:tcW w:w="4589" w:type="pct"/>
            <w:gridSpan w:val="4"/>
            <w:vAlign w:val="center"/>
          </w:tcPr>
          <w:p w14:paraId="42F00474">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运营期产生的污染物经处理后均可达标排放，对周围生态环境的影响不大。通过落实好各项污染防治措施，可使项目对生态环境的影响降至最低。</w:t>
            </w:r>
          </w:p>
        </w:tc>
      </w:tr>
      <w:tr w14:paraId="19AA1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Align w:val="center"/>
          </w:tcPr>
          <w:p w14:paraId="4C74519D">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环境风险</w:t>
            </w:r>
          </w:p>
          <w:p w14:paraId="2A0E8EF1">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防范措施</w:t>
            </w:r>
          </w:p>
        </w:tc>
        <w:tc>
          <w:tcPr>
            <w:tcW w:w="4589" w:type="pct"/>
            <w:gridSpan w:val="4"/>
            <w:vAlign w:val="center"/>
          </w:tcPr>
          <w:p w14:paraId="46F5E1CA">
            <w:pPr>
              <w:pStyle w:val="12"/>
              <w:keepNext w:val="0"/>
              <w:keepLines w:val="0"/>
              <w:pageBreakBefore w:val="0"/>
              <w:wordWrap/>
              <w:topLinePunct w:val="0"/>
              <w:autoSpaceDE/>
              <w:autoSpaceDN/>
              <w:bidi w:val="0"/>
              <w:spacing w:before="0" w:after="0" w:line="240" w:lineRule="auto"/>
              <w:ind w:right="0" w:firstLine="0" w:firstLineChars="0"/>
              <w:jc w:val="center"/>
              <w:rPr>
                <w:kern w:val="2"/>
                <w:sz w:val="21"/>
                <w:szCs w:val="21"/>
              </w:rPr>
            </w:pPr>
            <w:r>
              <w:rPr>
                <w:kern w:val="2"/>
                <w:sz w:val="21"/>
                <w:szCs w:val="21"/>
              </w:rPr>
              <w:t>①建设单位须制订环境突发事故应急预案，一旦突发环境风险事故，必须立即按应急预案提到的紧急处理、救援、监测方案等进行紧急救援，救援人员采取相应的防护措施，以避免造成人员伤亡事故。②公司设专人对原料仓库及危废暂存间定期巡查，做到及时发现及时处理。③</w:t>
            </w:r>
            <w:r>
              <w:rPr>
                <w:sz w:val="21"/>
                <w:szCs w:val="21"/>
              </w:rPr>
              <w:t>企业定期对废气、处理设施进行维护、修理，使其处于正常运转状态，杜绝事故性排放；一旦发现废气收集、处理设施出现故障，须立即停止生产，待故障排除完毕、治理设施正常运行后方可恢复生产。</w:t>
            </w:r>
          </w:p>
        </w:tc>
      </w:tr>
      <w:tr w14:paraId="6D925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vAlign w:val="center"/>
          </w:tcPr>
          <w:p w14:paraId="13C5F644">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其他环境</w:t>
            </w:r>
          </w:p>
          <w:p w14:paraId="304068DF">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管理要求</w:t>
            </w:r>
          </w:p>
        </w:tc>
        <w:tc>
          <w:tcPr>
            <w:tcW w:w="4589" w:type="pct"/>
            <w:gridSpan w:val="4"/>
            <w:vAlign w:val="center"/>
          </w:tcPr>
          <w:p w14:paraId="43D8E25F">
            <w:pPr>
              <w:keepNext w:val="0"/>
              <w:keepLines w:val="0"/>
              <w:pageBreakBefore w:val="0"/>
              <w:wordWrap/>
              <w:topLinePunct w:val="0"/>
              <w:autoSpaceDE/>
              <w:autoSpaceDN/>
              <w:bidi w:val="0"/>
              <w:adjustRightInd w:val="0"/>
              <w:snapToGrid w:val="0"/>
              <w:spacing w:line="240" w:lineRule="auto"/>
              <w:ind w:right="0" w:firstLine="0" w:firstLineChars="0"/>
              <w:jc w:val="left"/>
              <w:rPr>
                <w:rFonts w:ascii="Times New Roman" w:hAnsi="Times New Roman"/>
                <w:sz w:val="21"/>
                <w:szCs w:val="21"/>
              </w:rPr>
            </w:pPr>
            <w:r>
              <w:rPr>
                <w:rFonts w:ascii="Times New Roman" w:hAnsi="Times New Roman"/>
                <w:sz w:val="21"/>
                <w:szCs w:val="21"/>
              </w:rPr>
              <w:t>①</w:t>
            </w:r>
            <w:r>
              <w:rPr>
                <w:rFonts w:ascii="Times New Roman" w:hAnsi="Times New Roman"/>
                <w:bCs/>
                <w:sz w:val="21"/>
                <w:szCs w:val="21"/>
              </w:rPr>
              <w:t>根据</w:t>
            </w:r>
            <w:r>
              <w:rPr>
                <w:sz w:val="21"/>
                <w:szCs w:val="21"/>
              </w:rPr>
              <w:fldChar w:fldCharType="begin"/>
            </w:r>
            <w:r>
              <w:rPr>
                <w:sz w:val="21"/>
                <w:szCs w:val="21"/>
              </w:rPr>
              <w:instrText xml:space="preserve"> HYPERLINK "http://www.mee.gov.cn/xxgk2018/xxgk/xxgk02/202001/W020200103660632857898.pdf" </w:instrText>
            </w:r>
            <w:r>
              <w:rPr>
                <w:sz w:val="21"/>
                <w:szCs w:val="21"/>
              </w:rPr>
              <w:fldChar w:fldCharType="separate"/>
            </w:r>
            <w:r>
              <w:rPr>
                <w:rFonts w:ascii="Times New Roman" w:hAnsi="Times New Roman"/>
                <w:bCs/>
                <w:sz w:val="21"/>
                <w:szCs w:val="21"/>
              </w:rPr>
              <w:t>《固定污染源排污许可分类管理名录（2019年版）》</w:t>
            </w:r>
            <w:r>
              <w:rPr>
                <w:rFonts w:ascii="Times New Roman" w:hAnsi="Times New Roman"/>
                <w:bCs/>
                <w:sz w:val="21"/>
                <w:szCs w:val="21"/>
              </w:rPr>
              <w:fldChar w:fldCharType="end"/>
            </w:r>
            <w:r>
              <w:rPr>
                <w:rFonts w:ascii="Times New Roman" w:hAnsi="Times New Roman"/>
                <w:bCs/>
                <w:sz w:val="21"/>
                <w:szCs w:val="21"/>
              </w:rPr>
              <w:t>进行判定，可知：本项目属于固定污染源排污许可分类管理名录表中的“</w:t>
            </w:r>
            <w:r>
              <w:rPr>
                <w:rFonts w:hint="eastAsia"/>
                <w:bCs/>
                <w:sz w:val="21"/>
                <w:szCs w:val="21"/>
                <w:lang w:eastAsia="zh-CN"/>
              </w:rPr>
              <w:t>三十</w:t>
            </w:r>
            <w:r>
              <w:rPr>
                <w:rFonts w:ascii="Times New Roman" w:hAnsi="Times New Roman"/>
                <w:sz w:val="21"/>
                <w:szCs w:val="21"/>
              </w:rPr>
              <w:t>、</w:t>
            </w:r>
            <w:r>
              <w:rPr>
                <w:rFonts w:hint="eastAsia"/>
                <w:sz w:val="21"/>
                <w:szCs w:val="21"/>
                <w:lang w:eastAsia="zh-CN"/>
              </w:rPr>
              <w:t>专用设备制造业</w:t>
            </w:r>
            <w:r>
              <w:rPr>
                <w:rFonts w:ascii="Times New Roman" w:hAnsi="Times New Roman"/>
                <w:sz w:val="21"/>
                <w:szCs w:val="21"/>
              </w:rPr>
              <w:t>3</w:t>
            </w:r>
            <w:r>
              <w:rPr>
                <w:rFonts w:hint="eastAsia"/>
                <w:sz w:val="21"/>
                <w:szCs w:val="21"/>
                <w:lang w:val="en-US" w:eastAsia="zh-CN"/>
              </w:rPr>
              <w:t>5</w:t>
            </w:r>
            <w:r>
              <w:rPr>
                <w:rFonts w:ascii="Times New Roman" w:hAnsi="Times New Roman"/>
                <w:sz w:val="21"/>
                <w:szCs w:val="21"/>
              </w:rPr>
              <w:t>-8</w:t>
            </w:r>
            <w:r>
              <w:rPr>
                <w:rFonts w:hint="eastAsia"/>
                <w:sz w:val="21"/>
                <w:szCs w:val="21"/>
                <w:lang w:val="en-US" w:eastAsia="zh-CN"/>
              </w:rPr>
              <w:t>4</w:t>
            </w:r>
            <w:r>
              <w:rPr>
                <w:rFonts w:ascii="Times New Roman" w:hAnsi="Times New Roman"/>
                <w:sz w:val="21"/>
                <w:szCs w:val="21"/>
              </w:rPr>
              <w:t>，</w:t>
            </w:r>
            <w:r>
              <w:rPr>
                <w:rFonts w:hint="eastAsia"/>
                <w:sz w:val="21"/>
                <w:szCs w:val="21"/>
                <w:lang w:eastAsia="zh-CN"/>
              </w:rPr>
              <w:t>采金、冶金、建筑专用设备制造</w:t>
            </w:r>
            <w:r>
              <w:rPr>
                <w:rFonts w:hint="eastAsia"/>
                <w:sz w:val="21"/>
                <w:szCs w:val="21"/>
                <w:lang w:val="en-US" w:eastAsia="zh-CN"/>
              </w:rPr>
              <w:t>351</w:t>
            </w:r>
            <w:r>
              <w:rPr>
                <w:rFonts w:ascii="Times New Roman" w:hAnsi="Times New Roman"/>
                <w:bCs/>
                <w:sz w:val="21"/>
                <w:szCs w:val="21"/>
              </w:rPr>
              <w:t>”，排污许可类型为</w:t>
            </w:r>
            <w:r>
              <w:rPr>
                <w:rFonts w:ascii="Times New Roman" w:hAnsi="Times New Roman"/>
                <w:sz w:val="21"/>
                <w:szCs w:val="21"/>
              </w:rPr>
              <w:t>登记管理，建设单位应当在启动生产设施或发生实际排污之前办理排污许可手续；</w:t>
            </w:r>
          </w:p>
          <w:p w14:paraId="15FF1CCA">
            <w:pPr>
              <w:pStyle w:val="56"/>
              <w:keepNext w:val="0"/>
              <w:keepLines w:val="0"/>
              <w:pageBreakBefore w:val="0"/>
              <w:widowControl w:val="0"/>
              <w:wordWrap/>
              <w:topLinePunct w:val="0"/>
              <w:autoSpaceDE/>
              <w:autoSpaceDN/>
              <w:bidi w:val="0"/>
              <w:spacing w:line="240" w:lineRule="auto"/>
              <w:ind w:right="0"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表5-1排污许可分类管理一览表（2019年版）</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15"/>
              <w:gridCol w:w="1739"/>
              <w:gridCol w:w="1224"/>
              <w:gridCol w:w="3260"/>
              <w:gridCol w:w="1259"/>
            </w:tblGrid>
            <w:tr w14:paraId="167CF7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0" w:type="pct"/>
                  <w:vAlign w:val="center"/>
                </w:tcPr>
                <w:p w14:paraId="6E7FA294">
                  <w:pPr>
                    <w:keepNext w:val="0"/>
                    <w:keepLines w:val="0"/>
                    <w:pageBreakBefore w:val="0"/>
                    <w:wordWrap/>
                    <w:topLinePunct w:val="0"/>
                    <w:autoSpaceDE/>
                    <w:autoSpaceDN/>
                    <w:bidi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序号</w:t>
                  </w:r>
                </w:p>
              </w:tc>
              <w:tc>
                <w:tcPr>
                  <w:tcW w:w="1074" w:type="pct"/>
                  <w:vAlign w:val="center"/>
                </w:tcPr>
                <w:p w14:paraId="48984F16">
                  <w:pPr>
                    <w:keepNext w:val="0"/>
                    <w:keepLines w:val="0"/>
                    <w:pageBreakBefore w:val="0"/>
                    <w:wordWrap/>
                    <w:topLinePunct w:val="0"/>
                    <w:autoSpaceDE/>
                    <w:autoSpaceDN/>
                    <w:bidi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行业类别</w:t>
                  </w:r>
                </w:p>
              </w:tc>
              <w:tc>
                <w:tcPr>
                  <w:tcW w:w="756" w:type="pct"/>
                  <w:vAlign w:val="center"/>
                </w:tcPr>
                <w:p w14:paraId="444562C2">
                  <w:pPr>
                    <w:keepNext w:val="0"/>
                    <w:keepLines w:val="0"/>
                    <w:pageBreakBefore w:val="0"/>
                    <w:wordWrap/>
                    <w:topLinePunct w:val="0"/>
                    <w:autoSpaceDE/>
                    <w:autoSpaceDN/>
                    <w:bidi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重点管理</w:t>
                  </w:r>
                </w:p>
              </w:tc>
              <w:tc>
                <w:tcPr>
                  <w:tcW w:w="2013" w:type="pct"/>
                  <w:vAlign w:val="center"/>
                </w:tcPr>
                <w:p w14:paraId="0D9E9639">
                  <w:pPr>
                    <w:keepNext w:val="0"/>
                    <w:keepLines w:val="0"/>
                    <w:pageBreakBefore w:val="0"/>
                    <w:wordWrap/>
                    <w:topLinePunct w:val="0"/>
                    <w:autoSpaceDE/>
                    <w:autoSpaceDN/>
                    <w:bidi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简化管理</w:t>
                  </w:r>
                </w:p>
              </w:tc>
              <w:tc>
                <w:tcPr>
                  <w:tcW w:w="776" w:type="pct"/>
                  <w:vAlign w:val="center"/>
                </w:tcPr>
                <w:p w14:paraId="47CED6A2">
                  <w:pPr>
                    <w:keepNext w:val="0"/>
                    <w:keepLines w:val="0"/>
                    <w:pageBreakBefore w:val="0"/>
                    <w:wordWrap/>
                    <w:topLinePunct w:val="0"/>
                    <w:autoSpaceDE/>
                    <w:autoSpaceDN/>
                    <w:bidi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登记管理</w:t>
                  </w:r>
                </w:p>
              </w:tc>
            </w:tr>
            <w:tr w14:paraId="67E45C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5"/>
                  <w:vAlign w:val="center"/>
                </w:tcPr>
                <w:p w14:paraId="66CB221D">
                  <w:pPr>
                    <w:keepNext w:val="0"/>
                    <w:keepLines w:val="0"/>
                    <w:pageBreakBefore w:val="0"/>
                    <w:wordWrap/>
                    <w:topLinePunct w:val="0"/>
                    <w:autoSpaceDE/>
                    <w:autoSpaceDN/>
                    <w:bidi w:val="0"/>
                    <w:snapToGrid w:val="0"/>
                    <w:spacing w:line="240" w:lineRule="auto"/>
                    <w:ind w:right="0" w:firstLine="0" w:firstLineChars="0"/>
                    <w:jc w:val="center"/>
                    <w:rPr>
                      <w:rFonts w:hint="eastAsia" w:ascii="Times New Roman" w:hAnsi="Times New Roman" w:eastAsia="宋体"/>
                      <w:sz w:val="21"/>
                      <w:szCs w:val="21"/>
                      <w:lang w:val="en-US" w:eastAsia="zh-CN"/>
                    </w:rPr>
                  </w:pPr>
                  <w:r>
                    <w:rPr>
                      <w:rFonts w:hint="eastAsia"/>
                      <w:sz w:val="21"/>
                      <w:szCs w:val="21"/>
                      <w:lang w:eastAsia="zh-CN"/>
                    </w:rPr>
                    <w:t>三十</w:t>
                  </w:r>
                  <w:r>
                    <w:rPr>
                      <w:rFonts w:ascii="Times New Roman" w:hAnsi="Times New Roman"/>
                      <w:sz w:val="21"/>
                      <w:szCs w:val="21"/>
                    </w:rPr>
                    <w:t>、</w:t>
                  </w:r>
                  <w:r>
                    <w:rPr>
                      <w:rFonts w:hint="eastAsia"/>
                      <w:sz w:val="21"/>
                      <w:szCs w:val="21"/>
                      <w:lang w:eastAsia="zh-CN"/>
                    </w:rPr>
                    <w:t>专用设备制造业</w:t>
                  </w:r>
                  <w:r>
                    <w:rPr>
                      <w:rFonts w:ascii="Times New Roman" w:hAnsi="Times New Roman"/>
                      <w:sz w:val="21"/>
                      <w:szCs w:val="21"/>
                    </w:rPr>
                    <w:t xml:space="preserve"> 3</w:t>
                  </w:r>
                  <w:r>
                    <w:rPr>
                      <w:rFonts w:hint="eastAsia"/>
                      <w:sz w:val="21"/>
                      <w:szCs w:val="21"/>
                      <w:lang w:val="en-US" w:eastAsia="zh-CN"/>
                    </w:rPr>
                    <w:t>5</w:t>
                  </w:r>
                </w:p>
              </w:tc>
            </w:tr>
            <w:tr w14:paraId="012CB1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0" w:type="pct"/>
                  <w:shd w:val="clear" w:color="auto" w:fill="auto"/>
                  <w:vAlign w:val="center"/>
                </w:tcPr>
                <w:p w14:paraId="39FFB7C6">
                  <w:pPr>
                    <w:keepNext w:val="0"/>
                    <w:keepLines w:val="0"/>
                    <w:pageBreakBefore w:val="0"/>
                    <w:wordWrap/>
                    <w:topLinePunct w:val="0"/>
                    <w:autoSpaceDE/>
                    <w:autoSpaceDN/>
                    <w:bidi w:val="0"/>
                    <w:snapToGrid w:val="0"/>
                    <w:spacing w:line="240" w:lineRule="auto"/>
                    <w:ind w:right="0" w:firstLine="0" w:firstLineChars="0"/>
                    <w:jc w:val="center"/>
                    <w:rPr>
                      <w:rFonts w:hint="eastAsia" w:ascii="Times New Roman" w:hAnsi="Times New Roman" w:eastAsia="宋体"/>
                      <w:sz w:val="21"/>
                      <w:szCs w:val="21"/>
                      <w:lang w:val="en-US" w:eastAsia="zh-CN"/>
                    </w:rPr>
                  </w:pPr>
                  <w:r>
                    <w:rPr>
                      <w:rFonts w:ascii="Times New Roman" w:hAnsi="Times New Roman"/>
                      <w:sz w:val="21"/>
                      <w:szCs w:val="21"/>
                    </w:rPr>
                    <w:t>8</w:t>
                  </w:r>
                  <w:r>
                    <w:rPr>
                      <w:rFonts w:hint="eastAsia"/>
                      <w:sz w:val="21"/>
                      <w:szCs w:val="21"/>
                      <w:lang w:val="en-US" w:eastAsia="zh-CN"/>
                    </w:rPr>
                    <w:t>4</w:t>
                  </w:r>
                </w:p>
              </w:tc>
              <w:tc>
                <w:tcPr>
                  <w:tcW w:w="1074" w:type="pct"/>
                  <w:shd w:val="clear" w:color="auto" w:fill="auto"/>
                  <w:vAlign w:val="center"/>
                </w:tcPr>
                <w:p w14:paraId="1205C04A">
                  <w:pPr>
                    <w:keepNext w:val="0"/>
                    <w:keepLines w:val="0"/>
                    <w:pageBreakBefore w:val="0"/>
                    <w:wordWrap/>
                    <w:topLinePunct w:val="0"/>
                    <w:autoSpaceDE/>
                    <w:autoSpaceDN/>
                    <w:bidi w:val="0"/>
                    <w:snapToGrid w:val="0"/>
                    <w:spacing w:line="240" w:lineRule="auto"/>
                    <w:ind w:right="0" w:firstLine="0" w:firstLineChars="0"/>
                    <w:jc w:val="center"/>
                    <w:rPr>
                      <w:rFonts w:hint="default" w:ascii="Times New Roman" w:hAnsi="Times New Roman" w:eastAsia="宋体"/>
                      <w:sz w:val="21"/>
                      <w:szCs w:val="21"/>
                      <w:lang w:val="en-US" w:eastAsia="zh-CN"/>
                    </w:rPr>
                  </w:pPr>
                  <w:r>
                    <w:rPr>
                      <w:rFonts w:hint="eastAsia"/>
                      <w:sz w:val="21"/>
                      <w:szCs w:val="21"/>
                      <w:lang w:eastAsia="zh-CN"/>
                    </w:rPr>
                    <w:t>专用设备制造业</w:t>
                  </w:r>
                  <w:r>
                    <w:rPr>
                      <w:rFonts w:hint="eastAsia"/>
                      <w:sz w:val="21"/>
                      <w:szCs w:val="21"/>
                      <w:lang w:val="en-US" w:eastAsia="zh-CN"/>
                    </w:rPr>
                    <w:t xml:space="preserve"> 351</w:t>
                  </w:r>
                </w:p>
              </w:tc>
              <w:tc>
                <w:tcPr>
                  <w:tcW w:w="756" w:type="pct"/>
                  <w:shd w:val="clear" w:color="auto" w:fill="auto"/>
                  <w:vAlign w:val="center"/>
                </w:tcPr>
                <w:p w14:paraId="2B559DC8">
                  <w:pPr>
                    <w:keepNext w:val="0"/>
                    <w:keepLines w:val="0"/>
                    <w:pageBreakBefore w:val="0"/>
                    <w:wordWrap/>
                    <w:topLinePunct w:val="0"/>
                    <w:autoSpaceDE/>
                    <w:autoSpaceDN/>
                    <w:bidi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涉及通用工序重点管理的</w:t>
                  </w:r>
                </w:p>
              </w:tc>
              <w:tc>
                <w:tcPr>
                  <w:tcW w:w="2013" w:type="pct"/>
                  <w:shd w:val="clear" w:color="auto" w:fill="auto"/>
                  <w:vAlign w:val="center"/>
                </w:tcPr>
                <w:p w14:paraId="624D6A5B">
                  <w:pPr>
                    <w:keepNext w:val="0"/>
                    <w:keepLines w:val="0"/>
                    <w:pageBreakBefore w:val="0"/>
                    <w:wordWrap/>
                    <w:topLinePunct w:val="0"/>
                    <w:autoSpaceDE/>
                    <w:autoSpaceDN/>
                    <w:bidi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涉及通用工序简化管理的</w:t>
                  </w:r>
                </w:p>
              </w:tc>
              <w:tc>
                <w:tcPr>
                  <w:tcW w:w="776" w:type="pct"/>
                  <w:shd w:val="pct12" w:color="auto" w:fill="auto"/>
                  <w:vAlign w:val="center"/>
                </w:tcPr>
                <w:p w14:paraId="033B22F3">
                  <w:pPr>
                    <w:keepNext w:val="0"/>
                    <w:keepLines w:val="0"/>
                    <w:pageBreakBefore w:val="0"/>
                    <w:wordWrap/>
                    <w:topLinePunct w:val="0"/>
                    <w:autoSpaceDE/>
                    <w:autoSpaceDN/>
                    <w:bidi w:val="0"/>
                    <w:snapToGrid w:val="0"/>
                    <w:spacing w:line="240" w:lineRule="auto"/>
                    <w:ind w:right="0" w:firstLine="0" w:firstLineChars="0"/>
                    <w:jc w:val="center"/>
                    <w:rPr>
                      <w:rFonts w:ascii="Times New Roman" w:hAnsi="Times New Roman"/>
                      <w:sz w:val="21"/>
                      <w:szCs w:val="21"/>
                    </w:rPr>
                  </w:pPr>
                  <w:r>
                    <w:rPr>
                      <w:rFonts w:ascii="Times New Roman" w:hAnsi="Times New Roman"/>
                      <w:sz w:val="21"/>
                      <w:szCs w:val="21"/>
                    </w:rPr>
                    <w:t>其他</w:t>
                  </w:r>
                </w:p>
              </w:tc>
            </w:tr>
          </w:tbl>
          <w:p w14:paraId="17CEA20A">
            <w:pPr>
              <w:keepNext w:val="0"/>
              <w:keepLines w:val="0"/>
              <w:pageBreakBefore w:val="0"/>
              <w:wordWrap/>
              <w:topLinePunct w:val="0"/>
              <w:autoSpaceDE/>
              <w:autoSpaceDN/>
              <w:bidi w:val="0"/>
              <w:adjustRightInd w:val="0"/>
              <w:snapToGrid w:val="0"/>
              <w:spacing w:line="240" w:lineRule="auto"/>
              <w:ind w:right="0" w:firstLine="0" w:firstLineChars="0"/>
              <w:jc w:val="left"/>
              <w:rPr>
                <w:rFonts w:ascii="Times New Roman" w:hAnsi="Times New Roman"/>
                <w:sz w:val="21"/>
                <w:szCs w:val="21"/>
              </w:rPr>
            </w:pPr>
            <w:r>
              <w:rPr>
                <w:rFonts w:ascii="Times New Roman" w:hAnsi="Times New Roman"/>
                <w:sz w:val="21"/>
                <w:szCs w:val="21"/>
              </w:rPr>
              <w:t>②项目环保竣工验收：建设单位应根据环保竣工验收相关要求，自主开展环境保护竣工验收相关工作。建设项目配套建设的环境保护设施经验收合格，方可投入生产或者使用，未经验收或者验收不合格的，不得投入生产或者使用。</w:t>
            </w:r>
          </w:p>
          <w:p w14:paraId="47A36C87">
            <w:pPr>
              <w:keepNext w:val="0"/>
              <w:keepLines w:val="0"/>
              <w:pageBreakBefore w:val="0"/>
              <w:wordWrap/>
              <w:topLinePunct w:val="0"/>
              <w:autoSpaceDE/>
              <w:autoSpaceDN/>
              <w:bidi w:val="0"/>
              <w:adjustRightInd w:val="0"/>
              <w:snapToGrid w:val="0"/>
              <w:spacing w:line="240" w:lineRule="auto"/>
              <w:ind w:right="0" w:firstLine="0" w:firstLineChars="0"/>
              <w:jc w:val="left"/>
              <w:rPr>
                <w:rFonts w:ascii="Times New Roman" w:hAnsi="Times New Roman"/>
                <w:sz w:val="21"/>
                <w:szCs w:val="21"/>
              </w:rPr>
            </w:pPr>
            <w:r>
              <w:rPr>
                <w:rFonts w:ascii="Times New Roman" w:hAnsi="Times New Roman"/>
                <w:sz w:val="21"/>
                <w:szCs w:val="21"/>
              </w:rPr>
              <w:t>③VOCs物料管理要求：本项目涉及VOCs物料包括废活性炭、水性漆等，本环评要求VOCs物料应储存于密闭的容器或包装袋中，盛装VOCs物料的容器或包装袋应存放于室内，盛装VOCs物料的容器或包装袋在非取用状态时应加盖、封口，保持密闭；废活性炭等含VOCs的危险废物，宜分类放置于贴有标识的容器或包装袋内，加盖、封口，保持密闭，并及时转运、处置，减少在车间或危废库中的存放时间。</w:t>
            </w:r>
          </w:p>
          <w:p w14:paraId="58C6ADC0">
            <w:pPr>
              <w:keepNext w:val="0"/>
              <w:keepLines w:val="0"/>
              <w:pageBreakBefore w:val="0"/>
              <w:wordWrap/>
              <w:topLinePunct w:val="0"/>
              <w:autoSpaceDE/>
              <w:autoSpaceDN/>
              <w:bidi w:val="0"/>
              <w:adjustRightInd w:val="0"/>
              <w:snapToGrid w:val="0"/>
              <w:spacing w:line="240" w:lineRule="auto"/>
              <w:ind w:right="0" w:firstLine="0" w:firstLineChars="0"/>
              <w:jc w:val="left"/>
              <w:rPr>
                <w:rFonts w:ascii="Times New Roman" w:hAnsi="Times New Roman"/>
                <w:sz w:val="21"/>
                <w:szCs w:val="21"/>
              </w:rPr>
            </w:pPr>
            <w:r>
              <w:rPr>
                <w:rFonts w:hint="eastAsia" w:ascii="Times New Roman" w:hAnsi="Times New Roman"/>
                <w:sz w:val="21"/>
                <w:szCs w:val="21"/>
              </w:rPr>
              <w:t>④排污口规范化设置</w:t>
            </w:r>
            <w:r>
              <w:rPr>
                <w:rFonts w:ascii="Times New Roman" w:hAnsi="Times New Roman"/>
                <w:sz w:val="21"/>
                <w:szCs w:val="21"/>
              </w:rPr>
              <w:t>废气、废水、噪声源排放口以及固废暂存场所应按照《环境保护图形标志排放口（源）》（GB15562.1-1995）的有关规定在厂区废气排放口设置明显的标志，规范排污口的标志，排放口图形标志详见下表。固废暂存场所标志应清晰、明显，标注“一般固废暂存场所”和“危险废物暂存场所”。</w:t>
            </w:r>
          </w:p>
          <w:p w14:paraId="2B48D81F">
            <w:pPr>
              <w:keepNext w:val="0"/>
              <w:keepLines w:val="0"/>
              <w:pageBreakBefore w:val="0"/>
              <w:wordWrap/>
              <w:topLinePunct w:val="0"/>
              <w:autoSpaceDE/>
              <w:autoSpaceDN/>
              <w:bidi w:val="0"/>
              <w:spacing w:line="240" w:lineRule="auto"/>
              <w:ind w:right="0" w:firstLine="0" w:firstLineChars="0"/>
              <w:jc w:val="center"/>
              <w:rPr>
                <w:rFonts w:ascii="Times New Roman" w:hAnsi="Times New Roman"/>
                <w:sz w:val="21"/>
                <w:szCs w:val="21"/>
              </w:rPr>
            </w:pPr>
            <w:r>
              <w:rPr>
                <w:rFonts w:ascii="Times New Roman" w:hAnsi="Times New Roman"/>
                <w:b/>
                <w:sz w:val="21"/>
                <w:szCs w:val="21"/>
              </w:rPr>
              <w:t>表</w:t>
            </w:r>
            <w:r>
              <w:rPr>
                <w:rFonts w:hint="eastAsia" w:ascii="Times New Roman" w:hAnsi="Times New Roman"/>
                <w:b/>
                <w:sz w:val="21"/>
                <w:szCs w:val="21"/>
              </w:rPr>
              <w:t>5-2</w:t>
            </w:r>
            <w:r>
              <w:rPr>
                <w:rFonts w:ascii="Times New Roman" w:hAnsi="Times New Roman"/>
                <w:b/>
                <w:sz w:val="21"/>
                <w:szCs w:val="21"/>
              </w:rPr>
              <w:t>排放口图形标志</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260"/>
              <w:gridCol w:w="2106"/>
              <w:gridCol w:w="1423"/>
              <w:gridCol w:w="1457"/>
            </w:tblGrid>
            <w:tr w14:paraId="12CCE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0B345BB">
                  <w:pPr>
                    <w:pStyle w:val="84"/>
                    <w:keepNext w:val="0"/>
                    <w:keepLines w:val="0"/>
                    <w:pageBreakBefore w:val="0"/>
                    <w:wordWrap/>
                    <w:topLinePunct w:val="0"/>
                    <w:autoSpaceDE/>
                    <w:autoSpaceDN/>
                    <w:bidi w:val="0"/>
                    <w:spacing w:line="240" w:lineRule="auto"/>
                    <w:ind w:right="0" w:firstLine="0" w:firstLineChars="0"/>
                    <w:jc w:val="center"/>
                    <w:rPr>
                      <w:rFonts w:eastAsia="Times New Roman"/>
                      <w:bCs/>
                      <w:color w:val="000000"/>
                      <w:sz w:val="21"/>
                      <w:szCs w:val="21"/>
                    </w:rPr>
                  </w:pPr>
                  <w:r>
                    <w:rPr>
                      <w:bCs/>
                      <w:color w:val="000000"/>
                      <w:sz w:val="21"/>
                      <w:szCs w:val="21"/>
                    </w:rPr>
                    <w:t>序号</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16431">
                  <w:pPr>
                    <w:pStyle w:val="84"/>
                    <w:keepNext w:val="0"/>
                    <w:keepLines w:val="0"/>
                    <w:pageBreakBefore w:val="0"/>
                    <w:wordWrap/>
                    <w:topLinePunct w:val="0"/>
                    <w:autoSpaceDE/>
                    <w:autoSpaceDN/>
                    <w:bidi w:val="0"/>
                    <w:spacing w:line="240" w:lineRule="auto"/>
                    <w:ind w:right="0" w:firstLine="0" w:firstLineChars="0"/>
                    <w:jc w:val="center"/>
                    <w:rPr>
                      <w:rFonts w:eastAsia="Times New Roman"/>
                      <w:bCs/>
                      <w:color w:val="000000"/>
                      <w:sz w:val="21"/>
                      <w:szCs w:val="21"/>
                    </w:rPr>
                  </w:pPr>
                  <w:r>
                    <w:rPr>
                      <w:bCs/>
                      <w:color w:val="000000"/>
                      <w:sz w:val="21"/>
                      <w:szCs w:val="21"/>
                    </w:rPr>
                    <w:t>提示图形符号</w:t>
                  </w:r>
                </w:p>
              </w:tc>
              <w:tc>
                <w:tcPr>
                  <w:tcW w:w="1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36254">
                  <w:pPr>
                    <w:pStyle w:val="84"/>
                    <w:keepNext w:val="0"/>
                    <w:keepLines w:val="0"/>
                    <w:pageBreakBefore w:val="0"/>
                    <w:wordWrap/>
                    <w:topLinePunct w:val="0"/>
                    <w:autoSpaceDE/>
                    <w:autoSpaceDN/>
                    <w:bidi w:val="0"/>
                    <w:spacing w:line="240" w:lineRule="auto"/>
                    <w:ind w:right="0" w:firstLine="0" w:firstLineChars="0"/>
                    <w:jc w:val="center"/>
                    <w:rPr>
                      <w:rFonts w:eastAsia="Times New Roman"/>
                      <w:bCs/>
                      <w:color w:val="000000"/>
                      <w:sz w:val="21"/>
                      <w:szCs w:val="21"/>
                    </w:rPr>
                  </w:pPr>
                  <w:r>
                    <w:rPr>
                      <w:bCs/>
                      <w:color w:val="000000"/>
                      <w:sz w:val="21"/>
                      <w:szCs w:val="21"/>
                    </w:rPr>
                    <w:t>警告图形符号</w:t>
                  </w:r>
                </w:p>
              </w:tc>
              <w:tc>
                <w:tcPr>
                  <w:tcW w:w="13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B9837">
                  <w:pPr>
                    <w:pStyle w:val="84"/>
                    <w:keepNext w:val="0"/>
                    <w:keepLines w:val="0"/>
                    <w:pageBreakBefore w:val="0"/>
                    <w:wordWrap/>
                    <w:topLinePunct w:val="0"/>
                    <w:autoSpaceDE/>
                    <w:autoSpaceDN/>
                    <w:bidi w:val="0"/>
                    <w:spacing w:line="240" w:lineRule="auto"/>
                    <w:ind w:right="0" w:firstLine="0" w:firstLineChars="0"/>
                    <w:jc w:val="center"/>
                    <w:rPr>
                      <w:rFonts w:eastAsia="Times New Roman"/>
                      <w:bCs/>
                      <w:color w:val="000000"/>
                      <w:sz w:val="21"/>
                      <w:szCs w:val="21"/>
                    </w:rPr>
                  </w:pPr>
                  <w:r>
                    <w:rPr>
                      <w:bCs/>
                      <w:color w:val="000000"/>
                      <w:sz w:val="21"/>
                      <w:szCs w:val="21"/>
                    </w:rPr>
                    <w:t>名称</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252B0">
                  <w:pPr>
                    <w:pStyle w:val="84"/>
                    <w:keepNext w:val="0"/>
                    <w:keepLines w:val="0"/>
                    <w:pageBreakBefore w:val="0"/>
                    <w:wordWrap/>
                    <w:topLinePunct w:val="0"/>
                    <w:autoSpaceDE/>
                    <w:autoSpaceDN/>
                    <w:bidi w:val="0"/>
                    <w:spacing w:line="240" w:lineRule="auto"/>
                    <w:ind w:right="0" w:firstLine="0" w:firstLineChars="0"/>
                    <w:jc w:val="center"/>
                    <w:rPr>
                      <w:rFonts w:eastAsia="Times New Roman"/>
                      <w:bCs/>
                      <w:color w:val="000000"/>
                      <w:sz w:val="21"/>
                      <w:szCs w:val="21"/>
                    </w:rPr>
                  </w:pPr>
                  <w:r>
                    <w:rPr>
                      <w:bCs/>
                      <w:color w:val="000000"/>
                      <w:sz w:val="21"/>
                      <w:szCs w:val="21"/>
                    </w:rPr>
                    <w:t>功能</w:t>
                  </w:r>
                </w:p>
              </w:tc>
            </w:tr>
            <w:tr w14:paraId="6F618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8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816E4">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t>1</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B66D1">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drawing>
                      <wp:inline distT="0" distB="0" distL="0" distR="0">
                        <wp:extent cx="951230" cy="951230"/>
                        <wp:effectExtent l="0" t="0" r="1270" b="1270"/>
                        <wp:docPr id="91" name="图片 19" descr="点击看大图及详细资料">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 descr="点击看大图及详细资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951230" cy="951230"/>
                                </a:xfrm>
                                <a:prstGeom prst="rect">
                                  <a:avLst/>
                                </a:prstGeom>
                                <a:noFill/>
                                <a:ln>
                                  <a:noFill/>
                                </a:ln>
                              </pic:spPr>
                            </pic:pic>
                          </a:graphicData>
                        </a:graphic>
                      </wp:inline>
                    </w:drawing>
                  </w:r>
                </w:p>
              </w:tc>
              <w:tc>
                <w:tcPr>
                  <w:tcW w:w="1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59580">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drawing>
                      <wp:inline distT="0" distB="0" distL="0" distR="0">
                        <wp:extent cx="951230" cy="833755"/>
                        <wp:effectExtent l="0" t="0" r="1270" b="4445"/>
                        <wp:docPr id="95" name="图片 18" descr="点击看大图及详细资料">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8" descr="点击看大图及详细资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51230" cy="833755"/>
                                </a:xfrm>
                                <a:prstGeom prst="rect">
                                  <a:avLst/>
                                </a:prstGeom>
                                <a:noFill/>
                                <a:ln>
                                  <a:noFill/>
                                </a:ln>
                              </pic:spPr>
                            </pic:pic>
                          </a:graphicData>
                        </a:graphic>
                      </wp:inline>
                    </w:drawing>
                  </w:r>
                </w:p>
              </w:tc>
              <w:tc>
                <w:tcPr>
                  <w:tcW w:w="13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B7035">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废水排放口</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09AE6">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表示废水向水体排放</w:t>
                  </w:r>
                </w:p>
              </w:tc>
            </w:tr>
            <w:tr w14:paraId="52438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8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115E5">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t>2</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2F5D4">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drawing>
                      <wp:inline distT="0" distB="0" distL="0" distR="0">
                        <wp:extent cx="906780" cy="1148715"/>
                        <wp:effectExtent l="0" t="0" r="7620" b="13335"/>
                        <wp:docPr id="96" name="图片 17" descr="PA001059 废气排放口 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7" descr="PA001059 废气排放口 绿"/>
                                <pic:cNvPicPr>
                                  <a:picLocks noChangeAspect="1" noChangeArrowheads="1"/>
                                </pic:cNvPicPr>
                              </pic:nvPicPr>
                              <pic:blipFill>
                                <a:blip r:embed="rId33">
                                  <a:extLst>
                                    <a:ext uri="{28A0092B-C50C-407E-A947-70E740481C1C}">
                                      <a14:useLocalDpi xmlns:a14="http://schemas.microsoft.com/office/drawing/2010/main" val="0"/>
                                    </a:ext>
                                  </a:extLst>
                                </a:blip>
                                <a:srcRect b="18333"/>
                                <a:stretch>
                                  <a:fillRect/>
                                </a:stretch>
                              </pic:blipFill>
                              <pic:spPr>
                                <a:xfrm>
                                  <a:off x="0" y="0"/>
                                  <a:ext cx="906780" cy="1148715"/>
                                </a:xfrm>
                                <a:prstGeom prst="rect">
                                  <a:avLst/>
                                </a:prstGeom>
                                <a:noFill/>
                                <a:ln>
                                  <a:noFill/>
                                </a:ln>
                              </pic:spPr>
                            </pic:pic>
                          </a:graphicData>
                        </a:graphic>
                      </wp:inline>
                    </w:drawing>
                  </w:r>
                </w:p>
              </w:tc>
              <w:tc>
                <w:tcPr>
                  <w:tcW w:w="1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FA784">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drawing>
                      <wp:inline distT="0" distB="0" distL="0" distR="0">
                        <wp:extent cx="906780" cy="1134110"/>
                        <wp:effectExtent l="0" t="0" r="7620" b="8890"/>
                        <wp:docPr id="98" name="图片 16" descr="PA001060 废气排放口 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 descr="PA001060 废气排放口 黄"/>
                                <pic:cNvPicPr>
                                  <a:picLocks noChangeAspect="1" noChangeArrowheads="1"/>
                                </pic:cNvPicPr>
                              </pic:nvPicPr>
                              <pic:blipFill>
                                <a:blip r:embed="rId34">
                                  <a:extLst>
                                    <a:ext uri="{28A0092B-C50C-407E-A947-70E740481C1C}">
                                      <a14:useLocalDpi xmlns:a14="http://schemas.microsoft.com/office/drawing/2010/main" val="0"/>
                                    </a:ext>
                                  </a:extLst>
                                </a:blip>
                                <a:srcRect b="17552"/>
                                <a:stretch>
                                  <a:fillRect/>
                                </a:stretch>
                              </pic:blipFill>
                              <pic:spPr>
                                <a:xfrm>
                                  <a:off x="0" y="0"/>
                                  <a:ext cx="906780" cy="1134110"/>
                                </a:xfrm>
                                <a:prstGeom prst="rect">
                                  <a:avLst/>
                                </a:prstGeom>
                                <a:noFill/>
                                <a:ln>
                                  <a:noFill/>
                                </a:ln>
                              </pic:spPr>
                            </pic:pic>
                          </a:graphicData>
                        </a:graphic>
                      </wp:inline>
                    </w:drawing>
                  </w:r>
                </w:p>
              </w:tc>
              <w:tc>
                <w:tcPr>
                  <w:tcW w:w="13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FC5C1">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废气排放口</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F8ADD">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表示废气向大气环境排放</w:t>
                  </w:r>
                </w:p>
              </w:tc>
            </w:tr>
            <w:tr w14:paraId="6C0D4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8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554A7">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t>3</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6FB6E">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drawing>
                      <wp:inline distT="0" distB="0" distL="0" distR="0">
                        <wp:extent cx="951230" cy="965835"/>
                        <wp:effectExtent l="0" t="0" r="1270" b="5715"/>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51230" cy="965835"/>
                                </a:xfrm>
                                <a:prstGeom prst="rect">
                                  <a:avLst/>
                                </a:prstGeom>
                                <a:noFill/>
                                <a:ln>
                                  <a:noFill/>
                                </a:ln>
                              </pic:spPr>
                            </pic:pic>
                          </a:graphicData>
                        </a:graphic>
                      </wp:inline>
                    </w:drawing>
                  </w:r>
                </w:p>
              </w:tc>
              <w:tc>
                <w:tcPr>
                  <w:tcW w:w="1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A09A49">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drawing>
                      <wp:inline distT="0" distB="0" distL="0" distR="0">
                        <wp:extent cx="965835" cy="870585"/>
                        <wp:effectExtent l="0" t="0" r="5715" b="5715"/>
                        <wp:docPr id="1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65835" cy="870585"/>
                                </a:xfrm>
                                <a:prstGeom prst="rect">
                                  <a:avLst/>
                                </a:prstGeom>
                                <a:noFill/>
                                <a:ln>
                                  <a:noFill/>
                                </a:ln>
                              </pic:spPr>
                            </pic:pic>
                          </a:graphicData>
                        </a:graphic>
                      </wp:inline>
                    </w:drawing>
                  </w:r>
                </w:p>
              </w:tc>
              <w:tc>
                <w:tcPr>
                  <w:tcW w:w="13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469D1">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一般固体废物</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F5C1E">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表示一般固体废物贮存、处置场</w:t>
                  </w:r>
                </w:p>
              </w:tc>
            </w:tr>
            <w:tr w14:paraId="172EE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8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51258">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t>4</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1FD82">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drawing>
                      <wp:inline distT="0" distB="0" distL="0" distR="0">
                        <wp:extent cx="951230" cy="951230"/>
                        <wp:effectExtent l="0" t="0" r="1270" b="1270"/>
                        <wp:docPr id="101" name="图片 13" descr="点击看大图及详细资料">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descr="点击看大图及详细资料"/>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951230" cy="951230"/>
                                </a:xfrm>
                                <a:prstGeom prst="rect">
                                  <a:avLst/>
                                </a:prstGeom>
                                <a:noFill/>
                                <a:ln>
                                  <a:noFill/>
                                </a:ln>
                              </pic:spPr>
                            </pic:pic>
                          </a:graphicData>
                        </a:graphic>
                      </wp:inline>
                    </w:drawing>
                  </w:r>
                </w:p>
              </w:tc>
              <w:tc>
                <w:tcPr>
                  <w:tcW w:w="1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96AAB">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drawing>
                      <wp:inline distT="0" distB="0" distL="0" distR="0">
                        <wp:extent cx="951230" cy="833755"/>
                        <wp:effectExtent l="0" t="0" r="1270" b="4445"/>
                        <wp:docPr id="102" name="图片 12" descr="点击看大图及详细资料">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 descr="点击看大图及详细资料"/>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51230" cy="833755"/>
                                </a:xfrm>
                                <a:prstGeom prst="rect">
                                  <a:avLst/>
                                </a:prstGeom>
                                <a:noFill/>
                                <a:ln>
                                  <a:noFill/>
                                </a:ln>
                              </pic:spPr>
                            </pic:pic>
                          </a:graphicData>
                        </a:graphic>
                      </wp:inline>
                    </w:drawing>
                  </w:r>
                </w:p>
              </w:tc>
              <w:tc>
                <w:tcPr>
                  <w:tcW w:w="13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CFA548">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噪声排放源</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3A0C3">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表示噪声向外环境排放</w:t>
                  </w:r>
                </w:p>
              </w:tc>
            </w:tr>
            <w:tr w14:paraId="51868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80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6DA9F5">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t>5</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419C89">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t>/</w:t>
                  </w:r>
                </w:p>
              </w:tc>
              <w:tc>
                <w:tcPr>
                  <w:tcW w:w="1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4668E">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drawing>
                      <wp:inline distT="0" distB="0" distL="0" distR="0">
                        <wp:extent cx="848360" cy="723900"/>
                        <wp:effectExtent l="0" t="0" r="8890" b="0"/>
                        <wp:docPr id="103" name="图片 11" descr="危险废物贮存分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descr="危险废物贮存分区标志"/>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848360" cy="723900"/>
                                </a:xfrm>
                                <a:prstGeom prst="rect">
                                  <a:avLst/>
                                </a:prstGeom>
                                <a:noFill/>
                                <a:ln>
                                  <a:noFill/>
                                </a:ln>
                              </pic:spPr>
                            </pic:pic>
                          </a:graphicData>
                        </a:graphic>
                      </wp:inline>
                    </w:drawing>
                  </w:r>
                </w:p>
              </w:tc>
              <w:tc>
                <w:tcPr>
                  <w:tcW w:w="13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53A6A3">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危险废物</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7627F">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表示危险废物贮存分区情况</w:t>
                  </w:r>
                </w:p>
              </w:tc>
            </w:tr>
            <w:tr w14:paraId="636DE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80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A548A7">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659C77">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p>
              </w:tc>
              <w:tc>
                <w:tcPr>
                  <w:tcW w:w="19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6BD7B">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rFonts w:eastAsia="Times New Roman"/>
                      <w:color w:val="000000"/>
                      <w:sz w:val="21"/>
                      <w:szCs w:val="21"/>
                    </w:rPr>
                    <w:drawing>
                      <wp:inline distT="0" distB="0" distL="0" distR="0">
                        <wp:extent cx="972820" cy="614680"/>
                        <wp:effectExtent l="0" t="0" r="17780" b="13970"/>
                        <wp:docPr id="104" name="图片 2" descr="危险废物贮存设施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descr="危险废物贮存设施标志"/>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72820" cy="614680"/>
                                </a:xfrm>
                                <a:prstGeom prst="rect">
                                  <a:avLst/>
                                </a:prstGeom>
                                <a:noFill/>
                                <a:ln>
                                  <a:noFill/>
                                </a:ln>
                              </pic:spPr>
                            </pic:pic>
                          </a:graphicData>
                        </a:graphic>
                      </wp:inline>
                    </w:drawing>
                  </w:r>
                </w:p>
              </w:tc>
              <w:tc>
                <w:tcPr>
                  <w:tcW w:w="13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8B885A">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88AE6">
                  <w:pPr>
                    <w:pStyle w:val="84"/>
                    <w:keepNext w:val="0"/>
                    <w:keepLines w:val="0"/>
                    <w:pageBreakBefore w:val="0"/>
                    <w:wordWrap/>
                    <w:topLinePunct w:val="0"/>
                    <w:autoSpaceDE/>
                    <w:autoSpaceDN/>
                    <w:bidi w:val="0"/>
                    <w:spacing w:line="240" w:lineRule="auto"/>
                    <w:ind w:right="0" w:firstLine="0" w:firstLineChars="0"/>
                    <w:jc w:val="center"/>
                    <w:rPr>
                      <w:rFonts w:eastAsia="Times New Roman"/>
                      <w:color w:val="000000"/>
                      <w:sz w:val="21"/>
                      <w:szCs w:val="21"/>
                    </w:rPr>
                  </w:pPr>
                  <w:r>
                    <w:rPr>
                      <w:color w:val="000000"/>
                      <w:sz w:val="21"/>
                      <w:szCs w:val="21"/>
                    </w:rPr>
                    <w:t>表示危险废物贮存设施情况</w:t>
                  </w:r>
                </w:p>
              </w:tc>
            </w:tr>
          </w:tbl>
          <w:p w14:paraId="254681C5">
            <w:pPr>
              <w:keepNext w:val="0"/>
              <w:keepLines w:val="0"/>
              <w:pageBreakBefore w:val="0"/>
              <w:wordWrap/>
              <w:topLinePunct w:val="0"/>
              <w:autoSpaceDE/>
              <w:autoSpaceDN/>
              <w:bidi w:val="0"/>
              <w:adjustRightInd w:val="0"/>
              <w:snapToGrid w:val="0"/>
              <w:spacing w:line="240" w:lineRule="auto"/>
              <w:ind w:right="0" w:firstLine="0" w:firstLineChars="0"/>
              <w:jc w:val="center"/>
              <w:rPr>
                <w:rFonts w:ascii="Times New Roman" w:hAnsi="Times New Roman"/>
                <w:sz w:val="21"/>
                <w:szCs w:val="21"/>
                <w:highlight w:val="yellow"/>
              </w:rPr>
            </w:pPr>
          </w:p>
        </w:tc>
      </w:tr>
    </w:tbl>
    <w:p w14:paraId="390A9EEA">
      <w:pPr>
        <w:pStyle w:val="25"/>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A8C67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50" w:hRule="atLeast"/>
          <w:jc w:val="center"/>
        </w:trPr>
        <w:tc>
          <w:tcPr>
            <w:tcW w:w="8865" w:type="dxa"/>
          </w:tcPr>
          <w:p w14:paraId="049D8A90">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567"/>
              <w:textAlignment w:val="auto"/>
              <w:rPr>
                <w:color w:val="auto"/>
                <w:sz w:val="24"/>
              </w:rPr>
            </w:pPr>
            <w:r>
              <w:rPr>
                <w:rFonts w:hint="default" w:ascii="Times New Roman" w:hAnsi="Times New Roman" w:cs="Times New Roman"/>
                <w:color w:val="auto"/>
                <w:sz w:val="24"/>
                <w:szCs w:val="24"/>
                <w:highlight w:val="none"/>
                <w:lang w:val="en-US" w:eastAsia="zh-CN"/>
              </w:rPr>
              <w:t>淮北科力机电设备有限责任公司</w:t>
            </w:r>
            <w:r>
              <w:rPr>
                <w:rFonts w:hint="eastAsia"/>
                <w:color w:val="auto"/>
                <w:sz w:val="24"/>
                <w:highlight w:val="none"/>
                <w:lang w:val="en-US" w:eastAsia="zh-CN"/>
              </w:rPr>
              <w:t>年产</w:t>
            </w:r>
            <w:r>
              <w:rPr>
                <w:rFonts w:hint="eastAsia"/>
                <w:color w:val="auto"/>
                <w:sz w:val="24"/>
                <w:lang w:val="en-US" w:eastAsia="zh-CN"/>
              </w:rPr>
              <w:t>1000吨的大型液压装备支架配件加工新增抛丸机及其他技术改造项目</w:t>
            </w:r>
            <w:r>
              <w:rPr>
                <w:color w:val="auto"/>
                <w:sz w:val="24"/>
              </w:rPr>
              <w:t>符合国家</w:t>
            </w:r>
            <w:r>
              <w:rPr>
                <w:bCs/>
                <w:color w:val="auto"/>
                <w:sz w:val="24"/>
              </w:rPr>
              <w:t>和地方</w:t>
            </w:r>
            <w:r>
              <w:rPr>
                <w:color w:val="auto"/>
                <w:sz w:val="24"/>
              </w:rPr>
              <w:t>产业政策，选址</w:t>
            </w:r>
            <w:r>
              <w:rPr>
                <w:rFonts w:hint="eastAsia"/>
                <w:color w:val="auto"/>
                <w:sz w:val="24"/>
                <w:lang w:eastAsia="zh-CN"/>
              </w:rPr>
              <w:t>、</w:t>
            </w:r>
            <w:r>
              <w:rPr>
                <w:rFonts w:hint="eastAsia"/>
                <w:color w:val="auto"/>
                <w:sz w:val="24"/>
              </w:rPr>
              <w:t>用地</w:t>
            </w:r>
            <w:r>
              <w:rPr>
                <w:rFonts w:hint="eastAsia"/>
                <w:color w:val="auto"/>
                <w:sz w:val="24"/>
                <w:lang w:val="en-US" w:eastAsia="zh-CN"/>
              </w:rPr>
              <w:t>符合</w:t>
            </w:r>
            <w:r>
              <w:rPr>
                <w:rFonts w:hint="eastAsia"/>
                <w:bCs/>
                <w:color w:val="auto"/>
                <w:sz w:val="24"/>
                <w:lang w:val="en-US" w:eastAsia="zh-CN"/>
              </w:rPr>
              <w:t>园区规划，</w:t>
            </w:r>
            <w:r>
              <w:rPr>
                <w:rFonts w:hint="eastAsia"/>
                <w:color w:val="auto"/>
                <w:sz w:val="24"/>
              </w:rPr>
              <w:t>本</w:t>
            </w:r>
            <w:r>
              <w:rPr>
                <w:color w:val="auto"/>
                <w:sz w:val="24"/>
              </w:rPr>
              <w:t>项目采取</w:t>
            </w:r>
            <w:r>
              <w:rPr>
                <w:rFonts w:hint="eastAsia"/>
                <w:color w:val="auto"/>
                <w:sz w:val="24"/>
                <w:lang w:eastAsia="zh-CN"/>
              </w:rPr>
              <w:t>的</w:t>
            </w:r>
            <w:r>
              <w:rPr>
                <w:color w:val="auto"/>
                <w:sz w:val="24"/>
              </w:rPr>
              <w:t>污染防治措施</w:t>
            </w:r>
            <w:r>
              <w:rPr>
                <w:rFonts w:hint="eastAsia"/>
                <w:color w:val="auto"/>
                <w:sz w:val="24"/>
                <w:lang w:val="en-US" w:eastAsia="zh-CN"/>
              </w:rPr>
              <w:t>技术可行，</w:t>
            </w:r>
            <w:r>
              <w:rPr>
                <w:color w:val="auto"/>
                <w:sz w:val="24"/>
              </w:rPr>
              <w:t>各项污染物</w:t>
            </w:r>
            <w:r>
              <w:rPr>
                <w:rFonts w:hint="eastAsia"/>
                <w:color w:val="auto"/>
                <w:sz w:val="24"/>
                <w:lang w:val="en-US" w:eastAsia="zh-CN"/>
              </w:rPr>
              <w:t>能够</w:t>
            </w:r>
            <w:r>
              <w:rPr>
                <w:color w:val="auto"/>
                <w:sz w:val="24"/>
              </w:rPr>
              <w:t>达标排放。本次评价认为项目在建设和生产运行过程中，在严格执行“三同时”制度、</w:t>
            </w:r>
            <w:r>
              <w:rPr>
                <w:rFonts w:hint="eastAsia"/>
                <w:color w:val="auto"/>
                <w:sz w:val="24"/>
                <w:lang w:val="en-US" w:eastAsia="zh-CN"/>
              </w:rPr>
              <w:t>严格</w:t>
            </w:r>
            <w:r>
              <w:rPr>
                <w:color w:val="auto"/>
                <w:sz w:val="24"/>
              </w:rPr>
              <w:t>落实环评报告中提出的各项污染防治措施的前提下，从环境影响角度，项目建设可行。</w:t>
            </w:r>
          </w:p>
          <w:p w14:paraId="21ECA698">
            <w:pPr>
              <w:pStyle w:val="12"/>
              <w:rPr>
                <w:color w:val="auto"/>
              </w:rPr>
            </w:pPr>
          </w:p>
          <w:p w14:paraId="478AC279">
            <w:pPr>
              <w:autoSpaceDE w:val="0"/>
              <w:autoSpaceDN w:val="0"/>
              <w:adjustRightInd w:val="0"/>
              <w:snapToGrid w:val="0"/>
              <w:spacing w:line="360" w:lineRule="auto"/>
              <w:ind w:firstLine="480" w:firstLineChars="200"/>
              <w:rPr>
                <w:bCs/>
                <w:color w:val="auto"/>
                <w:sz w:val="24"/>
              </w:rPr>
            </w:pPr>
          </w:p>
          <w:p w14:paraId="73AFBDB1">
            <w:pPr>
              <w:autoSpaceDE w:val="0"/>
              <w:autoSpaceDN w:val="0"/>
              <w:adjustRightInd w:val="0"/>
              <w:snapToGrid w:val="0"/>
              <w:spacing w:line="360" w:lineRule="auto"/>
              <w:ind w:firstLine="480" w:firstLineChars="200"/>
              <w:rPr>
                <w:bCs/>
                <w:color w:val="auto"/>
                <w:sz w:val="24"/>
              </w:rPr>
            </w:pPr>
          </w:p>
          <w:p w14:paraId="37EAEB86">
            <w:pPr>
              <w:autoSpaceDE w:val="0"/>
              <w:autoSpaceDN w:val="0"/>
              <w:adjustRightInd w:val="0"/>
              <w:snapToGrid w:val="0"/>
              <w:spacing w:line="360" w:lineRule="auto"/>
              <w:ind w:firstLine="480" w:firstLineChars="200"/>
              <w:rPr>
                <w:bCs/>
                <w:color w:val="auto"/>
                <w:sz w:val="24"/>
              </w:rPr>
            </w:pPr>
          </w:p>
          <w:p w14:paraId="0AFA5223">
            <w:pPr>
              <w:autoSpaceDE w:val="0"/>
              <w:autoSpaceDN w:val="0"/>
              <w:adjustRightInd w:val="0"/>
              <w:snapToGrid w:val="0"/>
              <w:spacing w:line="360" w:lineRule="auto"/>
              <w:ind w:firstLine="480" w:firstLineChars="200"/>
              <w:rPr>
                <w:bCs/>
                <w:color w:val="auto"/>
                <w:sz w:val="24"/>
              </w:rPr>
            </w:pPr>
          </w:p>
          <w:p w14:paraId="2B58E62C">
            <w:pPr>
              <w:autoSpaceDE w:val="0"/>
              <w:autoSpaceDN w:val="0"/>
              <w:adjustRightInd w:val="0"/>
              <w:snapToGrid w:val="0"/>
              <w:spacing w:line="360" w:lineRule="auto"/>
              <w:ind w:firstLine="480" w:firstLineChars="200"/>
              <w:rPr>
                <w:bCs/>
                <w:color w:val="auto"/>
                <w:sz w:val="24"/>
              </w:rPr>
            </w:pPr>
          </w:p>
        </w:tc>
      </w:tr>
    </w:tbl>
    <w:p w14:paraId="10424F38">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61FFBE4">
      <w:pPr>
        <w:pStyle w:val="25"/>
        <w:adjustRightInd w:val="0"/>
        <w:snapToGrid w:val="0"/>
        <w:spacing w:before="0" w:beforeAutospacing="0" w:after="0" w:afterAutospacing="0"/>
        <w:outlineLvl w:val="0"/>
        <w:rPr>
          <w:rFonts w:ascii="Times New Roman" w:hAnsi="Times New Roman" w:eastAsia="黑体"/>
          <w:snapToGrid w:val="0"/>
          <w:sz w:val="32"/>
          <w:szCs w:val="32"/>
        </w:rPr>
      </w:pPr>
      <w:bookmarkStart w:id="35" w:name="_Toc163389706"/>
      <w:r>
        <w:rPr>
          <w:rFonts w:ascii="Times New Roman" w:hAnsi="Times New Roman" w:eastAsia="黑体"/>
          <w:snapToGrid w:val="0"/>
          <w:sz w:val="32"/>
          <w:szCs w:val="32"/>
        </w:rPr>
        <w:t>附表</w:t>
      </w:r>
      <w:bookmarkEnd w:id="35"/>
    </w:p>
    <w:p w14:paraId="564C9754">
      <w:pPr>
        <w:pStyle w:val="25"/>
        <w:adjustRightInd w:val="0"/>
        <w:snapToGrid w:val="0"/>
        <w:spacing w:before="0" w:beforeAutospacing="0" w:after="0" w:afterAutospacing="0"/>
        <w:jc w:val="center"/>
        <w:outlineLvl w:val="0"/>
        <w:rPr>
          <w:rFonts w:hint="default" w:ascii="Times New Roman" w:hAnsi="Times New Roman" w:eastAsia="方正小标宋_GBK"/>
          <w:snapToGrid w:val="0"/>
          <w:sz w:val="38"/>
          <w:szCs w:val="38"/>
          <w:lang w:val="en-US" w:eastAsia="zh-CN"/>
        </w:rPr>
      </w:pPr>
      <w:bookmarkStart w:id="36" w:name="_Toc163389707"/>
      <w:r>
        <w:rPr>
          <w:rFonts w:ascii="Times New Roman" w:hAnsi="Times New Roman" w:eastAsia="方正小标宋_GBK"/>
          <w:snapToGrid w:val="0"/>
          <w:sz w:val="38"/>
          <w:szCs w:val="38"/>
        </w:rPr>
        <w:t>建设项目污染物排放量汇总表</w:t>
      </w:r>
      <w:bookmarkEnd w:id="36"/>
      <w:r>
        <w:rPr>
          <w:rFonts w:hint="eastAsia" w:ascii="Times New Roman" w:hAnsi="Times New Roman" w:eastAsia="方正小标宋_GBK"/>
          <w:snapToGrid w:val="0"/>
          <w:sz w:val="38"/>
          <w:szCs w:val="38"/>
          <w:lang w:val="en-US" w:eastAsia="zh-CN"/>
        </w:rPr>
        <w:t xml:space="preserve">  </w:t>
      </w:r>
    </w:p>
    <w:tbl>
      <w:tblPr>
        <w:tblStyle w:val="28"/>
        <w:tblW w:w="135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980"/>
        <w:gridCol w:w="1079"/>
        <w:gridCol w:w="1251"/>
        <w:gridCol w:w="1529"/>
        <w:gridCol w:w="1669"/>
        <w:gridCol w:w="1390"/>
        <w:gridCol w:w="1948"/>
        <w:gridCol w:w="1679"/>
      </w:tblGrid>
      <w:tr w14:paraId="41549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999" w:type="dxa"/>
            <w:tcBorders>
              <w:tl2br w:val="single" w:color="auto" w:sz="4" w:space="0"/>
            </w:tcBorders>
            <w:tcMar>
              <w:left w:w="28" w:type="dxa"/>
              <w:right w:w="28" w:type="dxa"/>
            </w:tcMar>
            <w:vAlign w:val="center"/>
          </w:tcPr>
          <w:p w14:paraId="048786F2">
            <w:pPr>
              <w:adjustRightInd w:val="0"/>
              <w:snapToGrid w:val="0"/>
              <w:jc w:val="right"/>
              <w:rPr>
                <w:rFonts w:ascii="黑体" w:hAnsi="黑体" w:eastAsia="黑体" w:cs="黑体"/>
                <w:bCs/>
                <w:color w:val="000000"/>
                <w:szCs w:val="21"/>
              </w:rPr>
            </w:pPr>
            <w:r>
              <w:rPr>
                <w:rFonts w:hint="eastAsia" w:ascii="黑体" w:hAnsi="黑体" w:eastAsia="黑体" w:cs="黑体"/>
                <w:bCs/>
                <w:color w:val="000000"/>
                <w:szCs w:val="21"/>
              </w:rPr>
              <w:t>项目</w:t>
            </w:r>
          </w:p>
          <w:p w14:paraId="0F2CD8C5">
            <w:pPr>
              <w:adjustRightInd w:val="0"/>
              <w:snapToGrid w:val="0"/>
              <w:jc w:val="left"/>
              <w:rPr>
                <w:rFonts w:ascii="黑体" w:hAnsi="黑体" w:eastAsia="黑体" w:cs="黑体"/>
                <w:bCs/>
                <w:color w:val="000000"/>
                <w:szCs w:val="21"/>
              </w:rPr>
            </w:pPr>
            <w:r>
              <w:rPr>
                <w:rFonts w:hint="eastAsia" w:ascii="黑体" w:hAnsi="黑体" w:eastAsia="黑体" w:cs="黑体"/>
                <w:bCs/>
                <w:color w:val="000000"/>
                <w:szCs w:val="21"/>
              </w:rPr>
              <w:t>分类</w:t>
            </w:r>
          </w:p>
        </w:tc>
        <w:tc>
          <w:tcPr>
            <w:tcW w:w="1980" w:type="dxa"/>
            <w:tcMar>
              <w:left w:w="28" w:type="dxa"/>
              <w:right w:w="28" w:type="dxa"/>
            </w:tcMar>
            <w:vAlign w:val="center"/>
          </w:tcPr>
          <w:p w14:paraId="28608A4F">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污染物名称</w:t>
            </w:r>
          </w:p>
        </w:tc>
        <w:tc>
          <w:tcPr>
            <w:tcW w:w="1079" w:type="dxa"/>
            <w:tcMar>
              <w:left w:w="28" w:type="dxa"/>
              <w:right w:w="28" w:type="dxa"/>
            </w:tcMar>
            <w:vAlign w:val="center"/>
          </w:tcPr>
          <w:p w14:paraId="791F802C">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现有工程</w:t>
            </w:r>
          </w:p>
          <w:p w14:paraId="3C4515EF">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排放量（固体废物产生量）</w:t>
            </w:r>
            <w:r>
              <w:rPr>
                <w:rFonts w:hint="eastAsia" w:ascii="黑体" w:hAnsi="黑体" w:eastAsia="黑体" w:cs="黑体"/>
                <w:bCs/>
                <w:color w:val="000000"/>
                <w:szCs w:val="21"/>
              </w:rPr>
              <w:fldChar w:fldCharType="begin"/>
            </w:r>
            <w:r>
              <w:rPr>
                <w:rFonts w:hint="eastAsia" w:ascii="黑体" w:hAnsi="黑体" w:eastAsia="黑体" w:cs="黑体"/>
                <w:bCs/>
                <w:color w:val="000000"/>
                <w:szCs w:val="21"/>
              </w:rPr>
              <w:instrText xml:space="preserve"> = 1 \* GB3 \* MERGEFORMAT </w:instrText>
            </w:r>
            <w:r>
              <w:rPr>
                <w:rFonts w:hint="eastAsia" w:ascii="黑体" w:hAnsi="黑体" w:eastAsia="黑体" w:cs="黑体"/>
                <w:bCs/>
                <w:color w:val="000000"/>
                <w:szCs w:val="21"/>
              </w:rPr>
              <w:fldChar w:fldCharType="separate"/>
            </w:r>
            <w:r>
              <w:rPr>
                <w:rFonts w:hint="eastAsia" w:ascii="黑体" w:hAnsi="黑体" w:eastAsia="黑体" w:cs="黑体"/>
                <w:bCs/>
                <w:color w:val="000000"/>
                <w:szCs w:val="21"/>
              </w:rPr>
              <w:t>①</w:t>
            </w:r>
            <w:r>
              <w:rPr>
                <w:rFonts w:hint="eastAsia" w:ascii="黑体" w:hAnsi="黑体" w:eastAsia="黑体" w:cs="黑体"/>
                <w:bCs/>
                <w:color w:val="000000"/>
                <w:szCs w:val="21"/>
              </w:rPr>
              <w:fldChar w:fldCharType="end"/>
            </w:r>
          </w:p>
        </w:tc>
        <w:tc>
          <w:tcPr>
            <w:tcW w:w="1251" w:type="dxa"/>
            <w:tcMar>
              <w:left w:w="28" w:type="dxa"/>
              <w:right w:w="28" w:type="dxa"/>
            </w:tcMar>
            <w:vAlign w:val="center"/>
          </w:tcPr>
          <w:p w14:paraId="1C52B3E7">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现有工程</w:t>
            </w:r>
          </w:p>
          <w:p w14:paraId="731860CA">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许可排放量</w:t>
            </w:r>
          </w:p>
          <w:p w14:paraId="11C52F88">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fldChar w:fldCharType="begin"/>
            </w:r>
            <w:r>
              <w:rPr>
                <w:rFonts w:hint="eastAsia" w:ascii="黑体" w:hAnsi="黑体" w:eastAsia="黑体" w:cs="黑体"/>
                <w:bCs/>
                <w:color w:val="000000"/>
                <w:szCs w:val="21"/>
              </w:rPr>
              <w:instrText xml:space="preserve"> = 2 \* GB3 \* MERGEFORMAT </w:instrText>
            </w:r>
            <w:r>
              <w:rPr>
                <w:rFonts w:hint="eastAsia" w:ascii="黑体" w:hAnsi="黑体" w:eastAsia="黑体" w:cs="黑体"/>
                <w:bCs/>
                <w:color w:val="000000"/>
                <w:szCs w:val="21"/>
              </w:rPr>
              <w:fldChar w:fldCharType="separate"/>
            </w:r>
            <w:r>
              <w:rPr>
                <w:rFonts w:hint="eastAsia" w:ascii="黑体" w:hAnsi="黑体" w:eastAsia="黑体" w:cs="黑体"/>
                <w:bCs/>
                <w:color w:val="000000"/>
                <w:szCs w:val="21"/>
              </w:rPr>
              <w:t>②</w:t>
            </w:r>
            <w:r>
              <w:rPr>
                <w:rFonts w:hint="eastAsia" w:ascii="黑体" w:hAnsi="黑体" w:eastAsia="黑体" w:cs="黑体"/>
                <w:bCs/>
                <w:color w:val="000000"/>
                <w:szCs w:val="21"/>
              </w:rPr>
              <w:fldChar w:fldCharType="end"/>
            </w:r>
          </w:p>
        </w:tc>
        <w:tc>
          <w:tcPr>
            <w:tcW w:w="1529" w:type="dxa"/>
            <w:tcMar>
              <w:left w:w="28" w:type="dxa"/>
              <w:right w:w="28" w:type="dxa"/>
            </w:tcMar>
            <w:vAlign w:val="center"/>
          </w:tcPr>
          <w:p w14:paraId="32A2EF1A">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在建工程</w:t>
            </w:r>
          </w:p>
          <w:p w14:paraId="4B50D112">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排放量（固体废物产生量）</w:t>
            </w:r>
            <w:r>
              <w:rPr>
                <w:rFonts w:hint="eastAsia" w:ascii="黑体" w:hAnsi="黑体" w:eastAsia="黑体" w:cs="黑体"/>
                <w:bCs/>
                <w:color w:val="000000"/>
                <w:szCs w:val="21"/>
              </w:rPr>
              <w:fldChar w:fldCharType="begin"/>
            </w:r>
            <w:r>
              <w:rPr>
                <w:rFonts w:hint="eastAsia" w:ascii="黑体" w:hAnsi="黑体" w:eastAsia="黑体" w:cs="黑体"/>
                <w:bCs/>
                <w:color w:val="000000"/>
                <w:szCs w:val="21"/>
              </w:rPr>
              <w:instrText xml:space="preserve"> = 3 \* GB3 \* MERGEFORMAT </w:instrText>
            </w:r>
            <w:r>
              <w:rPr>
                <w:rFonts w:hint="eastAsia" w:ascii="黑体" w:hAnsi="黑体" w:eastAsia="黑体" w:cs="黑体"/>
                <w:bCs/>
                <w:color w:val="000000"/>
                <w:szCs w:val="21"/>
              </w:rPr>
              <w:fldChar w:fldCharType="separate"/>
            </w:r>
            <w:r>
              <w:rPr>
                <w:rFonts w:hint="eastAsia" w:ascii="黑体" w:hAnsi="黑体" w:eastAsia="黑体" w:cs="黑体"/>
                <w:bCs/>
                <w:color w:val="000000"/>
                <w:szCs w:val="21"/>
              </w:rPr>
              <w:t>③</w:t>
            </w:r>
            <w:r>
              <w:rPr>
                <w:rFonts w:hint="eastAsia" w:ascii="黑体" w:hAnsi="黑体" w:eastAsia="黑体" w:cs="黑体"/>
                <w:bCs/>
                <w:color w:val="000000"/>
                <w:szCs w:val="21"/>
              </w:rPr>
              <w:fldChar w:fldCharType="end"/>
            </w:r>
          </w:p>
        </w:tc>
        <w:tc>
          <w:tcPr>
            <w:tcW w:w="1669" w:type="dxa"/>
            <w:tcMar>
              <w:left w:w="28" w:type="dxa"/>
              <w:right w:w="28" w:type="dxa"/>
            </w:tcMar>
            <w:vAlign w:val="center"/>
          </w:tcPr>
          <w:p w14:paraId="27AC3F71">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本项目</w:t>
            </w:r>
          </w:p>
          <w:p w14:paraId="618743E0">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排放量（固体废物产生量）</w:t>
            </w:r>
            <w:r>
              <w:rPr>
                <w:rFonts w:hint="eastAsia" w:ascii="黑体" w:hAnsi="黑体" w:eastAsia="黑体" w:cs="黑体"/>
                <w:bCs/>
                <w:color w:val="000000"/>
                <w:szCs w:val="21"/>
              </w:rPr>
              <w:fldChar w:fldCharType="begin"/>
            </w:r>
            <w:r>
              <w:rPr>
                <w:rFonts w:hint="eastAsia" w:ascii="黑体" w:hAnsi="黑体" w:eastAsia="黑体" w:cs="黑体"/>
                <w:bCs/>
                <w:color w:val="000000"/>
                <w:szCs w:val="21"/>
              </w:rPr>
              <w:instrText xml:space="preserve"> = 4 \* GB3 \* MERGEFORMAT </w:instrText>
            </w:r>
            <w:r>
              <w:rPr>
                <w:rFonts w:hint="eastAsia" w:ascii="黑体" w:hAnsi="黑体" w:eastAsia="黑体" w:cs="黑体"/>
                <w:bCs/>
                <w:color w:val="000000"/>
                <w:szCs w:val="21"/>
              </w:rPr>
              <w:fldChar w:fldCharType="separate"/>
            </w:r>
            <w:r>
              <w:rPr>
                <w:rFonts w:hint="eastAsia" w:ascii="黑体" w:hAnsi="黑体" w:eastAsia="黑体" w:cs="黑体"/>
                <w:bCs/>
                <w:color w:val="000000"/>
                <w:szCs w:val="21"/>
              </w:rPr>
              <w:t>④</w:t>
            </w:r>
            <w:r>
              <w:rPr>
                <w:rFonts w:hint="eastAsia" w:ascii="黑体" w:hAnsi="黑体" w:eastAsia="黑体" w:cs="黑体"/>
                <w:bCs/>
                <w:color w:val="000000"/>
                <w:szCs w:val="21"/>
              </w:rPr>
              <w:fldChar w:fldCharType="end"/>
            </w:r>
          </w:p>
        </w:tc>
        <w:tc>
          <w:tcPr>
            <w:tcW w:w="1390" w:type="dxa"/>
            <w:tcMar>
              <w:left w:w="28" w:type="dxa"/>
              <w:right w:w="28" w:type="dxa"/>
            </w:tcMar>
            <w:vAlign w:val="center"/>
          </w:tcPr>
          <w:p w14:paraId="1606255D">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以新带老削减量</w:t>
            </w:r>
          </w:p>
          <w:p w14:paraId="0A74A9BA">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（新建项目不填）</w:t>
            </w:r>
            <w:r>
              <w:rPr>
                <w:rFonts w:hint="eastAsia" w:ascii="黑体" w:hAnsi="黑体" w:eastAsia="黑体" w:cs="黑体"/>
                <w:bCs/>
                <w:color w:val="000000"/>
                <w:szCs w:val="21"/>
              </w:rPr>
              <w:fldChar w:fldCharType="begin"/>
            </w:r>
            <w:r>
              <w:rPr>
                <w:rFonts w:hint="eastAsia" w:ascii="黑体" w:hAnsi="黑体" w:eastAsia="黑体" w:cs="黑体"/>
                <w:bCs/>
                <w:color w:val="000000"/>
                <w:szCs w:val="21"/>
              </w:rPr>
              <w:instrText xml:space="preserve"> = 5 \* GB3 \* MERGEFORMAT </w:instrText>
            </w:r>
            <w:r>
              <w:rPr>
                <w:rFonts w:hint="eastAsia" w:ascii="黑体" w:hAnsi="黑体" w:eastAsia="黑体" w:cs="黑体"/>
                <w:bCs/>
                <w:color w:val="000000"/>
                <w:szCs w:val="21"/>
              </w:rPr>
              <w:fldChar w:fldCharType="separate"/>
            </w:r>
            <w:r>
              <w:rPr>
                <w:rFonts w:hint="eastAsia" w:ascii="黑体" w:hAnsi="黑体" w:eastAsia="黑体" w:cs="黑体"/>
                <w:bCs/>
                <w:color w:val="000000"/>
                <w:szCs w:val="21"/>
              </w:rPr>
              <w:t>⑤</w:t>
            </w:r>
            <w:r>
              <w:rPr>
                <w:rFonts w:hint="eastAsia" w:ascii="黑体" w:hAnsi="黑体" w:eastAsia="黑体" w:cs="黑体"/>
                <w:bCs/>
                <w:color w:val="000000"/>
                <w:szCs w:val="21"/>
              </w:rPr>
              <w:fldChar w:fldCharType="end"/>
            </w:r>
          </w:p>
        </w:tc>
        <w:tc>
          <w:tcPr>
            <w:tcW w:w="1948" w:type="dxa"/>
            <w:tcMar>
              <w:left w:w="28" w:type="dxa"/>
              <w:right w:w="28" w:type="dxa"/>
            </w:tcMar>
            <w:vAlign w:val="center"/>
          </w:tcPr>
          <w:p w14:paraId="61F0B741">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本项目建成后</w:t>
            </w:r>
          </w:p>
          <w:p w14:paraId="093DE3C9">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全厂排放量（固体废物产生量）</w:t>
            </w:r>
            <w:r>
              <w:rPr>
                <w:rFonts w:hint="eastAsia" w:ascii="黑体" w:hAnsi="黑体" w:eastAsia="黑体" w:cs="黑体"/>
                <w:bCs/>
                <w:color w:val="000000"/>
                <w:szCs w:val="21"/>
              </w:rPr>
              <w:fldChar w:fldCharType="begin"/>
            </w:r>
            <w:r>
              <w:rPr>
                <w:rFonts w:hint="eastAsia" w:ascii="黑体" w:hAnsi="黑体" w:eastAsia="黑体" w:cs="黑体"/>
                <w:bCs/>
                <w:color w:val="000000"/>
                <w:szCs w:val="21"/>
              </w:rPr>
              <w:instrText xml:space="preserve"> = 6 \* GB3 \* MERGEFORMAT </w:instrText>
            </w:r>
            <w:r>
              <w:rPr>
                <w:rFonts w:hint="eastAsia" w:ascii="黑体" w:hAnsi="黑体" w:eastAsia="黑体" w:cs="黑体"/>
                <w:bCs/>
                <w:color w:val="000000"/>
                <w:szCs w:val="21"/>
              </w:rPr>
              <w:fldChar w:fldCharType="separate"/>
            </w:r>
            <w:r>
              <w:rPr>
                <w:rFonts w:hint="eastAsia" w:ascii="黑体" w:hAnsi="黑体" w:eastAsia="黑体" w:cs="黑体"/>
                <w:bCs/>
                <w:color w:val="000000"/>
                <w:szCs w:val="21"/>
              </w:rPr>
              <w:t>⑥</w:t>
            </w:r>
            <w:r>
              <w:rPr>
                <w:rFonts w:hint="eastAsia" w:ascii="黑体" w:hAnsi="黑体" w:eastAsia="黑体" w:cs="黑体"/>
                <w:bCs/>
                <w:color w:val="000000"/>
                <w:szCs w:val="21"/>
              </w:rPr>
              <w:fldChar w:fldCharType="end"/>
            </w:r>
          </w:p>
        </w:tc>
        <w:tc>
          <w:tcPr>
            <w:tcW w:w="1679" w:type="dxa"/>
            <w:tcMar>
              <w:left w:w="28" w:type="dxa"/>
              <w:right w:w="28" w:type="dxa"/>
            </w:tcMar>
            <w:vAlign w:val="center"/>
          </w:tcPr>
          <w:p w14:paraId="06AD3BD0">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t>变化量</w:t>
            </w:r>
          </w:p>
          <w:p w14:paraId="77EA8947">
            <w:pPr>
              <w:adjustRightInd w:val="0"/>
              <w:snapToGrid w:val="0"/>
              <w:jc w:val="center"/>
              <w:rPr>
                <w:rFonts w:ascii="黑体" w:hAnsi="黑体" w:eastAsia="黑体" w:cs="黑体"/>
                <w:bCs/>
                <w:color w:val="000000"/>
                <w:szCs w:val="21"/>
              </w:rPr>
            </w:pPr>
            <w:r>
              <w:rPr>
                <w:rFonts w:hint="eastAsia" w:ascii="黑体" w:hAnsi="黑体" w:eastAsia="黑体" w:cs="黑体"/>
                <w:bCs/>
                <w:color w:val="000000"/>
                <w:szCs w:val="21"/>
              </w:rPr>
              <w:fldChar w:fldCharType="begin"/>
            </w:r>
            <w:r>
              <w:rPr>
                <w:rFonts w:hint="eastAsia" w:ascii="黑体" w:hAnsi="黑体" w:eastAsia="黑体" w:cs="黑体"/>
                <w:bCs/>
                <w:color w:val="000000"/>
                <w:szCs w:val="21"/>
              </w:rPr>
              <w:instrText xml:space="preserve"> = 7 \* GB3 \* MERGEFORMAT </w:instrText>
            </w:r>
            <w:r>
              <w:rPr>
                <w:rFonts w:hint="eastAsia" w:ascii="黑体" w:hAnsi="黑体" w:eastAsia="黑体" w:cs="黑体"/>
                <w:bCs/>
                <w:color w:val="000000"/>
                <w:szCs w:val="21"/>
              </w:rPr>
              <w:fldChar w:fldCharType="separate"/>
            </w:r>
            <w:r>
              <w:rPr>
                <w:rFonts w:hint="eastAsia" w:ascii="黑体" w:hAnsi="黑体" w:eastAsia="黑体" w:cs="黑体"/>
                <w:bCs/>
                <w:color w:val="000000"/>
                <w:szCs w:val="21"/>
              </w:rPr>
              <w:t>⑦</w:t>
            </w:r>
            <w:r>
              <w:rPr>
                <w:rFonts w:hint="eastAsia" w:ascii="黑体" w:hAnsi="黑体" w:eastAsia="黑体" w:cs="黑体"/>
                <w:bCs/>
                <w:color w:val="000000"/>
                <w:szCs w:val="21"/>
              </w:rPr>
              <w:fldChar w:fldCharType="end"/>
            </w:r>
          </w:p>
        </w:tc>
      </w:tr>
      <w:tr w14:paraId="5FB50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999" w:type="dxa"/>
            <w:vMerge w:val="restart"/>
            <w:vAlign w:val="center"/>
          </w:tcPr>
          <w:p w14:paraId="0F47DDF6">
            <w:pPr>
              <w:adjustRightInd w:val="0"/>
              <w:snapToGrid w:val="0"/>
              <w:jc w:val="center"/>
              <w:rPr>
                <w:rFonts w:ascii="Times New Roman" w:hAnsi="Times New Roman"/>
                <w:bCs/>
                <w:color w:val="000000"/>
                <w:szCs w:val="21"/>
                <w:highlight w:val="none"/>
              </w:rPr>
            </w:pPr>
            <w:r>
              <w:rPr>
                <w:rFonts w:ascii="Times New Roman" w:hAnsi="Times New Roman"/>
                <w:bCs/>
                <w:color w:val="000000"/>
                <w:szCs w:val="21"/>
                <w:highlight w:val="none"/>
              </w:rPr>
              <w:t>废气</w:t>
            </w:r>
          </w:p>
        </w:tc>
        <w:tc>
          <w:tcPr>
            <w:tcW w:w="1980" w:type="dxa"/>
            <w:vAlign w:val="center"/>
          </w:tcPr>
          <w:p w14:paraId="03CBCEE3">
            <w:pPr>
              <w:adjustRightInd w:val="0"/>
              <w:snapToGrid w:val="0"/>
              <w:jc w:val="center"/>
              <w:rPr>
                <w:rFonts w:ascii="Times New Roman" w:hAnsi="Times New Roman"/>
                <w:bCs/>
                <w:color w:val="000000"/>
                <w:szCs w:val="21"/>
              </w:rPr>
            </w:pPr>
            <w:r>
              <w:rPr>
                <w:rFonts w:ascii="Times New Roman" w:hAnsi="Times New Roman"/>
                <w:bCs/>
                <w:color w:val="000000"/>
                <w:szCs w:val="21"/>
              </w:rPr>
              <w:t>非甲烷总烃</w:t>
            </w:r>
          </w:p>
        </w:tc>
        <w:tc>
          <w:tcPr>
            <w:tcW w:w="1079" w:type="dxa"/>
            <w:vAlign w:val="center"/>
          </w:tcPr>
          <w:p w14:paraId="3D3C0277">
            <w:pPr>
              <w:spacing w:line="240" w:lineRule="auto"/>
              <w:ind w:firstLine="0" w:firstLineChars="0"/>
              <w:jc w:val="center"/>
              <w:rPr>
                <w:rFonts w:ascii="Times New Roman" w:hAnsi="Times New Roman"/>
                <w:bCs/>
                <w:color w:val="000000" w:themeColor="text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3147E1B4">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4FFD90F6">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2136C997">
            <w:pPr>
              <w:spacing w:line="240" w:lineRule="auto"/>
              <w:ind w:firstLine="0" w:firstLineChars="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0.0838</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2B11D572">
            <w:pPr>
              <w:spacing w:line="240" w:lineRule="auto"/>
              <w:ind w:firstLine="0" w:firstLineChars="0"/>
              <w:jc w:val="center"/>
              <w:rPr>
                <w:rFonts w:ascii="Times New Roman" w:hAnsi="Times New Roman"/>
                <w:bCs/>
                <w:color w:val="000000" w:themeColor="text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ascii="Times New Roman" w:hAnsi="Times New Roman"/>
                <w:bCs/>
                <w:color w:val="000000" w:themeColor="text1"/>
                <w:szCs w:val="21"/>
                <w14:textFill>
                  <w14:solidFill>
                    <w14:schemeClr w14:val="tx1"/>
                  </w14:solidFill>
                </w14:textFill>
              </w:rPr>
              <w:t>t/a</w:t>
            </w:r>
          </w:p>
        </w:tc>
        <w:tc>
          <w:tcPr>
            <w:tcW w:w="1948" w:type="dxa"/>
            <w:vAlign w:val="center"/>
          </w:tcPr>
          <w:p w14:paraId="27DCDC5A">
            <w:pPr>
              <w:spacing w:line="240" w:lineRule="auto"/>
              <w:ind w:firstLine="0" w:firstLineChars="0"/>
              <w:jc w:val="center"/>
              <w:rPr>
                <w:rFonts w:ascii="Times New Roman" w:hAnsi="Times New Roman"/>
                <w:bCs/>
                <w:color w:val="000000" w:themeColor="text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0.0838</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17446118">
            <w:pPr>
              <w:spacing w:line="240" w:lineRule="auto"/>
              <w:ind w:firstLine="0" w:firstLineChars="0"/>
              <w:jc w:val="center"/>
              <w:rPr>
                <w:rFonts w:ascii="Times New Roman" w:hAnsi="Times New Roman"/>
                <w:bCs/>
                <w:color w:val="000000" w:themeColor="text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+0.0838</w:t>
            </w:r>
            <w:r>
              <w:rPr>
                <w:rFonts w:ascii="Times New Roman" w:hAnsi="Times New Roman"/>
                <w:bCs/>
                <w:color w:val="000000" w:themeColor="text1"/>
                <w:szCs w:val="21"/>
                <w14:textFill>
                  <w14:solidFill>
                    <w14:schemeClr w14:val="tx1"/>
                  </w14:solidFill>
                </w14:textFill>
              </w:rPr>
              <w:t>t/a</w:t>
            </w:r>
          </w:p>
        </w:tc>
      </w:tr>
      <w:tr w14:paraId="3AAD4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999" w:type="dxa"/>
            <w:vMerge w:val="continue"/>
            <w:vAlign w:val="center"/>
          </w:tcPr>
          <w:p w14:paraId="6DD2A51E">
            <w:pPr>
              <w:adjustRightInd w:val="0"/>
              <w:snapToGrid w:val="0"/>
              <w:jc w:val="center"/>
              <w:rPr>
                <w:rFonts w:ascii="Times New Roman" w:hAnsi="Times New Roman"/>
                <w:bCs/>
                <w:color w:val="000000"/>
                <w:szCs w:val="21"/>
                <w:highlight w:val="none"/>
              </w:rPr>
            </w:pPr>
          </w:p>
        </w:tc>
        <w:tc>
          <w:tcPr>
            <w:tcW w:w="1980" w:type="dxa"/>
            <w:vAlign w:val="center"/>
          </w:tcPr>
          <w:p w14:paraId="55907C3B">
            <w:pPr>
              <w:adjustRightInd w:val="0"/>
              <w:snapToGrid w:val="0"/>
              <w:jc w:val="center"/>
              <w:rPr>
                <w:rFonts w:ascii="Times New Roman" w:hAnsi="Times New Roman"/>
                <w:bCs/>
                <w:color w:val="000000"/>
                <w:szCs w:val="21"/>
              </w:rPr>
            </w:pPr>
            <w:r>
              <w:rPr>
                <w:rFonts w:ascii="Times New Roman" w:hAnsi="Times New Roman"/>
                <w:bCs/>
                <w:color w:val="000000"/>
                <w:szCs w:val="21"/>
                <w:highlight w:val="none"/>
              </w:rPr>
              <w:t>颗粒物</w:t>
            </w:r>
          </w:p>
        </w:tc>
        <w:tc>
          <w:tcPr>
            <w:tcW w:w="1079" w:type="dxa"/>
            <w:vAlign w:val="center"/>
          </w:tcPr>
          <w:p w14:paraId="1F185CF7">
            <w:pPr>
              <w:spacing w:line="240" w:lineRule="auto"/>
              <w:ind w:firstLine="0" w:firstLineChars="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7.6012</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027788D3">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1733D264">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3D9D16FE">
            <w:pPr>
              <w:spacing w:line="240" w:lineRule="auto"/>
              <w:ind w:firstLine="0" w:firstLineChars="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1.7748</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09C1A69D">
            <w:pPr>
              <w:spacing w:line="240" w:lineRule="auto"/>
              <w:ind w:firstLine="0" w:firstLineChars="0"/>
              <w:jc w:val="center"/>
              <w:rPr>
                <w:rFonts w:ascii="Times New Roman" w:hAnsi="Times New Roman"/>
                <w:bCs/>
                <w:color w:val="000000" w:themeColor="text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7.6012</w:t>
            </w:r>
            <w:r>
              <w:rPr>
                <w:rFonts w:ascii="Times New Roman" w:hAnsi="Times New Roman"/>
                <w:bCs/>
                <w:color w:val="000000" w:themeColor="text1"/>
                <w:szCs w:val="21"/>
                <w14:textFill>
                  <w14:solidFill>
                    <w14:schemeClr w14:val="tx1"/>
                  </w14:solidFill>
                </w14:textFill>
              </w:rPr>
              <w:t>t/a</w:t>
            </w:r>
          </w:p>
        </w:tc>
        <w:tc>
          <w:tcPr>
            <w:tcW w:w="1948" w:type="dxa"/>
            <w:vAlign w:val="center"/>
          </w:tcPr>
          <w:p w14:paraId="2B332AB4">
            <w:pPr>
              <w:spacing w:line="240" w:lineRule="auto"/>
              <w:ind w:firstLine="0" w:firstLineChars="0"/>
              <w:jc w:val="center"/>
              <w:rPr>
                <w:rFonts w:ascii="Times New Roman" w:hAnsi="Times New Roman"/>
                <w:bCs/>
                <w:color w:val="000000" w:themeColor="text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1.7748</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7B4E5A2F">
            <w:pPr>
              <w:spacing w:line="240" w:lineRule="auto"/>
              <w:ind w:firstLine="0" w:firstLineChars="0"/>
              <w:jc w:val="center"/>
              <w:rPr>
                <w:rFonts w:ascii="Times New Roman" w:hAnsi="Times New Roman"/>
                <w:bCs/>
                <w:color w:val="000000" w:themeColor="text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-5.8264</w:t>
            </w:r>
            <w:r>
              <w:rPr>
                <w:rFonts w:ascii="Times New Roman" w:hAnsi="Times New Roman"/>
                <w:bCs/>
                <w:color w:val="000000" w:themeColor="text1"/>
                <w:szCs w:val="21"/>
                <w14:textFill>
                  <w14:solidFill>
                    <w14:schemeClr w14:val="tx1"/>
                  </w14:solidFill>
                </w14:textFill>
              </w:rPr>
              <w:t>t/a</w:t>
            </w:r>
          </w:p>
        </w:tc>
      </w:tr>
      <w:tr w14:paraId="3D53A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99" w:type="dxa"/>
            <w:vMerge w:val="restart"/>
            <w:vAlign w:val="center"/>
          </w:tcPr>
          <w:p w14:paraId="2C1DDD24">
            <w:pPr>
              <w:adjustRightInd w:val="0"/>
              <w:snapToGrid w:val="0"/>
              <w:jc w:val="center"/>
              <w:rPr>
                <w:rFonts w:ascii="Times New Roman" w:hAnsi="Times New Roman"/>
                <w:bCs/>
                <w:color w:val="000000"/>
                <w:szCs w:val="21"/>
                <w:highlight w:val="none"/>
              </w:rPr>
            </w:pPr>
            <w:r>
              <w:rPr>
                <w:rFonts w:ascii="Times New Roman" w:hAnsi="Times New Roman"/>
                <w:bCs/>
                <w:color w:val="000000"/>
                <w:szCs w:val="21"/>
                <w:highlight w:val="none"/>
              </w:rPr>
              <w:t>废水</w:t>
            </w:r>
          </w:p>
        </w:tc>
        <w:tc>
          <w:tcPr>
            <w:tcW w:w="1980" w:type="dxa"/>
            <w:vAlign w:val="center"/>
          </w:tcPr>
          <w:p w14:paraId="1E7263A0">
            <w:pPr>
              <w:adjustRightInd w:val="0"/>
              <w:snapToGrid w:val="0"/>
              <w:jc w:val="center"/>
              <w:rPr>
                <w:rFonts w:ascii="Times New Roman" w:hAnsi="Times New Roman"/>
                <w:bCs/>
                <w:color w:val="000000"/>
                <w:szCs w:val="21"/>
              </w:rPr>
            </w:pPr>
            <w:r>
              <w:rPr>
                <w:rFonts w:ascii="Times New Roman" w:hAnsi="Times New Roman"/>
                <w:bCs/>
                <w:color w:val="000000"/>
                <w:szCs w:val="21"/>
              </w:rPr>
              <w:t>废水量</w:t>
            </w:r>
          </w:p>
        </w:tc>
        <w:tc>
          <w:tcPr>
            <w:tcW w:w="1079" w:type="dxa"/>
            <w:vAlign w:val="center"/>
          </w:tcPr>
          <w:p w14:paraId="0DE5C2F2">
            <w:pPr>
              <w:adjustRightInd w:val="0"/>
              <w:snapToGrid w:val="0"/>
              <w:jc w:val="center"/>
              <w:rPr>
                <w:rFonts w:hint="default" w:ascii="Times New Roman" w:hAnsi="Times New Roman" w:eastAsia="宋体"/>
                <w:bCs/>
                <w:color w:val="000000"/>
                <w:szCs w:val="21"/>
                <w:lang w:val="en-US" w:eastAsia="zh-CN"/>
              </w:rPr>
            </w:pPr>
            <w:r>
              <w:rPr>
                <w:rFonts w:hint="eastAsia"/>
                <w:bCs/>
                <w:color w:val="000000"/>
                <w:szCs w:val="21"/>
                <w:lang w:val="en-US" w:eastAsia="zh-CN"/>
              </w:rPr>
              <w:t>720</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5EAF277D">
            <w:pPr>
              <w:adjustRightInd w:val="0"/>
              <w:snapToGrid w:val="0"/>
              <w:jc w:val="center"/>
              <w:rPr>
                <w:rFonts w:ascii="Times New Roman" w:hAnsi="Times New Roman"/>
                <w:bCs/>
                <w:color w:val="000000"/>
                <w:szCs w:val="21"/>
              </w:rPr>
            </w:pPr>
            <w:r>
              <w:rPr>
                <w:rFonts w:ascii="Times New Roman" w:hAnsi="Times New Roman"/>
                <w:bCs/>
                <w:color w:val="000000"/>
                <w:szCs w:val="21"/>
              </w:rPr>
              <w:t>/</w:t>
            </w:r>
          </w:p>
        </w:tc>
        <w:tc>
          <w:tcPr>
            <w:tcW w:w="1529" w:type="dxa"/>
            <w:vAlign w:val="center"/>
          </w:tcPr>
          <w:p w14:paraId="02CD5548">
            <w:pPr>
              <w:adjustRightInd w:val="0"/>
              <w:snapToGrid w:val="0"/>
              <w:jc w:val="center"/>
              <w:rPr>
                <w:rFonts w:ascii="Times New Roman" w:hAnsi="Times New Roman"/>
                <w:bCs/>
                <w:color w:val="000000"/>
                <w:szCs w:val="21"/>
              </w:rPr>
            </w:pPr>
            <w:r>
              <w:rPr>
                <w:rFonts w:ascii="Times New Roman" w:hAnsi="Times New Roman"/>
                <w:bCs/>
                <w:color w:val="000000"/>
                <w:szCs w:val="21"/>
              </w:rPr>
              <w:t>/</w:t>
            </w:r>
          </w:p>
        </w:tc>
        <w:tc>
          <w:tcPr>
            <w:tcW w:w="1669" w:type="dxa"/>
            <w:vAlign w:val="center"/>
          </w:tcPr>
          <w:p w14:paraId="23AB56E4">
            <w:pPr>
              <w:adjustRightInd w:val="0"/>
              <w:snapToGrid w:val="0"/>
              <w:jc w:val="center"/>
              <w:rPr>
                <w:rFonts w:ascii="Times New Roman" w:hAnsi="Times New Roman"/>
                <w:bCs/>
                <w:color w:val="000000"/>
                <w:szCs w:val="21"/>
              </w:rPr>
            </w:pPr>
            <w:r>
              <w:rPr>
                <w:rFonts w:hint="eastAsia"/>
                <w:bCs/>
                <w:color w:val="000000"/>
                <w:szCs w:val="21"/>
                <w:highlight w:val="none"/>
                <w:lang w:val="en-US" w:eastAsia="zh-CN"/>
              </w:rPr>
              <w:t>144</w:t>
            </w:r>
            <w:r>
              <w:rPr>
                <w:rFonts w:ascii="Times New Roman" w:hAnsi="Times New Roman"/>
                <w:bCs/>
                <w:color w:val="000000"/>
                <w:szCs w:val="21"/>
                <w:highlight w:val="none"/>
              </w:rPr>
              <w:t>t/a</w:t>
            </w:r>
          </w:p>
        </w:tc>
        <w:tc>
          <w:tcPr>
            <w:tcW w:w="1390" w:type="dxa"/>
            <w:vAlign w:val="center"/>
          </w:tcPr>
          <w:p w14:paraId="13A05C56">
            <w:pPr>
              <w:adjustRightInd w:val="0"/>
              <w:snapToGrid w:val="0"/>
              <w:jc w:val="center"/>
              <w:rPr>
                <w:rFonts w:ascii="Times New Roman" w:hAnsi="Times New Roman"/>
                <w:bCs/>
                <w:color w:val="000000"/>
                <w:szCs w:val="21"/>
              </w:rPr>
            </w:pPr>
            <w:r>
              <w:rPr>
                <w:rFonts w:ascii="Times New Roman" w:hAnsi="Times New Roman"/>
                <w:bCs/>
                <w:color w:val="000000"/>
                <w:szCs w:val="21"/>
              </w:rPr>
              <w:t>/</w:t>
            </w:r>
          </w:p>
        </w:tc>
        <w:tc>
          <w:tcPr>
            <w:tcW w:w="1948" w:type="dxa"/>
            <w:vAlign w:val="center"/>
          </w:tcPr>
          <w:p w14:paraId="7AC412D0">
            <w:pPr>
              <w:adjustRightInd w:val="0"/>
              <w:snapToGrid w:val="0"/>
              <w:jc w:val="center"/>
              <w:rPr>
                <w:rFonts w:ascii="Times New Roman" w:hAnsi="Times New Roman"/>
                <w:bCs/>
                <w:color w:val="000000"/>
                <w:szCs w:val="21"/>
              </w:rPr>
            </w:pPr>
            <w:r>
              <w:rPr>
                <w:rFonts w:hint="eastAsia"/>
                <w:bCs/>
                <w:color w:val="000000"/>
                <w:szCs w:val="21"/>
                <w:lang w:val="en-US" w:eastAsia="zh-CN"/>
              </w:rPr>
              <w:t>864</w:t>
            </w:r>
            <w:r>
              <w:rPr>
                <w:rFonts w:ascii="Times New Roman" w:hAnsi="Times New Roman"/>
                <w:bCs/>
                <w:color w:val="000000"/>
                <w:szCs w:val="21"/>
              </w:rPr>
              <w:t>t/a</w:t>
            </w:r>
          </w:p>
        </w:tc>
        <w:tc>
          <w:tcPr>
            <w:tcW w:w="1679" w:type="dxa"/>
            <w:vAlign w:val="center"/>
          </w:tcPr>
          <w:p w14:paraId="06BA026F">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hint="eastAsia"/>
                <w:bCs/>
                <w:color w:val="000000"/>
                <w:szCs w:val="21"/>
                <w:lang w:val="en-US" w:eastAsia="zh-CN"/>
              </w:rPr>
              <w:t>144</w:t>
            </w:r>
            <w:r>
              <w:rPr>
                <w:rFonts w:ascii="Times New Roman" w:hAnsi="Times New Roman"/>
                <w:bCs/>
                <w:color w:val="000000"/>
                <w:szCs w:val="21"/>
              </w:rPr>
              <w:t>t/a</w:t>
            </w:r>
          </w:p>
        </w:tc>
      </w:tr>
      <w:tr w14:paraId="681C0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99" w:type="dxa"/>
            <w:vMerge w:val="continue"/>
            <w:vAlign w:val="center"/>
          </w:tcPr>
          <w:p w14:paraId="5C27024F">
            <w:pPr>
              <w:adjustRightInd w:val="0"/>
              <w:snapToGrid w:val="0"/>
              <w:jc w:val="center"/>
              <w:rPr>
                <w:rFonts w:ascii="Times New Roman" w:hAnsi="Times New Roman"/>
                <w:bCs/>
                <w:color w:val="000000"/>
                <w:szCs w:val="21"/>
              </w:rPr>
            </w:pPr>
          </w:p>
        </w:tc>
        <w:tc>
          <w:tcPr>
            <w:tcW w:w="1980" w:type="dxa"/>
            <w:vAlign w:val="center"/>
          </w:tcPr>
          <w:p w14:paraId="77CFD624">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COD</w:t>
            </w:r>
          </w:p>
        </w:tc>
        <w:tc>
          <w:tcPr>
            <w:tcW w:w="1079" w:type="dxa"/>
            <w:vAlign w:val="center"/>
          </w:tcPr>
          <w:p w14:paraId="67FECD53">
            <w:pPr>
              <w:spacing w:before="0" w:beforeLines="0" w:after="0" w:afterLines="0" w:line="280" w:lineRule="exact"/>
              <w:ind w:left="0" w:leftChars="0" w:right="0" w:rightChars="0"/>
              <w:jc w:val="center"/>
              <w:rPr>
                <w:rFonts w:ascii="Times New Roman" w:hAnsi="Times New Roman"/>
                <w:bCs/>
                <w:color w:val="000000"/>
                <w:szCs w:val="21"/>
              </w:rPr>
            </w:pPr>
            <w:r>
              <w:rPr>
                <w:rFonts w:hint="eastAsia" w:cs="Times New Roman" w:eastAsiaTheme="minorEastAsia"/>
                <w:color w:val="auto"/>
                <w:kern w:val="2"/>
                <w:sz w:val="21"/>
                <w:szCs w:val="21"/>
                <w:lang w:val="en-US" w:eastAsia="zh-CN" w:bidi="ar-SA"/>
              </w:rPr>
              <w:t>0.216</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5AD8C0B4">
            <w:pPr>
              <w:adjustRightInd w:val="0"/>
              <w:snapToGrid w:val="0"/>
              <w:jc w:val="center"/>
              <w:rPr>
                <w:rFonts w:ascii="Times New Roman" w:hAnsi="Times New Roman"/>
                <w:bCs/>
                <w:color w:val="000000"/>
                <w:szCs w:val="21"/>
              </w:rPr>
            </w:pPr>
            <w:r>
              <w:rPr>
                <w:rFonts w:ascii="Times New Roman" w:hAnsi="Times New Roman"/>
                <w:bCs/>
                <w:color w:val="000000"/>
                <w:szCs w:val="21"/>
              </w:rPr>
              <w:t>/</w:t>
            </w:r>
          </w:p>
        </w:tc>
        <w:tc>
          <w:tcPr>
            <w:tcW w:w="1529" w:type="dxa"/>
            <w:vAlign w:val="center"/>
          </w:tcPr>
          <w:p w14:paraId="073EDECC">
            <w:pPr>
              <w:adjustRightInd w:val="0"/>
              <w:snapToGrid w:val="0"/>
              <w:jc w:val="center"/>
              <w:rPr>
                <w:rFonts w:ascii="Times New Roman" w:hAnsi="Times New Roman"/>
                <w:bCs/>
                <w:color w:val="000000"/>
                <w:szCs w:val="21"/>
              </w:rPr>
            </w:pPr>
            <w:r>
              <w:rPr>
                <w:rFonts w:ascii="Times New Roman" w:hAnsi="Times New Roman"/>
                <w:bCs/>
                <w:color w:val="000000"/>
                <w:szCs w:val="21"/>
              </w:rPr>
              <w:t>/</w:t>
            </w:r>
          </w:p>
        </w:tc>
        <w:tc>
          <w:tcPr>
            <w:tcW w:w="1669" w:type="dxa"/>
            <w:vAlign w:val="center"/>
          </w:tcPr>
          <w:p w14:paraId="4EA8F5EE">
            <w:pPr>
              <w:spacing w:before="0" w:beforeLines="0" w:after="0" w:afterLines="0" w:line="280" w:lineRule="exact"/>
              <w:ind w:left="0" w:leftChars="0" w:right="0" w:rightChars="0"/>
              <w:jc w:val="center"/>
              <w:rPr>
                <w:rFonts w:ascii="Times New Roman" w:hAnsi="Times New Roman"/>
                <w:bCs/>
                <w:color w:val="000000"/>
                <w:szCs w:val="21"/>
              </w:rPr>
            </w:pPr>
            <w:r>
              <w:rPr>
                <w:rFonts w:hint="default" w:ascii="Times New Roman" w:hAnsi="Times New Roman" w:cs="Times New Roman" w:eastAsiaTheme="minorEastAsia"/>
                <w:color w:val="auto"/>
                <w:kern w:val="2"/>
                <w:sz w:val="21"/>
                <w:szCs w:val="21"/>
                <w:lang w:val="en-US" w:eastAsia="zh-CN" w:bidi="ar-SA"/>
              </w:rPr>
              <w:t>0</w:t>
            </w:r>
            <w:r>
              <w:rPr>
                <w:rFonts w:hint="eastAsia" w:cs="Times New Roman" w:eastAsiaTheme="minorEastAsia"/>
                <w:color w:val="auto"/>
                <w:kern w:val="2"/>
                <w:sz w:val="21"/>
                <w:szCs w:val="21"/>
                <w:lang w:val="en-US" w:eastAsia="zh-CN" w:bidi="ar-SA"/>
              </w:rPr>
              <w:t>.0432</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04C1A818">
            <w:pPr>
              <w:adjustRightInd w:val="0"/>
              <w:snapToGrid w:val="0"/>
              <w:jc w:val="center"/>
              <w:rPr>
                <w:rFonts w:ascii="Times New Roman" w:hAnsi="Times New Roman"/>
                <w:bCs/>
                <w:color w:val="000000"/>
                <w:szCs w:val="21"/>
              </w:rPr>
            </w:pPr>
            <w:r>
              <w:rPr>
                <w:rFonts w:ascii="Times New Roman" w:hAnsi="Times New Roman"/>
                <w:bCs/>
                <w:color w:val="000000"/>
                <w:szCs w:val="21"/>
              </w:rPr>
              <w:t>/</w:t>
            </w:r>
          </w:p>
        </w:tc>
        <w:tc>
          <w:tcPr>
            <w:tcW w:w="1948" w:type="dxa"/>
            <w:vAlign w:val="center"/>
          </w:tcPr>
          <w:p w14:paraId="570202A7">
            <w:pPr>
              <w:spacing w:before="0" w:beforeLines="0" w:after="0" w:afterLines="0" w:line="280" w:lineRule="exact"/>
              <w:ind w:left="0" w:leftChars="0" w:right="0" w:rightChars="0"/>
              <w:jc w:val="center"/>
              <w:rPr>
                <w:rFonts w:ascii="Times New Roman" w:hAnsi="Times New Roman"/>
                <w:bCs/>
                <w:color w:val="000000"/>
                <w:szCs w:val="21"/>
              </w:rPr>
            </w:pPr>
            <w:r>
              <w:rPr>
                <w:rFonts w:hint="eastAsia" w:cs="Times New Roman" w:eastAsiaTheme="minorEastAsia"/>
                <w:color w:val="auto"/>
                <w:kern w:val="2"/>
                <w:sz w:val="21"/>
                <w:szCs w:val="21"/>
                <w:lang w:val="en-US" w:eastAsia="zh-CN" w:bidi="ar-SA"/>
              </w:rPr>
              <w:t>0.2592</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1D0F635A">
            <w:pPr>
              <w:spacing w:before="0" w:beforeLines="0" w:after="0" w:afterLines="0" w:line="280" w:lineRule="exact"/>
              <w:ind w:left="0" w:leftChars="0" w:right="0" w:rightChars="0"/>
              <w:jc w:val="center"/>
              <w:rPr>
                <w:rFonts w:ascii="Times New Roman" w:hAnsi="Times New Roman"/>
                <w:bCs/>
                <w:color w:val="000000"/>
                <w:szCs w:val="21"/>
              </w:rPr>
            </w:pPr>
            <w:r>
              <w:rPr>
                <w:rFonts w:ascii="Times New Roman" w:hAnsi="Times New Roman"/>
                <w:bCs/>
                <w:color w:val="000000"/>
                <w:szCs w:val="21"/>
              </w:rPr>
              <w:t>+</w:t>
            </w:r>
            <w:r>
              <w:rPr>
                <w:rFonts w:hint="default" w:ascii="Times New Roman" w:hAnsi="Times New Roman" w:cs="Times New Roman" w:eastAsiaTheme="minorEastAsia"/>
                <w:color w:val="auto"/>
                <w:kern w:val="2"/>
                <w:sz w:val="21"/>
                <w:szCs w:val="21"/>
                <w:lang w:val="en-US" w:eastAsia="zh-CN" w:bidi="ar-SA"/>
              </w:rPr>
              <w:t>0</w:t>
            </w:r>
            <w:r>
              <w:rPr>
                <w:rFonts w:hint="eastAsia" w:cs="Times New Roman" w:eastAsiaTheme="minorEastAsia"/>
                <w:color w:val="auto"/>
                <w:kern w:val="2"/>
                <w:sz w:val="21"/>
                <w:szCs w:val="21"/>
                <w:lang w:val="en-US" w:eastAsia="zh-CN" w:bidi="ar-SA"/>
              </w:rPr>
              <w:t>.0432</w:t>
            </w:r>
            <w:r>
              <w:rPr>
                <w:rFonts w:ascii="Times New Roman" w:hAnsi="Times New Roman"/>
                <w:bCs/>
                <w:color w:val="000000" w:themeColor="text1"/>
                <w:szCs w:val="21"/>
                <w14:textFill>
                  <w14:solidFill>
                    <w14:schemeClr w14:val="tx1"/>
                  </w14:solidFill>
                </w14:textFill>
              </w:rPr>
              <w:t>t/a</w:t>
            </w:r>
          </w:p>
        </w:tc>
      </w:tr>
      <w:tr w14:paraId="51D54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99" w:type="dxa"/>
            <w:vMerge w:val="continue"/>
            <w:vAlign w:val="center"/>
          </w:tcPr>
          <w:p w14:paraId="22C219F9">
            <w:pPr>
              <w:adjustRightInd w:val="0"/>
              <w:snapToGrid w:val="0"/>
              <w:jc w:val="center"/>
              <w:rPr>
                <w:rFonts w:ascii="Times New Roman" w:hAnsi="Times New Roman"/>
                <w:bCs/>
                <w:color w:val="000000"/>
                <w:szCs w:val="21"/>
              </w:rPr>
            </w:pPr>
          </w:p>
        </w:tc>
        <w:tc>
          <w:tcPr>
            <w:tcW w:w="1980" w:type="dxa"/>
            <w:vAlign w:val="center"/>
          </w:tcPr>
          <w:p w14:paraId="5B8B6B6F">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氨氮</w:t>
            </w:r>
          </w:p>
        </w:tc>
        <w:tc>
          <w:tcPr>
            <w:tcW w:w="1079" w:type="dxa"/>
            <w:vAlign w:val="center"/>
          </w:tcPr>
          <w:p w14:paraId="40C93314">
            <w:pPr>
              <w:spacing w:before="0" w:beforeLines="0" w:after="0" w:afterLines="0" w:line="280" w:lineRule="exact"/>
              <w:ind w:left="0" w:leftChars="0" w:right="0" w:rightChars="0"/>
              <w:jc w:val="center"/>
              <w:rPr>
                <w:rFonts w:ascii="Times New Roman" w:hAnsi="Times New Roman"/>
                <w:bCs/>
                <w:color w:val="000000"/>
                <w:szCs w:val="21"/>
              </w:rPr>
            </w:pPr>
            <w:r>
              <w:rPr>
                <w:rFonts w:hint="eastAsia" w:cs="Times New Roman" w:eastAsiaTheme="minorEastAsia"/>
                <w:color w:val="auto"/>
                <w:kern w:val="2"/>
                <w:sz w:val="21"/>
                <w:szCs w:val="21"/>
                <w:lang w:val="en-US" w:eastAsia="zh-CN" w:bidi="ar-SA"/>
              </w:rPr>
              <w:t>0.0252</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62B8EDC3">
            <w:pPr>
              <w:adjustRightInd w:val="0"/>
              <w:snapToGrid w:val="0"/>
              <w:jc w:val="center"/>
              <w:rPr>
                <w:rFonts w:ascii="Times New Roman" w:hAnsi="Times New Roman"/>
                <w:bCs/>
                <w:color w:val="000000"/>
                <w:szCs w:val="21"/>
              </w:rPr>
            </w:pPr>
            <w:r>
              <w:rPr>
                <w:rFonts w:ascii="Times New Roman" w:hAnsi="Times New Roman"/>
                <w:bCs/>
                <w:color w:val="000000"/>
                <w:szCs w:val="21"/>
              </w:rPr>
              <w:t>/</w:t>
            </w:r>
          </w:p>
        </w:tc>
        <w:tc>
          <w:tcPr>
            <w:tcW w:w="1529" w:type="dxa"/>
            <w:vAlign w:val="center"/>
          </w:tcPr>
          <w:p w14:paraId="64DC4350">
            <w:pPr>
              <w:adjustRightInd w:val="0"/>
              <w:snapToGrid w:val="0"/>
              <w:jc w:val="center"/>
              <w:rPr>
                <w:rFonts w:ascii="Times New Roman" w:hAnsi="Times New Roman"/>
                <w:bCs/>
                <w:color w:val="000000"/>
                <w:szCs w:val="21"/>
              </w:rPr>
            </w:pPr>
            <w:r>
              <w:rPr>
                <w:rFonts w:ascii="Times New Roman" w:hAnsi="Times New Roman"/>
                <w:bCs/>
                <w:color w:val="000000"/>
                <w:szCs w:val="21"/>
              </w:rPr>
              <w:t>/</w:t>
            </w:r>
          </w:p>
        </w:tc>
        <w:tc>
          <w:tcPr>
            <w:tcW w:w="1669" w:type="dxa"/>
            <w:vAlign w:val="center"/>
          </w:tcPr>
          <w:p w14:paraId="77D114CF">
            <w:pPr>
              <w:spacing w:before="0" w:beforeLines="0" w:after="0" w:afterLines="0" w:line="280" w:lineRule="exact"/>
              <w:ind w:left="0" w:leftChars="0" w:right="0" w:rightChars="0"/>
              <w:jc w:val="center"/>
              <w:rPr>
                <w:rFonts w:ascii="Times New Roman" w:hAnsi="Times New Roman"/>
                <w:bCs/>
                <w:color w:val="000000"/>
                <w:szCs w:val="21"/>
              </w:rPr>
            </w:pPr>
            <w:r>
              <w:rPr>
                <w:rFonts w:hint="default" w:ascii="Times New Roman" w:hAnsi="Times New Roman" w:cs="Times New Roman" w:eastAsiaTheme="minorEastAsia"/>
                <w:color w:val="auto"/>
                <w:kern w:val="2"/>
                <w:sz w:val="21"/>
                <w:szCs w:val="21"/>
                <w:lang w:val="en-US" w:eastAsia="zh-CN" w:bidi="ar-SA"/>
              </w:rPr>
              <w:t>0</w:t>
            </w:r>
            <w:r>
              <w:rPr>
                <w:rFonts w:hint="eastAsia" w:cs="Times New Roman" w:eastAsiaTheme="minorEastAsia"/>
                <w:color w:val="auto"/>
                <w:kern w:val="2"/>
                <w:sz w:val="21"/>
                <w:szCs w:val="21"/>
                <w:lang w:val="en-US" w:eastAsia="zh-CN" w:bidi="ar-SA"/>
              </w:rPr>
              <w:t>.00504</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3C9C24D0">
            <w:pPr>
              <w:adjustRightInd w:val="0"/>
              <w:snapToGrid w:val="0"/>
              <w:jc w:val="center"/>
              <w:rPr>
                <w:rFonts w:ascii="Times New Roman" w:hAnsi="Times New Roman"/>
                <w:bCs/>
                <w:color w:val="000000"/>
                <w:szCs w:val="21"/>
              </w:rPr>
            </w:pPr>
            <w:r>
              <w:rPr>
                <w:rFonts w:ascii="Times New Roman" w:hAnsi="Times New Roman"/>
                <w:bCs/>
                <w:color w:val="000000"/>
                <w:szCs w:val="21"/>
              </w:rPr>
              <w:t>/</w:t>
            </w:r>
          </w:p>
        </w:tc>
        <w:tc>
          <w:tcPr>
            <w:tcW w:w="1948" w:type="dxa"/>
            <w:vAlign w:val="center"/>
          </w:tcPr>
          <w:p w14:paraId="757D362E">
            <w:pPr>
              <w:spacing w:before="0" w:beforeLines="0" w:after="0" w:afterLines="0" w:line="280" w:lineRule="exact"/>
              <w:ind w:left="0" w:leftChars="0" w:right="0" w:rightChars="0"/>
              <w:jc w:val="center"/>
              <w:rPr>
                <w:rFonts w:ascii="Times New Roman" w:hAnsi="Times New Roman"/>
                <w:bCs/>
                <w:color w:val="000000"/>
                <w:szCs w:val="21"/>
              </w:rPr>
            </w:pPr>
            <w:r>
              <w:rPr>
                <w:rFonts w:hint="eastAsia" w:cs="Times New Roman" w:eastAsiaTheme="minorEastAsia"/>
                <w:color w:val="auto"/>
                <w:kern w:val="2"/>
                <w:sz w:val="21"/>
                <w:szCs w:val="21"/>
                <w:lang w:val="en-US" w:eastAsia="zh-CN" w:bidi="ar-SA"/>
              </w:rPr>
              <w:t>0.03024</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4DEAF959">
            <w:pPr>
              <w:spacing w:before="0" w:beforeLines="0" w:after="0" w:afterLines="0" w:line="280" w:lineRule="exact"/>
              <w:ind w:left="0" w:leftChars="0" w:right="0" w:rightChars="0"/>
              <w:jc w:val="center"/>
              <w:rPr>
                <w:rFonts w:ascii="Times New Roman" w:hAnsi="Times New Roman"/>
                <w:bCs/>
                <w:color w:val="000000"/>
                <w:szCs w:val="21"/>
              </w:rPr>
            </w:pPr>
            <w:r>
              <w:rPr>
                <w:rFonts w:ascii="Times New Roman" w:hAnsi="Times New Roman"/>
                <w:bCs/>
                <w:color w:val="000000"/>
                <w:szCs w:val="21"/>
              </w:rPr>
              <w:t>+</w:t>
            </w:r>
            <w:r>
              <w:rPr>
                <w:rFonts w:hint="default" w:ascii="Times New Roman" w:hAnsi="Times New Roman" w:cs="Times New Roman" w:eastAsiaTheme="minorEastAsia"/>
                <w:color w:val="auto"/>
                <w:kern w:val="2"/>
                <w:sz w:val="21"/>
                <w:szCs w:val="21"/>
                <w:lang w:val="en-US" w:eastAsia="zh-CN" w:bidi="ar-SA"/>
              </w:rPr>
              <w:t>0</w:t>
            </w:r>
            <w:r>
              <w:rPr>
                <w:rFonts w:hint="eastAsia" w:cs="Times New Roman" w:eastAsiaTheme="minorEastAsia"/>
                <w:color w:val="auto"/>
                <w:kern w:val="2"/>
                <w:sz w:val="21"/>
                <w:szCs w:val="21"/>
                <w:lang w:val="en-US" w:eastAsia="zh-CN" w:bidi="ar-SA"/>
              </w:rPr>
              <w:t>.00504</w:t>
            </w:r>
            <w:r>
              <w:rPr>
                <w:rFonts w:ascii="Times New Roman" w:hAnsi="Times New Roman"/>
                <w:bCs/>
                <w:color w:val="000000" w:themeColor="text1"/>
                <w:szCs w:val="21"/>
                <w14:textFill>
                  <w14:solidFill>
                    <w14:schemeClr w14:val="tx1"/>
                  </w14:solidFill>
                </w14:textFill>
              </w:rPr>
              <w:t>t/a</w:t>
            </w:r>
          </w:p>
        </w:tc>
      </w:tr>
      <w:tr w14:paraId="11908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9" w:type="dxa"/>
            <w:vMerge w:val="restart"/>
            <w:vAlign w:val="center"/>
          </w:tcPr>
          <w:p w14:paraId="51C8E8DA">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一般工业固废</w:t>
            </w:r>
          </w:p>
        </w:tc>
        <w:tc>
          <w:tcPr>
            <w:tcW w:w="1980" w:type="dxa"/>
            <w:vAlign w:val="center"/>
          </w:tcPr>
          <w:p w14:paraId="50951BBF">
            <w:pPr>
              <w:pStyle w:val="54"/>
              <w:adjustRightInd w:val="0"/>
              <w:snapToGrid w:val="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废边角料</w:t>
            </w:r>
          </w:p>
        </w:tc>
        <w:tc>
          <w:tcPr>
            <w:tcW w:w="1079" w:type="dxa"/>
            <w:vAlign w:val="center"/>
          </w:tcPr>
          <w:p w14:paraId="5E4161F4">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3.38</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6B18232A">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62A20AD9">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5A92F7CF">
            <w:pPr>
              <w:spacing w:line="320" w:lineRule="exact"/>
              <w:jc w:val="center"/>
              <w:rPr>
                <w:rFonts w:ascii="Times New Roman" w:hAnsi="Times New Roman"/>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0.5</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54EAEA08">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0A760BB5">
            <w:pPr>
              <w:spacing w:line="320" w:lineRule="exact"/>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3.88</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5D2B717D">
            <w:pPr>
              <w:spacing w:line="320" w:lineRule="exact"/>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0.5</w:t>
            </w:r>
            <w:r>
              <w:rPr>
                <w:rFonts w:ascii="Times New Roman" w:hAnsi="Times New Roman"/>
                <w:bCs/>
                <w:color w:val="000000" w:themeColor="text1"/>
                <w:szCs w:val="21"/>
                <w14:textFill>
                  <w14:solidFill>
                    <w14:schemeClr w14:val="tx1"/>
                  </w14:solidFill>
                </w14:textFill>
              </w:rPr>
              <w:t>t/a</w:t>
            </w:r>
          </w:p>
        </w:tc>
      </w:tr>
      <w:tr w14:paraId="62E6E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9" w:type="dxa"/>
            <w:vMerge w:val="continue"/>
            <w:vAlign w:val="center"/>
          </w:tcPr>
          <w:p w14:paraId="385BF6D9">
            <w:pPr>
              <w:adjustRightInd w:val="0"/>
              <w:snapToGrid w:val="0"/>
              <w:jc w:val="center"/>
              <w:rPr>
                <w:rFonts w:ascii="Times New Roman" w:hAnsi="Times New Roman"/>
                <w:bCs/>
                <w:color w:val="000000" w:themeColor="text1"/>
                <w:szCs w:val="21"/>
                <w14:textFill>
                  <w14:solidFill>
                    <w14:schemeClr w14:val="tx1"/>
                  </w14:solidFill>
                </w14:textFill>
              </w:rPr>
            </w:pPr>
          </w:p>
        </w:tc>
        <w:tc>
          <w:tcPr>
            <w:tcW w:w="1980" w:type="dxa"/>
            <w:vAlign w:val="center"/>
          </w:tcPr>
          <w:p w14:paraId="712FAEA6">
            <w:pPr>
              <w:pStyle w:val="54"/>
              <w:adjustRightInd w:val="0"/>
              <w:snapToGrid w:val="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废布袋</w:t>
            </w:r>
          </w:p>
        </w:tc>
        <w:tc>
          <w:tcPr>
            <w:tcW w:w="1079" w:type="dxa"/>
            <w:vAlign w:val="center"/>
          </w:tcPr>
          <w:p w14:paraId="1D46C8F9">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0.4</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77235AF8">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76A7F1C5">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4E244296">
            <w:pPr>
              <w:spacing w:line="320" w:lineRule="exact"/>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0.</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1</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7729294F">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0C196F49">
            <w:pPr>
              <w:spacing w:line="320" w:lineRule="exact"/>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0.5</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32383D25">
            <w:pPr>
              <w:spacing w:line="320" w:lineRule="exact"/>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0.</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1</w:t>
            </w:r>
            <w:r>
              <w:rPr>
                <w:rFonts w:ascii="Times New Roman" w:hAnsi="Times New Roman"/>
                <w:bCs/>
                <w:color w:val="000000" w:themeColor="text1"/>
                <w:szCs w:val="21"/>
                <w14:textFill>
                  <w14:solidFill>
                    <w14:schemeClr w14:val="tx1"/>
                  </w14:solidFill>
                </w14:textFill>
              </w:rPr>
              <w:t>t/a</w:t>
            </w:r>
          </w:p>
        </w:tc>
      </w:tr>
      <w:tr w14:paraId="0C7A4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9" w:type="dxa"/>
            <w:vMerge w:val="continue"/>
            <w:vAlign w:val="center"/>
          </w:tcPr>
          <w:p w14:paraId="50E3836C">
            <w:pPr>
              <w:adjustRightInd w:val="0"/>
              <w:snapToGrid w:val="0"/>
              <w:jc w:val="center"/>
              <w:rPr>
                <w:rFonts w:ascii="Times New Roman" w:hAnsi="Times New Roman"/>
                <w:bCs/>
                <w:color w:val="000000" w:themeColor="text1"/>
                <w:szCs w:val="21"/>
                <w14:textFill>
                  <w14:solidFill>
                    <w14:schemeClr w14:val="tx1"/>
                  </w14:solidFill>
                </w14:textFill>
              </w:rPr>
            </w:pPr>
          </w:p>
        </w:tc>
        <w:tc>
          <w:tcPr>
            <w:tcW w:w="1980" w:type="dxa"/>
            <w:vAlign w:val="center"/>
          </w:tcPr>
          <w:p w14:paraId="433597E8">
            <w:pPr>
              <w:spacing w:before="24" w:after="24" w:line="280" w:lineRule="exact"/>
              <w:ind w:left="-105" w:leftChars="0" w:right="-105"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废</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钢丸</w:t>
            </w:r>
          </w:p>
        </w:tc>
        <w:tc>
          <w:tcPr>
            <w:tcW w:w="1079" w:type="dxa"/>
            <w:vAlign w:val="center"/>
          </w:tcPr>
          <w:p w14:paraId="7A1178AB">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251" w:type="dxa"/>
            <w:vAlign w:val="center"/>
          </w:tcPr>
          <w:p w14:paraId="0B4F2CB7">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77730DDE">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13E7EFFE">
            <w:pPr>
              <w:spacing w:line="320" w:lineRule="exact"/>
              <w:jc w:val="center"/>
              <w:rPr>
                <w:rFonts w:ascii="Times New Roman" w:hAnsi="Times New Roman"/>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0.1</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43EE9DF1">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342E0902">
            <w:pPr>
              <w:spacing w:line="320" w:lineRule="exact"/>
              <w:jc w:val="center"/>
              <w:rPr>
                <w:rFonts w:ascii="Times New Roman" w:hAnsi="Times New Roman"/>
                <w:bCs/>
                <w:color w:val="000000" w:themeColor="text1"/>
                <w:szCs w:val="21"/>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0.</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651C5F20">
            <w:pPr>
              <w:spacing w:line="320" w:lineRule="exact"/>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0.1</w:t>
            </w:r>
            <w:r>
              <w:rPr>
                <w:rFonts w:ascii="Times New Roman" w:hAnsi="Times New Roman"/>
                <w:bCs/>
                <w:color w:val="000000" w:themeColor="text1"/>
                <w:szCs w:val="21"/>
                <w14:textFill>
                  <w14:solidFill>
                    <w14:schemeClr w14:val="tx1"/>
                  </w14:solidFill>
                </w14:textFill>
              </w:rPr>
              <w:t>t/a</w:t>
            </w:r>
          </w:p>
        </w:tc>
      </w:tr>
      <w:tr w14:paraId="026F7B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999" w:type="dxa"/>
            <w:vMerge w:val="restart"/>
            <w:vAlign w:val="center"/>
          </w:tcPr>
          <w:p w14:paraId="6EB7ABC7">
            <w:pPr>
              <w:adjustRightInd w:val="0"/>
              <w:snapToGrid w:val="0"/>
              <w:jc w:val="center"/>
              <w:rPr>
                <w:rFonts w:ascii="Times New Roman" w:hAnsi="Times New Roman"/>
                <w:bCs/>
                <w:color w:val="000000" w:themeColor="text1"/>
                <w:szCs w:val="21"/>
                <w14:textFill>
                  <w14:solidFill>
                    <w14:schemeClr w14:val="tx1"/>
                  </w14:solidFill>
                </w14:textFill>
              </w:rPr>
            </w:pPr>
            <w:bookmarkStart w:id="37" w:name="OLE_LINK44" w:colFirst="1" w:colLast="1"/>
            <w:r>
              <w:rPr>
                <w:rFonts w:ascii="Times New Roman" w:hAnsi="Times New Roman"/>
                <w:bCs/>
                <w:color w:val="000000" w:themeColor="text1"/>
                <w:szCs w:val="21"/>
                <w14:textFill>
                  <w14:solidFill>
                    <w14:schemeClr w14:val="tx1"/>
                  </w14:solidFill>
                </w14:textFill>
              </w:rPr>
              <w:t>危险废物</w:t>
            </w:r>
          </w:p>
        </w:tc>
        <w:tc>
          <w:tcPr>
            <w:tcW w:w="1980" w:type="dxa"/>
            <w:vAlign w:val="center"/>
          </w:tcPr>
          <w:p w14:paraId="5BF626A7">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废活性炭</w:t>
            </w:r>
          </w:p>
        </w:tc>
        <w:tc>
          <w:tcPr>
            <w:tcW w:w="1079" w:type="dxa"/>
            <w:vAlign w:val="center"/>
          </w:tcPr>
          <w:p w14:paraId="68CCFA79">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251" w:type="dxa"/>
            <w:vAlign w:val="center"/>
          </w:tcPr>
          <w:p w14:paraId="17741398">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70ED0C9B">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743AF698">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3.27</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35BD74D1">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3E7F0C7A">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3.27</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2D2FC8A7">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3.27</w:t>
            </w:r>
            <w:r>
              <w:rPr>
                <w:rFonts w:ascii="Times New Roman" w:hAnsi="Times New Roman"/>
                <w:bCs/>
                <w:color w:val="000000" w:themeColor="text1"/>
                <w:szCs w:val="21"/>
                <w14:textFill>
                  <w14:solidFill>
                    <w14:schemeClr w14:val="tx1"/>
                  </w14:solidFill>
                </w14:textFill>
              </w:rPr>
              <w:t>t/a</w:t>
            </w:r>
          </w:p>
        </w:tc>
      </w:tr>
      <w:tr w14:paraId="00CD85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99" w:type="dxa"/>
            <w:vMerge w:val="continue"/>
            <w:vAlign w:val="center"/>
          </w:tcPr>
          <w:p w14:paraId="5C955883">
            <w:pPr>
              <w:adjustRightInd w:val="0"/>
              <w:snapToGrid w:val="0"/>
              <w:jc w:val="center"/>
              <w:rPr>
                <w:rFonts w:ascii="Times New Roman" w:hAnsi="Times New Roman"/>
                <w:bCs/>
                <w:color w:val="000000" w:themeColor="text1"/>
                <w:szCs w:val="21"/>
                <w14:textFill>
                  <w14:solidFill>
                    <w14:schemeClr w14:val="tx1"/>
                  </w14:solidFill>
                </w14:textFill>
              </w:rPr>
            </w:pPr>
          </w:p>
        </w:tc>
        <w:tc>
          <w:tcPr>
            <w:tcW w:w="1980" w:type="dxa"/>
            <w:vAlign w:val="center"/>
          </w:tcPr>
          <w:p w14:paraId="4739FFC1">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废过滤棉</w:t>
            </w:r>
          </w:p>
        </w:tc>
        <w:tc>
          <w:tcPr>
            <w:tcW w:w="1079" w:type="dxa"/>
            <w:vAlign w:val="center"/>
          </w:tcPr>
          <w:p w14:paraId="7EA4656A">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251" w:type="dxa"/>
            <w:vAlign w:val="center"/>
          </w:tcPr>
          <w:p w14:paraId="5D36B838">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72ED7634">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7CDB6E66">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1E371212">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3CCCAEA7">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284F27D4">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0.1</w:t>
            </w:r>
            <w:r>
              <w:rPr>
                <w:rFonts w:ascii="Times New Roman" w:hAnsi="Times New Roman"/>
                <w:bCs/>
                <w:color w:val="000000" w:themeColor="text1"/>
                <w:szCs w:val="21"/>
                <w14:textFill>
                  <w14:solidFill>
                    <w14:schemeClr w14:val="tx1"/>
                  </w14:solidFill>
                </w14:textFill>
              </w:rPr>
              <w:t>t/a</w:t>
            </w:r>
          </w:p>
        </w:tc>
      </w:tr>
      <w:tr w14:paraId="36DE8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999" w:type="dxa"/>
            <w:vMerge w:val="continue"/>
            <w:vAlign w:val="center"/>
          </w:tcPr>
          <w:p w14:paraId="332AAE09">
            <w:pPr>
              <w:adjustRightInd w:val="0"/>
              <w:snapToGrid w:val="0"/>
              <w:jc w:val="center"/>
              <w:rPr>
                <w:rFonts w:ascii="Times New Roman" w:hAnsi="Times New Roman"/>
                <w:bCs/>
                <w:color w:val="000000" w:themeColor="text1"/>
                <w:szCs w:val="21"/>
                <w14:textFill>
                  <w14:solidFill>
                    <w14:schemeClr w14:val="tx1"/>
                  </w14:solidFill>
                </w14:textFill>
              </w:rPr>
            </w:pPr>
          </w:p>
        </w:tc>
        <w:tc>
          <w:tcPr>
            <w:tcW w:w="1980" w:type="dxa"/>
            <w:vAlign w:val="center"/>
          </w:tcPr>
          <w:p w14:paraId="6A871BBB">
            <w:pPr>
              <w:keepNext w:val="0"/>
              <w:keepLines w:val="0"/>
              <w:pageBreakBefore w:val="0"/>
              <w:kinsoku/>
              <w:wordWrap/>
              <w:overflowPunct/>
              <w:topLinePunct w:val="0"/>
              <w:bidi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废机油</w:t>
            </w:r>
          </w:p>
        </w:tc>
        <w:tc>
          <w:tcPr>
            <w:tcW w:w="1079" w:type="dxa"/>
            <w:vAlign w:val="center"/>
          </w:tcPr>
          <w:p w14:paraId="3AB69D18">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0.4</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10178BAD">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126FA0D2">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359E7B6A">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1</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2F6624AA">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60BEE64B">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0.5</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739FB4CD">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1</w:t>
            </w:r>
            <w:r>
              <w:rPr>
                <w:rFonts w:ascii="Times New Roman" w:hAnsi="Times New Roman"/>
                <w:bCs/>
                <w:color w:val="000000" w:themeColor="text1"/>
                <w:szCs w:val="21"/>
                <w14:textFill>
                  <w14:solidFill>
                    <w14:schemeClr w14:val="tx1"/>
                  </w14:solidFill>
                </w14:textFill>
              </w:rPr>
              <w:t>t/a</w:t>
            </w:r>
          </w:p>
        </w:tc>
      </w:tr>
      <w:tr w14:paraId="310C0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999" w:type="dxa"/>
            <w:vMerge w:val="continue"/>
            <w:vAlign w:val="center"/>
          </w:tcPr>
          <w:p w14:paraId="47F23178">
            <w:pPr>
              <w:adjustRightInd w:val="0"/>
              <w:snapToGrid w:val="0"/>
              <w:jc w:val="center"/>
              <w:rPr>
                <w:rFonts w:ascii="Times New Roman" w:hAnsi="Times New Roman"/>
                <w:bCs/>
                <w:color w:val="000000" w:themeColor="text1"/>
                <w:szCs w:val="21"/>
                <w14:textFill>
                  <w14:solidFill>
                    <w14:schemeClr w14:val="tx1"/>
                  </w14:solidFill>
                </w14:textFill>
              </w:rPr>
            </w:pPr>
          </w:p>
        </w:tc>
        <w:tc>
          <w:tcPr>
            <w:tcW w:w="1980" w:type="dxa"/>
            <w:vAlign w:val="center"/>
          </w:tcPr>
          <w:p w14:paraId="5924813B">
            <w:pPr>
              <w:keepNext w:val="0"/>
              <w:keepLines w:val="0"/>
              <w:pageBreakBefore w:val="0"/>
              <w:kinsoku/>
              <w:wordWrap/>
              <w:overflowPunct/>
              <w:topLinePunct w:val="0"/>
              <w:bidi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废液压油</w:t>
            </w:r>
          </w:p>
        </w:tc>
        <w:tc>
          <w:tcPr>
            <w:tcW w:w="1079" w:type="dxa"/>
            <w:vAlign w:val="center"/>
          </w:tcPr>
          <w:p w14:paraId="54BF6A32">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4FE29FED">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27356609">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514CE127">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0.2</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342E381D">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39521565">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0079BC23">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0.2</w:t>
            </w:r>
            <w:r>
              <w:rPr>
                <w:rFonts w:ascii="Times New Roman" w:hAnsi="Times New Roman"/>
                <w:bCs/>
                <w:color w:val="000000" w:themeColor="text1"/>
                <w:szCs w:val="21"/>
                <w14:textFill>
                  <w14:solidFill>
                    <w14:schemeClr w14:val="tx1"/>
                  </w14:solidFill>
                </w14:textFill>
              </w:rPr>
              <w:t>t/a</w:t>
            </w:r>
          </w:p>
        </w:tc>
      </w:tr>
      <w:tr w14:paraId="72FC4B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999" w:type="dxa"/>
            <w:vMerge w:val="continue"/>
            <w:vAlign w:val="center"/>
          </w:tcPr>
          <w:p w14:paraId="28F8FBBE">
            <w:pPr>
              <w:adjustRightInd w:val="0"/>
              <w:snapToGrid w:val="0"/>
              <w:jc w:val="center"/>
              <w:rPr>
                <w:rFonts w:ascii="Times New Roman" w:hAnsi="Times New Roman"/>
                <w:bCs/>
                <w:color w:val="000000" w:themeColor="text1"/>
                <w:szCs w:val="21"/>
                <w14:textFill>
                  <w14:solidFill>
                    <w14:schemeClr w14:val="tx1"/>
                  </w14:solidFill>
                </w14:textFill>
              </w:rPr>
            </w:pPr>
          </w:p>
        </w:tc>
        <w:tc>
          <w:tcPr>
            <w:tcW w:w="1980" w:type="dxa"/>
            <w:vAlign w:val="center"/>
          </w:tcPr>
          <w:p w14:paraId="5FC5900A">
            <w:pPr>
              <w:keepNext w:val="0"/>
              <w:keepLines w:val="0"/>
              <w:pageBreakBefore w:val="0"/>
              <w:kinsoku/>
              <w:wordWrap/>
              <w:overflowPunct/>
              <w:topLinePunct w:val="0"/>
              <w:bidi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废油桶</w:t>
            </w:r>
          </w:p>
        </w:tc>
        <w:tc>
          <w:tcPr>
            <w:tcW w:w="1079" w:type="dxa"/>
            <w:vAlign w:val="center"/>
          </w:tcPr>
          <w:p w14:paraId="5A1F54C4">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0.13</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0E53BDE3">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542EB8C3">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42BE25FF">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05</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0144E296">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0315B11F">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0.18</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3666A0FF">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05</w:t>
            </w:r>
            <w:r>
              <w:rPr>
                <w:rFonts w:ascii="Times New Roman" w:hAnsi="Times New Roman"/>
                <w:bCs/>
                <w:color w:val="000000" w:themeColor="text1"/>
                <w:szCs w:val="21"/>
                <w14:textFill>
                  <w14:solidFill>
                    <w14:schemeClr w14:val="tx1"/>
                  </w14:solidFill>
                </w14:textFill>
              </w:rPr>
              <w:t>t/a</w:t>
            </w:r>
          </w:p>
        </w:tc>
      </w:tr>
      <w:tr w14:paraId="75BDA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999" w:type="dxa"/>
            <w:vMerge w:val="continue"/>
            <w:vAlign w:val="center"/>
          </w:tcPr>
          <w:p w14:paraId="14E934A3">
            <w:pPr>
              <w:adjustRightInd w:val="0"/>
              <w:snapToGrid w:val="0"/>
              <w:jc w:val="center"/>
              <w:rPr>
                <w:rFonts w:ascii="Times New Roman" w:hAnsi="Times New Roman"/>
                <w:bCs/>
                <w:color w:val="000000" w:themeColor="text1"/>
                <w:szCs w:val="21"/>
                <w14:textFill>
                  <w14:solidFill>
                    <w14:schemeClr w14:val="tx1"/>
                  </w14:solidFill>
                </w14:textFill>
              </w:rPr>
            </w:pPr>
          </w:p>
        </w:tc>
        <w:tc>
          <w:tcPr>
            <w:tcW w:w="1980" w:type="dxa"/>
            <w:vAlign w:val="center"/>
          </w:tcPr>
          <w:p w14:paraId="42FED7F1">
            <w:pPr>
              <w:keepNext w:val="0"/>
              <w:keepLines w:val="0"/>
              <w:pageBreakBefore w:val="0"/>
              <w:kinsoku/>
              <w:wordWrap/>
              <w:overflowPunct/>
              <w:topLinePunct w:val="0"/>
              <w:bidi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废乳化液</w:t>
            </w:r>
          </w:p>
        </w:tc>
        <w:tc>
          <w:tcPr>
            <w:tcW w:w="1079" w:type="dxa"/>
            <w:vAlign w:val="center"/>
          </w:tcPr>
          <w:p w14:paraId="1892DEE0">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0.15</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4056199A">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1B14CA6B">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4D5D82E0">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05</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2D9939F1">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309E1F8A">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59D360FF">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05</w:t>
            </w:r>
            <w:r>
              <w:rPr>
                <w:rFonts w:ascii="Times New Roman" w:hAnsi="Times New Roman"/>
                <w:bCs/>
                <w:color w:val="000000" w:themeColor="text1"/>
                <w:szCs w:val="21"/>
                <w14:textFill>
                  <w14:solidFill>
                    <w14:schemeClr w14:val="tx1"/>
                  </w14:solidFill>
                </w14:textFill>
              </w:rPr>
              <w:t>t/a</w:t>
            </w:r>
          </w:p>
        </w:tc>
      </w:tr>
      <w:tr w14:paraId="0CBF1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999" w:type="dxa"/>
            <w:vMerge w:val="continue"/>
            <w:vAlign w:val="center"/>
          </w:tcPr>
          <w:p w14:paraId="46508375">
            <w:pPr>
              <w:adjustRightInd w:val="0"/>
              <w:snapToGrid w:val="0"/>
              <w:jc w:val="center"/>
              <w:rPr>
                <w:rFonts w:ascii="Times New Roman" w:hAnsi="Times New Roman"/>
                <w:bCs/>
                <w:color w:val="000000" w:themeColor="text1"/>
                <w:szCs w:val="21"/>
                <w14:textFill>
                  <w14:solidFill>
                    <w14:schemeClr w14:val="tx1"/>
                  </w14:solidFill>
                </w14:textFill>
              </w:rPr>
            </w:pPr>
          </w:p>
        </w:tc>
        <w:tc>
          <w:tcPr>
            <w:tcW w:w="1980" w:type="dxa"/>
            <w:vAlign w:val="center"/>
          </w:tcPr>
          <w:p w14:paraId="1E4456D6">
            <w:pPr>
              <w:keepNext w:val="0"/>
              <w:keepLines w:val="0"/>
              <w:pageBreakBefore w:val="0"/>
              <w:kinsoku/>
              <w:wordWrap/>
              <w:overflowPunct/>
              <w:topLinePunct w:val="0"/>
              <w:bidi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含油抹布及废手套</w:t>
            </w:r>
          </w:p>
        </w:tc>
        <w:tc>
          <w:tcPr>
            <w:tcW w:w="1079" w:type="dxa"/>
            <w:vAlign w:val="center"/>
          </w:tcPr>
          <w:p w14:paraId="2EACB7D3">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0.04</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19E146DD">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0C2F1F1A">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16EBAF70">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1</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0E6B1B04">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58DADFC8">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5</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50B67103">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1</w:t>
            </w:r>
            <w:r>
              <w:rPr>
                <w:rFonts w:ascii="Times New Roman" w:hAnsi="Times New Roman"/>
                <w:bCs/>
                <w:color w:val="000000" w:themeColor="text1"/>
                <w:szCs w:val="21"/>
                <w14:textFill>
                  <w14:solidFill>
                    <w14:schemeClr w14:val="tx1"/>
                  </w14:solidFill>
                </w14:textFill>
              </w:rPr>
              <w:t>t/a</w:t>
            </w:r>
          </w:p>
        </w:tc>
      </w:tr>
      <w:tr w14:paraId="198B1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999" w:type="dxa"/>
            <w:vMerge w:val="continue"/>
            <w:vAlign w:val="center"/>
          </w:tcPr>
          <w:p w14:paraId="038A1DEA">
            <w:pPr>
              <w:adjustRightInd w:val="0"/>
              <w:snapToGrid w:val="0"/>
              <w:jc w:val="center"/>
              <w:rPr>
                <w:rFonts w:ascii="Times New Roman" w:hAnsi="Times New Roman"/>
                <w:bCs/>
                <w:color w:val="000000" w:themeColor="text1"/>
                <w:szCs w:val="21"/>
                <w14:textFill>
                  <w14:solidFill>
                    <w14:schemeClr w14:val="tx1"/>
                  </w14:solidFill>
                </w14:textFill>
              </w:rPr>
            </w:pPr>
          </w:p>
        </w:tc>
        <w:tc>
          <w:tcPr>
            <w:tcW w:w="1980" w:type="dxa"/>
            <w:vAlign w:val="center"/>
          </w:tcPr>
          <w:p w14:paraId="5F651534">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漆渣</w:t>
            </w:r>
          </w:p>
        </w:tc>
        <w:tc>
          <w:tcPr>
            <w:tcW w:w="1079" w:type="dxa"/>
            <w:vAlign w:val="center"/>
          </w:tcPr>
          <w:p w14:paraId="43EB5251">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251" w:type="dxa"/>
            <w:vAlign w:val="center"/>
          </w:tcPr>
          <w:p w14:paraId="35C1D2E1">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67C3D954">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5F755251">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0.29</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32E3CF5C">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6896BF68">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0.29</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7A39E174">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0.29</w:t>
            </w:r>
            <w:r>
              <w:rPr>
                <w:rFonts w:ascii="Times New Roman" w:hAnsi="Times New Roman"/>
                <w:bCs/>
                <w:color w:val="000000" w:themeColor="text1"/>
                <w:szCs w:val="21"/>
                <w14:textFill>
                  <w14:solidFill>
                    <w14:schemeClr w14:val="tx1"/>
                  </w14:solidFill>
                </w14:textFill>
              </w:rPr>
              <w:t>t/a</w:t>
            </w:r>
          </w:p>
        </w:tc>
      </w:tr>
      <w:tr w14:paraId="03CE7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999" w:type="dxa"/>
            <w:vMerge w:val="continue"/>
            <w:vAlign w:val="center"/>
          </w:tcPr>
          <w:p w14:paraId="0A79BDA9">
            <w:pPr>
              <w:adjustRightInd w:val="0"/>
              <w:snapToGrid w:val="0"/>
              <w:jc w:val="center"/>
              <w:rPr>
                <w:rFonts w:ascii="Times New Roman" w:hAnsi="Times New Roman"/>
                <w:bCs/>
                <w:color w:val="000000" w:themeColor="text1"/>
                <w:szCs w:val="21"/>
                <w14:textFill>
                  <w14:solidFill>
                    <w14:schemeClr w14:val="tx1"/>
                  </w14:solidFill>
                </w14:textFill>
              </w:rPr>
            </w:pPr>
          </w:p>
        </w:tc>
        <w:tc>
          <w:tcPr>
            <w:tcW w:w="1980" w:type="dxa"/>
            <w:vAlign w:val="center"/>
          </w:tcPr>
          <w:p w14:paraId="6A7D0A00">
            <w:pPr>
              <w:keepNext w:val="0"/>
              <w:keepLines w:val="0"/>
              <w:pageBreakBefore w:val="0"/>
              <w:kinsoku/>
              <w:wordWrap/>
              <w:overflowPunct/>
              <w:topLinePunct w:val="0"/>
              <w:bidi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废油漆桶</w:t>
            </w:r>
          </w:p>
        </w:tc>
        <w:tc>
          <w:tcPr>
            <w:tcW w:w="1079" w:type="dxa"/>
            <w:vAlign w:val="center"/>
          </w:tcPr>
          <w:p w14:paraId="3C86E7F3">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251" w:type="dxa"/>
            <w:vAlign w:val="center"/>
          </w:tcPr>
          <w:p w14:paraId="0AE861BD">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6F2D08DD">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00D91753">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115</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53E4268F">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4968D598">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115</w:t>
            </w:r>
            <w:r>
              <w:rPr>
                <w:rFonts w:ascii="Times New Roman" w:hAnsi="Times New Roman"/>
                <w:bCs/>
                <w:color w:val="000000" w:themeColor="text1"/>
                <w:szCs w:val="21"/>
                <w14:textFill>
                  <w14:solidFill>
                    <w14:schemeClr w14:val="tx1"/>
                  </w14:solidFill>
                </w14:textFill>
              </w:rPr>
              <w:t>t/a</w:t>
            </w:r>
          </w:p>
        </w:tc>
        <w:tc>
          <w:tcPr>
            <w:tcW w:w="1679" w:type="dxa"/>
            <w:vAlign w:val="center"/>
          </w:tcPr>
          <w:p w14:paraId="3905F90A">
            <w:pPr>
              <w:pStyle w:val="54"/>
              <w:keepNext w:val="0"/>
              <w:keepLines w:val="0"/>
              <w:pageBreakBefore w:val="0"/>
              <w:kinsoku/>
              <w:wordWrap/>
              <w:overflowPunct/>
              <w:topLinePunct w:val="0"/>
              <w:bidi w:val="0"/>
              <w:adjustRightInd w:val="0"/>
              <w:snapToGrid w:val="0"/>
              <w:spacing w:line="240" w:lineRule="auto"/>
              <w:ind w:right="0" w:rightChars="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115</w:t>
            </w:r>
            <w:r>
              <w:rPr>
                <w:rFonts w:ascii="Times New Roman" w:hAnsi="Times New Roman"/>
                <w:bCs/>
                <w:color w:val="000000" w:themeColor="text1"/>
                <w:szCs w:val="21"/>
                <w14:textFill>
                  <w14:solidFill>
                    <w14:schemeClr w14:val="tx1"/>
                  </w14:solidFill>
                </w14:textFill>
              </w:rPr>
              <w:t>t/a</w:t>
            </w:r>
          </w:p>
        </w:tc>
      </w:tr>
      <w:bookmarkEnd w:id="37"/>
      <w:tr w14:paraId="0D3C4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99" w:type="dxa"/>
            <w:vAlign w:val="center"/>
          </w:tcPr>
          <w:p w14:paraId="2233257C">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其他废物</w:t>
            </w:r>
          </w:p>
        </w:tc>
        <w:tc>
          <w:tcPr>
            <w:tcW w:w="1980" w:type="dxa"/>
            <w:vAlign w:val="center"/>
          </w:tcPr>
          <w:p w14:paraId="0E267FFA">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生活垃圾</w:t>
            </w:r>
          </w:p>
        </w:tc>
        <w:tc>
          <w:tcPr>
            <w:tcW w:w="1079" w:type="dxa"/>
            <w:vAlign w:val="center"/>
          </w:tcPr>
          <w:p w14:paraId="6466B69E">
            <w:pPr>
              <w:adjustRightInd w:val="0"/>
              <w:snapToGrid w:val="0"/>
              <w:jc w:val="center"/>
              <w:rPr>
                <w:rFonts w:hint="eastAsia" w:ascii="Times New Roman" w:hAnsi="Times New Roman" w:eastAsia="宋体"/>
                <w:bCs/>
                <w:color w:val="000000" w:themeColor="text1"/>
                <w:szCs w:val="2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6</w:t>
            </w:r>
            <w:r>
              <w:rPr>
                <w:rFonts w:ascii="Times New Roman" w:hAnsi="Times New Roman"/>
                <w:bCs/>
                <w:color w:val="000000" w:themeColor="text1"/>
                <w:szCs w:val="21"/>
                <w14:textFill>
                  <w14:solidFill>
                    <w14:schemeClr w14:val="tx1"/>
                  </w14:solidFill>
                </w14:textFill>
              </w:rPr>
              <w:t>t/a</w:t>
            </w:r>
          </w:p>
        </w:tc>
        <w:tc>
          <w:tcPr>
            <w:tcW w:w="1251" w:type="dxa"/>
            <w:vAlign w:val="center"/>
          </w:tcPr>
          <w:p w14:paraId="406EC32B">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529" w:type="dxa"/>
            <w:vAlign w:val="center"/>
          </w:tcPr>
          <w:p w14:paraId="794A1C90">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669" w:type="dxa"/>
            <w:vAlign w:val="center"/>
          </w:tcPr>
          <w:p w14:paraId="42603B34">
            <w:pPr>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1.5</w:t>
            </w:r>
            <w:r>
              <w:rPr>
                <w:rFonts w:ascii="Times New Roman" w:hAnsi="Times New Roman"/>
                <w:bCs/>
                <w:color w:val="000000" w:themeColor="text1"/>
                <w:szCs w:val="21"/>
                <w14:textFill>
                  <w14:solidFill>
                    <w14:schemeClr w14:val="tx1"/>
                  </w14:solidFill>
                </w14:textFill>
              </w:rPr>
              <w:t>t/a</w:t>
            </w:r>
          </w:p>
        </w:tc>
        <w:tc>
          <w:tcPr>
            <w:tcW w:w="1390" w:type="dxa"/>
            <w:vAlign w:val="center"/>
          </w:tcPr>
          <w:p w14:paraId="5361EB09">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p>
        </w:tc>
        <w:tc>
          <w:tcPr>
            <w:tcW w:w="1948" w:type="dxa"/>
            <w:vAlign w:val="center"/>
          </w:tcPr>
          <w:p w14:paraId="43C124DD">
            <w:pPr>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7</w:t>
            </w:r>
            <w:r>
              <w:rPr>
                <w:rFonts w:ascii="Times New Roman" w:hAnsi="Times New Roman"/>
                <w:bCs/>
                <w:color w:val="000000" w:themeColor="text1"/>
                <w:szCs w:val="21"/>
                <w14:textFill>
                  <w14:solidFill>
                    <w14:schemeClr w14:val="tx1"/>
                  </w14:solidFill>
                </w14:textFill>
              </w:rPr>
              <w:t>.5t/a</w:t>
            </w:r>
          </w:p>
        </w:tc>
        <w:tc>
          <w:tcPr>
            <w:tcW w:w="1679" w:type="dxa"/>
            <w:vAlign w:val="center"/>
          </w:tcPr>
          <w:p w14:paraId="13EB78E2">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1.5</w:t>
            </w:r>
            <w:r>
              <w:rPr>
                <w:rFonts w:ascii="Times New Roman" w:hAnsi="Times New Roman"/>
                <w:bCs/>
                <w:color w:val="000000" w:themeColor="text1"/>
                <w:szCs w:val="21"/>
                <w14:textFill>
                  <w14:solidFill>
                    <w14:schemeClr w14:val="tx1"/>
                  </w14:solidFill>
                </w14:textFill>
              </w:rPr>
              <w:t>t/a</w:t>
            </w:r>
          </w:p>
        </w:tc>
      </w:tr>
    </w:tbl>
    <w:p w14:paraId="4AE72332">
      <w:pPr>
        <w:adjustRightInd w:val="0"/>
        <w:snapToGrid w:val="0"/>
        <w:spacing w:before="192" w:beforeLines="80"/>
        <w:rPr>
          <w:rFonts w:hint="eastAsia"/>
          <w:b/>
          <w:bCs/>
          <w:color w:val="auto"/>
          <w:lang w:val="en-US" w:eastAsia="zh-CN"/>
        </w:rPr>
      </w:pPr>
      <w:r>
        <w:rPr>
          <w:rFonts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ascii="Times New Roman" w:hAnsi="Times New Roman"/>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ascii="Times New Roman" w:hAnsi="Times New Roman"/>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ascii="Times New Roman" w:hAnsi="Times New Roman"/>
          <w:szCs w:val="21"/>
        </w:rPr>
        <w:t>⑤</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ascii="Times New Roman" w:hAnsi="Times New Roman"/>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p>
    <w:p w14:paraId="4D6A70A7"/>
    <w:p w14:paraId="53F1E3FD"/>
    <w:sectPr>
      <w:footerReference r:id="rId10" w:type="default"/>
      <w:pgSz w:w="16840" w:h="11907" w:orient="landscape"/>
      <w:pgMar w:top="1418" w:right="2138" w:bottom="1418" w:left="2132" w:header="567"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1C314F7-8F02-4C4C-A0E8-CE823C79FA8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8CF6C95-FABC-4528-89B7-37929FA12D3D}"/>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60101010101"/>
    <w:charset w:val="86"/>
    <w:family w:val="modern"/>
    <w:pitch w:val="default"/>
    <w:sig w:usb0="00000000" w:usb1="00000000" w:usb2="00000016" w:usb3="00000000" w:csb0="00040001" w:csb1="00000000"/>
    <w:embedRegular r:id="rId3" w:fontKey="{2DE4709C-B444-4E0D-80C4-85A0A34D5767}"/>
  </w:font>
  <w:font w:name="Arial Unicode MS">
    <w:panose1 w:val="020B0604020202020204"/>
    <w:charset w:val="86"/>
    <w:family w:val="swiss"/>
    <w:pitch w:val="default"/>
    <w:sig w:usb0="FFFFFFFF" w:usb1="E9FFFFFF" w:usb2="0000003F" w:usb3="00000000" w:csb0="603F01FF" w:csb1="FFFF0000"/>
  </w:font>
  <w:font w:name="Brush Script MT">
    <w:panose1 w:val="03060802040406070304"/>
    <w:charset w:val="00"/>
    <w:family w:val="script"/>
    <w:pitch w:val="default"/>
    <w:sig w:usb0="00000003" w:usb1="00000000" w:usb2="00000000" w:usb3="00000000" w:csb0="20000001" w:csb1="00000000"/>
  </w:font>
  <w:font w:name="Microsoft JhengHei">
    <w:panose1 w:val="020B0604030504040204"/>
    <w:charset w:val="88"/>
    <w:family w:val="swiss"/>
    <w:pitch w:val="default"/>
    <w:sig w:usb0="00000087" w:usb1="28AF4000" w:usb2="00000016" w:usb3="00000000" w:csb0="00100009" w:csb1="00000000"/>
  </w:font>
  <w:font w:name="方正小标宋_GBK">
    <w:panose1 w:val="02000000000000000000"/>
    <w:charset w:val="86"/>
    <w:family w:val="script"/>
    <w:pitch w:val="default"/>
    <w:sig w:usb0="A00002BF" w:usb1="38CF7CFA" w:usb2="00082016" w:usb3="00000000" w:csb0="00040001" w:csb1="00000000"/>
    <w:embedRegular r:id="rId4" w:fontKey="{CA8CE8B0-912B-4777-9A2B-6DF296B68805}"/>
  </w:font>
  <w:font w:name="楷体_GB2312">
    <w:panose1 w:val="02010609030101010101"/>
    <w:charset w:val="86"/>
    <w:family w:val="modern"/>
    <w:pitch w:val="default"/>
    <w:sig w:usb0="00000001" w:usb1="080E0000" w:usb2="00000000" w:usb3="00000000" w:csb0="00040000" w:csb1="00000000"/>
    <w:embedRegular r:id="rId5" w:fontKey="{B0ECA230-727C-483C-9655-7AFEA9CFE804}"/>
  </w:font>
  <w:font w:name="华文仿宋">
    <w:panose1 w:val="02010600040101010101"/>
    <w:charset w:val="86"/>
    <w:family w:val="auto"/>
    <w:pitch w:val="default"/>
    <w:sig w:usb0="00000287" w:usb1="080F0000" w:usb2="00000000" w:usb3="00000000" w:csb0="0004009F" w:csb1="DFD70000"/>
    <w:embedRegular r:id="rId6" w:fontKey="{07EE3835-AE4F-4DE2-8541-1A6FEEAB780B}"/>
  </w:font>
  <w:font w:name="仿宋">
    <w:panose1 w:val="02010609060101010101"/>
    <w:charset w:val="86"/>
    <w:family w:val="auto"/>
    <w:pitch w:val="default"/>
    <w:sig w:usb0="800002BF" w:usb1="38CF7CFA" w:usb2="00000016" w:usb3="00000000" w:csb0="00040001" w:csb1="00000000"/>
    <w:embedRegular r:id="rId7" w:fontKey="{6F1477D1-C617-4FE5-A147-B2C0A6D19C1B}"/>
  </w:font>
  <w:font w:name="TimesNewRomanPSMT">
    <w:altName w:val="Times New Roman"/>
    <w:panose1 w:val="00000000000000000000"/>
    <w:charset w:val="00"/>
    <w:family w:val="auto"/>
    <w:pitch w:val="default"/>
    <w:sig w:usb0="00000000" w:usb1="00000000" w:usb2="00000000" w:usb3="00000000" w:csb0="00000000" w:csb1="00000000"/>
    <w:embedRegular r:id="rId8" w:fontKey="{222AD949-2026-4F36-A0F8-7733F31654FD}"/>
  </w:font>
  <w:font w:name="等线">
    <w:panose1 w:val="02010600030101010101"/>
    <w:charset w:val="86"/>
    <w:family w:val="auto"/>
    <w:pitch w:val="default"/>
    <w:sig w:usb0="A00002BF" w:usb1="38CF7CFA" w:usb2="00000016" w:usb3="00000000" w:csb0="0004000F" w:csb1="00000000"/>
    <w:embedRegular r:id="rId9" w:fontKey="{1393579E-3542-49C8-9C33-68E8F85D9999}"/>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39D37">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CA97DD">
                          <w:pPr>
                            <w:pStyle w:val="19"/>
                          </w:pPr>
                          <w:r>
                            <w:t xml:space="preserve">— </w:t>
                          </w:r>
                          <w:r>
                            <w:fldChar w:fldCharType="begin"/>
                          </w:r>
                          <w:r>
                            <w:instrText xml:space="preserve"> PAGE  \* MERGEFORMAT </w:instrText>
                          </w:r>
                          <w:r>
                            <w:fldChar w:fldCharType="separate"/>
                          </w:r>
                          <w:r>
                            <w:t>3</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IOp8oBAACb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UIOp8oBAACbAwAADgAAAAAAAAABACAAAAAeAQAAZHJzL2Uyb0Rv&#10;Yy54bWxQSwUGAAAAAAYABgBZAQAAWgUAAAAA&#10;">
              <v:fill on="f" focussize="0,0"/>
              <v:stroke on="f"/>
              <v:imagedata o:title=""/>
              <o:lock v:ext="edit" aspectratio="f"/>
              <v:textbox inset="0mm,0mm,0mm,0mm" style="mso-fit-shape-to-text:t;">
                <w:txbxContent>
                  <w:p w14:paraId="25CA97DD">
                    <w:pPr>
                      <w:pStyle w:val="19"/>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B5141">
    <w:pPr>
      <w:pStyle w:val="19"/>
      <w:framePr w:wrap="around" w:vAnchor="text" w:hAnchor="margin" w:xAlign="center" w:y="1"/>
      <w:rPr>
        <w:rStyle w:val="32"/>
      </w:rPr>
    </w:pPr>
    <w:r>
      <w:fldChar w:fldCharType="begin"/>
    </w:r>
    <w:r>
      <w:rPr>
        <w:rStyle w:val="32"/>
      </w:rPr>
      <w:instrText xml:space="preserve">PAGE  </w:instrText>
    </w:r>
    <w:r>
      <w:fldChar w:fldCharType="end"/>
    </w:r>
  </w:p>
  <w:p w14:paraId="49928303">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99513">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DE773">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07DE773">
                    <w:pPr>
                      <w:pStyle w:val="1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BCBDF">
    <w:pPr>
      <w:pStyle w:val="19"/>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B40F59">
                          <w:pPr>
                            <w:pStyle w:val="19"/>
                            <w:jc w:val="both"/>
                            <w:rPr>
                              <w:rStyle w:val="32"/>
                              <w:rFonts w:ascii="宋体" w:hAnsi="宋体"/>
                              <w:sz w:val="28"/>
                              <w:szCs w:val="28"/>
                            </w:rPr>
                          </w:pPr>
                          <w:r>
                            <w:rPr>
                              <w:rStyle w:val="32"/>
                              <w:rFonts w:hint="eastAsia" w:ascii="宋体" w:hAnsi="宋体"/>
                              <w:sz w:val="28"/>
                              <w:szCs w:val="28"/>
                            </w:rPr>
                            <w:t>—</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8</w:t>
                          </w:r>
                          <w:r>
                            <w:rPr>
                              <w:rStyle w:val="32"/>
                              <w:rFonts w:ascii="宋体" w:hAnsi="宋体"/>
                              <w:sz w:val="26"/>
                              <w:szCs w:val="26"/>
                            </w:rPr>
                            <w:fldChar w:fldCharType="end"/>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4AB40F59">
                    <w:pPr>
                      <w:pStyle w:val="19"/>
                      <w:jc w:val="both"/>
                      <w:rPr>
                        <w:rStyle w:val="32"/>
                        <w:rFonts w:ascii="宋体" w:hAnsi="宋体"/>
                        <w:sz w:val="28"/>
                        <w:szCs w:val="28"/>
                      </w:rPr>
                    </w:pPr>
                    <w:r>
                      <w:rPr>
                        <w:rStyle w:val="32"/>
                        <w:rFonts w:hint="eastAsia" w:ascii="宋体" w:hAnsi="宋体"/>
                        <w:sz w:val="28"/>
                        <w:szCs w:val="28"/>
                      </w:rPr>
                      <w:t>—</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8</w:t>
                    </w:r>
                    <w:r>
                      <w:rPr>
                        <w:rStyle w:val="32"/>
                        <w:rFonts w:ascii="宋体" w:hAnsi="宋体"/>
                        <w:sz w:val="26"/>
                        <w:szCs w:val="26"/>
                      </w:rPr>
                      <w:fldChar w:fldCharType="end"/>
                    </w:r>
                    <w:r>
                      <w:rPr>
                        <w:rStyle w:val="32"/>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D3CC0">
    <w:pPr>
      <w:pStyle w:val="19"/>
      <w:ind w:right="360"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21335" cy="230505"/>
              <wp:effectExtent l="0" t="0" r="0" b="0"/>
              <wp:wrapNone/>
              <wp:docPr id="106"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521335" cy="230505"/>
                      </a:xfrm>
                      <a:prstGeom prst="rect">
                        <a:avLst/>
                      </a:prstGeom>
                      <a:noFill/>
                      <a:ln>
                        <a:noFill/>
                      </a:ln>
                    </wps:spPr>
                    <wps:txbx>
                      <w:txbxContent>
                        <w:p w14:paraId="5E538263">
                          <w:pPr>
                            <w:pStyle w:val="19"/>
                            <w:rPr>
                              <w:rStyle w:val="32"/>
                              <w:rFonts w:ascii="宋体" w:hAnsi="宋体"/>
                              <w:sz w:val="28"/>
                              <w:szCs w:val="28"/>
                            </w:rPr>
                          </w:pPr>
                          <w:r>
                            <w:rPr>
                              <w:rStyle w:val="32"/>
                              <w:rFonts w:hint="eastAsia" w:ascii="宋体" w:hAnsi="宋体"/>
                              <w:sz w:val="28"/>
                              <w:szCs w:val="28"/>
                            </w:rPr>
                            <w:t>—</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73</w:t>
                          </w:r>
                          <w:r>
                            <w:rPr>
                              <w:rFonts w:ascii="宋体" w:hAnsi="宋体"/>
                              <w:sz w:val="26"/>
                              <w:szCs w:val="26"/>
                            </w:rPr>
                            <w:fldChar w:fldCharType="end"/>
                          </w:r>
                          <w:r>
                            <w:rPr>
                              <w:rStyle w:val="32"/>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文本框 42" o:spid="_x0000_s1026" o:spt="202" type="#_x0000_t202" style="position:absolute;left:0pt;margin-top:0pt;height:18.15pt;width:41.05pt;mso-position-horizontal:center;mso-position-horizontal-relative:margin;mso-wrap-style:none;z-index:251664384;mso-width-relative:page;mso-height-relative:page;" filled="f" stroked="f" coordsize="21600,21600" o:gfxdata="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748HjRAAAAAwEAAA8AAAAAAAAAAQAgAAAAIgAAAGRy&#10;cy9kb3ducmV2LnhtbFBLAQIUABQAAAAIAIdO4kCvQgNjDAIAAAUEAAAOAAAAAAAAAAEAIAAAACAB&#10;AABkcnMvZTJvRG9jLnhtbFBLBQYAAAAABgAGAFkBAACeBQAAAAA=&#10;">
              <v:fill on="f" focussize="0,0"/>
              <v:stroke on="f"/>
              <v:imagedata o:title=""/>
              <o:lock v:ext="edit" aspectratio="f"/>
              <v:textbox inset="0mm,0mm,0mm,0mm" style="mso-fit-shape-to-text:t;">
                <w:txbxContent>
                  <w:p w14:paraId="5E538263">
                    <w:pPr>
                      <w:pStyle w:val="19"/>
                      <w:rPr>
                        <w:rStyle w:val="32"/>
                        <w:rFonts w:ascii="宋体" w:hAnsi="宋体"/>
                        <w:sz w:val="28"/>
                        <w:szCs w:val="28"/>
                      </w:rPr>
                    </w:pPr>
                    <w:r>
                      <w:rPr>
                        <w:rStyle w:val="32"/>
                        <w:rFonts w:hint="eastAsia" w:ascii="宋体" w:hAnsi="宋体"/>
                        <w:sz w:val="28"/>
                        <w:szCs w:val="28"/>
                      </w:rPr>
                      <w:t>—</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73</w:t>
                    </w:r>
                    <w:r>
                      <w:rPr>
                        <w:rFonts w:ascii="宋体" w:hAnsi="宋体"/>
                        <w:sz w:val="26"/>
                        <w:szCs w:val="26"/>
                      </w:rPr>
                      <w:fldChar w:fldCharType="end"/>
                    </w:r>
                    <w:r>
                      <w:rPr>
                        <w:rStyle w:val="32"/>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7A3CB">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D1B0B">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CC222">
    <w:pPr>
      <w:pStyle w:val="2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ED2EC"/>
    <w:multiLevelType w:val="singleLevel"/>
    <w:tmpl w:val="853ED2EC"/>
    <w:lvl w:ilvl="0" w:tentative="0">
      <w:start w:val="2"/>
      <w:numFmt w:val="decimal"/>
      <w:suff w:val="nothing"/>
      <w:lvlText w:val="（%1）"/>
      <w:lvlJc w:val="left"/>
    </w:lvl>
  </w:abstractNum>
  <w:abstractNum w:abstractNumId="1">
    <w:nsid w:val="CFBB65A4"/>
    <w:multiLevelType w:val="singleLevel"/>
    <w:tmpl w:val="CFBB65A4"/>
    <w:lvl w:ilvl="0" w:tentative="0">
      <w:start w:val="3"/>
      <w:numFmt w:val="decimal"/>
      <w:suff w:val="nothing"/>
      <w:lvlText w:val="（%1）"/>
      <w:lvlJc w:val="left"/>
    </w:lvl>
  </w:abstractNum>
  <w:abstractNum w:abstractNumId="2">
    <w:nsid w:val="DC093EC6"/>
    <w:multiLevelType w:val="singleLevel"/>
    <w:tmpl w:val="DC093EC6"/>
    <w:lvl w:ilvl="0" w:tentative="0">
      <w:start w:val="1"/>
      <w:numFmt w:val="decimal"/>
      <w:suff w:val="nothing"/>
      <w:lvlText w:val="%1）"/>
      <w:lvlJc w:val="left"/>
    </w:lvl>
  </w:abstractNum>
  <w:abstractNum w:abstractNumId="3">
    <w:nsid w:val="DD0E316F"/>
    <w:multiLevelType w:val="singleLevel"/>
    <w:tmpl w:val="DD0E316F"/>
    <w:lvl w:ilvl="0" w:tentative="0">
      <w:start w:val="9"/>
      <w:numFmt w:val="decimal"/>
      <w:suff w:val="nothing"/>
      <w:lvlText w:val="（%1）"/>
      <w:lvlJc w:val="left"/>
    </w:lvl>
  </w:abstractNum>
  <w:abstractNum w:abstractNumId="4">
    <w:nsid w:val="E9D5247E"/>
    <w:multiLevelType w:val="singleLevel"/>
    <w:tmpl w:val="E9D5247E"/>
    <w:lvl w:ilvl="0" w:tentative="0">
      <w:start w:val="1"/>
      <w:numFmt w:val="decimal"/>
      <w:suff w:val="nothing"/>
      <w:lvlText w:val="%1、"/>
      <w:lvlJc w:val="left"/>
    </w:lvl>
  </w:abstractNum>
  <w:abstractNum w:abstractNumId="5">
    <w:nsid w:val="EFFFBB6E"/>
    <w:multiLevelType w:val="singleLevel"/>
    <w:tmpl w:val="EFFFBB6E"/>
    <w:lvl w:ilvl="0" w:tentative="0">
      <w:start w:val="8"/>
      <w:numFmt w:val="decimal"/>
      <w:suff w:val="nothing"/>
      <w:lvlText w:val="%1、"/>
      <w:lvlJc w:val="left"/>
    </w:lvl>
  </w:abstractNum>
  <w:abstractNum w:abstractNumId="6">
    <w:nsid w:val="0A77D2B9"/>
    <w:multiLevelType w:val="singleLevel"/>
    <w:tmpl w:val="0A77D2B9"/>
    <w:lvl w:ilvl="0" w:tentative="0">
      <w:start w:val="1"/>
      <w:numFmt w:val="decimal"/>
      <w:suff w:val="nothing"/>
      <w:lvlText w:val="%1、"/>
      <w:lvlJc w:val="left"/>
    </w:lvl>
  </w:abstractNum>
  <w:abstractNum w:abstractNumId="7">
    <w:nsid w:val="1F6B0210"/>
    <w:multiLevelType w:val="multilevel"/>
    <w:tmpl w:val="1F6B0210"/>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5D93ED5"/>
    <w:multiLevelType w:val="singleLevel"/>
    <w:tmpl w:val="25D93ED5"/>
    <w:lvl w:ilvl="0" w:tentative="0">
      <w:start w:val="1"/>
      <w:numFmt w:val="decimal"/>
      <w:suff w:val="nothing"/>
      <w:lvlText w:val="（%1）"/>
      <w:lvlJc w:val="left"/>
    </w:lvl>
  </w:abstractNum>
  <w:abstractNum w:abstractNumId="9">
    <w:nsid w:val="45BB0964"/>
    <w:multiLevelType w:val="singleLevel"/>
    <w:tmpl w:val="45BB0964"/>
    <w:lvl w:ilvl="0" w:tentative="0">
      <w:start w:val="2"/>
      <w:numFmt w:val="chineseCounting"/>
      <w:suff w:val="nothing"/>
      <w:lvlText w:val="%1、"/>
      <w:lvlJc w:val="left"/>
      <w:rPr>
        <w:rFonts w:hint="eastAsia"/>
      </w:rPr>
    </w:lvl>
  </w:abstractNum>
  <w:abstractNum w:abstractNumId="10">
    <w:nsid w:val="6330E112"/>
    <w:multiLevelType w:val="singleLevel"/>
    <w:tmpl w:val="6330E112"/>
    <w:lvl w:ilvl="0" w:tentative="0">
      <w:start w:val="2"/>
      <w:numFmt w:val="decimal"/>
      <w:suff w:val="nothing"/>
      <w:lvlText w:val="（%1）"/>
      <w:lvlJc w:val="left"/>
      <w:rPr>
        <w:rFonts w:hint="default" w:ascii="Times New Roman" w:hAnsi="Times New Roman" w:cs="Times New Roman"/>
      </w:rPr>
    </w:lvl>
  </w:abstractNum>
  <w:abstractNum w:abstractNumId="11">
    <w:nsid w:val="7988DA46"/>
    <w:multiLevelType w:val="singleLevel"/>
    <w:tmpl w:val="7988DA46"/>
    <w:lvl w:ilvl="0" w:tentative="0">
      <w:start w:val="4"/>
      <w:numFmt w:val="decimal"/>
      <w:suff w:val="nothing"/>
      <w:lvlText w:val="（%1）"/>
      <w:lvlJc w:val="left"/>
    </w:lvl>
  </w:abstractNum>
  <w:num w:numId="1">
    <w:abstractNumId w:val="10"/>
  </w:num>
  <w:num w:numId="2">
    <w:abstractNumId w:val="0"/>
  </w:num>
  <w:num w:numId="3">
    <w:abstractNumId w:val="4"/>
  </w:num>
  <w:num w:numId="4">
    <w:abstractNumId w:val="5"/>
  </w:num>
  <w:num w:numId="5">
    <w:abstractNumId w:val="2"/>
  </w:num>
  <w:num w:numId="6">
    <w:abstractNumId w:val="11"/>
  </w:num>
  <w:num w:numId="7">
    <w:abstractNumId w:val="6"/>
  </w:num>
  <w:num w:numId="8">
    <w:abstractNumId w:val="9"/>
  </w:num>
  <w:num w:numId="9">
    <w:abstractNumId w:val="7"/>
  </w:num>
  <w:num w:numId="10">
    <w:abstractNumId w:val="1"/>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lNTE3NWY5YzM0M2E0MGMwYWQ3Nzk5ZTAwMTRmOGUifQ=="/>
    <w:docVar w:name="KSO_WPS_MARK_KEY" w:val="d6c6744e-5b92-4cd2-9ca1-717e5c2e2b7a"/>
  </w:docVars>
  <w:rsids>
    <w:rsidRoot w:val="00172A27"/>
    <w:rsid w:val="001B3591"/>
    <w:rsid w:val="001F3ADA"/>
    <w:rsid w:val="00522F87"/>
    <w:rsid w:val="006C2D76"/>
    <w:rsid w:val="00757599"/>
    <w:rsid w:val="00B92D02"/>
    <w:rsid w:val="00DF1311"/>
    <w:rsid w:val="00F9349E"/>
    <w:rsid w:val="00FD4687"/>
    <w:rsid w:val="011B4896"/>
    <w:rsid w:val="012A1CB1"/>
    <w:rsid w:val="013712F7"/>
    <w:rsid w:val="01521C8D"/>
    <w:rsid w:val="01527EDF"/>
    <w:rsid w:val="016A1843"/>
    <w:rsid w:val="018044E0"/>
    <w:rsid w:val="01894CC1"/>
    <w:rsid w:val="01AA67C9"/>
    <w:rsid w:val="01C40DDD"/>
    <w:rsid w:val="01C7267B"/>
    <w:rsid w:val="01E46D89"/>
    <w:rsid w:val="01E943A0"/>
    <w:rsid w:val="01EE7C08"/>
    <w:rsid w:val="02033711"/>
    <w:rsid w:val="020974AF"/>
    <w:rsid w:val="020E7C68"/>
    <w:rsid w:val="02531AE1"/>
    <w:rsid w:val="02554FB3"/>
    <w:rsid w:val="025963C8"/>
    <w:rsid w:val="02661EE7"/>
    <w:rsid w:val="02832A46"/>
    <w:rsid w:val="02A261A4"/>
    <w:rsid w:val="02EC43EC"/>
    <w:rsid w:val="02F31A02"/>
    <w:rsid w:val="03035935"/>
    <w:rsid w:val="033F5B20"/>
    <w:rsid w:val="039E11BA"/>
    <w:rsid w:val="03AD3AF7"/>
    <w:rsid w:val="03BA6C21"/>
    <w:rsid w:val="03E133A2"/>
    <w:rsid w:val="040A362C"/>
    <w:rsid w:val="040D00EE"/>
    <w:rsid w:val="041814ED"/>
    <w:rsid w:val="042D6DA7"/>
    <w:rsid w:val="04365896"/>
    <w:rsid w:val="045A09FE"/>
    <w:rsid w:val="045A3333"/>
    <w:rsid w:val="048A2E8D"/>
    <w:rsid w:val="049A0157"/>
    <w:rsid w:val="04B53D1B"/>
    <w:rsid w:val="04C12270"/>
    <w:rsid w:val="050339CA"/>
    <w:rsid w:val="05184F9C"/>
    <w:rsid w:val="0520422F"/>
    <w:rsid w:val="053E716D"/>
    <w:rsid w:val="054A15F9"/>
    <w:rsid w:val="056243EA"/>
    <w:rsid w:val="058B1853"/>
    <w:rsid w:val="05972365"/>
    <w:rsid w:val="05AA11EB"/>
    <w:rsid w:val="05FC0298"/>
    <w:rsid w:val="063F79D3"/>
    <w:rsid w:val="068368A8"/>
    <w:rsid w:val="06BB37D9"/>
    <w:rsid w:val="06BC36A7"/>
    <w:rsid w:val="06EE2BDC"/>
    <w:rsid w:val="06F16F19"/>
    <w:rsid w:val="07122DDA"/>
    <w:rsid w:val="071D4B6E"/>
    <w:rsid w:val="07783E0F"/>
    <w:rsid w:val="079E5D32"/>
    <w:rsid w:val="07B40BD7"/>
    <w:rsid w:val="07C01CF2"/>
    <w:rsid w:val="07E35D35"/>
    <w:rsid w:val="08196187"/>
    <w:rsid w:val="08253FEF"/>
    <w:rsid w:val="08272C43"/>
    <w:rsid w:val="08352FC5"/>
    <w:rsid w:val="083650EF"/>
    <w:rsid w:val="08422C68"/>
    <w:rsid w:val="08471E20"/>
    <w:rsid w:val="0850455A"/>
    <w:rsid w:val="08793B25"/>
    <w:rsid w:val="087C4F0C"/>
    <w:rsid w:val="087F76A4"/>
    <w:rsid w:val="08A06984"/>
    <w:rsid w:val="08C83167"/>
    <w:rsid w:val="08DF17B8"/>
    <w:rsid w:val="08F14757"/>
    <w:rsid w:val="08F522D6"/>
    <w:rsid w:val="090809CE"/>
    <w:rsid w:val="09414AC1"/>
    <w:rsid w:val="094A7C44"/>
    <w:rsid w:val="09533265"/>
    <w:rsid w:val="096D37F3"/>
    <w:rsid w:val="09840174"/>
    <w:rsid w:val="09A3752A"/>
    <w:rsid w:val="09C66A86"/>
    <w:rsid w:val="0A002BCE"/>
    <w:rsid w:val="0A251868"/>
    <w:rsid w:val="0A2C221F"/>
    <w:rsid w:val="0A2D3298"/>
    <w:rsid w:val="0A314FFA"/>
    <w:rsid w:val="0A4A5BF8"/>
    <w:rsid w:val="0A5926E3"/>
    <w:rsid w:val="0A696248"/>
    <w:rsid w:val="0A72767F"/>
    <w:rsid w:val="0A8C0317"/>
    <w:rsid w:val="0A943D39"/>
    <w:rsid w:val="0AAB4A6F"/>
    <w:rsid w:val="0AC80C34"/>
    <w:rsid w:val="0B1077F7"/>
    <w:rsid w:val="0B6E06D5"/>
    <w:rsid w:val="0B7B2475"/>
    <w:rsid w:val="0B901D30"/>
    <w:rsid w:val="0BA63302"/>
    <w:rsid w:val="0BC01400"/>
    <w:rsid w:val="0BC67755"/>
    <w:rsid w:val="0BD81EFB"/>
    <w:rsid w:val="0BF6718F"/>
    <w:rsid w:val="0C19682A"/>
    <w:rsid w:val="0C2A3DFC"/>
    <w:rsid w:val="0C2F12D9"/>
    <w:rsid w:val="0C366CF2"/>
    <w:rsid w:val="0C587DD6"/>
    <w:rsid w:val="0C6673BA"/>
    <w:rsid w:val="0C762CD4"/>
    <w:rsid w:val="0C856C61"/>
    <w:rsid w:val="0CA9027C"/>
    <w:rsid w:val="0CAF45D1"/>
    <w:rsid w:val="0CB87D4F"/>
    <w:rsid w:val="0CC954FA"/>
    <w:rsid w:val="0CD329F2"/>
    <w:rsid w:val="0CD3572F"/>
    <w:rsid w:val="0CD914B5"/>
    <w:rsid w:val="0D015256"/>
    <w:rsid w:val="0D1351A3"/>
    <w:rsid w:val="0D182875"/>
    <w:rsid w:val="0D1C3D30"/>
    <w:rsid w:val="0D322C8D"/>
    <w:rsid w:val="0D4E59FF"/>
    <w:rsid w:val="0D6B035F"/>
    <w:rsid w:val="0D6E61C8"/>
    <w:rsid w:val="0D722B9F"/>
    <w:rsid w:val="0D7A4A46"/>
    <w:rsid w:val="0D8E5EB2"/>
    <w:rsid w:val="0D976239"/>
    <w:rsid w:val="0DB074D8"/>
    <w:rsid w:val="0DBC0BBA"/>
    <w:rsid w:val="0DBF4B4E"/>
    <w:rsid w:val="0DCE49BC"/>
    <w:rsid w:val="0DE3132A"/>
    <w:rsid w:val="0DE77F12"/>
    <w:rsid w:val="0E15651D"/>
    <w:rsid w:val="0E1C51CE"/>
    <w:rsid w:val="0E5928AD"/>
    <w:rsid w:val="0E801D4C"/>
    <w:rsid w:val="0E8116C4"/>
    <w:rsid w:val="0EC248F6"/>
    <w:rsid w:val="0F1A76F6"/>
    <w:rsid w:val="0F1F5A50"/>
    <w:rsid w:val="0F300AE8"/>
    <w:rsid w:val="0F3F502D"/>
    <w:rsid w:val="0F4E1E08"/>
    <w:rsid w:val="0F7527EF"/>
    <w:rsid w:val="0F9763F7"/>
    <w:rsid w:val="0FA1275E"/>
    <w:rsid w:val="0FB71F81"/>
    <w:rsid w:val="0FD333AD"/>
    <w:rsid w:val="0FD63171"/>
    <w:rsid w:val="0FFA0F90"/>
    <w:rsid w:val="1002041D"/>
    <w:rsid w:val="10020DC3"/>
    <w:rsid w:val="10066A65"/>
    <w:rsid w:val="10173C40"/>
    <w:rsid w:val="104059CB"/>
    <w:rsid w:val="1044420E"/>
    <w:rsid w:val="10487C63"/>
    <w:rsid w:val="10606175"/>
    <w:rsid w:val="10A36062"/>
    <w:rsid w:val="10C73BA2"/>
    <w:rsid w:val="10D5117F"/>
    <w:rsid w:val="111651DD"/>
    <w:rsid w:val="112D1D65"/>
    <w:rsid w:val="11411293"/>
    <w:rsid w:val="115B77E7"/>
    <w:rsid w:val="11EE5A02"/>
    <w:rsid w:val="11F95EB5"/>
    <w:rsid w:val="123A031B"/>
    <w:rsid w:val="124464D1"/>
    <w:rsid w:val="12477193"/>
    <w:rsid w:val="12705394"/>
    <w:rsid w:val="12735E0E"/>
    <w:rsid w:val="12A85BB1"/>
    <w:rsid w:val="12AA10F1"/>
    <w:rsid w:val="12FB2185"/>
    <w:rsid w:val="130A7A9E"/>
    <w:rsid w:val="1311366A"/>
    <w:rsid w:val="13251D4C"/>
    <w:rsid w:val="1342159B"/>
    <w:rsid w:val="134E52B5"/>
    <w:rsid w:val="1385487C"/>
    <w:rsid w:val="139307D9"/>
    <w:rsid w:val="13E40EDD"/>
    <w:rsid w:val="13EB607D"/>
    <w:rsid w:val="13FC3064"/>
    <w:rsid w:val="140B42F3"/>
    <w:rsid w:val="14410B11"/>
    <w:rsid w:val="144213D4"/>
    <w:rsid w:val="14504752"/>
    <w:rsid w:val="148C5B51"/>
    <w:rsid w:val="14A068F2"/>
    <w:rsid w:val="14A8037D"/>
    <w:rsid w:val="14C447F8"/>
    <w:rsid w:val="14CF1B1B"/>
    <w:rsid w:val="14DC1B42"/>
    <w:rsid w:val="150F0169"/>
    <w:rsid w:val="151A6D72"/>
    <w:rsid w:val="15204B56"/>
    <w:rsid w:val="152754B3"/>
    <w:rsid w:val="15325C06"/>
    <w:rsid w:val="153A0DB7"/>
    <w:rsid w:val="153A2881"/>
    <w:rsid w:val="154916F8"/>
    <w:rsid w:val="156A35F2"/>
    <w:rsid w:val="15A821A4"/>
    <w:rsid w:val="15AD16FF"/>
    <w:rsid w:val="15C01464"/>
    <w:rsid w:val="15E1597A"/>
    <w:rsid w:val="163C4F8E"/>
    <w:rsid w:val="16445BF1"/>
    <w:rsid w:val="16A11945"/>
    <w:rsid w:val="16A63774"/>
    <w:rsid w:val="16D94EAE"/>
    <w:rsid w:val="16DC6904"/>
    <w:rsid w:val="1720040C"/>
    <w:rsid w:val="17384394"/>
    <w:rsid w:val="17536547"/>
    <w:rsid w:val="175567DB"/>
    <w:rsid w:val="17897CDC"/>
    <w:rsid w:val="17C63C77"/>
    <w:rsid w:val="17DD2B31"/>
    <w:rsid w:val="17FC4ADB"/>
    <w:rsid w:val="181A3740"/>
    <w:rsid w:val="184156F3"/>
    <w:rsid w:val="18581E27"/>
    <w:rsid w:val="187D5380"/>
    <w:rsid w:val="18A568C2"/>
    <w:rsid w:val="18A8075A"/>
    <w:rsid w:val="18A92BA4"/>
    <w:rsid w:val="18B94DD0"/>
    <w:rsid w:val="18BC62F2"/>
    <w:rsid w:val="18D851B5"/>
    <w:rsid w:val="18D96677"/>
    <w:rsid w:val="19183D6F"/>
    <w:rsid w:val="1921403D"/>
    <w:rsid w:val="192A2448"/>
    <w:rsid w:val="196071E6"/>
    <w:rsid w:val="196B2681"/>
    <w:rsid w:val="19764E80"/>
    <w:rsid w:val="197D6FEB"/>
    <w:rsid w:val="199C543D"/>
    <w:rsid w:val="19C97C77"/>
    <w:rsid w:val="19D47205"/>
    <w:rsid w:val="1A0C0081"/>
    <w:rsid w:val="1A3F65F2"/>
    <w:rsid w:val="1A3F6DFB"/>
    <w:rsid w:val="1A457E10"/>
    <w:rsid w:val="1A491900"/>
    <w:rsid w:val="1A516B2E"/>
    <w:rsid w:val="1A710D5C"/>
    <w:rsid w:val="1A726EB4"/>
    <w:rsid w:val="1A727C09"/>
    <w:rsid w:val="1A743B89"/>
    <w:rsid w:val="1A75018D"/>
    <w:rsid w:val="1A7F7CE9"/>
    <w:rsid w:val="1A82318C"/>
    <w:rsid w:val="1AB570BD"/>
    <w:rsid w:val="1ACE1BFD"/>
    <w:rsid w:val="1ADC289C"/>
    <w:rsid w:val="1B1F7A73"/>
    <w:rsid w:val="1B3426D8"/>
    <w:rsid w:val="1B3C4A90"/>
    <w:rsid w:val="1B5E7755"/>
    <w:rsid w:val="1B83540D"/>
    <w:rsid w:val="1B8E7B1F"/>
    <w:rsid w:val="1B917E21"/>
    <w:rsid w:val="1BA424E2"/>
    <w:rsid w:val="1BB75B29"/>
    <w:rsid w:val="1BB82707"/>
    <w:rsid w:val="1BD73063"/>
    <w:rsid w:val="1BDE2644"/>
    <w:rsid w:val="1C177904"/>
    <w:rsid w:val="1C3261F4"/>
    <w:rsid w:val="1C5D7A0C"/>
    <w:rsid w:val="1C822709"/>
    <w:rsid w:val="1C845D28"/>
    <w:rsid w:val="1C876837"/>
    <w:rsid w:val="1C883672"/>
    <w:rsid w:val="1C953D4E"/>
    <w:rsid w:val="1C962F1E"/>
    <w:rsid w:val="1CB0190F"/>
    <w:rsid w:val="1CB16239"/>
    <w:rsid w:val="1CCF4E78"/>
    <w:rsid w:val="1CE50886"/>
    <w:rsid w:val="1CEE5B5A"/>
    <w:rsid w:val="1CF0262F"/>
    <w:rsid w:val="1CF44A75"/>
    <w:rsid w:val="1CF85987"/>
    <w:rsid w:val="1CFF3ED8"/>
    <w:rsid w:val="1D0A1C0C"/>
    <w:rsid w:val="1D271DC8"/>
    <w:rsid w:val="1D2B6712"/>
    <w:rsid w:val="1D307023"/>
    <w:rsid w:val="1D515F4E"/>
    <w:rsid w:val="1D5E6BD3"/>
    <w:rsid w:val="1D827B0B"/>
    <w:rsid w:val="1D880FF1"/>
    <w:rsid w:val="1DB277D2"/>
    <w:rsid w:val="1DB775F0"/>
    <w:rsid w:val="1DBB0E8E"/>
    <w:rsid w:val="1DBD1371"/>
    <w:rsid w:val="1DBF0816"/>
    <w:rsid w:val="1DC927D2"/>
    <w:rsid w:val="1E0664A8"/>
    <w:rsid w:val="1E4F0B7B"/>
    <w:rsid w:val="1E5835A5"/>
    <w:rsid w:val="1E69534D"/>
    <w:rsid w:val="1E760012"/>
    <w:rsid w:val="1EC57AEB"/>
    <w:rsid w:val="1ED5293F"/>
    <w:rsid w:val="1EDC2C1A"/>
    <w:rsid w:val="1EEE601F"/>
    <w:rsid w:val="1EF91491"/>
    <w:rsid w:val="1F114636"/>
    <w:rsid w:val="1F4942EF"/>
    <w:rsid w:val="1F4D4072"/>
    <w:rsid w:val="1F5874B4"/>
    <w:rsid w:val="1F666BD8"/>
    <w:rsid w:val="1F8F7049"/>
    <w:rsid w:val="1F996BF4"/>
    <w:rsid w:val="1FD20711"/>
    <w:rsid w:val="1FD47FE6"/>
    <w:rsid w:val="1FF81FA6"/>
    <w:rsid w:val="200E6C77"/>
    <w:rsid w:val="201E3957"/>
    <w:rsid w:val="201F2470"/>
    <w:rsid w:val="20340EB6"/>
    <w:rsid w:val="20451FF6"/>
    <w:rsid w:val="20564928"/>
    <w:rsid w:val="205E2AC7"/>
    <w:rsid w:val="206230A3"/>
    <w:rsid w:val="206E6AF2"/>
    <w:rsid w:val="209354CA"/>
    <w:rsid w:val="20C14821"/>
    <w:rsid w:val="20FE5F22"/>
    <w:rsid w:val="21230886"/>
    <w:rsid w:val="212B632B"/>
    <w:rsid w:val="21A734D8"/>
    <w:rsid w:val="21CC06A0"/>
    <w:rsid w:val="21DE60F4"/>
    <w:rsid w:val="21DF0EC4"/>
    <w:rsid w:val="21EB3D26"/>
    <w:rsid w:val="21FF50C2"/>
    <w:rsid w:val="221B3814"/>
    <w:rsid w:val="22402DB4"/>
    <w:rsid w:val="22596EC8"/>
    <w:rsid w:val="22782EA2"/>
    <w:rsid w:val="229323DA"/>
    <w:rsid w:val="229B0277"/>
    <w:rsid w:val="22B83BEE"/>
    <w:rsid w:val="22B97967"/>
    <w:rsid w:val="22F15352"/>
    <w:rsid w:val="231177A3"/>
    <w:rsid w:val="233123B2"/>
    <w:rsid w:val="23347DE6"/>
    <w:rsid w:val="2335523F"/>
    <w:rsid w:val="23794AEB"/>
    <w:rsid w:val="23B93F15"/>
    <w:rsid w:val="23C71C0F"/>
    <w:rsid w:val="23DC77FC"/>
    <w:rsid w:val="23E924D3"/>
    <w:rsid w:val="23EA427B"/>
    <w:rsid w:val="23EB3B50"/>
    <w:rsid w:val="241C63FF"/>
    <w:rsid w:val="242B6642"/>
    <w:rsid w:val="243C43AB"/>
    <w:rsid w:val="244F02A8"/>
    <w:rsid w:val="246216E3"/>
    <w:rsid w:val="247B7A43"/>
    <w:rsid w:val="24811A55"/>
    <w:rsid w:val="248510F0"/>
    <w:rsid w:val="24885842"/>
    <w:rsid w:val="24E71952"/>
    <w:rsid w:val="24EA1217"/>
    <w:rsid w:val="25016236"/>
    <w:rsid w:val="252E1F2F"/>
    <w:rsid w:val="253A3226"/>
    <w:rsid w:val="25827B2D"/>
    <w:rsid w:val="25846E82"/>
    <w:rsid w:val="25B86135"/>
    <w:rsid w:val="25C64874"/>
    <w:rsid w:val="26080B8E"/>
    <w:rsid w:val="265005E2"/>
    <w:rsid w:val="2657371E"/>
    <w:rsid w:val="26B40B71"/>
    <w:rsid w:val="26B4229F"/>
    <w:rsid w:val="26EC20B9"/>
    <w:rsid w:val="26F471BF"/>
    <w:rsid w:val="26F82A7A"/>
    <w:rsid w:val="270D0F81"/>
    <w:rsid w:val="27632DDC"/>
    <w:rsid w:val="278C3055"/>
    <w:rsid w:val="2791653E"/>
    <w:rsid w:val="27C31171"/>
    <w:rsid w:val="27CE64E0"/>
    <w:rsid w:val="27F7533C"/>
    <w:rsid w:val="28044BC4"/>
    <w:rsid w:val="281932B0"/>
    <w:rsid w:val="285A3FB1"/>
    <w:rsid w:val="286C1564"/>
    <w:rsid w:val="28706D19"/>
    <w:rsid w:val="288602EB"/>
    <w:rsid w:val="28C560C2"/>
    <w:rsid w:val="28F416F8"/>
    <w:rsid w:val="29091335"/>
    <w:rsid w:val="29126FC1"/>
    <w:rsid w:val="29142FE5"/>
    <w:rsid w:val="29177195"/>
    <w:rsid w:val="291B6C85"/>
    <w:rsid w:val="292611C4"/>
    <w:rsid w:val="292B4822"/>
    <w:rsid w:val="29373393"/>
    <w:rsid w:val="293F2C14"/>
    <w:rsid w:val="29740B0F"/>
    <w:rsid w:val="298D1C77"/>
    <w:rsid w:val="299802D6"/>
    <w:rsid w:val="29AA2B28"/>
    <w:rsid w:val="29C3613A"/>
    <w:rsid w:val="29F825B0"/>
    <w:rsid w:val="29FF0355"/>
    <w:rsid w:val="2A4F069E"/>
    <w:rsid w:val="2A5E151F"/>
    <w:rsid w:val="2AA91C78"/>
    <w:rsid w:val="2AD0584D"/>
    <w:rsid w:val="2AE718F6"/>
    <w:rsid w:val="2B284FF0"/>
    <w:rsid w:val="2B3C1135"/>
    <w:rsid w:val="2B3C2303"/>
    <w:rsid w:val="2B477C9C"/>
    <w:rsid w:val="2B68461C"/>
    <w:rsid w:val="2B9920E3"/>
    <w:rsid w:val="2B9F3B9D"/>
    <w:rsid w:val="2BBE0AD7"/>
    <w:rsid w:val="2BFA0FFC"/>
    <w:rsid w:val="2C123CD1"/>
    <w:rsid w:val="2C42277B"/>
    <w:rsid w:val="2C5F0F16"/>
    <w:rsid w:val="2C607320"/>
    <w:rsid w:val="2C945EA7"/>
    <w:rsid w:val="2C974CCA"/>
    <w:rsid w:val="2C9E7AAD"/>
    <w:rsid w:val="2D17796B"/>
    <w:rsid w:val="2D236108"/>
    <w:rsid w:val="2D4950D2"/>
    <w:rsid w:val="2DAC0D4C"/>
    <w:rsid w:val="2DBD030B"/>
    <w:rsid w:val="2DBE4083"/>
    <w:rsid w:val="2DDB370F"/>
    <w:rsid w:val="2DDC3933"/>
    <w:rsid w:val="2DE15B66"/>
    <w:rsid w:val="2DE26055"/>
    <w:rsid w:val="2DE41D3C"/>
    <w:rsid w:val="2E0F2B31"/>
    <w:rsid w:val="2E253F0A"/>
    <w:rsid w:val="2E2754E4"/>
    <w:rsid w:val="2E323861"/>
    <w:rsid w:val="2E352B46"/>
    <w:rsid w:val="2E567C52"/>
    <w:rsid w:val="2E6562A8"/>
    <w:rsid w:val="2E6D7F83"/>
    <w:rsid w:val="2E7330BF"/>
    <w:rsid w:val="2E752E94"/>
    <w:rsid w:val="2E7A3F91"/>
    <w:rsid w:val="2EB11AB8"/>
    <w:rsid w:val="2EF210E8"/>
    <w:rsid w:val="2F0B2991"/>
    <w:rsid w:val="2F151421"/>
    <w:rsid w:val="2F1F4E36"/>
    <w:rsid w:val="2F2A1380"/>
    <w:rsid w:val="2F4562A0"/>
    <w:rsid w:val="2F4A4DC1"/>
    <w:rsid w:val="2FA572A9"/>
    <w:rsid w:val="2FBC2844"/>
    <w:rsid w:val="2FD62487"/>
    <w:rsid w:val="303A53EF"/>
    <w:rsid w:val="304D034C"/>
    <w:rsid w:val="30666151"/>
    <w:rsid w:val="306D048D"/>
    <w:rsid w:val="30801AC4"/>
    <w:rsid w:val="30937A49"/>
    <w:rsid w:val="30AB2859"/>
    <w:rsid w:val="30B55C11"/>
    <w:rsid w:val="310A7D56"/>
    <w:rsid w:val="31434FCB"/>
    <w:rsid w:val="316118F5"/>
    <w:rsid w:val="31666F0B"/>
    <w:rsid w:val="31E3230A"/>
    <w:rsid w:val="321A73B0"/>
    <w:rsid w:val="32235E2F"/>
    <w:rsid w:val="3240664B"/>
    <w:rsid w:val="325219C3"/>
    <w:rsid w:val="32832CF7"/>
    <w:rsid w:val="3293788C"/>
    <w:rsid w:val="329C72B7"/>
    <w:rsid w:val="32B50095"/>
    <w:rsid w:val="32F51941"/>
    <w:rsid w:val="32F83B93"/>
    <w:rsid w:val="33004414"/>
    <w:rsid w:val="33214268"/>
    <w:rsid w:val="3333589D"/>
    <w:rsid w:val="335A45F2"/>
    <w:rsid w:val="335D48E6"/>
    <w:rsid w:val="33B1278A"/>
    <w:rsid w:val="33DA14EB"/>
    <w:rsid w:val="3405717A"/>
    <w:rsid w:val="344C0060"/>
    <w:rsid w:val="347A52C4"/>
    <w:rsid w:val="34841780"/>
    <w:rsid w:val="34AC10D9"/>
    <w:rsid w:val="34C3522E"/>
    <w:rsid w:val="34DD74E5"/>
    <w:rsid w:val="34E00D83"/>
    <w:rsid w:val="34F14D3E"/>
    <w:rsid w:val="3509652C"/>
    <w:rsid w:val="352E1AEE"/>
    <w:rsid w:val="35337931"/>
    <w:rsid w:val="353775C4"/>
    <w:rsid w:val="35512066"/>
    <w:rsid w:val="355E2F4E"/>
    <w:rsid w:val="357C4F4F"/>
    <w:rsid w:val="35A20EE3"/>
    <w:rsid w:val="35A3428A"/>
    <w:rsid w:val="35AD46F6"/>
    <w:rsid w:val="35AD5BE1"/>
    <w:rsid w:val="35DB0726"/>
    <w:rsid w:val="35DE4A0E"/>
    <w:rsid w:val="35E00F77"/>
    <w:rsid w:val="35FB40C6"/>
    <w:rsid w:val="360402EC"/>
    <w:rsid w:val="360905B2"/>
    <w:rsid w:val="36154A5C"/>
    <w:rsid w:val="36213401"/>
    <w:rsid w:val="362934B8"/>
    <w:rsid w:val="36483084"/>
    <w:rsid w:val="36A57B46"/>
    <w:rsid w:val="36AC3612"/>
    <w:rsid w:val="36E609D8"/>
    <w:rsid w:val="36F22B3E"/>
    <w:rsid w:val="371371EE"/>
    <w:rsid w:val="371B49F9"/>
    <w:rsid w:val="372617C9"/>
    <w:rsid w:val="3727713D"/>
    <w:rsid w:val="37422E24"/>
    <w:rsid w:val="374D132B"/>
    <w:rsid w:val="3758115E"/>
    <w:rsid w:val="377762DB"/>
    <w:rsid w:val="378F628E"/>
    <w:rsid w:val="379F4F25"/>
    <w:rsid w:val="37A97B52"/>
    <w:rsid w:val="386F0BB9"/>
    <w:rsid w:val="386F708C"/>
    <w:rsid w:val="388E23D2"/>
    <w:rsid w:val="38D96215"/>
    <w:rsid w:val="38E71D8F"/>
    <w:rsid w:val="38F5555A"/>
    <w:rsid w:val="38FE5C7B"/>
    <w:rsid w:val="39161217"/>
    <w:rsid w:val="39180364"/>
    <w:rsid w:val="396F3890"/>
    <w:rsid w:val="397321C6"/>
    <w:rsid w:val="39754FD7"/>
    <w:rsid w:val="398664FD"/>
    <w:rsid w:val="3988007A"/>
    <w:rsid w:val="3995462E"/>
    <w:rsid w:val="39A85626"/>
    <w:rsid w:val="39AE31FE"/>
    <w:rsid w:val="39E76710"/>
    <w:rsid w:val="3A205D5E"/>
    <w:rsid w:val="3A2741E2"/>
    <w:rsid w:val="3A4678DA"/>
    <w:rsid w:val="3A4F53DB"/>
    <w:rsid w:val="3A640160"/>
    <w:rsid w:val="3A731D63"/>
    <w:rsid w:val="3A927E68"/>
    <w:rsid w:val="3A973B8B"/>
    <w:rsid w:val="3AA217E0"/>
    <w:rsid w:val="3AA83F52"/>
    <w:rsid w:val="3AD154FF"/>
    <w:rsid w:val="3AED7D56"/>
    <w:rsid w:val="3AF47336"/>
    <w:rsid w:val="3AF900FA"/>
    <w:rsid w:val="3B070E17"/>
    <w:rsid w:val="3B0A6C0E"/>
    <w:rsid w:val="3B5A504B"/>
    <w:rsid w:val="3B693880"/>
    <w:rsid w:val="3B7A0342"/>
    <w:rsid w:val="3BB14A1B"/>
    <w:rsid w:val="3BCE437F"/>
    <w:rsid w:val="3C096E11"/>
    <w:rsid w:val="3C1A7270"/>
    <w:rsid w:val="3C2E3662"/>
    <w:rsid w:val="3C2F4ACA"/>
    <w:rsid w:val="3C320116"/>
    <w:rsid w:val="3C48011B"/>
    <w:rsid w:val="3C490A80"/>
    <w:rsid w:val="3C6A465C"/>
    <w:rsid w:val="3C9A0678"/>
    <w:rsid w:val="3CA86EC5"/>
    <w:rsid w:val="3CAF3712"/>
    <w:rsid w:val="3CB04BF4"/>
    <w:rsid w:val="3D17730C"/>
    <w:rsid w:val="3D192527"/>
    <w:rsid w:val="3D263C38"/>
    <w:rsid w:val="3D2F0AF9"/>
    <w:rsid w:val="3D344362"/>
    <w:rsid w:val="3D453113"/>
    <w:rsid w:val="3D736537"/>
    <w:rsid w:val="3D8C7CFA"/>
    <w:rsid w:val="3DA81BD7"/>
    <w:rsid w:val="3E042C4D"/>
    <w:rsid w:val="3E0728CE"/>
    <w:rsid w:val="3E347930"/>
    <w:rsid w:val="3E4C796C"/>
    <w:rsid w:val="3E4D7489"/>
    <w:rsid w:val="3E703177"/>
    <w:rsid w:val="3E7C5972"/>
    <w:rsid w:val="3EBC49F0"/>
    <w:rsid w:val="3F512FA9"/>
    <w:rsid w:val="3F5D3A3F"/>
    <w:rsid w:val="3F8E12C6"/>
    <w:rsid w:val="3FDA0BF5"/>
    <w:rsid w:val="4019311C"/>
    <w:rsid w:val="401A783F"/>
    <w:rsid w:val="401F30A7"/>
    <w:rsid w:val="40350907"/>
    <w:rsid w:val="4074719B"/>
    <w:rsid w:val="40790983"/>
    <w:rsid w:val="40853339"/>
    <w:rsid w:val="409C0254"/>
    <w:rsid w:val="40AC46DB"/>
    <w:rsid w:val="40B71F55"/>
    <w:rsid w:val="40C36154"/>
    <w:rsid w:val="40D317EF"/>
    <w:rsid w:val="4114603C"/>
    <w:rsid w:val="413A36FE"/>
    <w:rsid w:val="413D3910"/>
    <w:rsid w:val="415B2993"/>
    <w:rsid w:val="416612C7"/>
    <w:rsid w:val="41754655"/>
    <w:rsid w:val="418C02C8"/>
    <w:rsid w:val="41A25D3E"/>
    <w:rsid w:val="41BE4194"/>
    <w:rsid w:val="41C30EF6"/>
    <w:rsid w:val="41D81760"/>
    <w:rsid w:val="41E023C2"/>
    <w:rsid w:val="42084379"/>
    <w:rsid w:val="421D3C7F"/>
    <w:rsid w:val="422B07CD"/>
    <w:rsid w:val="42864D18"/>
    <w:rsid w:val="42A86289"/>
    <w:rsid w:val="42B00439"/>
    <w:rsid w:val="42B21EAA"/>
    <w:rsid w:val="42C13FA2"/>
    <w:rsid w:val="42CC2AB3"/>
    <w:rsid w:val="42CF73F7"/>
    <w:rsid w:val="42D03DA0"/>
    <w:rsid w:val="42D72610"/>
    <w:rsid w:val="43131EE6"/>
    <w:rsid w:val="433D7762"/>
    <w:rsid w:val="43430A4A"/>
    <w:rsid w:val="434705E3"/>
    <w:rsid w:val="43607C5E"/>
    <w:rsid w:val="43666448"/>
    <w:rsid w:val="436E63DE"/>
    <w:rsid w:val="438751EB"/>
    <w:rsid w:val="438A23B4"/>
    <w:rsid w:val="439D1750"/>
    <w:rsid w:val="43A773CB"/>
    <w:rsid w:val="43B96A7B"/>
    <w:rsid w:val="43BD6E5F"/>
    <w:rsid w:val="43C024AB"/>
    <w:rsid w:val="43E94C15"/>
    <w:rsid w:val="43F73ED9"/>
    <w:rsid w:val="44355AA8"/>
    <w:rsid w:val="443C729E"/>
    <w:rsid w:val="44451C12"/>
    <w:rsid w:val="444A2818"/>
    <w:rsid w:val="444F1DC7"/>
    <w:rsid w:val="445F7108"/>
    <w:rsid w:val="449246E4"/>
    <w:rsid w:val="449D459A"/>
    <w:rsid w:val="44C95B78"/>
    <w:rsid w:val="44D206E8"/>
    <w:rsid w:val="451B0E56"/>
    <w:rsid w:val="452E70B8"/>
    <w:rsid w:val="454E4F11"/>
    <w:rsid w:val="455E3F7D"/>
    <w:rsid w:val="4582210E"/>
    <w:rsid w:val="45B366D6"/>
    <w:rsid w:val="45D56C69"/>
    <w:rsid w:val="45E65875"/>
    <w:rsid w:val="45EA7CB3"/>
    <w:rsid w:val="45FE002D"/>
    <w:rsid w:val="460431A2"/>
    <w:rsid w:val="46050C1C"/>
    <w:rsid w:val="46081EE8"/>
    <w:rsid w:val="461735B1"/>
    <w:rsid w:val="463D41CD"/>
    <w:rsid w:val="46465815"/>
    <w:rsid w:val="46537607"/>
    <w:rsid w:val="466E76D5"/>
    <w:rsid w:val="46936F1D"/>
    <w:rsid w:val="469D2830"/>
    <w:rsid w:val="46B96B43"/>
    <w:rsid w:val="46C652A8"/>
    <w:rsid w:val="46D2624B"/>
    <w:rsid w:val="46E2481A"/>
    <w:rsid w:val="4710794C"/>
    <w:rsid w:val="471F7C1B"/>
    <w:rsid w:val="472708D4"/>
    <w:rsid w:val="473236C0"/>
    <w:rsid w:val="477E3F96"/>
    <w:rsid w:val="478832E0"/>
    <w:rsid w:val="47AB5220"/>
    <w:rsid w:val="47AC3472"/>
    <w:rsid w:val="47CE60EA"/>
    <w:rsid w:val="47DF7ED7"/>
    <w:rsid w:val="47E64D41"/>
    <w:rsid w:val="48313A5C"/>
    <w:rsid w:val="48335FFE"/>
    <w:rsid w:val="483C7614"/>
    <w:rsid w:val="485B6BEA"/>
    <w:rsid w:val="48691CFA"/>
    <w:rsid w:val="48735DEA"/>
    <w:rsid w:val="487810AD"/>
    <w:rsid w:val="487F486B"/>
    <w:rsid w:val="48F16047"/>
    <w:rsid w:val="49031920"/>
    <w:rsid w:val="490D6395"/>
    <w:rsid w:val="49232AC5"/>
    <w:rsid w:val="492A016C"/>
    <w:rsid w:val="492A74FC"/>
    <w:rsid w:val="49396F88"/>
    <w:rsid w:val="49413E94"/>
    <w:rsid w:val="494D36F0"/>
    <w:rsid w:val="49574AA0"/>
    <w:rsid w:val="495D0202"/>
    <w:rsid w:val="496C18D9"/>
    <w:rsid w:val="496F0BFB"/>
    <w:rsid w:val="49742AF8"/>
    <w:rsid w:val="499C12C5"/>
    <w:rsid w:val="49BF57C6"/>
    <w:rsid w:val="49C44B93"/>
    <w:rsid w:val="49C820BA"/>
    <w:rsid w:val="49CB1F5C"/>
    <w:rsid w:val="49E54986"/>
    <w:rsid w:val="4A2A42E9"/>
    <w:rsid w:val="4A4A0151"/>
    <w:rsid w:val="4A750CDB"/>
    <w:rsid w:val="4AD60806"/>
    <w:rsid w:val="4AFF742A"/>
    <w:rsid w:val="4B33577B"/>
    <w:rsid w:val="4B8E31F1"/>
    <w:rsid w:val="4BB14812"/>
    <w:rsid w:val="4BBC556E"/>
    <w:rsid w:val="4BFB299C"/>
    <w:rsid w:val="4C383673"/>
    <w:rsid w:val="4C75199E"/>
    <w:rsid w:val="4C927CD7"/>
    <w:rsid w:val="4CAA1F4A"/>
    <w:rsid w:val="4CB17722"/>
    <w:rsid w:val="4CBC0A34"/>
    <w:rsid w:val="4CD9638C"/>
    <w:rsid w:val="4CDD4751"/>
    <w:rsid w:val="4CFB6F22"/>
    <w:rsid w:val="4D113D78"/>
    <w:rsid w:val="4D117102"/>
    <w:rsid w:val="4D155616"/>
    <w:rsid w:val="4D162822"/>
    <w:rsid w:val="4D203439"/>
    <w:rsid w:val="4D392FE6"/>
    <w:rsid w:val="4D490D7E"/>
    <w:rsid w:val="4D77445E"/>
    <w:rsid w:val="4D875CCA"/>
    <w:rsid w:val="4D884E8A"/>
    <w:rsid w:val="4D9C16ED"/>
    <w:rsid w:val="4DC82688"/>
    <w:rsid w:val="4DE9045D"/>
    <w:rsid w:val="4DF2028E"/>
    <w:rsid w:val="4DFC1231"/>
    <w:rsid w:val="4DFE58E7"/>
    <w:rsid w:val="4E1F7453"/>
    <w:rsid w:val="4E35183C"/>
    <w:rsid w:val="4E556430"/>
    <w:rsid w:val="4E5722CC"/>
    <w:rsid w:val="4E606D65"/>
    <w:rsid w:val="4E644E19"/>
    <w:rsid w:val="4E8862BB"/>
    <w:rsid w:val="4E943FA2"/>
    <w:rsid w:val="4E9B444F"/>
    <w:rsid w:val="4EC310A1"/>
    <w:rsid w:val="4EDF0B08"/>
    <w:rsid w:val="4F1060B1"/>
    <w:rsid w:val="4F297098"/>
    <w:rsid w:val="4F45562F"/>
    <w:rsid w:val="4F514F0E"/>
    <w:rsid w:val="4F6B3C13"/>
    <w:rsid w:val="4F887DFB"/>
    <w:rsid w:val="4FBE01E7"/>
    <w:rsid w:val="4FE52E29"/>
    <w:rsid w:val="4FE92CD6"/>
    <w:rsid w:val="4FFF3C47"/>
    <w:rsid w:val="501C5875"/>
    <w:rsid w:val="503251B2"/>
    <w:rsid w:val="50437AB3"/>
    <w:rsid w:val="50504BB7"/>
    <w:rsid w:val="507940AD"/>
    <w:rsid w:val="507D6E7C"/>
    <w:rsid w:val="50AC6291"/>
    <w:rsid w:val="50D50245"/>
    <w:rsid w:val="50E02C92"/>
    <w:rsid w:val="51331F27"/>
    <w:rsid w:val="5150476F"/>
    <w:rsid w:val="51614721"/>
    <w:rsid w:val="51825244"/>
    <w:rsid w:val="51AB0194"/>
    <w:rsid w:val="51AD2D4C"/>
    <w:rsid w:val="51B51175"/>
    <w:rsid w:val="520127A4"/>
    <w:rsid w:val="521B6D15"/>
    <w:rsid w:val="5234560A"/>
    <w:rsid w:val="526B5CD8"/>
    <w:rsid w:val="5277467D"/>
    <w:rsid w:val="5284461E"/>
    <w:rsid w:val="528467AB"/>
    <w:rsid w:val="52943808"/>
    <w:rsid w:val="52976ACD"/>
    <w:rsid w:val="52CE1449"/>
    <w:rsid w:val="52E65954"/>
    <w:rsid w:val="53240FEE"/>
    <w:rsid w:val="533267F6"/>
    <w:rsid w:val="53332C9A"/>
    <w:rsid w:val="533F17A6"/>
    <w:rsid w:val="5361780D"/>
    <w:rsid w:val="53933738"/>
    <w:rsid w:val="53A37F06"/>
    <w:rsid w:val="53AA2830"/>
    <w:rsid w:val="53B569F6"/>
    <w:rsid w:val="53BD2304"/>
    <w:rsid w:val="53C715FD"/>
    <w:rsid w:val="53CE1A02"/>
    <w:rsid w:val="53D36689"/>
    <w:rsid w:val="53DB6E8D"/>
    <w:rsid w:val="54083AFC"/>
    <w:rsid w:val="540A54AC"/>
    <w:rsid w:val="543E2C5B"/>
    <w:rsid w:val="544E6D2D"/>
    <w:rsid w:val="54652B0E"/>
    <w:rsid w:val="546767BB"/>
    <w:rsid w:val="549459BA"/>
    <w:rsid w:val="54E21978"/>
    <w:rsid w:val="54ED5B16"/>
    <w:rsid w:val="54F1641E"/>
    <w:rsid w:val="54F4798A"/>
    <w:rsid w:val="54FA0662"/>
    <w:rsid w:val="54FB2475"/>
    <w:rsid w:val="556507FF"/>
    <w:rsid w:val="556548E3"/>
    <w:rsid w:val="5596490A"/>
    <w:rsid w:val="55B300C2"/>
    <w:rsid w:val="55DE0E66"/>
    <w:rsid w:val="55E71B19"/>
    <w:rsid w:val="55E77D6B"/>
    <w:rsid w:val="566D0271"/>
    <w:rsid w:val="567809C3"/>
    <w:rsid w:val="56954FE3"/>
    <w:rsid w:val="56A57E98"/>
    <w:rsid w:val="56AC2F3A"/>
    <w:rsid w:val="56D4209E"/>
    <w:rsid w:val="56D65986"/>
    <w:rsid w:val="56FA6460"/>
    <w:rsid w:val="573009FF"/>
    <w:rsid w:val="57572833"/>
    <w:rsid w:val="578E2975"/>
    <w:rsid w:val="57A06424"/>
    <w:rsid w:val="57B07464"/>
    <w:rsid w:val="58051478"/>
    <w:rsid w:val="582A3F3F"/>
    <w:rsid w:val="583F2DA5"/>
    <w:rsid w:val="584B5DDC"/>
    <w:rsid w:val="58513A2A"/>
    <w:rsid w:val="58517567"/>
    <w:rsid w:val="585330DD"/>
    <w:rsid w:val="585530D8"/>
    <w:rsid w:val="589361B2"/>
    <w:rsid w:val="58A14202"/>
    <w:rsid w:val="58A61818"/>
    <w:rsid w:val="58B55EFF"/>
    <w:rsid w:val="58E14F46"/>
    <w:rsid w:val="58EA7795"/>
    <w:rsid w:val="58ED18FA"/>
    <w:rsid w:val="58FF53CC"/>
    <w:rsid w:val="59134F4D"/>
    <w:rsid w:val="5915074C"/>
    <w:rsid w:val="59164907"/>
    <w:rsid w:val="591B7ABE"/>
    <w:rsid w:val="59237FBA"/>
    <w:rsid w:val="593257A1"/>
    <w:rsid w:val="59380EDC"/>
    <w:rsid w:val="5942345F"/>
    <w:rsid w:val="59493CEA"/>
    <w:rsid w:val="5957724F"/>
    <w:rsid w:val="596A6DEF"/>
    <w:rsid w:val="59835FFD"/>
    <w:rsid w:val="59A07D9A"/>
    <w:rsid w:val="59A246D5"/>
    <w:rsid w:val="59B241EC"/>
    <w:rsid w:val="59C56616"/>
    <w:rsid w:val="59CE54CA"/>
    <w:rsid w:val="59E53789"/>
    <w:rsid w:val="59ED5EB3"/>
    <w:rsid w:val="5A19426B"/>
    <w:rsid w:val="5A2B2D18"/>
    <w:rsid w:val="5A5E6028"/>
    <w:rsid w:val="5AE71390"/>
    <w:rsid w:val="5AF34AB9"/>
    <w:rsid w:val="5AF745AD"/>
    <w:rsid w:val="5B0D640B"/>
    <w:rsid w:val="5B204DE6"/>
    <w:rsid w:val="5B252030"/>
    <w:rsid w:val="5B323201"/>
    <w:rsid w:val="5B406EB5"/>
    <w:rsid w:val="5B445318"/>
    <w:rsid w:val="5B4D241F"/>
    <w:rsid w:val="5B7B51DE"/>
    <w:rsid w:val="5B8C3B8D"/>
    <w:rsid w:val="5BC87DCC"/>
    <w:rsid w:val="5BD963A8"/>
    <w:rsid w:val="5BDD120C"/>
    <w:rsid w:val="5C313EDB"/>
    <w:rsid w:val="5C3A665D"/>
    <w:rsid w:val="5C4B6232"/>
    <w:rsid w:val="5CA02A22"/>
    <w:rsid w:val="5CBC3D00"/>
    <w:rsid w:val="5D2329C6"/>
    <w:rsid w:val="5D321E7D"/>
    <w:rsid w:val="5D4224B0"/>
    <w:rsid w:val="5D5A7075"/>
    <w:rsid w:val="5D5D0727"/>
    <w:rsid w:val="5D691457"/>
    <w:rsid w:val="5DA27BC8"/>
    <w:rsid w:val="5DAA4675"/>
    <w:rsid w:val="5DAE1293"/>
    <w:rsid w:val="5DB42C29"/>
    <w:rsid w:val="5DFB3A8D"/>
    <w:rsid w:val="5E14191A"/>
    <w:rsid w:val="5E21395C"/>
    <w:rsid w:val="5E483371"/>
    <w:rsid w:val="5E4B6F25"/>
    <w:rsid w:val="5E5E146F"/>
    <w:rsid w:val="5E6531E7"/>
    <w:rsid w:val="5E68756F"/>
    <w:rsid w:val="5E7643F6"/>
    <w:rsid w:val="5E7D16C0"/>
    <w:rsid w:val="5E93037B"/>
    <w:rsid w:val="5E9B66C8"/>
    <w:rsid w:val="5ED03A93"/>
    <w:rsid w:val="5ED34CD2"/>
    <w:rsid w:val="5EE129A8"/>
    <w:rsid w:val="5EFE1787"/>
    <w:rsid w:val="5F0B7749"/>
    <w:rsid w:val="5F0E43C6"/>
    <w:rsid w:val="5F700DD2"/>
    <w:rsid w:val="5F7A1C50"/>
    <w:rsid w:val="5FB61234"/>
    <w:rsid w:val="5FCC0315"/>
    <w:rsid w:val="5FD517CA"/>
    <w:rsid w:val="5FE570CA"/>
    <w:rsid w:val="5FF90F0F"/>
    <w:rsid w:val="60007C87"/>
    <w:rsid w:val="60213E7A"/>
    <w:rsid w:val="60301815"/>
    <w:rsid w:val="60402B0D"/>
    <w:rsid w:val="60410E37"/>
    <w:rsid w:val="60887219"/>
    <w:rsid w:val="60EE49D7"/>
    <w:rsid w:val="60FE3819"/>
    <w:rsid w:val="61251748"/>
    <w:rsid w:val="613A6AB7"/>
    <w:rsid w:val="614618E9"/>
    <w:rsid w:val="617B588D"/>
    <w:rsid w:val="617C7E41"/>
    <w:rsid w:val="61877514"/>
    <w:rsid w:val="61B551C2"/>
    <w:rsid w:val="61BF27FF"/>
    <w:rsid w:val="61E003DC"/>
    <w:rsid w:val="62132194"/>
    <w:rsid w:val="622E2F2E"/>
    <w:rsid w:val="6267026A"/>
    <w:rsid w:val="62CC1457"/>
    <w:rsid w:val="62D55E49"/>
    <w:rsid w:val="62ED58C4"/>
    <w:rsid w:val="62F137BB"/>
    <w:rsid w:val="63230E1D"/>
    <w:rsid w:val="63571628"/>
    <w:rsid w:val="63784BC6"/>
    <w:rsid w:val="637D13E0"/>
    <w:rsid w:val="63870E40"/>
    <w:rsid w:val="63C11BFC"/>
    <w:rsid w:val="63D20D3E"/>
    <w:rsid w:val="63FD189B"/>
    <w:rsid w:val="64117F52"/>
    <w:rsid w:val="641522AE"/>
    <w:rsid w:val="642E2879"/>
    <w:rsid w:val="64416899"/>
    <w:rsid w:val="644B1A3D"/>
    <w:rsid w:val="64616F3B"/>
    <w:rsid w:val="64A42BF4"/>
    <w:rsid w:val="64AA3487"/>
    <w:rsid w:val="64FE67A4"/>
    <w:rsid w:val="652A6061"/>
    <w:rsid w:val="65407FD2"/>
    <w:rsid w:val="65695E6B"/>
    <w:rsid w:val="6582360D"/>
    <w:rsid w:val="65A25A5D"/>
    <w:rsid w:val="65B254B2"/>
    <w:rsid w:val="65C23A09"/>
    <w:rsid w:val="65CE23AE"/>
    <w:rsid w:val="65D25615"/>
    <w:rsid w:val="66111CC1"/>
    <w:rsid w:val="666A3B93"/>
    <w:rsid w:val="667747F4"/>
    <w:rsid w:val="667C005C"/>
    <w:rsid w:val="667F36A5"/>
    <w:rsid w:val="66B71094"/>
    <w:rsid w:val="66C13CC1"/>
    <w:rsid w:val="66D24BCE"/>
    <w:rsid w:val="66D47E50"/>
    <w:rsid w:val="66E60A07"/>
    <w:rsid w:val="66F40A71"/>
    <w:rsid w:val="6712276E"/>
    <w:rsid w:val="672239F7"/>
    <w:rsid w:val="67291AC4"/>
    <w:rsid w:val="674B0565"/>
    <w:rsid w:val="6752386A"/>
    <w:rsid w:val="675309D9"/>
    <w:rsid w:val="678050CC"/>
    <w:rsid w:val="67980242"/>
    <w:rsid w:val="67BF1816"/>
    <w:rsid w:val="67C021CA"/>
    <w:rsid w:val="67D16185"/>
    <w:rsid w:val="681A5D7E"/>
    <w:rsid w:val="68262975"/>
    <w:rsid w:val="68357954"/>
    <w:rsid w:val="683C7AA3"/>
    <w:rsid w:val="68535AE5"/>
    <w:rsid w:val="68961CD2"/>
    <w:rsid w:val="68982E93"/>
    <w:rsid w:val="689E5633"/>
    <w:rsid w:val="68E9374C"/>
    <w:rsid w:val="690A1F36"/>
    <w:rsid w:val="691A5CCE"/>
    <w:rsid w:val="691C4EC9"/>
    <w:rsid w:val="691D22D3"/>
    <w:rsid w:val="694C1F68"/>
    <w:rsid w:val="69BA3375"/>
    <w:rsid w:val="69CA10DE"/>
    <w:rsid w:val="69CC6D87"/>
    <w:rsid w:val="69CC7E83"/>
    <w:rsid w:val="6A1862EE"/>
    <w:rsid w:val="6A292A7E"/>
    <w:rsid w:val="6A3D4905"/>
    <w:rsid w:val="6A4B5B2C"/>
    <w:rsid w:val="6A555EC6"/>
    <w:rsid w:val="6A7A76E2"/>
    <w:rsid w:val="6A987B4F"/>
    <w:rsid w:val="6AC339FA"/>
    <w:rsid w:val="6AC950CE"/>
    <w:rsid w:val="6ACB15B2"/>
    <w:rsid w:val="6AFD21C2"/>
    <w:rsid w:val="6B032AFA"/>
    <w:rsid w:val="6B064992"/>
    <w:rsid w:val="6B160A7F"/>
    <w:rsid w:val="6B252A70"/>
    <w:rsid w:val="6B451364"/>
    <w:rsid w:val="6B797260"/>
    <w:rsid w:val="6B913ABE"/>
    <w:rsid w:val="6BA347D7"/>
    <w:rsid w:val="6BA372CD"/>
    <w:rsid w:val="6BC04E8F"/>
    <w:rsid w:val="6BE04D96"/>
    <w:rsid w:val="6BE62C8F"/>
    <w:rsid w:val="6BEE37AA"/>
    <w:rsid w:val="6BEE7306"/>
    <w:rsid w:val="6BEF1E98"/>
    <w:rsid w:val="6C0B516E"/>
    <w:rsid w:val="6C0F4367"/>
    <w:rsid w:val="6C1A353B"/>
    <w:rsid w:val="6C1E70C4"/>
    <w:rsid w:val="6C44642E"/>
    <w:rsid w:val="6C465394"/>
    <w:rsid w:val="6C4663A0"/>
    <w:rsid w:val="6C490CDB"/>
    <w:rsid w:val="6C67530A"/>
    <w:rsid w:val="6C88548A"/>
    <w:rsid w:val="6CA200F0"/>
    <w:rsid w:val="6CC748E9"/>
    <w:rsid w:val="6CC824F0"/>
    <w:rsid w:val="6CE04363"/>
    <w:rsid w:val="6D1F7993"/>
    <w:rsid w:val="6D5451DF"/>
    <w:rsid w:val="6D77157D"/>
    <w:rsid w:val="6D964261"/>
    <w:rsid w:val="6DBC081E"/>
    <w:rsid w:val="6DE13308"/>
    <w:rsid w:val="6E011A77"/>
    <w:rsid w:val="6E1312A6"/>
    <w:rsid w:val="6E1416C2"/>
    <w:rsid w:val="6E1F5E9D"/>
    <w:rsid w:val="6E3C5272"/>
    <w:rsid w:val="6E4771A1"/>
    <w:rsid w:val="6E694C41"/>
    <w:rsid w:val="6E7251F6"/>
    <w:rsid w:val="6E8134E8"/>
    <w:rsid w:val="6E8F2C15"/>
    <w:rsid w:val="6EA02F71"/>
    <w:rsid w:val="6ED00F45"/>
    <w:rsid w:val="6ED45DEE"/>
    <w:rsid w:val="6ED8296C"/>
    <w:rsid w:val="6EED7D49"/>
    <w:rsid w:val="6EF43B6F"/>
    <w:rsid w:val="6EF924DB"/>
    <w:rsid w:val="6F140344"/>
    <w:rsid w:val="6F1A2538"/>
    <w:rsid w:val="6F2E3EBD"/>
    <w:rsid w:val="6F327E52"/>
    <w:rsid w:val="6F393A21"/>
    <w:rsid w:val="6FD1766A"/>
    <w:rsid w:val="6FEA072C"/>
    <w:rsid w:val="6FF84353"/>
    <w:rsid w:val="6FFD3FBC"/>
    <w:rsid w:val="70412B49"/>
    <w:rsid w:val="70453BB5"/>
    <w:rsid w:val="706338E5"/>
    <w:rsid w:val="70644DAE"/>
    <w:rsid w:val="708C17E3"/>
    <w:rsid w:val="70980188"/>
    <w:rsid w:val="70A32BA5"/>
    <w:rsid w:val="70CF7F90"/>
    <w:rsid w:val="70F47466"/>
    <w:rsid w:val="7108133F"/>
    <w:rsid w:val="711D243B"/>
    <w:rsid w:val="71327FEE"/>
    <w:rsid w:val="71350735"/>
    <w:rsid w:val="714238D8"/>
    <w:rsid w:val="715F2A54"/>
    <w:rsid w:val="715F606F"/>
    <w:rsid w:val="719940C9"/>
    <w:rsid w:val="71D45678"/>
    <w:rsid w:val="71D5087F"/>
    <w:rsid w:val="71D80462"/>
    <w:rsid w:val="71DB4B51"/>
    <w:rsid w:val="721675B7"/>
    <w:rsid w:val="7224182D"/>
    <w:rsid w:val="722A49A9"/>
    <w:rsid w:val="72377F63"/>
    <w:rsid w:val="724C122A"/>
    <w:rsid w:val="72533DC1"/>
    <w:rsid w:val="72555F92"/>
    <w:rsid w:val="727E6B04"/>
    <w:rsid w:val="728642C9"/>
    <w:rsid w:val="72A06510"/>
    <w:rsid w:val="72B15531"/>
    <w:rsid w:val="72E27499"/>
    <w:rsid w:val="72F21DD2"/>
    <w:rsid w:val="72F35B4A"/>
    <w:rsid w:val="73124222"/>
    <w:rsid w:val="7329331A"/>
    <w:rsid w:val="733255BC"/>
    <w:rsid w:val="73425F5E"/>
    <w:rsid w:val="734343DB"/>
    <w:rsid w:val="73740A39"/>
    <w:rsid w:val="73944C37"/>
    <w:rsid w:val="73A47FB1"/>
    <w:rsid w:val="73B16F51"/>
    <w:rsid w:val="73CF1C69"/>
    <w:rsid w:val="73D32BDA"/>
    <w:rsid w:val="73E839E9"/>
    <w:rsid w:val="73FE1225"/>
    <w:rsid w:val="74013BB9"/>
    <w:rsid w:val="746D70CC"/>
    <w:rsid w:val="747E2C1B"/>
    <w:rsid w:val="74B86703"/>
    <w:rsid w:val="74D23F70"/>
    <w:rsid w:val="75014F15"/>
    <w:rsid w:val="752419D7"/>
    <w:rsid w:val="75271A80"/>
    <w:rsid w:val="75491CFB"/>
    <w:rsid w:val="75721713"/>
    <w:rsid w:val="75740EEC"/>
    <w:rsid w:val="75834F63"/>
    <w:rsid w:val="75D27282"/>
    <w:rsid w:val="75F538F5"/>
    <w:rsid w:val="7636454B"/>
    <w:rsid w:val="7642615E"/>
    <w:rsid w:val="76B850E0"/>
    <w:rsid w:val="76B85575"/>
    <w:rsid w:val="76BF646F"/>
    <w:rsid w:val="76C10F02"/>
    <w:rsid w:val="76D637B8"/>
    <w:rsid w:val="76DE4B6E"/>
    <w:rsid w:val="76ED694A"/>
    <w:rsid w:val="76F30419"/>
    <w:rsid w:val="77057056"/>
    <w:rsid w:val="77104B35"/>
    <w:rsid w:val="77143A5D"/>
    <w:rsid w:val="77244BFC"/>
    <w:rsid w:val="77461575"/>
    <w:rsid w:val="77594F11"/>
    <w:rsid w:val="776C5A59"/>
    <w:rsid w:val="778C0D80"/>
    <w:rsid w:val="778D031B"/>
    <w:rsid w:val="77935205"/>
    <w:rsid w:val="77986BC8"/>
    <w:rsid w:val="77A45665"/>
    <w:rsid w:val="77AF64E3"/>
    <w:rsid w:val="77B05304"/>
    <w:rsid w:val="77B57CE6"/>
    <w:rsid w:val="77DE2925"/>
    <w:rsid w:val="77EB7AA5"/>
    <w:rsid w:val="780402C7"/>
    <w:rsid w:val="780F615D"/>
    <w:rsid w:val="78201591"/>
    <w:rsid w:val="782F13D2"/>
    <w:rsid w:val="784E5A5A"/>
    <w:rsid w:val="7851759A"/>
    <w:rsid w:val="785B407B"/>
    <w:rsid w:val="786A6D08"/>
    <w:rsid w:val="78704614"/>
    <w:rsid w:val="789E3E62"/>
    <w:rsid w:val="78C338C8"/>
    <w:rsid w:val="78C57641"/>
    <w:rsid w:val="78CC0BF2"/>
    <w:rsid w:val="78CC4062"/>
    <w:rsid w:val="78D02E56"/>
    <w:rsid w:val="78E528CF"/>
    <w:rsid w:val="78F229ED"/>
    <w:rsid w:val="79136646"/>
    <w:rsid w:val="79162B8A"/>
    <w:rsid w:val="791B3F55"/>
    <w:rsid w:val="793F73F3"/>
    <w:rsid w:val="797509D8"/>
    <w:rsid w:val="797732C8"/>
    <w:rsid w:val="799004E1"/>
    <w:rsid w:val="79927E6B"/>
    <w:rsid w:val="79974D45"/>
    <w:rsid w:val="799F7E92"/>
    <w:rsid w:val="79A07CA5"/>
    <w:rsid w:val="79A13C0A"/>
    <w:rsid w:val="79BE30F6"/>
    <w:rsid w:val="79EB7C9F"/>
    <w:rsid w:val="7A0454AF"/>
    <w:rsid w:val="7A0559C3"/>
    <w:rsid w:val="7A3C0C45"/>
    <w:rsid w:val="7A57474E"/>
    <w:rsid w:val="7A6D3537"/>
    <w:rsid w:val="7A7916E3"/>
    <w:rsid w:val="7A8C48BA"/>
    <w:rsid w:val="7A8F43F6"/>
    <w:rsid w:val="7A902877"/>
    <w:rsid w:val="7A9919F6"/>
    <w:rsid w:val="7AB006D4"/>
    <w:rsid w:val="7AB13920"/>
    <w:rsid w:val="7AF34939"/>
    <w:rsid w:val="7B1F195E"/>
    <w:rsid w:val="7B34454B"/>
    <w:rsid w:val="7B663449"/>
    <w:rsid w:val="7B6A4338"/>
    <w:rsid w:val="7B92179E"/>
    <w:rsid w:val="7BC6204D"/>
    <w:rsid w:val="7C073499"/>
    <w:rsid w:val="7C1250F1"/>
    <w:rsid w:val="7C17080E"/>
    <w:rsid w:val="7C2030C7"/>
    <w:rsid w:val="7C431BF7"/>
    <w:rsid w:val="7C703D67"/>
    <w:rsid w:val="7C727ADF"/>
    <w:rsid w:val="7C8E5421"/>
    <w:rsid w:val="7CA45F2E"/>
    <w:rsid w:val="7CAB2FF1"/>
    <w:rsid w:val="7CBF668F"/>
    <w:rsid w:val="7CC12815"/>
    <w:rsid w:val="7CD01A47"/>
    <w:rsid w:val="7CD96F6C"/>
    <w:rsid w:val="7CF3550E"/>
    <w:rsid w:val="7CF924FC"/>
    <w:rsid w:val="7D323EBA"/>
    <w:rsid w:val="7D5108F8"/>
    <w:rsid w:val="7D951CD7"/>
    <w:rsid w:val="7DA47A2D"/>
    <w:rsid w:val="7DAA514E"/>
    <w:rsid w:val="7DBD3EFF"/>
    <w:rsid w:val="7DBF3CF0"/>
    <w:rsid w:val="7DD35D25"/>
    <w:rsid w:val="7DF74740"/>
    <w:rsid w:val="7E102093"/>
    <w:rsid w:val="7E130E4E"/>
    <w:rsid w:val="7E2450D6"/>
    <w:rsid w:val="7E7A6445"/>
    <w:rsid w:val="7E991289"/>
    <w:rsid w:val="7EA67F14"/>
    <w:rsid w:val="7EBF5060"/>
    <w:rsid w:val="7EE46793"/>
    <w:rsid w:val="7EE93FF0"/>
    <w:rsid w:val="7EF5162C"/>
    <w:rsid w:val="7EFD0F9F"/>
    <w:rsid w:val="7EFD4ED5"/>
    <w:rsid w:val="7F006CDF"/>
    <w:rsid w:val="7F2F3A64"/>
    <w:rsid w:val="7F3C2B68"/>
    <w:rsid w:val="7F546320"/>
    <w:rsid w:val="7F607B76"/>
    <w:rsid w:val="7F730305"/>
    <w:rsid w:val="7F761695"/>
    <w:rsid w:val="7F9B734D"/>
    <w:rsid w:val="7FC15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0"/>
    <w:pPr>
      <w:keepNext/>
      <w:keepLines/>
      <w:snapToGrid w:val="0"/>
      <w:spacing w:before="60" w:after="120" w:line="400" w:lineRule="exact"/>
      <w:jc w:val="left"/>
      <w:outlineLvl w:val="2"/>
    </w:pPr>
    <w:rPr>
      <w:rFonts w:ascii="Times New Roman" w:hAnsi="Times New Roman" w:eastAsia="黑体"/>
      <w:szCs w:val="20"/>
    </w:rPr>
  </w:style>
  <w:style w:type="paragraph" w:styleId="2">
    <w:name w:val="heading 4"/>
    <w:basedOn w:val="1"/>
    <w:next w:val="1"/>
    <w:semiHidden/>
    <w:unhideWhenUsed/>
    <w:qFormat/>
    <w:uiPriority w:val="0"/>
    <w:pPr>
      <w:keepNext/>
      <w:keepLines/>
      <w:spacing w:before="280" w:after="290" w:line="376" w:lineRule="auto"/>
      <w:outlineLvl w:val="3"/>
    </w:pPr>
    <w:rPr>
      <w:rFonts w:ascii="Cambria" w:hAnsi="Cambria"/>
      <w:b/>
      <w:bCs/>
      <w:sz w:val="28"/>
      <w:szCs w:val="28"/>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6">
    <w:name w:val="List 3"/>
    <w:basedOn w:val="1"/>
    <w:qFormat/>
    <w:uiPriority w:val="0"/>
    <w:pPr>
      <w:ind w:left="100" w:leftChars="400" w:hanging="200" w:hangingChars="200"/>
    </w:pPr>
  </w:style>
  <w:style w:type="paragraph" w:styleId="7">
    <w:name w:val="Normal Indent"/>
    <w:basedOn w:val="1"/>
    <w:next w:val="8"/>
    <w:qFormat/>
    <w:uiPriority w:val="0"/>
    <w:pPr>
      <w:ind w:firstLine="200"/>
    </w:pPr>
    <w:rPr>
      <w:sz w:val="28"/>
    </w:rPr>
  </w:style>
  <w:style w:type="paragraph" w:styleId="8">
    <w:name w:val="Body Text 2"/>
    <w:basedOn w:val="1"/>
    <w:next w:val="1"/>
    <w:unhideWhenUsed/>
    <w:qFormat/>
    <w:uiPriority w:val="0"/>
    <w:pPr>
      <w:spacing w:after="120" w:line="480" w:lineRule="auto"/>
    </w:pPr>
    <w:rPr>
      <w:kern w:val="0"/>
      <w:sz w:val="24"/>
      <w:szCs w:val="20"/>
    </w:rPr>
  </w:style>
  <w:style w:type="paragraph" w:styleId="9">
    <w:name w:val="toa heading"/>
    <w:basedOn w:val="1"/>
    <w:next w:val="1"/>
    <w:qFormat/>
    <w:uiPriority w:val="0"/>
    <w:pPr>
      <w:spacing w:before="120" w:beforeLines="0" w:beforeAutospacing="0"/>
    </w:pPr>
    <w:rPr>
      <w:rFonts w:ascii="Arial" w:hAnsi="Arial"/>
      <w:sz w:val="24"/>
    </w:rPr>
  </w:style>
  <w:style w:type="paragraph" w:styleId="10">
    <w:name w:val="annotation text"/>
    <w:basedOn w:val="1"/>
    <w:qFormat/>
    <w:uiPriority w:val="0"/>
    <w:pPr>
      <w:jc w:val="left"/>
    </w:pPr>
  </w:style>
  <w:style w:type="paragraph" w:styleId="11">
    <w:name w:val="Salutation"/>
    <w:basedOn w:val="1"/>
    <w:next w:val="1"/>
    <w:qFormat/>
    <w:uiPriority w:val="0"/>
    <w:rPr>
      <w:sz w:val="28"/>
      <w:szCs w:val="20"/>
    </w:rPr>
  </w:style>
  <w:style w:type="paragraph" w:styleId="12">
    <w:name w:val="Body Text"/>
    <w:basedOn w:val="1"/>
    <w:next w:val="1"/>
    <w:qFormat/>
    <w:uiPriority w:val="0"/>
    <w:pPr>
      <w:widowControl/>
      <w:snapToGrid w:val="0"/>
      <w:spacing w:before="60" w:after="160" w:line="259" w:lineRule="auto"/>
      <w:ind w:right="113"/>
    </w:pPr>
    <w:rPr>
      <w:kern w:val="0"/>
      <w:sz w:val="18"/>
      <w:szCs w:val="20"/>
    </w:rPr>
  </w:style>
  <w:style w:type="paragraph" w:styleId="13">
    <w:name w:val="Body Text Indent"/>
    <w:basedOn w:val="1"/>
    <w:next w:val="14"/>
    <w:qFormat/>
    <w:uiPriority w:val="0"/>
    <w:pPr>
      <w:spacing w:after="120"/>
      <w:ind w:left="420" w:leftChars="200"/>
    </w:pPr>
    <w:rPr>
      <w:kern w:val="0"/>
      <w:sz w:val="24"/>
      <w:szCs w:val="20"/>
    </w:rPr>
  </w:style>
  <w:style w:type="paragraph" w:styleId="14">
    <w:name w:val="Body Text Indent 2"/>
    <w:basedOn w:val="1"/>
    <w:next w:val="15"/>
    <w:qFormat/>
    <w:uiPriority w:val="0"/>
    <w:pPr>
      <w:spacing w:line="620" w:lineRule="exact"/>
      <w:ind w:firstLine="570"/>
    </w:pPr>
  </w:style>
  <w:style w:type="paragraph" w:styleId="15">
    <w:name w:val="Body Text First Indent 2"/>
    <w:basedOn w:val="13"/>
    <w:next w:val="1"/>
    <w:qFormat/>
    <w:uiPriority w:val="99"/>
    <w:pPr>
      <w:adjustRightInd w:val="0"/>
      <w:snapToGrid w:val="0"/>
      <w:ind w:firstLine="420" w:firstLineChars="200"/>
    </w:pPr>
    <w:rPr>
      <w:rFonts w:ascii="Tahoma" w:hAnsi="Tahoma"/>
    </w:rPr>
  </w:style>
  <w:style w:type="paragraph" w:styleId="16">
    <w:name w:val="Block Text"/>
    <w:basedOn w:val="1"/>
    <w:qFormat/>
    <w:uiPriority w:val="0"/>
    <w:pPr>
      <w:adjustRightInd w:val="0"/>
      <w:snapToGrid w:val="0"/>
      <w:spacing w:line="490" w:lineRule="atLeast"/>
      <w:ind w:left="10" w:leftChars="5" w:right="-449" w:rightChars="-214" w:firstLine="560" w:firstLineChars="200"/>
    </w:pPr>
    <w:rPr>
      <w:color w:val="000000"/>
      <w:sz w:val="28"/>
    </w:rPr>
  </w:style>
  <w:style w:type="paragraph" w:styleId="17">
    <w:name w:val="Plain Text"/>
    <w:basedOn w:val="1"/>
    <w:qFormat/>
    <w:uiPriority w:val="0"/>
    <w:rPr>
      <w:rFonts w:ascii="宋体" w:hAnsi="Courier New"/>
      <w:szCs w:val="20"/>
    </w:rPr>
  </w:style>
  <w:style w:type="paragraph" w:styleId="18">
    <w:name w:val="Date"/>
    <w:basedOn w:val="1"/>
    <w:next w:val="1"/>
    <w:qFormat/>
    <w:uiPriority w:val="0"/>
    <w:pPr>
      <w:ind w:left="100" w:leftChars="2500"/>
    </w:pPr>
    <w:rPr>
      <w:kern w:val="0"/>
      <w:sz w:val="24"/>
      <w:szCs w:val="20"/>
    </w:rPr>
  </w:style>
  <w:style w:type="paragraph" w:styleId="19">
    <w:name w:val="footer"/>
    <w:basedOn w:val="1"/>
    <w:qFormat/>
    <w:uiPriority w:val="99"/>
    <w:pPr>
      <w:tabs>
        <w:tab w:val="center" w:pos="4153"/>
        <w:tab w:val="right" w:pos="8306"/>
      </w:tabs>
      <w:snapToGrid w:val="0"/>
      <w:jc w:val="left"/>
    </w:pPr>
    <w:rPr>
      <w:kern w:val="0"/>
      <w:sz w:val="18"/>
      <w:szCs w:val="20"/>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rPr>
  </w:style>
  <w:style w:type="paragraph" w:styleId="21">
    <w:name w:val="toc 1"/>
    <w:basedOn w:val="1"/>
    <w:next w:val="1"/>
    <w:qFormat/>
    <w:uiPriority w:val="0"/>
    <w:pPr>
      <w:tabs>
        <w:tab w:val="center" w:pos="9000"/>
      </w:tabs>
      <w:snapToGrid w:val="0"/>
      <w:spacing w:line="305" w:lineRule="auto"/>
    </w:pPr>
    <w:rPr>
      <w:rFonts w:eastAsia="黑体"/>
      <w:caps/>
      <w:sz w:val="32"/>
      <w:szCs w:val="32"/>
    </w:rPr>
  </w:style>
  <w:style w:type="paragraph" w:styleId="22">
    <w:name w:val="index heading"/>
    <w:basedOn w:val="1"/>
    <w:next w:val="23"/>
    <w:qFormat/>
    <w:uiPriority w:val="0"/>
    <w:pPr>
      <w:spacing w:line="480" w:lineRule="exact"/>
    </w:pPr>
    <w:rPr>
      <w:rFonts w:ascii="Arial" w:hAnsi="Arial" w:cs="Arial"/>
      <w:b/>
      <w:bCs/>
      <w:sz w:val="24"/>
      <w:szCs w:val="20"/>
    </w:rPr>
  </w:style>
  <w:style w:type="paragraph" w:styleId="23">
    <w:name w:val="index 1"/>
    <w:basedOn w:val="1"/>
    <w:next w:val="1"/>
    <w:qFormat/>
    <w:uiPriority w:val="0"/>
  </w:style>
  <w:style w:type="paragraph" w:styleId="24">
    <w:name w:val="List"/>
    <w:basedOn w:val="1"/>
    <w:qFormat/>
    <w:uiPriority w:val="0"/>
    <w:pPr>
      <w:ind w:left="200" w:hanging="200" w:hangingChars="200"/>
      <w:jc w:val="left"/>
    </w:pPr>
    <w:rPr>
      <w:rFonts w:cs="宋体"/>
    </w:rPr>
  </w:style>
  <w:style w:type="paragraph" w:styleId="25">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6">
    <w:name w:val="Title"/>
    <w:basedOn w:val="1"/>
    <w:qFormat/>
    <w:uiPriority w:val="1"/>
    <w:pPr>
      <w:spacing w:before="22"/>
      <w:ind w:left="220"/>
    </w:pPr>
    <w:rPr>
      <w:b/>
      <w:bCs/>
      <w:sz w:val="36"/>
      <w:szCs w:val="36"/>
    </w:rPr>
  </w:style>
  <w:style w:type="paragraph" w:styleId="27">
    <w:name w:val="Body Text First Indent"/>
    <w:basedOn w:val="12"/>
    <w:next w:val="1"/>
    <w:qFormat/>
    <w:uiPriority w:val="0"/>
    <w:pPr>
      <w:widowControl w:val="0"/>
      <w:snapToGrid/>
      <w:spacing w:before="0" w:after="120" w:line="240" w:lineRule="auto"/>
      <w:ind w:right="0" w:firstLine="420" w:firstLineChars="100"/>
    </w:pPr>
    <w:rPr>
      <w:kern w:val="2"/>
      <w:sz w:val="21"/>
      <w:szCs w:val="24"/>
    </w:rPr>
  </w:style>
  <w:style w:type="table" w:styleId="29">
    <w:name w:val="Table Grid"/>
    <w:basedOn w:val="2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basedOn w:val="30"/>
    <w:qFormat/>
    <w:uiPriority w:val="0"/>
  </w:style>
  <w:style w:type="character" w:styleId="33">
    <w:name w:val="Hyperlink"/>
    <w:qFormat/>
    <w:uiPriority w:val="99"/>
    <w:rPr>
      <w:color w:val="0084FF"/>
      <w:u w:val="none"/>
    </w:rPr>
  </w:style>
  <w:style w:type="character" w:styleId="34">
    <w:name w:val="annotation reference"/>
    <w:semiHidden/>
    <w:qFormat/>
    <w:uiPriority w:val="0"/>
    <w:rPr>
      <w:sz w:val="21"/>
    </w:rPr>
  </w:style>
  <w:style w:type="paragraph" w:customStyle="1" w:styleId="35">
    <w:name w:val="xl27"/>
    <w:basedOn w:val="1"/>
    <w:next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34"/>
      <w:szCs w:val="20"/>
    </w:rPr>
  </w:style>
  <w:style w:type="paragraph" w:customStyle="1" w:styleId="36">
    <w:name w:val="样式 正文文本缩进 + 行距: 1.5 倍行距"/>
    <w:basedOn w:val="37"/>
    <w:next w:val="1"/>
    <w:qFormat/>
    <w:uiPriority w:val="0"/>
    <w:pPr>
      <w:ind w:left="90" w:leftChars="32" w:firstLine="560"/>
    </w:pPr>
  </w:style>
  <w:style w:type="paragraph" w:customStyle="1" w:styleId="37">
    <w:name w:val="正文文本缩进1"/>
    <w:basedOn w:val="1"/>
    <w:next w:val="36"/>
    <w:autoRedefine/>
    <w:qFormat/>
    <w:uiPriority w:val="0"/>
    <w:pPr>
      <w:spacing w:after="120"/>
      <w:ind w:left="420" w:leftChars="200"/>
    </w:pPr>
    <w:rPr>
      <w:sz w:val="24"/>
    </w:rPr>
  </w:style>
  <w:style w:type="paragraph" w:customStyle="1" w:styleId="38">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color w:val="000000"/>
      <w:sz w:val="28"/>
      <w:lang w:val="en-US" w:eastAsia="zh-CN" w:bidi="ar-SA"/>
    </w:rPr>
  </w:style>
  <w:style w:type="paragraph" w:customStyle="1" w:styleId="39">
    <w:name w:val="Default"/>
    <w:basedOn w:val="40"/>
    <w:next w:val="4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0">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1">
    <w:name w:val="样式3"/>
    <w:basedOn w:val="21"/>
    <w:next w:val="42"/>
    <w:qFormat/>
    <w:uiPriority w:val="0"/>
    <w:pPr>
      <w:widowControl w:val="0"/>
      <w:autoSpaceDE w:val="0"/>
      <w:autoSpaceDN w:val="0"/>
      <w:snapToGrid w:val="0"/>
      <w:spacing w:before="120" w:line="460" w:lineRule="atLeast"/>
      <w:jc w:val="center"/>
    </w:pPr>
    <w:rPr>
      <w:rFonts w:eastAsia="黑体"/>
      <w:kern w:val="2"/>
      <w:sz w:val="28"/>
      <w:szCs w:val="24"/>
    </w:rPr>
  </w:style>
  <w:style w:type="paragraph" w:customStyle="1" w:styleId="42">
    <w:name w:val="目录 53"/>
    <w:basedOn w:val="1"/>
    <w:next w:val="1"/>
    <w:qFormat/>
    <w:uiPriority w:val="0"/>
    <w:pPr>
      <w:ind w:left="840"/>
    </w:pPr>
    <w:rPr>
      <w:rFonts w:cs="宋体"/>
      <w:color w:val="000000"/>
    </w:rPr>
  </w:style>
  <w:style w:type="paragraph" w:customStyle="1" w:styleId="43">
    <w:name w:val="纯文本1"/>
    <w:basedOn w:val="1"/>
    <w:qFormat/>
    <w:uiPriority w:val="0"/>
    <w:pPr>
      <w:adjustRightInd w:val="0"/>
    </w:pPr>
    <w:rPr>
      <w:rFonts w:ascii="宋体" w:hAnsi="Courier New"/>
      <w:szCs w:val="20"/>
    </w:rPr>
  </w:style>
  <w:style w:type="paragraph" w:customStyle="1" w:styleId="44">
    <w:name w:val="文本"/>
    <w:basedOn w:val="1"/>
    <w:next w:val="1"/>
    <w:qFormat/>
    <w:uiPriority w:val="0"/>
    <w:pPr>
      <w:autoSpaceDE w:val="0"/>
      <w:autoSpaceDN w:val="0"/>
      <w:ind w:firstLine="480"/>
    </w:pPr>
    <w:rPr>
      <w:lang w:val="zh-CN"/>
    </w:rPr>
  </w:style>
  <w:style w:type="paragraph" w:customStyle="1" w:styleId="45">
    <w:name w:val="1正文段落"/>
    <w:basedOn w:val="1"/>
    <w:qFormat/>
    <w:uiPriority w:val="0"/>
    <w:pPr>
      <w:ind w:firstLine="480"/>
      <w:jc w:val="left"/>
    </w:pPr>
    <w:rPr>
      <w:kern w:val="0"/>
      <w:szCs w:val="20"/>
    </w:rPr>
  </w:style>
  <w:style w:type="paragraph" w:customStyle="1" w:styleId="46">
    <w:name w:val="标题2"/>
    <w:basedOn w:val="4"/>
    <w:qFormat/>
    <w:uiPriority w:val="0"/>
    <w:pPr>
      <w:keepLines w:val="0"/>
      <w:adjustRightInd w:val="0"/>
      <w:snapToGrid w:val="0"/>
      <w:spacing w:before="0" w:after="0" w:line="360" w:lineRule="auto"/>
    </w:pPr>
    <w:rPr>
      <w:rFonts w:ascii="黑体" w:hAnsi="Times New Roman"/>
      <w:snapToGrid w:val="0"/>
      <w:kern w:val="0"/>
      <w:sz w:val="24"/>
      <w:szCs w:val="20"/>
    </w:rPr>
  </w:style>
  <w:style w:type="paragraph" w:customStyle="1" w:styleId="47">
    <w:name w:val="样式1"/>
    <w:basedOn w:val="22"/>
    <w:next w:val="16"/>
    <w:qFormat/>
    <w:uiPriority w:val="0"/>
    <w:pPr>
      <w:snapToGrid w:val="0"/>
      <w:jc w:val="center"/>
    </w:pPr>
    <w:rPr>
      <w:rFonts w:ascii="宋体" w:eastAsia="宋体"/>
      <w:sz w:val="21"/>
    </w:rPr>
  </w:style>
  <w:style w:type="paragraph" w:customStyle="1" w:styleId="48">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49">
    <w:name w:val="正文 4"/>
    <w:basedOn w:val="1"/>
    <w:qFormat/>
    <w:uiPriority w:val="0"/>
    <w:pPr>
      <w:autoSpaceDE w:val="0"/>
      <w:autoSpaceDN w:val="0"/>
      <w:adjustRightInd w:val="0"/>
      <w:snapToGrid w:val="0"/>
      <w:spacing w:line="360" w:lineRule="auto"/>
      <w:ind w:firstLine="480" w:firstLineChars="200"/>
    </w:pPr>
    <w:rPr>
      <w:bCs/>
      <w:kern w:val="0"/>
      <w:sz w:val="24"/>
    </w:rPr>
  </w:style>
  <w:style w:type="paragraph" w:customStyle="1" w:styleId="50">
    <w:name w:val="报告书正文"/>
    <w:basedOn w:val="1"/>
    <w:qFormat/>
    <w:uiPriority w:val="0"/>
    <w:pPr>
      <w:autoSpaceDE w:val="0"/>
      <w:autoSpaceDN w:val="0"/>
      <w:spacing w:line="520" w:lineRule="exact"/>
      <w:ind w:firstLine="200" w:firstLineChars="200"/>
    </w:pPr>
    <w:rPr>
      <w:sz w:val="28"/>
      <w:szCs w:val="28"/>
    </w:rPr>
  </w:style>
  <w:style w:type="paragraph" w:customStyle="1" w:styleId="51">
    <w:name w:val="0正文"/>
    <w:basedOn w:val="25"/>
    <w:qFormat/>
    <w:uiPriority w:val="0"/>
    <w:pPr>
      <w:spacing w:before="0" w:beforeAutospacing="0" w:after="0" w:afterAutospacing="0" w:line="360" w:lineRule="auto"/>
      <w:ind w:firstLine="482"/>
      <w:jc w:val="both"/>
    </w:pPr>
    <w:rPr>
      <w:rFonts w:ascii="Calibri" w:hAnsi="Calibri" w:eastAsia="Arial Unicode MS"/>
      <w:kern w:val="2"/>
    </w:rPr>
  </w:style>
  <w:style w:type="paragraph" w:customStyle="1" w:styleId="52">
    <w:name w:val="表格内容"/>
    <w:basedOn w:val="53"/>
    <w:next w:val="1"/>
    <w:qFormat/>
    <w:uiPriority w:val="0"/>
    <w:pPr>
      <w:spacing w:line="240" w:lineRule="atLeast"/>
    </w:pPr>
    <w:rPr>
      <w:rFonts w:eastAsia="宋体"/>
      <w:sz w:val="21"/>
    </w:rPr>
  </w:style>
  <w:style w:type="paragraph" w:customStyle="1" w:styleId="53">
    <w:name w:val="表格标题"/>
    <w:basedOn w:val="12"/>
    <w:next w:val="52"/>
    <w:qFormat/>
    <w:uiPriority w:val="0"/>
    <w:pPr>
      <w:spacing w:line="360" w:lineRule="auto"/>
      <w:jc w:val="center"/>
    </w:pPr>
    <w:rPr>
      <w:rFonts w:eastAsia="黑体"/>
      <w:sz w:val="24"/>
      <w:szCs w:val="20"/>
    </w:rPr>
  </w:style>
  <w:style w:type="paragraph" w:customStyle="1" w:styleId="54">
    <w:name w:val="表内容"/>
    <w:basedOn w:val="1"/>
    <w:next w:val="1"/>
    <w:qFormat/>
    <w:uiPriority w:val="0"/>
    <w:pPr>
      <w:spacing w:line="360" w:lineRule="exact"/>
      <w:jc w:val="center"/>
    </w:pPr>
    <w:rPr>
      <w:szCs w:val="21"/>
    </w:rPr>
  </w:style>
  <w:style w:type="paragraph" w:customStyle="1" w:styleId="55">
    <w:name w:val="正文1"/>
    <w:basedOn w:val="1"/>
    <w:qFormat/>
    <w:uiPriority w:val="0"/>
    <w:pPr>
      <w:widowControl/>
      <w:adjustRightInd w:val="0"/>
      <w:snapToGrid w:val="0"/>
      <w:spacing w:line="480" w:lineRule="exact"/>
      <w:ind w:firstLine="200" w:firstLineChars="200"/>
      <w:jc w:val="left"/>
    </w:pPr>
    <w:rPr>
      <w:sz w:val="24"/>
    </w:rPr>
  </w:style>
  <w:style w:type="paragraph" w:styleId="56">
    <w:name w:val="List Paragraph"/>
    <w:basedOn w:val="1"/>
    <w:qFormat/>
    <w:uiPriority w:val="99"/>
    <w:pPr>
      <w:ind w:firstLine="420" w:firstLineChars="200"/>
    </w:pPr>
  </w:style>
  <w:style w:type="paragraph" w:customStyle="1" w:styleId="57">
    <w:name w:val="D图表内容"/>
    <w:basedOn w:val="1"/>
    <w:next w:val="1"/>
    <w:qFormat/>
    <w:uiPriority w:val="0"/>
    <w:pPr>
      <w:widowControl/>
      <w:jc w:val="center"/>
    </w:pPr>
    <w:rPr>
      <w:szCs w:val="18"/>
    </w:rPr>
  </w:style>
  <w:style w:type="paragraph" w:customStyle="1" w:styleId="58">
    <w:name w:val="表格"/>
    <w:basedOn w:val="7"/>
    <w:next w:val="1"/>
    <w:qFormat/>
    <w:uiPriority w:val="0"/>
    <w:pPr>
      <w:adjustRightInd w:val="0"/>
      <w:snapToGrid w:val="0"/>
      <w:spacing w:beforeLines="10" w:afterLines="10" w:line="259" w:lineRule="auto"/>
      <w:jc w:val="center"/>
    </w:pPr>
    <w:rPr>
      <w:rFonts w:ascii="宋体"/>
      <w:kern w:val="0"/>
      <w:szCs w:val="20"/>
    </w:rPr>
  </w:style>
  <w:style w:type="paragraph" w:customStyle="1" w:styleId="59">
    <w:name w:val="表格式"/>
    <w:basedOn w:val="24"/>
    <w:qFormat/>
    <w:uiPriority w:val="0"/>
    <w:pPr>
      <w:spacing w:before="60" w:after="100" w:line="320" w:lineRule="exact"/>
      <w:ind w:left="0" w:firstLine="0" w:firstLineChars="0"/>
      <w:jc w:val="center"/>
    </w:pPr>
    <w:rPr>
      <w:rFonts w:ascii="宋体" w:hAnsi="Brush Script MT"/>
      <w:szCs w:val="20"/>
    </w:rPr>
  </w:style>
  <w:style w:type="character" w:customStyle="1" w:styleId="60">
    <w:name w:val="标题 2 Char Char"/>
    <w:qFormat/>
    <w:uiPriority w:val="0"/>
    <w:rPr>
      <w:rFonts w:eastAsia="宋体"/>
      <w:b/>
      <w:sz w:val="24"/>
      <w:lang w:val="en-US" w:eastAsia="zh-CN" w:bidi="ar-SA"/>
    </w:rPr>
  </w:style>
  <w:style w:type="paragraph" w:customStyle="1" w:styleId="61">
    <w:name w:val="中文报告书样式"/>
    <w:basedOn w:val="1"/>
    <w:qFormat/>
    <w:uiPriority w:val="99"/>
    <w:pPr>
      <w:adjustRightInd w:val="0"/>
      <w:spacing w:line="480" w:lineRule="atLeast"/>
      <w:ind w:firstLine="482"/>
      <w:textAlignment w:val="baseline"/>
    </w:pPr>
    <w:rPr>
      <w:kern w:val="24"/>
      <w:sz w:val="24"/>
      <w:szCs w:val="24"/>
    </w:rPr>
  </w:style>
  <w:style w:type="paragraph" w:customStyle="1" w:styleId="62">
    <w:name w:val="li_正文"/>
    <w:basedOn w:val="1"/>
    <w:qFormat/>
    <w:uiPriority w:val="0"/>
    <w:pPr>
      <w:tabs>
        <w:tab w:val="left" w:pos="2340"/>
        <w:tab w:val="left" w:pos="4320"/>
      </w:tabs>
      <w:ind w:firstLine="530"/>
    </w:pPr>
    <w:rPr>
      <w:sz w:val="28"/>
      <w:szCs w:val="28"/>
    </w:rPr>
  </w:style>
  <w:style w:type="paragraph" w:customStyle="1" w:styleId="63">
    <w:name w:val="标题三三"/>
    <w:basedOn w:val="64"/>
    <w:next w:val="1"/>
    <w:qFormat/>
    <w:uiPriority w:val="0"/>
    <w:pPr>
      <w:spacing w:before="240" w:after="120"/>
      <w:outlineLvl w:val="2"/>
    </w:pPr>
    <w:rPr>
      <w:sz w:val="28"/>
    </w:rPr>
  </w:style>
  <w:style w:type="paragraph" w:customStyle="1" w:styleId="64">
    <w:name w:val="标题二二"/>
    <w:basedOn w:val="65"/>
    <w:next w:val="1"/>
    <w:qFormat/>
    <w:uiPriority w:val="0"/>
    <w:pPr>
      <w:spacing w:before="360" w:after="360"/>
      <w:outlineLvl w:val="1"/>
    </w:pPr>
    <w:rPr>
      <w:sz w:val="32"/>
    </w:rPr>
  </w:style>
  <w:style w:type="paragraph" w:customStyle="1" w:styleId="65">
    <w:name w:val="标题一一"/>
    <w:basedOn w:val="1"/>
    <w:next w:val="1"/>
    <w:qFormat/>
    <w:uiPriority w:val="0"/>
    <w:pPr>
      <w:spacing w:before="960" w:after="480"/>
      <w:jc w:val="left"/>
      <w:outlineLvl w:val="0"/>
    </w:pPr>
    <w:rPr>
      <w:rFonts w:eastAsia="黑体"/>
      <w:sz w:val="44"/>
    </w:rPr>
  </w:style>
  <w:style w:type="paragraph" w:customStyle="1" w:styleId="66">
    <w:name w:val="A正文"/>
    <w:basedOn w:val="1"/>
    <w:qFormat/>
    <w:uiPriority w:val="0"/>
    <w:pPr>
      <w:spacing w:line="360" w:lineRule="auto"/>
      <w:ind w:firstLine="200" w:firstLineChars="200"/>
    </w:pPr>
    <w:rPr>
      <w:sz w:val="24"/>
    </w:rPr>
  </w:style>
  <w:style w:type="paragraph" w:customStyle="1" w:styleId="67">
    <w:name w:val="正文修改"/>
    <w:basedOn w:val="1"/>
    <w:qFormat/>
    <w:uiPriority w:val="0"/>
    <w:pPr>
      <w:spacing w:line="360" w:lineRule="auto"/>
      <w:ind w:firstLine="480" w:firstLineChars="200"/>
    </w:pPr>
    <w:rPr>
      <w:rFonts w:cs="宋体"/>
      <w:kern w:val="0"/>
      <w:sz w:val="24"/>
    </w:rPr>
  </w:style>
  <w:style w:type="paragraph" w:customStyle="1" w:styleId="68">
    <w:name w:val="正文何黎"/>
    <w:basedOn w:val="1"/>
    <w:qFormat/>
    <w:uiPriority w:val="0"/>
    <w:pPr>
      <w:spacing w:line="360" w:lineRule="auto"/>
      <w:ind w:firstLine="480" w:firstLineChars="200"/>
    </w:pPr>
    <w:rPr>
      <w:rFonts w:hAnsi="宋体"/>
      <w:sz w:val="24"/>
    </w:rPr>
  </w:style>
  <w:style w:type="character" w:customStyle="1" w:styleId="69">
    <w:name w:val="fontstyle01"/>
    <w:qFormat/>
    <w:uiPriority w:val="0"/>
    <w:rPr>
      <w:rFonts w:hint="eastAsia" w:ascii="宋体" w:hAnsi="宋体" w:eastAsia="宋体"/>
      <w:color w:val="000000"/>
      <w:sz w:val="24"/>
      <w:szCs w:val="24"/>
    </w:rPr>
  </w:style>
  <w:style w:type="paragraph" w:customStyle="1" w:styleId="70">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1">
    <w:name w:val="正文 + 仿宋_GB2312"/>
    <w:basedOn w:val="1"/>
    <w:qFormat/>
    <w:uiPriority w:val="99"/>
    <w:pPr>
      <w:ind w:firstLine="480" w:firstLineChars="200"/>
    </w:pPr>
    <w:rPr>
      <w:rFonts w:ascii="仿宋_GB2312" w:hAnsi="Calibri" w:eastAsia="仿宋_GB2312" w:cs="Times New Roman"/>
      <w:sz w:val="24"/>
    </w:rPr>
  </w:style>
  <w:style w:type="paragraph" w:customStyle="1" w:styleId="72">
    <w:name w:val="Table Text"/>
    <w:basedOn w:val="1"/>
    <w:semiHidden/>
    <w:qFormat/>
    <w:uiPriority w:val="0"/>
    <w:rPr>
      <w:rFonts w:ascii="宋体" w:hAnsi="宋体" w:eastAsia="宋体" w:cs="宋体"/>
      <w:sz w:val="24"/>
      <w:szCs w:val="24"/>
      <w:lang w:val="en-US" w:eastAsia="en-US" w:bidi="ar-SA"/>
    </w:rPr>
  </w:style>
  <w:style w:type="table" w:customStyle="1" w:styleId="73">
    <w:name w:val="Table Normal"/>
    <w:semiHidden/>
    <w:unhideWhenUsed/>
    <w:qFormat/>
    <w:uiPriority w:val="0"/>
    <w:tblPr>
      <w:tblCellMar>
        <w:top w:w="0" w:type="dxa"/>
        <w:left w:w="0" w:type="dxa"/>
        <w:bottom w:w="0" w:type="dxa"/>
        <w:right w:w="0" w:type="dxa"/>
      </w:tblCellMar>
    </w:tblPr>
  </w:style>
  <w:style w:type="character" w:customStyle="1" w:styleId="74">
    <w:name w:val="font11"/>
    <w:basedOn w:val="30"/>
    <w:qFormat/>
    <w:uiPriority w:val="0"/>
    <w:rPr>
      <w:rFonts w:hint="eastAsia" w:ascii="宋体" w:hAnsi="宋体" w:eastAsia="宋体" w:cs="宋体"/>
      <w:color w:val="000000"/>
      <w:sz w:val="21"/>
      <w:szCs w:val="21"/>
      <w:u w:val="none"/>
    </w:rPr>
  </w:style>
  <w:style w:type="character" w:customStyle="1" w:styleId="75">
    <w:name w:val="font31"/>
    <w:basedOn w:val="30"/>
    <w:qFormat/>
    <w:uiPriority w:val="0"/>
    <w:rPr>
      <w:rFonts w:hint="default" w:ascii="Times New Roman" w:hAnsi="Times New Roman" w:cs="Times New Roman"/>
      <w:color w:val="000000"/>
      <w:sz w:val="21"/>
      <w:szCs w:val="21"/>
      <w:u w:val="none"/>
    </w:rPr>
  </w:style>
  <w:style w:type="paragraph" w:customStyle="1" w:styleId="76">
    <w:name w:val="Heading 1"/>
    <w:basedOn w:val="1"/>
    <w:qFormat/>
    <w:uiPriority w:val="1"/>
    <w:pPr>
      <w:spacing w:line="269" w:lineRule="exact"/>
      <w:ind w:left="220"/>
      <w:outlineLvl w:val="1"/>
    </w:pPr>
    <w:rPr>
      <w:b/>
      <w:bCs/>
      <w:sz w:val="21"/>
      <w:szCs w:val="21"/>
    </w:rPr>
  </w:style>
  <w:style w:type="paragraph" w:customStyle="1" w:styleId="77">
    <w:name w:val="Table Paragraph"/>
    <w:basedOn w:val="1"/>
    <w:qFormat/>
    <w:uiPriority w:val="1"/>
    <w:pPr>
      <w:spacing w:before="20"/>
      <w:ind w:left="107"/>
    </w:pPr>
  </w:style>
  <w:style w:type="paragraph" w:customStyle="1" w:styleId="78">
    <w:name w:val="无间隔1"/>
    <w:basedOn w:val="1"/>
    <w:qFormat/>
    <w:uiPriority w:val="0"/>
    <w:pPr>
      <w:autoSpaceDE/>
      <w:autoSpaceDN/>
      <w:ind w:firstLine="420" w:firstLineChars="200"/>
      <w:jc w:val="both"/>
    </w:pPr>
    <w:rPr>
      <w:rFonts w:ascii="Times New Roman" w:hAnsi="Times New Roman"/>
      <w:kern w:val="2"/>
      <w:lang w:val="en-US" w:bidi="ar-SA"/>
    </w:rPr>
  </w:style>
  <w:style w:type="paragraph" w:customStyle="1" w:styleId="79">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80">
    <w:name w:val="表格头"/>
    <w:basedOn w:val="1"/>
    <w:qFormat/>
    <w:uiPriority w:val="99"/>
    <w:pPr>
      <w:snapToGrid w:val="0"/>
      <w:ind w:firstLine="480" w:firstLineChars="200"/>
      <w:jc w:val="center"/>
    </w:pPr>
    <w:rPr>
      <w:rFonts w:ascii="Times New Roman" w:hAnsi="Times New Roman" w:cs="黑体"/>
      <w:b/>
      <w:color w:val="000000"/>
      <w:sz w:val="24"/>
    </w:rPr>
  </w:style>
  <w:style w:type="paragraph" w:customStyle="1" w:styleId="81">
    <w:name w:val="表格首行"/>
    <w:basedOn w:val="1"/>
    <w:autoRedefine/>
    <w:qFormat/>
    <w:uiPriority w:val="0"/>
    <w:pPr>
      <w:snapToGrid w:val="0"/>
      <w:jc w:val="center"/>
    </w:pPr>
    <w:rPr>
      <w:rFonts w:ascii="Times New Roman" w:hAnsi="Times New Roman"/>
      <w:b/>
      <w:szCs w:val="18"/>
    </w:rPr>
  </w:style>
  <w:style w:type="paragraph" w:customStyle="1" w:styleId="82">
    <w:name w:val="表格文字"/>
    <w:basedOn w:val="1"/>
    <w:qFormat/>
    <w:uiPriority w:val="0"/>
    <w:pPr>
      <w:adjustRightInd w:val="0"/>
      <w:jc w:val="center"/>
    </w:pPr>
    <w:rPr>
      <w:rFonts w:ascii="Times New Roman" w:hAnsi="Times New Roman"/>
      <w:kern w:val="0"/>
    </w:rPr>
  </w:style>
  <w:style w:type="paragraph" w:customStyle="1" w:styleId="83">
    <w:name w:val="4表头、图头格式"/>
    <w:basedOn w:val="1"/>
    <w:qFormat/>
    <w:uiPriority w:val="0"/>
    <w:pPr>
      <w:jc w:val="center"/>
    </w:pPr>
    <w:rPr>
      <w:rFonts w:ascii="Times New Roman" w:hAnsi="Times New Roman" w:cs="Calibri"/>
      <w:b/>
      <w:kern w:val="0"/>
      <w:szCs w:val="21"/>
    </w:rPr>
  </w:style>
  <w:style w:type="paragraph" w:styleId="84">
    <w:name w:val="No Spacing"/>
    <w:qFormat/>
    <w:uiPriority w:val="1"/>
    <w:pPr>
      <w:jc w:val="center"/>
    </w:pPr>
    <w:rPr>
      <w:rFonts w:ascii="Times New Roman" w:hAnsi="Times New Roman" w:eastAsia="宋体" w:cs="Times New Roman"/>
      <w:sz w:val="21"/>
      <w:lang w:val="en-US" w:eastAsia="zh-CN" w:bidi="ar-SA"/>
    </w:rPr>
  </w:style>
  <w:style w:type="character" w:customStyle="1" w:styleId="85">
    <w:name w:val="15"/>
    <w:qFormat/>
    <w:uiPriority w:val="0"/>
    <w:rPr>
      <w:rFonts w:hint="eastAsia" w:ascii="Microsoft JhengHei" w:hAnsi="Microsoft JhengHei" w:eastAsia="Microsoft JhengHei"/>
      <w:b/>
      <w:color w:val="000000"/>
      <w:sz w:val="22"/>
      <w:szCs w:val="22"/>
    </w:rPr>
  </w:style>
  <w:style w:type="paragraph" w:customStyle="1" w:styleId="86">
    <w:name w:val="S报告正文"/>
    <w:basedOn w:val="1"/>
    <w:autoRedefine/>
    <w:qFormat/>
    <w:uiPriority w:val="0"/>
    <w:pPr>
      <w:spacing w:line="360" w:lineRule="auto"/>
      <w:ind w:firstLine="480" w:firstLineChars="200"/>
    </w:pPr>
    <w:rPr>
      <w:rFonts w:ascii="Times New Roman" w:hAnsi="Times New Roman"/>
      <w:sz w:val="24"/>
    </w:rPr>
  </w:style>
  <w:style w:type="paragraph" w:customStyle="1" w:styleId="87">
    <w:name w:val="图标题"/>
    <w:basedOn w:val="1"/>
    <w:qFormat/>
    <w:uiPriority w:val="0"/>
    <w:pPr>
      <w:adjustRightInd w:val="0"/>
      <w:snapToGrid w:val="0"/>
      <w:spacing w:before="50" w:beforeLines="50" w:after="50" w:afterLines="50"/>
      <w:jc w:val="center"/>
    </w:pPr>
    <w:rPr>
      <w:b/>
      <w:sz w:val="24"/>
    </w:rPr>
  </w:style>
  <w:style w:type="paragraph" w:customStyle="1" w:styleId="88">
    <w:name w:val="+正文"/>
    <w:basedOn w:val="1"/>
    <w:qFormat/>
    <w:uiPriority w:val="0"/>
    <w:pPr>
      <w:widowControl/>
      <w:spacing w:line="360" w:lineRule="auto"/>
      <w:ind w:firstLine="200" w:firstLineChars="200"/>
      <w:jc w:val="left"/>
    </w:pPr>
    <w:rPr>
      <w:sz w:val="24"/>
      <w:szCs w:val="28"/>
      <w:lang w:val="zh-CN"/>
    </w:rPr>
  </w:style>
  <w:style w:type="paragraph" w:customStyle="1" w:styleId="89">
    <w:name w:val="样式12"/>
    <w:basedOn w:val="1"/>
    <w:autoRedefine/>
    <w:qFormat/>
    <w:uiPriority w:val="0"/>
    <w:pPr>
      <w:jc w:val="center"/>
    </w:pPr>
    <w:rPr>
      <w:rFonts w:ascii="Times New Roman" w:hAnsi="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hyperlink" Target="http://www.biaozhi.net/eNews/news/200602/0029_0000000910.shtml" TargetMode="External"/><Relationship Id="rId38" Type="http://schemas.openxmlformats.org/officeDocument/2006/relationships/image" Target="media/image24.png"/><Relationship Id="rId37" Type="http://schemas.openxmlformats.org/officeDocument/2006/relationships/hyperlink" Target="http://www.biaozhi.net/eNews/news/200602/0029_0000000909.shtml" TargetMode="Externa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hyperlink" Target="http://www.biaozhi.net/eNews/news/200602/0029_0000000906.shtml" TargetMode="External"/><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hyperlink" Target="http://www.biaozhi.net/eNews/news/200602/0029_0000000905.shtml" TargetMode="Externa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5184</Words>
  <Characters>5568</Characters>
  <Lines>1</Lines>
  <Paragraphs>1</Paragraphs>
  <TotalTime>1</TotalTime>
  <ScaleCrop>false</ScaleCrop>
  <LinksUpToDate>false</LinksUpToDate>
  <CharactersWithSpaces>5625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2022-11-17T00:54:00Z</dcterms:created>
  <dc:creator>Nydia</dc:creator>
  <cp:lastModifiedBy>@怡</cp:lastModifiedBy>
  <dcterms:modified xsi:type="dcterms:W3CDTF">2025-07-09T05:40:34Z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0A87B63793A44644AA62508259387337_13</vt:lpwstr>
  </property>
  <property fmtid="{D5CDD505-2E9C-101B-9397-08002B2CF9AE}" pid="4" name="KSOTemplateDocerSaveRecord">
    <vt:lpwstr>eyJoZGlkIjoiNWUzZjBjZGFjODhlNmUxNzA3ZWUwOWQwMjJkNTMwNzEiLCJ1c2VySWQiOiIxNjEzNDk1NDg5In0=</vt:lpwstr>
  </property>
</Properties>
</file>